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18690">
      <w:pPr>
        <w:shd w:val="clear" w:color="auto"/>
        <w:spacing w:before="165" w:beforeLines="50" w:line="360" w:lineRule="auto"/>
        <w:jc w:val="center"/>
        <w:rPr>
          <w:rFonts w:hint="eastAsia" w:ascii="宋体" w:hAnsi="宋体" w:eastAsia="宋体" w:cs="Times New Roman"/>
          <w:color w:val="auto"/>
          <w:sz w:val="52"/>
          <w:szCs w:val="52"/>
          <w:highlight w:val="none"/>
        </w:rPr>
      </w:pPr>
    </w:p>
    <w:p w14:paraId="31F4C8A4">
      <w:pPr>
        <w:shd w:val="clear" w:color="auto"/>
        <w:spacing w:before="165" w:beforeLines="50" w:line="360" w:lineRule="auto"/>
        <w:jc w:val="center"/>
        <w:rPr>
          <w:rFonts w:hint="eastAsia" w:ascii="宋体" w:hAnsi="宋体" w:eastAsia="宋体" w:cs="Times New Roman"/>
          <w:color w:val="auto"/>
          <w:sz w:val="52"/>
          <w:szCs w:val="52"/>
          <w:highlight w:val="none"/>
        </w:rPr>
      </w:pPr>
      <w:r>
        <w:rPr>
          <w:rFonts w:hint="eastAsia" w:ascii="宋体" w:hAnsi="宋体" w:eastAsia="宋体" w:cs="Times New Roman"/>
          <w:color w:val="auto"/>
          <w:sz w:val="52"/>
          <w:szCs w:val="52"/>
          <w:highlight w:val="none"/>
        </w:rPr>
        <w:t>南宁市政府采购</w:t>
      </w:r>
    </w:p>
    <w:p w14:paraId="09F1D3AD">
      <w:pPr>
        <w:pStyle w:val="20"/>
        <w:shd w:val="clear" w:color="auto"/>
        <w:rPr>
          <w:rFonts w:hint="eastAsia" w:ascii="Times New Roman" w:hAnsi="Times New Roman" w:eastAsia="宋体" w:cs="Times New Roman"/>
          <w:color w:val="auto"/>
          <w:highlight w:val="none"/>
        </w:rPr>
      </w:pPr>
    </w:p>
    <w:p w14:paraId="033B875A">
      <w:pPr>
        <w:shd w:val="clear" w:color="auto"/>
        <w:snapToGrid w:val="0"/>
        <w:spacing w:before="165" w:beforeLines="50" w:line="360" w:lineRule="auto"/>
        <w:jc w:val="center"/>
        <w:rPr>
          <w:rFonts w:hint="eastAsia" w:ascii="华文新魏" w:hAnsi="宋体" w:eastAsia="华文新魏" w:cs="Times New Roman"/>
          <w:color w:val="auto"/>
          <w:sz w:val="72"/>
          <w:szCs w:val="72"/>
          <w:highlight w:val="none"/>
        </w:rPr>
      </w:pPr>
    </w:p>
    <w:p w14:paraId="4EE6A5A2">
      <w:pPr>
        <w:shd w:val="clear" w:color="auto"/>
        <w:snapToGrid w:val="0"/>
        <w:spacing w:before="165" w:beforeLines="50"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华文新魏" w:hAnsi="宋体" w:eastAsia="华文新魏" w:cs="Times New Roman"/>
          <w:color w:val="auto"/>
          <w:sz w:val="72"/>
          <w:szCs w:val="72"/>
          <w:highlight w:val="none"/>
        </w:rPr>
        <w:t>竞争性磋商文件</w:t>
      </w:r>
    </w:p>
    <w:p w14:paraId="669050C4">
      <w:pPr>
        <w:shd w:val="clear" w:color="auto"/>
        <w:spacing w:before="331" w:beforeLines="100" w:after="165" w:afterLines="50"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（全流程电子化评标）</w:t>
      </w:r>
    </w:p>
    <w:p w14:paraId="6CC1DF52">
      <w:pPr>
        <w:shd w:val="clear" w:color="auto"/>
        <w:spacing w:line="360" w:lineRule="auto"/>
        <w:rPr>
          <w:rFonts w:hint="eastAsia" w:ascii="宋体" w:hAnsi="宋体" w:eastAsia="宋体" w:cs="Times New Roman"/>
          <w:b/>
          <w:color w:val="auto"/>
          <w:sz w:val="32"/>
          <w:szCs w:val="32"/>
          <w:highlight w:val="none"/>
        </w:rPr>
      </w:pPr>
    </w:p>
    <w:p w14:paraId="2D87654C">
      <w:pPr>
        <w:pStyle w:val="20"/>
        <w:shd w:val="clear" w:color="auto"/>
        <w:rPr>
          <w:rFonts w:hint="eastAsia" w:ascii="Times New Roman" w:hAnsi="Times New Roman" w:eastAsia="宋体" w:cs="Times New Roman"/>
          <w:color w:val="auto"/>
          <w:highlight w:val="none"/>
          <w:lang w:val="en-US" w:eastAsia="zh-CN"/>
        </w:rPr>
      </w:pPr>
    </w:p>
    <w:p w14:paraId="608F3CC0">
      <w:pPr>
        <w:shd w:val="clear" w:color="auto"/>
        <w:rPr>
          <w:rFonts w:hint="eastAsia" w:ascii="Times New Roman" w:hAnsi="Times New Roman" w:eastAsia="宋体" w:cs="Times New Roman"/>
          <w:color w:val="auto"/>
          <w:highlight w:val="none"/>
          <w:lang w:val="en-US" w:eastAsia="zh-CN"/>
        </w:rPr>
      </w:pPr>
    </w:p>
    <w:p w14:paraId="02ABFD8C">
      <w:pPr>
        <w:shd w:val="clear" w:color="auto"/>
        <w:spacing w:line="360" w:lineRule="auto"/>
        <w:jc w:val="center"/>
        <w:rPr>
          <w:rFonts w:hint="eastAsia" w:ascii="宋体" w:hAnsi="宋体" w:eastAsia="宋体" w:cs="Times New Roman"/>
          <w:b/>
          <w:color w:val="auto"/>
          <w:sz w:val="32"/>
          <w:szCs w:val="32"/>
          <w:highlight w:val="none"/>
        </w:rPr>
      </w:pPr>
    </w:p>
    <w:p w14:paraId="5DFB2E5C">
      <w:pPr>
        <w:keepNext w:val="0"/>
        <w:keepLines w:val="0"/>
        <w:pageBreakBefore w:val="0"/>
        <w:widowControl w:val="0"/>
        <w:shd w:val="clear" w:color="auto"/>
        <w:kinsoku/>
        <w:wordWrap/>
        <w:overflowPunct/>
        <w:topLinePunct w:val="0"/>
        <w:autoSpaceDE/>
        <w:autoSpaceDN/>
        <w:bidi w:val="0"/>
        <w:adjustRightInd/>
        <w:snapToGrid w:val="0"/>
        <w:spacing w:before="120" w:after="120" w:line="360" w:lineRule="auto"/>
        <w:ind w:left="2852" w:leftChars="644" w:right="396" w:rightChars="189" w:hanging="1500" w:hangingChars="500"/>
        <w:jc w:val="both"/>
        <w:textAlignment w:val="auto"/>
        <w:rPr>
          <w:rFonts w:hint="eastAsia" w:ascii="仿宋_GB2312" w:hAnsi="宋体" w:eastAsia="仿宋_GB2312" w:cs="Times New Roman"/>
          <w:b/>
          <w:bCs/>
          <w:color w:val="auto"/>
          <w:kern w:val="0"/>
          <w:sz w:val="30"/>
          <w:szCs w:val="30"/>
          <w:highlight w:val="none"/>
          <w:lang w:val="en-US" w:eastAsia="zh-CN" w:bidi="ar-SA"/>
        </w:rPr>
      </w:pPr>
      <w:r>
        <w:rPr>
          <w:rFonts w:hint="eastAsia" w:ascii="仿宋_GB2312" w:hAnsi="宋体" w:eastAsia="仿宋_GB2312" w:cs="Times New Roman"/>
          <w:b/>
          <w:bCs/>
          <w:color w:val="auto"/>
          <w:kern w:val="0"/>
          <w:sz w:val="30"/>
          <w:szCs w:val="30"/>
          <w:highlight w:val="none"/>
          <w:lang w:val="en-US" w:eastAsia="zh-CN" w:bidi="ar-SA"/>
        </w:rPr>
        <w:t>项目名称：南宁市西乡塘区银岭灌区维修养护工程</w:t>
      </w:r>
    </w:p>
    <w:p w14:paraId="2436E600">
      <w:pPr>
        <w:keepNext w:val="0"/>
        <w:keepLines w:val="0"/>
        <w:pageBreakBefore w:val="0"/>
        <w:widowControl w:val="0"/>
        <w:shd w:val="clear" w:color="auto"/>
        <w:kinsoku/>
        <w:wordWrap/>
        <w:overflowPunct/>
        <w:topLinePunct w:val="0"/>
        <w:autoSpaceDE/>
        <w:autoSpaceDN/>
        <w:bidi w:val="0"/>
        <w:adjustRightInd/>
        <w:snapToGrid w:val="0"/>
        <w:spacing w:before="120" w:after="120" w:line="360" w:lineRule="auto"/>
        <w:ind w:left="0" w:leftChars="0" w:firstLine="1350" w:firstLineChars="450"/>
        <w:jc w:val="both"/>
        <w:textAlignment w:val="auto"/>
        <w:rPr>
          <w:rFonts w:hint="eastAsia" w:ascii="仿宋_GB2312" w:hAnsi="宋体" w:eastAsia="仿宋_GB2312" w:cs="Times New Roman"/>
          <w:b/>
          <w:bCs/>
          <w:color w:val="auto"/>
          <w:kern w:val="0"/>
          <w:sz w:val="30"/>
          <w:szCs w:val="30"/>
          <w:highlight w:val="none"/>
          <w:lang w:val="en-US" w:eastAsia="zh-CN" w:bidi="ar-SA"/>
        </w:rPr>
      </w:pPr>
      <w:r>
        <w:rPr>
          <w:rFonts w:hint="eastAsia" w:ascii="仿宋_GB2312" w:hAnsi="宋体" w:eastAsia="仿宋_GB2312" w:cs="Times New Roman"/>
          <w:b/>
          <w:bCs/>
          <w:color w:val="auto"/>
          <w:kern w:val="0"/>
          <w:sz w:val="30"/>
          <w:szCs w:val="30"/>
          <w:highlight w:val="none"/>
          <w:lang w:val="en-US" w:eastAsia="zh-CN" w:bidi="ar-SA"/>
        </w:rPr>
        <w:t>项目编号：NNZC2026-C2-990604-GLZB</w:t>
      </w:r>
    </w:p>
    <w:p w14:paraId="67C60A38">
      <w:pPr>
        <w:keepNext w:val="0"/>
        <w:keepLines w:val="0"/>
        <w:pageBreakBefore w:val="0"/>
        <w:widowControl w:val="0"/>
        <w:shd w:val="clear" w:color="auto"/>
        <w:kinsoku/>
        <w:wordWrap/>
        <w:overflowPunct/>
        <w:topLinePunct w:val="0"/>
        <w:autoSpaceDE/>
        <w:autoSpaceDN/>
        <w:bidi w:val="0"/>
        <w:adjustRightInd/>
        <w:snapToGrid w:val="0"/>
        <w:spacing w:before="120" w:after="120" w:line="360" w:lineRule="auto"/>
        <w:ind w:left="0" w:leftChars="0" w:firstLine="1350" w:firstLineChars="450"/>
        <w:jc w:val="both"/>
        <w:textAlignment w:val="auto"/>
        <w:rPr>
          <w:rFonts w:hint="default" w:ascii="仿宋_GB2312" w:hAnsi="宋体" w:eastAsia="仿宋_GB2312" w:cs="Times New Roman"/>
          <w:b/>
          <w:bCs/>
          <w:color w:val="auto"/>
          <w:kern w:val="0"/>
          <w:sz w:val="30"/>
          <w:szCs w:val="30"/>
          <w:highlight w:val="none"/>
          <w:lang w:val="en-US" w:eastAsia="zh-CN" w:bidi="ar-SA"/>
        </w:rPr>
      </w:pPr>
      <w:r>
        <w:rPr>
          <w:rFonts w:hint="eastAsia" w:ascii="仿宋_GB2312" w:hAnsi="宋体" w:eastAsia="仿宋_GB2312" w:cs="Times New Roman"/>
          <w:b/>
          <w:bCs/>
          <w:color w:val="auto"/>
          <w:kern w:val="0"/>
          <w:sz w:val="30"/>
          <w:szCs w:val="30"/>
          <w:highlight w:val="none"/>
          <w:lang w:val="en-US" w:eastAsia="zh-CN" w:bidi="ar-SA"/>
        </w:rPr>
        <w:t>项目所属区：南宁市</w:t>
      </w:r>
    </w:p>
    <w:p w14:paraId="1CC16CD8">
      <w:pPr>
        <w:keepNext w:val="0"/>
        <w:keepLines w:val="0"/>
        <w:pageBreakBefore w:val="0"/>
        <w:widowControl w:val="0"/>
        <w:shd w:val="clear" w:color="auto"/>
        <w:kinsoku/>
        <w:wordWrap/>
        <w:overflowPunct/>
        <w:topLinePunct w:val="0"/>
        <w:autoSpaceDE/>
        <w:autoSpaceDN/>
        <w:bidi w:val="0"/>
        <w:adjustRightInd/>
        <w:snapToGrid w:val="0"/>
        <w:spacing w:before="120" w:after="120" w:line="360" w:lineRule="auto"/>
        <w:ind w:left="0" w:leftChars="0" w:firstLine="1350" w:firstLineChars="450"/>
        <w:jc w:val="both"/>
        <w:textAlignment w:val="auto"/>
        <w:rPr>
          <w:rFonts w:hint="eastAsia" w:ascii="仿宋_GB2312" w:hAnsi="宋体" w:eastAsia="仿宋_GB2312" w:cs="Times New Roman"/>
          <w:b/>
          <w:bCs/>
          <w:color w:val="auto"/>
          <w:kern w:val="0"/>
          <w:sz w:val="30"/>
          <w:szCs w:val="30"/>
          <w:highlight w:val="none"/>
          <w:lang w:val="en-US" w:eastAsia="zh-CN" w:bidi="ar-SA"/>
        </w:rPr>
      </w:pPr>
      <w:r>
        <w:rPr>
          <w:rFonts w:hint="eastAsia" w:ascii="仿宋_GB2312" w:hAnsi="宋体" w:eastAsia="仿宋_GB2312" w:cs="Times New Roman"/>
          <w:b/>
          <w:bCs/>
          <w:color w:val="auto"/>
          <w:kern w:val="0"/>
          <w:sz w:val="30"/>
          <w:szCs w:val="30"/>
          <w:highlight w:val="none"/>
          <w:lang w:val="en-US" w:eastAsia="zh-CN" w:bidi="ar-SA"/>
        </w:rPr>
        <w:t>采 购 人：南宁市金沙湖水利工程管理所</w:t>
      </w:r>
    </w:p>
    <w:p w14:paraId="74963FE9">
      <w:pPr>
        <w:keepNext w:val="0"/>
        <w:keepLines w:val="0"/>
        <w:pageBreakBefore w:val="0"/>
        <w:widowControl w:val="0"/>
        <w:shd w:val="clear" w:color="auto"/>
        <w:kinsoku/>
        <w:wordWrap/>
        <w:overflowPunct/>
        <w:topLinePunct w:val="0"/>
        <w:autoSpaceDE/>
        <w:autoSpaceDN/>
        <w:bidi w:val="0"/>
        <w:adjustRightInd/>
        <w:snapToGrid w:val="0"/>
        <w:spacing w:before="120" w:after="120" w:line="360" w:lineRule="auto"/>
        <w:ind w:left="0" w:leftChars="0" w:firstLine="1350" w:firstLineChars="450"/>
        <w:jc w:val="both"/>
        <w:textAlignment w:val="auto"/>
        <w:rPr>
          <w:rFonts w:hint="eastAsia" w:ascii="仿宋_GB2312" w:hAnsi="宋体" w:eastAsia="仿宋_GB2312" w:cs="Times New Roman"/>
          <w:b/>
          <w:bCs/>
          <w:color w:val="auto"/>
          <w:kern w:val="0"/>
          <w:sz w:val="30"/>
          <w:szCs w:val="30"/>
          <w:highlight w:val="none"/>
          <w:lang w:val="en-US" w:eastAsia="zh-CN" w:bidi="ar-SA"/>
        </w:rPr>
      </w:pPr>
      <w:r>
        <w:rPr>
          <w:rFonts w:hint="eastAsia" w:ascii="仿宋_GB2312" w:hAnsi="宋体" w:eastAsia="仿宋_GB2312" w:cs="Times New Roman"/>
          <w:b/>
          <w:bCs/>
          <w:color w:val="auto"/>
          <w:kern w:val="0"/>
          <w:sz w:val="30"/>
          <w:szCs w:val="30"/>
          <w:highlight w:val="none"/>
          <w:lang w:val="en-US" w:eastAsia="zh-CN" w:bidi="ar-SA"/>
        </w:rPr>
        <w:t>采购代理机构：广西国力招标有限公司</w:t>
      </w:r>
    </w:p>
    <w:p w14:paraId="659905BB">
      <w:pPr>
        <w:shd w:val="clear" w:color="auto"/>
        <w:snapToGrid w:val="0"/>
        <w:spacing w:before="50" w:after="120" w:line="360" w:lineRule="auto"/>
        <w:ind w:left="0" w:leftChars="0" w:firstLine="0" w:firstLineChars="0"/>
        <w:rPr>
          <w:rFonts w:ascii="仿宋_GB2312" w:hAnsi="宋体" w:eastAsia="仿宋_GB2312"/>
          <w:b/>
          <w:bCs/>
          <w:color w:val="auto"/>
          <w:w w:val="95"/>
          <w:sz w:val="30"/>
          <w:szCs w:val="30"/>
          <w:highlight w:val="none"/>
        </w:rPr>
        <w:sectPr>
          <w:headerReference r:id="rId3" w:type="default"/>
          <w:footerReference r:id="rId4" w:type="default"/>
          <w:footerReference r:id="rId5" w:type="even"/>
          <w:pgSz w:w="11905" w:h="16838"/>
          <w:pgMar w:top="1134" w:right="1134" w:bottom="1134" w:left="1134" w:header="850" w:footer="1191" w:gutter="0"/>
          <w:pgBorders w:offsetFrom="page">
            <w:top w:val="none" w:sz="0" w:space="0"/>
            <w:left w:val="none" w:sz="0" w:space="0"/>
            <w:bottom w:val="none" w:sz="0" w:space="0"/>
            <w:right w:val="none" w:sz="0" w:space="0"/>
          </w:pgBorders>
          <w:pgNumType w:start="1"/>
          <w:cols w:space="720" w:num="1"/>
          <w:titlePg/>
          <w:rtlGutter w:val="0"/>
          <w:docGrid w:type="linesAndChars" w:linePitch="317" w:charSpace="0"/>
        </w:sectPr>
      </w:pPr>
      <w:r>
        <w:rPr>
          <w:rFonts w:hint="eastAsia" w:ascii="仿宋_GB2312" w:hAnsi="宋体" w:eastAsia="仿宋_GB2312" w:cs="Times New Roman"/>
          <w:b/>
          <w:bCs/>
          <w:color w:val="auto"/>
          <w:w w:val="95"/>
          <w:kern w:val="0"/>
          <w:sz w:val="30"/>
          <w:szCs w:val="30"/>
          <w:highlight w:val="none"/>
          <w:lang w:val="en-US" w:eastAsia="zh-CN" w:bidi="ar-SA"/>
        </w:rPr>
        <w:t xml:space="preserve">                     </w:t>
      </w:r>
      <w:r>
        <w:rPr>
          <w:rFonts w:hint="eastAsia" w:ascii="仿宋_GB2312" w:hAnsi="仿宋_GB2312" w:eastAsia="仿宋_GB2312" w:cs="仿宋_GB2312"/>
          <w:b/>
          <w:bCs/>
          <w:color w:val="auto"/>
          <w:w w:val="95"/>
          <w:kern w:val="0"/>
          <w:sz w:val="30"/>
          <w:szCs w:val="30"/>
          <w:highlight w:val="none"/>
          <w:lang w:val="en-US" w:eastAsia="zh-CN" w:bidi="ar-SA"/>
        </w:rPr>
        <w:t>2026年7月24日</w:t>
      </w:r>
    </w:p>
    <w:p w14:paraId="58FCDA38">
      <w:pPr>
        <w:shd w:val="clear" w:color="auto"/>
        <w:spacing w:line="360" w:lineRule="auto"/>
        <w:jc w:val="center"/>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44"/>
          <w:szCs w:val="44"/>
          <w:highlight w:val="none"/>
        </w:rPr>
        <w:t>目   录</w:t>
      </w:r>
    </w:p>
    <w:p w14:paraId="25265DB4">
      <w:pPr>
        <w:shd w:val="clear" w:color="auto"/>
        <w:spacing w:line="400" w:lineRule="exact"/>
        <w:jc w:val="center"/>
        <w:rPr>
          <w:rFonts w:hint="eastAsia" w:ascii="宋体" w:hAnsi="宋体" w:eastAsia="宋体" w:cs="Times New Roman"/>
          <w:b/>
          <w:color w:val="auto"/>
          <w:sz w:val="44"/>
          <w:szCs w:val="44"/>
          <w:highlight w:val="none"/>
        </w:rPr>
      </w:pPr>
    </w:p>
    <w:p w14:paraId="51A0D595">
      <w:pPr>
        <w:pStyle w:val="22"/>
        <w:shd w:val="clear" w:color="auto"/>
        <w:tabs>
          <w:tab w:val="right" w:leader="dot" w:pos="8869"/>
        </w:tabs>
        <w:rPr>
          <w:rFonts w:ascii="Calibri" w:hAnsi="Calibri" w:eastAsia="宋体" w:cs="Times New Roman"/>
          <w:color w:val="auto"/>
          <w:szCs w:val="22"/>
          <w:highlight w:val="none"/>
        </w:rPr>
      </w:pPr>
      <w:r>
        <w:rPr>
          <w:rFonts w:ascii="宋体" w:hAnsi="宋体" w:eastAsia="宋体" w:cs="Times New Roman"/>
          <w:b/>
          <w:color w:val="auto"/>
          <w:sz w:val="30"/>
          <w:szCs w:val="30"/>
          <w:highlight w:val="none"/>
        </w:rPr>
        <w:fldChar w:fldCharType="begin"/>
      </w:r>
      <w:r>
        <w:rPr>
          <w:rFonts w:ascii="宋体" w:hAnsi="宋体" w:eastAsia="宋体" w:cs="Times New Roman"/>
          <w:b/>
          <w:color w:val="auto"/>
          <w:sz w:val="30"/>
          <w:szCs w:val="30"/>
          <w:highlight w:val="none"/>
        </w:rPr>
        <w:instrText xml:space="preserve"> </w:instrText>
      </w:r>
      <w:r>
        <w:rPr>
          <w:rFonts w:hint="eastAsia" w:ascii="宋体" w:hAnsi="宋体" w:eastAsia="宋体" w:cs="Times New Roman"/>
          <w:b/>
          <w:color w:val="auto"/>
          <w:sz w:val="30"/>
          <w:szCs w:val="30"/>
          <w:highlight w:val="none"/>
        </w:rPr>
        <w:instrText xml:space="preserve">TOC \o "1-3" \h \z \u</w:instrText>
      </w:r>
      <w:r>
        <w:rPr>
          <w:rFonts w:ascii="宋体" w:hAnsi="宋体" w:eastAsia="宋体" w:cs="Times New Roman"/>
          <w:b/>
          <w:color w:val="auto"/>
          <w:sz w:val="30"/>
          <w:szCs w:val="30"/>
          <w:highlight w:val="none"/>
        </w:rPr>
        <w:instrText xml:space="preserve"> </w:instrText>
      </w:r>
      <w:r>
        <w:rPr>
          <w:rFonts w:ascii="宋体" w:hAnsi="宋体" w:eastAsia="宋体" w:cs="Times New Roman"/>
          <w:b/>
          <w:color w:val="auto"/>
          <w:sz w:val="30"/>
          <w:szCs w:val="30"/>
          <w:highlight w:val="none"/>
        </w:rPr>
        <w:fldChar w:fldCharType="separate"/>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"_Toc87898641"</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u w:val="none"/>
        </w:rPr>
        <w:t>第一章</w:t>
      </w:r>
      <w:r>
        <w:rPr>
          <w:rFonts w:ascii="Times New Roman" w:hAnsi="Times New Roman" w:eastAsia="宋体" w:cs="Times New Roman"/>
          <w:color w:val="auto"/>
          <w:highlight w:val="none"/>
          <w:u w:val="none"/>
        </w:rPr>
        <w:t xml:space="preserve"> </w:t>
      </w:r>
      <w:r>
        <w:rPr>
          <w:rFonts w:hint="eastAsia" w:ascii="Times New Roman" w:hAnsi="Times New Roman" w:eastAsia="宋体" w:cs="Times New Roman"/>
          <w:color w:val="auto"/>
          <w:highlight w:val="none"/>
          <w:u w:val="none"/>
        </w:rPr>
        <w:t>竞争性磋商公告</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_Toc87898641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1</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61C4A997">
      <w:pPr>
        <w:pStyle w:val="22"/>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"_Toc87898642"</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Cambria" w:hAnsi="Cambria" w:eastAsia="宋体" w:cs="Times New Roman"/>
          <w:color w:val="auto"/>
          <w:highlight w:val="none"/>
          <w:u w:val="none"/>
        </w:rPr>
        <w:t>第二章</w:t>
      </w:r>
      <w:r>
        <w:rPr>
          <w:rFonts w:ascii="Cambria" w:hAnsi="Cambria" w:eastAsia="宋体" w:cs="Times New Roman"/>
          <w:color w:val="auto"/>
          <w:highlight w:val="none"/>
          <w:u w:val="none"/>
        </w:rPr>
        <w:t xml:space="preserve"> </w:t>
      </w:r>
      <w:r>
        <w:rPr>
          <w:rFonts w:hint="eastAsia" w:ascii="Cambria" w:hAnsi="Cambria" w:eastAsia="宋体" w:cs="Times New Roman"/>
          <w:color w:val="auto"/>
          <w:highlight w:val="none"/>
          <w:u w:val="none"/>
        </w:rPr>
        <w:t>采</w:t>
      </w:r>
      <w:bookmarkStart w:id="0" w:name="_Hlt88835067"/>
      <w:r>
        <w:rPr>
          <w:rFonts w:hint="eastAsia" w:ascii="Cambria" w:hAnsi="Cambria" w:eastAsia="宋体" w:cs="Times New Roman"/>
          <w:color w:val="auto"/>
          <w:highlight w:val="none"/>
          <w:u w:val="none"/>
        </w:rPr>
        <w:t>购</w:t>
      </w:r>
      <w:bookmarkEnd w:id="0"/>
      <w:r>
        <w:rPr>
          <w:rFonts w:hint="eastAsia" w:ascii="Cambria" w:hAnsi="Cambria" w:eastAsia="宋体" w:cs="Times New Roman"/>
          <w:color w:val="auto"/>
          <w:highlight w:val="none"/>
          <w:u w:val="none"/>
        </w:rPr>
        <w:t>需求</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_Toc87898642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5</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3254279D">
      <w:pPr>
        <w:pStyle w:val="22"/>
        <w:keepNext w:val="0"/>
        <w:keepLines w:val="0"/>
        <w:pageBreakBefore w:val="0"/>
        <w:widowControl w:val="0"/>
        <w:shd w:val="clear" w:color="auto"/>
        <w:tabs>
          <w:tab w:val="right" w:leader="dot" w:pos="8869"/>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"_Toc87898643"</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Cambria" w:hAnsi="Cambria" w:eastAsia="宋体" w:cs="Times New Roman"/>
          <w:color w:val="auto"/>
          <w:highlight w:val="none"/>
          <w:u w:val="none"/>
        </w:rPr>
        <w:t>第三章</w:t>
      </w:r>
      <w:r>
        <w:rPr>
          <w:rFonts w:ascii="Cambria" w:hAnsi="Cambria" w:eastAsia="宋体" w:cs="Times New Roman"/>
          <w:color w:val="auto"/>
          <w:highlight w:val="none"/>
          <w:u w:val="none"/>
        </w:rPr>
        <w:t xml:space="preserve"> </w:t>
      </w:r>
      <w:r>
        <w:rPr>
          <w:rFonts w:hint="eastAsia" w:ascii="Cambria" w:hAnsi="Cambria" w:eastAsia="宋体" w:cs="Times New Roman"/>
          <w:color w:val="auto"/>
          <w:highlight w:val="none"/>
          <w:u w:val="none"/>
        </w:rPr>
        <w:t>供应商须知</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_Toc87898643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12</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1175C583">
      <w:pPr>
        <w:pStyle w:val="24"/>
        <w:keepNext w:val="0"/>
        <w:keepLines w:val="0"/>
        <w:pageBreakBefore w:val="0"/>
        <w:widowControl w:val="0"/>
        <w:shd w:val="clear" w:color="auto"/>
        <w:tabs>
          <w:tab w:val="right" w:leader="dot" w:pos="8868"/>
          <w:tab w:val="clear" w:pos="8296"/>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"_Toc87898644"</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第一节</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供应商须知前附表</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_Toc87898644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12</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3FA6A29E">
      <w:pPr>
        <w:pStyle w:val="24"/>
        <w:keepNext w:val="0"/>
        <w:keepLines w:val="0"/>
        <w:pageBreakBefore w:val="0"/>
        <w:widowControl w:val="0"/>
        <w:shd w:val="clear" w:color="auto"/>
        <w:tabs>
          <w:tab w:val="right" w:leader="dot" w:pos="8868"/>
          <w:tab w:val="clear" w:pos="8296"/>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"_Toc87898645"</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第二节</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供应商须知正文</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_Toc87898645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16</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32841F5D">
      <w:pPr>
        <w:pStyle w:val="16"/>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"_Toc87898646"</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一、总则</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_Toc87898646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16</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17A61B23">
      <w:pPr>
        <w:pStyle w:val="16"/>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"_Toc87898647"</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二、磋商文件</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_Toc87898647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18</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7806EA5A">
      <w:pPr>
        <w:pStyle w:val="16"/>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"_Toc87898648"</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三、响应文件的编制</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_Toc87898648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19</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4C612451">
      <w:pPr>
        <w:pStyle w:val="16"/>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"_Toc87898649"</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四、评审及磋商</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_Toc87898649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23</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1A792F72">
      <w:pPr>
        <w:pStyle w:val="16"/>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"_Toc87898650"</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五、成交及合同</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_Toc87898650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24</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1FC1920E">
      <w:pPr>
        <w:pStyle w:val="16"/>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"_Toc87898651"</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六、验收</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_Toc87898651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26</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1124D65C">
      <w:pPr>
        <w:pStyle w:val="16"/>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"_Toc87898652"</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七、其他事项</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_Toc87898652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27</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1741A0EC">
      <w:pPr>
        <w:pStyle w:val="22"/>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"_Toc87898653"</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u w:val="none"/>
        </w:rPr>
        <w:t>第四章</w:t>
      </w:r>
      <w:r>
        <w:rPr>
          <w:rFonts w:ascii="Times New Roman" w:hAnsi="Times New Roman" w:eastAsia="宋体" w:cs="Times New Roman"/>
          <w:color w:val="auto"/>
          <w:highlight w:val="none"/>
          <w:u w:val="none"/>
        </w:rPr>
        <w:t xml:space="preserve">  </w:t>
      </w:r>
      <w:r>
        <w:rPr>
          <w:rFonts w:hint="eastAsia" w:ascii="Times New Roman" w:hAnsi="Times New Roman" w:eastAsia="宋体" w:cs="Times New Roman"/>
          <w:color w:val="auto"/>
          <w:highlight w:val="none"/>
          <w:u w:val="none"/>
        </w:rPr>
        <w:t>评审程序、评审方法和评审标准</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_Toc87898653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29</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0929D9CC">
      <w:pPr>
        <w:pStyle w:val="24"/>
        <w:keepNext w:val="0"/>
        <w:keepLines w:val="0"/>
        <w:pageBreakBefore w:val="0"/>
        <w:widowControl w:val="0"/>
        <w:shd w:val="clear" w:color="auto"/>
        <w:tabs>
          <w:tab w:val="right" w:leader="dot" w:pos="8868"/>
          <w:tab w:val="clear" w:pos="8296"/>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"_Toc87898654"</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第一节</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评审程序和评</w:t>
      </w:r>
      <w:bookmarkStart w:id="1" w:name="_Hlt92881691"/>
      <w:bookmarkStart w:id="2" w:name="_Hlt92881692"/>
      <w:r>
        <w:rPr>
          <w:rFonts w:hint="eastAsia" w:ascii="宋体" w:hAnsi="宋体" w:eastAsia="宋体" w:cs="Times New Roman"/>
          <w:color w:val="auto"/>
          <w:highlight w:val="none"/>
          <w:u w:val="none"/>
        </w:rPr>
        <w:t>审</w:t>
      </w:r>
      <w:bookmarkEnd w:id="1"/>
      <w:bookmarkEnd w:id="2"/>
      <w:r>
        <w:rPr>
          <w:rFonts w:hint="eastAsia" w:ascii="宋体" w:hAnsi="宋体" w:eastAsia="宋体" w:cs="Times New Roman"/>
          <w:color w:val="auto"/>
          <w:highlight w:val="none"/>
          <w:u w:val="none"/>
        </w:rPr>
        <w:t>方法</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_Toc87898654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29</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7EF4CDA1">
      <w:pPr>
        <w:pStyle w:val="24"/>
        <w:keepNext w:val="0"/>
        <w:keepLines w:val="0"/>
        <w:pageBreakBefore w:val="0"/>
        <w:widowControl w:val="0"/>
        <w:shd w:val="clear" w:color="auto"/>
        <w:tabs>
          <w:tab w:val="right" w:leader="dot" w:pos="8868"/>
          <w:tab w:val="clear" w:pos="8296"/>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"_Toc87898655"</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第二节</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评标报告</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_Toc87898655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37</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5070B81B">
      <w:pPr>
        <w:pStyle w:val="24"/>
        <w:keepNext w:val="0"/>
        <w:keepLines w:val="0"/>
        <w:pageBreakBefore w:val="0"/>
        <w:widowControl w:val="0"/>
        <w:shd w:val="clear" w:color="auto"/>
        <w:tabs>
          <w:tab w:val="right" w:leader="dot" w:pos="8868"/>
          <w:tab w:val="clear" w:pos="8296"/>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"_Toc87898656"</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第三节</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评审过程的保密与录像</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_Toc87898656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37</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0D0CEB00">
      <w:pPr>
        <w:pStyle w:val="22"/>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"_Toc87898657"</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u w:val="none"/>
        </w:rPr>
        <w:t>第五章</w:t>
      </w:r>
      <w:r>
        <w:rPr>
          <w:rFonts w:ascii="Times New Roman" w:hAnsi="Times New Roman" w:eastAsia="宋体" w:cs="Times New Roman"/>
          <w:color w:val="auto"/>
          <w:highlight w:val="none"/>
          <w:u w:val="none"/>
        </w:rPr>
        <w:t xml:space="preserve"> </w:t>
      </w:r>
      <w:r>
        <w:rPr>
          <w:rFonts w:hint="eastAsia" w:ascii="Times New Roman" w:hAnsi="Times New Roman" w:eastAsia="宋体" w:cs="Times New Roman"/>
          <w:color w:val="auto"/>
          <w:highlight w:val="none"/>
          <w:u w:val="none"/>
        </w:rPr>
        <w:t>响应文</w:t>
      </w:r>
      <w:bookmarkStart w:id="3" w:name="_Hlt103107597"/>
      <w:bookmarkStart w:id="4" w:name="_Hlt103107596"/>
      <w:r>
        <w:rPr>
          <w:rFonts w:hint="eastAsia" w:ascii="Times New Roman" w:hAnsi="Times New Roman" w:eastAsia="宋体" w:cs="Times New Roman"/>
          <w:color w:val="auto"/>
          <w:highlight w:val="none"/>
          <w:u w:val="none"/>
        </w:rPr>
        <w:t>件</w:t>
      </w:r>
      <w:bookmarkEnd w:id="3"/>
      <w:bookmarkEnd w:id="4"/>
      <w:r>
        <w:rPr>
          <w:rFonts w:hint="eastAsia" w:ascii="Times New Roman" w:hAnsi="Times New Roman" w:eastAsia="宋体" w:cs="Times New Roman"/>
          <w:color w:val="auto"/>
          <w:highlight w:val="none"/>
          <w:u w:val="none"/>
        </w:rPr>
        <w:t>格式</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_Toc87898657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38</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0B3D5A13">
      <w:pPr>
        <w:pStyle w:val="24"/>
        <w:keepNext w:val="0"/>
        <w:keepLines w:val="0"/>
        <w:pageBreakBefore w:val="0"/>
        <w:widowControl w:val="0"/>
        <w:shd w:val="clear" w:color="auto"/>
        <w:tabs>
          <w:tab w:val="right" w:leader="dot" w:pos="8868"/>
          <w:tab w:val="clear" w:pos="8296"/>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"_Toc87898658"</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第一节</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封</w:t>
      </w:r>
      <w:bookmarkStart w:id="5" w:name="_Hlt103107605"/>
      <w:r>
        <w:rPr>
          <w:rFonts w:hint="eastAsia" w:ascii="宋体" w:hAnsi="宋体" w:eastAsia="宋体" w:cs="Times New Roman"/>
          <w:color w:val="auto"/>
          <w:highlight w:val="none"/>
          <w:u w:val="none"/>
        </w:rPr>
        <w:t>面</w:t>
      </w:r>
      <w:bookmarkEnd w:id="5"/>
      <w:r>
        <w:rPr>
          <w:rFonts w:hint="eastAsia" w:ascii="宋体" w:hAnsi="宋体" w:eastAsia="宋体" w:cs="Times New Roman"/>
          <w:color w:val="auto"/>
          <w:highlight w:val="none"/>
          <w:u w:val="none"/>
        </w:rPr>
        <w:t>格式</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_Toc87898658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39</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05E551E4">
      <w:pPr>
        <w:pStyle w:val="24"/>
        <w:keepNext w:val="0"/>
        <w:keepLines w:val="0"/>
        <w:pageBreakBefore w:val="0"/>
        <w:widowControl w:val="0"/>
        <w:shd w:val="clear" w:color="auto"/>
        <w:tabs>
          <w:tab w:val="right" w:leader="dot" w:pos="8868"/>
          <w:tab w:val="clear" w:pos="8296"/>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"_Toc87898659"</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第二节</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资格证明文件格式</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_Toc87898659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40</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6DA1E725">
      <w:pPr>
        <w:pStyle w:val="24"/>
        <w:keepNext w:val="0"/>
        <w:keepLines w:val="0"/>
        <w:pageBreakBefore w:val="0"/>
        <w:widowControl w:val="0"/>
        <w:shd w:val="clear" w:color="auto"/>
        <w:tabs>
          <w:tab w:val="right" w:leader="dot" w:pos="8868"/>
          <w:tab w:val="clear" w:pos="8296"/>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"_Toc87898660"</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第三节</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商务技术文件格式</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_Toc87898660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49</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5492302C">
      <w:pPr>
        <w:pStyle w:val="24"/>
        <w:keepNext w:val="0"/>
        <w:keepLines w:val="0"/>
        <w:pageBreakBefore w:val="0"/>
        <w:widowControl w:val="0"/>
        <w:shd w:val="clear" w:color="auto"/>
        <w:tabs>
          <w:tab w:val="right" w:leader="dot" w:pos="8868"/>
          <w:tab w:val="clear" w:pos="8296"/>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"_Toc87898661"</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第四节</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报价文件格式</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_Toc87898661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65</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4637CE4A">
      <w:pPr>
        <w:pStyle w:val="24"/>
        <w:keepNext w:val="0"/>
        <w:keepLines w:val="0"/>
        <w:pageBreakBefore w:val="0"/>
        <w:widowControl w:val="0"/>
        <w:shd w:val="clear" w:color="auto"/>
        <w:tabs>
          <w:tab w:val="right" w:leader="dot" w:pos="8868"/>
          <w:tab w:val="clear" w:pos="8296"/>
        </w:tabs>
        <w:kinsoku/>
        <w:wordWrap/>
        <w:overflowPunct/>
        <w:topLinePunct w:val="0"/>
        <w:autoSpaceDE/>
        <w:autoSpaceDN/>
        <w:bidi w:val="0"/>
        <w:adjustRightInd/>
        <w:snapToGrid/>
        <w:textAlignment w:val="auto"/>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"_Toc87898662"</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第五节</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其他文书、文件格式</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_Toc87898662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73</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64EFA50E">
      <w:pPr>
        <w:pStyle w:val="22"/>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"_Toc87898663"</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Times New Roman"/>
          <w:color w:val="auto"/>
          <w:highlight w:val="none"/>
          <w:u w:val="none"/>
        </w:rPr>
        <w:t>第六章</w:t>
      </w:r>
      <w:r>
        <w:rPr>
          <w:rFonts w:ascii="宋体" w:hAnsi="宋体" w:eastAsia="宋体" w:cs="Times New Roman"/>
          <w:color w:val="auto"/>
          <w:highlight w:val="none"/>
          <w:u w:val="none"/>
        </w:rPr>
        <w:t xml:space="preserve">  </w:t>
      </w:r>
      <w:r>
        <w:rPr>
          <w:rFonts w:hint="eastAsia" w:ascii="宋体" w:hAnsi="宋体" w:eastAsia="宋体" w:cs="Times New Roman"/>
          <w:color w:val="auto"/>
          <w:highlight w:val="none"/>
          <w:u w:val="none"/>
        </w:rPr>
        <w:t>合</w:t>
      </w:r>
      <w:bookmarkStart w:id="6" w:name="_Hlt103106357"/>
      <w:bookmarkStart w:id="7" w:name="_Hlt103106358"/>
      <w:r>
        <w:rPr>
          <w:rFonts w:hint="eastAsia" w:ascii="宋体" w:hAnsi="宋体" w:eastAsia="宋体" w:cs="Times New Roman"/>
          <w:color w:val="auto"/>
          <w:highlight w:val="none"/>
          <w:u w:val="none"/>
        </w:rPr>
        <w:t>同</w:t>
      </w:r>
      <w:bookmarkEnd w:id="6"/>
      <w:bookmarkEnd w:id="7"/>
      <w:r>
        <w:rPr>
          <w:rFonts w:hint="eastAsia" w:ascii="宋体" w:hAnsi="宋体" w:eastAsia="宋体" w:cs="Times New Roman"/>
          <w:color w:val="auto"/>
          <w:highlight w:val="none"/>
          <w:u w:val="none"/>
        </w:rPr>
        <w:t>文本</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_Toc87898663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74</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540B11B0">
      <w:pPr>
        <w:pStyle w:val="22"/>
        <w:shd w:val="clear" w:color="auto"/>
        <w:tabs>
          <w:tab w:val="right" w:leader="dot" w:pos="8869"/>
        </w:tabs>
        <w:rPr>
          <w:rFonts w:ascii="Calibri" w:hAnsi="Calibri" w:eastAsia="宋体" w:cs="Times New Roman"/>
          <w:color w:val="auto"/>
          <w:szCs w:val="22"/>
          <w:highlight w:val="none"/>
        </w:rPr>
      </w:pP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instrText xml:space="preserve">HYPERLINK \l "_Toc87898664"</w:instrText>
      </w:r>
      <w:r>
        <w:rPr>
          <w:rFonts w:ascii="Times New Roman" w:hAnsi="Times New Roman" w:eastAsia="宋体" w:cs="Times New Roman"/>
          <w:color w:val="auto"/>
          <w:highlight w:val="none"/>
          <w:u w:val="none"/>
        </w:rPr>
        <w:instrText xml:space="preserve"> </w:instrText>
      </w:r>
      <w:r>
        <w:rPr>
          <w:rFonts w:ascii="Times New Roman" w:hAnsi="Times New Roman" w:eastAsia="宋体" w:cs="Times New Roman"/>
          <w:color w:val="auto"/>
          <w:highlight w:val="none"/>
        </w:rPr>
        <w:fldChar w:fldCharType="separate"/>
      </w:r>
      <w:r>
        <w:rPr>
          <w:rFonts w:hint="eastAsia" w:ascii="宋体" w:hAnsi="宋体" w:eastAsia="宋体" w:cs="仿宋_GB2312"/>
          <w:color w:val="auto"/>
          <w:highlight w:val="none"/>
          <w:u w:val="none"/>
        </w:rPr>
        <w:t>第七章</w:t>
      </w:r>
      <w:r>
        <w:rPr>
          <w:rFonts w:ascii="宋体" w:hAnsi="宋体" w:eastAsia="宋体" w:cs="仿宋_GB2312"/>
          <w:color w:val="auto"/>
          <w:highlight w:val="none"/>
          <w:u w:val="none"/>
        </w:rPr>
        <w:t xml:space="preserve"> </w:t>
      </w:r>
      <w:r>
        <w:rPr>
          <w:rFonts w:hint="eastAsia" w:ascii="宋体" w:hAnsi="宋体" w:eastAsia="宋体" w:cs="仿宋_GB2312"/>
          <w:color w:val="auto"/>
          <w:highlight w:val="none"/>
          <w:u w:val="none"/>
        </w:rPr>
        <w:t>质疑、投诉材料格式</w:t>
      </w:r>
      <w:r>
        <w:rPr>
          <w:rFonts w:ascii="Times New Roman" w:hAnsi="Times New Roman" w:eastAsia="宋体" w:cs="Times New Roman"/>
          <w:color w:val="auto"/>
          <w:highlight w:val="none"/>
        </w:rPr>
        <w:tab/>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PAGEREF _Toc87898664 \h </w:instrText>
      </w:r>
      <w:r>
        <w:rPr>
          <w:rFonts w:ascii="Times New Roman" w:hAnsi="Times New Roman" w:eastAsia="宋体" w:cs="Times New Roman"/>
          <w:color w:val="auto"/>
          <w:highlight w:val="none"/>
        </w:rPr>
        <w:fldChar w:fldCharType="separate"/>
      </w:r>
      <w:r>
        <w:rPr>
          <w:rFonts w:ascii="Times New Roman" w:hAnsi="Times New Roman" w:eastAsia="宋体" w:cs="Times New Roman"/>
          <w:color w:val="auto"/>
          <w:highlight w:val="none"/>
        </w:rPr>
        <w:t>116</w:t>
      </w:r>
      <w:r>
        <w:rPr>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fldChar w:fldCharType="end"/>
      </w:r>
    </w:p>
    <w:p w14:paraId="34266B3A">
      <w:pPr>
        <w:pStyle w:val="24"/>
        <w:shd w:val="clear" w:color="auto"/>
        <w:rPr>
          <w:rFonts w:hint="eastAsia" w:ascii="Times New Roman" w:hAnsi="Times New Roman" w:eastAsia="宋体" w:cs="Times New Roman"/>
          <w:color w:val="auto"/>
          <w:sz w:val="28"/>
          <w:szCs w:val="28"/>
          <w:highlight w:val="none"/>
        </w:rPr>
      </w:pPr>
      <w:r>
        <w:rPr>
          <w:rFonts w:ascii="宋体" w:hAnsi="宋体" w:eastAsia="宋体" w:cs="Times New Roman"/>
          <w:b/>
          <w:color w:val="auto"/>
          <w:sz w:val="30"/>
          <w:szCs w:val="30"/>
          <w:highlight w:val="none"/>
        </w:rPr>
        <w:fldChar w:fldCharType="end"/>
      </w:r>
    </w:p>
    <w:p w14:paraId="00047BA1">
      <w:pPr>
        <w:shd w:val="clear" w:color="auto"/>
        <w:tabs>
          <w:tab w:val="left" w:pos="7470"/>
        </w:tabs>
        <w:spacing w:line="400" w:lineRule="exact"/>
        <w:jc w:val="left"/>
        <w:rPr>
          <w:rFonts w:hint="eastAsia" w:ascii="宋体" w:hAnsi="宋体" w:eastAsia="宋体" w:cs="Times New Roman"/>
          <w:b/>
          <w:color w:val="auto"/>
          <w:sz w:val="32"/>
          <w:szCs w:val="32"/>
          <w:highlight w:val="none"/>
        </w:rPr>
      </w:pPr>
      <w:r>
        <w:rPr>
          <w:rFonts w:ascii="宋体" w:hAnsi="宋体" w:eastAsia="宋体" w:cs="Times New Roman"/>
          <w:b/>
          <w:color w:val="auto"/>
          <w:sz w:val="32"/>
          <w:szCs w:val="32"/>
          <w:highlight w:val="none"/>
        </w:rPr>
        <w:tab/>
      </w:r>
    </w:p>
    <w:p w14:paraId="0A08B3BD">
      <w:pPr>
        <w:shd w:val="clear" w:color="auto"/>
        <w:spacing w:line="400" w:lineRule="exact"/>
        <w:jc w:val="center"/>
        <w:rPr>
          <w:rFonts w:hint="eastAsia" w:ascii="宋体" w:hAnsi="宋体" w:eastAsia="宋体" w:cs="Times New Roman"/>
          <w:b/>
          <w:color w:val="auto"/>
          <w:sz w:val="32"/>
          <w:szCs w:val="32"/>
          <w:highlight w:val="none"/>
        </w:rPr>
      </w:pPr>
    </w:p>
    <w:p w14:paraId="7A3A271D">
      <w:pPr>
        <w:shd w:val="clear" w:color="auto"/>
        <w:spacing w:line="400" w:lineRule="exact"/>
        <w:jc w:val="center"/>
        <w:rPr>
          <w:rFonts w:hint="eastAsia" w:ascii="宋体" w:hAnsi="宋体" w:eastAsia="宋体" w:cs="Times New Roman"/>
          <w:b/>
          <w:color w:val="auto"/>
          <w:sz w:val="32"/>
          <w:szCs w:val="32"/>
          <w:highlight w:val="none"/>
        </w:rPr>
      </w:pPr>
    </w:p>
    <w:p w14:paraId="55600698">
      <w:pPr>
        <w:shd w:val="clear" w:color="auto"/>
        <w:spacing w:line="400" w:lineRule="exact"/>
        <w:jc w:val="center"/>
        <w:rPr>
          <w:rFonts w:hint="eastAsia" w:ascii="宋体" w:hAnsi="宋体" w:eastAsia="宋体" w:cs="Times New Roman"/>
          <w:b/>
          <w:color w:val="auto"/>
          <w:sz w:val="32"/>
          <w:szCs w:val="32"/>
          <w:highlight w:val="none"/>
        </w:rPr>
      </w:pPr>
    </w:p>
    <w:p w14:paraId="724D66E2">
      <w:pPr>
        <w:shd w:val="clear" w:color="auto"/>
        <w:spacing w:line="400" w:lineRule="exact"/>
        <w:jc w:val="center"/>
        <w:rPr>
          <w:rFonts w:hint="eastAsia" w:ascii="宋体" w:hAnsi="宋体" w:eastAsia="宋体" w:cs="Times New Roman"/>
          <w:b/>
          <w:color w:val="auto"/>
          <w:sz w:val="32"/>
          <w:szCs w:val="32"/>
          <w:highlight w:val="none"/>
        </w:rPr>
      </w:pPr>
    </w:p>
    <w:p w14:paraId="2023F4F2">
      <w:pPr>
        <w:shd w:val="clear" w:color="auto"/>
        <w:spacing w:line="400" w:lineRule="exact"/>
        <w:rPr>
          <w:rFonts w:hint="eastAsia" w:ascii="宋体" w:hAnsi="宋体"/>
          <w:b/>
          <w:color w:val="auto"/>
          <w:sz w:val="32"/>
          <w:szCs w:val="32"/>
          <w:highlight w:val="none"/>
        </w:rPr>
        <w:sectPr>
          <w:headerReference r:id="rId7" w:type="first"/>
          <w:footerReference r:id="rId9" w:type="first"/>
          <w:headerReference r:id="rId6" w:type="default"/>
          <w:footerReference r:id="rId8" w:type="default"/>
          <w:pgSz w:w="11905" w:h="16838"/>
          <w:pgMar w:top="1134" w:right="1134" w:bottom="1134" w:left="1134" w:header="850" w:footer="1191" w:gutter="0"/>
          <w:pgBorders w:offsetFrom="page">
            <w:top w:val="none" w:sz="0" w:space="0"/>
            <w:left w:val="none" w:sz="0" w:space="0"/>
            <w:bottom w:val="none" w:sz="0" w:space="0"/>
            <w:right w:val="none" w:sz="0" w:space="0"/>
          </w:pgBorders>
          <w:pgNumType w:start="0"/>
          <w:cols w:space="720" w:num="1"/>
          <w:titlePg/>
          <w:rtlGutter w:val="0"/>
          <w:docGrid w:type="linesAndChars" w:linePitch="317" w:charSpace="0"/>
        </w:sectPr>
      </w:pPr>
    </w:p>
    <w:p w14:paraId="7319877A">
      <w:pPr>
        <w:keepNext/>
        <w:keepLines/>
        <w:widowControl w:val="0"/>
        <w:shd w:val="clear" w:color="auto"/>
        <w:spacing w:before="180" w:after="180" w:line="400" w:lineRule="exact"/>
        <w:jc w:val="center"/>
        <w:outlineLvl w:val="0"/>
        <w:rPr>
          <w:rFonts w:ascii="Times New Roman" w:hAnsi="Times New Roman" w:eastAsia="宋体" w:cs="Times New Roman"/>
          <w:b/>
          <w:bCs/>
          <w:color w:val="auto"/>
          <w:kern w:val="44"/>
          <w:sz w:val="32"/>
          <w:szCs w:val="44"/>
          <w:highlight w:val="none"/>
          <w:lang w:val="en-US" w:eastAsia="zh-CN" w:bidi="ar-SA"/>
        </w:rPr>
      </w:pPr>
      <w:bookmarkStart w:id="8" w:name="_Toc87898641"/>
      <w:r>
        <w:rPr>
          <w:rFonts w:hint="eastAsia" w:ascii="Times New Roman" w:hAnsi="Times New Roman" w:eastAsia="宋体" w:cs="Times New Roman"/>
          <w:b/>
          <w:bCs/>
          <w:color w:val="auto"/>
          <w:kern w:val="44"/>
          <w:sz w:val="32"/>
          <w:szCs w:val="44"/>
          <w:highlight w:val="none"/>
          <w:lang w:val="en-US" w:eastAsia="zh-CN" w:bidi="ar-SA"/>
        </w:rPr>
        <w:t>第一章 竞争性磋商公告</w:t>
      </w:r>
      <w:bookmarkEnd w:id="8"/>
      <w:bookmarkStart w:id="9" w:name="_Toc35393629"/>
      <w:bookmarkStart w:id="10" w:name="_Toc44229878"/>
      <w:bookmarkStart w:id="11" w:name="_Toc28359012"/>
      <w:bookmarkStart w:id="12" w:name="_Toc28359089"/>
      <w:bookmarkStart w:id="13" w:name="_Toc35393798"/>
      <w:bookmarkStart w:id="14" w:name="_Toc35393623"/>
      <w:bookmarkStart w:id="15" w:name="_Toc28359004"/>
      <w:bookmarkStart w:id="16" w:name="_Toc28359081"/>
      <w:bookmarkStart w:id="17" w:name="_Toc35393792"/>
    </w:p>
    <w:p w14:paraId="0E1D1020">
      <w:pPr>
        <w:pBdr>
          <w:top w:val="single" w:color="auto" w:sz="4" w:space="1"/>
          <w:left w:val="single" w:color="auto" w:sz="4" w:space="4"/>
          <w:bottom w:val="single" w:color="auto" w:sz="4" w:space="1"/>
          <w:right w:val="single" w:color="auto" w:sz="4" w:space="4"/>
        </w:pBdr>
        <w:shd w:val="clear" w:color="auto"/>
        <w:spacing w:line="38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项目概况</w:t>
      </w:r>
    </w:p>
    <w:p w14:paraId="2F362DE3">
      <w:pPr>
        <w:pBdr>
          <w:top w:val="single" w:color="auto" w:sz="4" w:space="1"/>
          <w:left w:val="single" w:color="auto" w:sz="4" w:space="4"/>
          <w:bottom w:val="single" w:color="auto" w:sz="4" w:space="1"/>
          <w:right w:val="single" w:color="auto" w:sz="4" w:space="4"/>
        </w:pBdr>
        <w:shd w:val="clear" w:color="auto"/>
        <w:spacing w:line="380" w:lineRule="exact"/>
        <w:ind w:firstLine="420" w:firstLineChars="200"/>
        <w:rPr>
          <w:rFonts w:ascii="宋体" w:hAnsi="宋体" w:eastAsia="宋体" w:cs="Times New Roman"/>
          <w:color w:val="auto"/>
          <w:szCs w:val="21"/>
          <w:highlight w:val="none"/>
        </w:rPr>
      </w:pPr>
      <w:r>
        <w:rPr>
          <w:rFonts w:hint="eastAsia" w:ascii="宋体" w:hAnsi="宋体" w:cs="Times New Roman"/>
          <w:color w:val="auto"/>
          <w:szCs w:val="21"/>
          <w:highlight w:val="none"/>
          <w:u w:val="single"/>
          <w:lang w:eastAsia="zh-CN"/>
        </w:rPr>
        <w:t>南宁市西乡塘区银岭灌区维修养护工程</w:t>
      </w:r>
      <w:r>
        <w:rPr>
          <w:rFonts w:hint="eastAsia" w:ascii="宋体" w:hAnsi="宋体" w:eastAsia="宋体" w:cs="Times New Roman"/>
          <w:color w:val="auto"/>
          <w:szCs w:val="21"/>
          <w:highlight w:val="none"/>
        </w:rPr>
        <w:t>采购项目的潜在供应商应在</w:t>
      </w:r>
      <w:r>
        <w:rPr>
          <w:rFonts w:hint="eastAsia" w:ascii="宋体" w:hAnsi="宋体" w:eastAsia="宋体" w:cs="Times New Roman"/>
          <w:color w:val="auto"/>
          <w:szCs w:val="21"/>
          <w:highlight w:val="none"/>
          <w:u w:val="single"/>
          <w:lang w:eastAsia="zh-CN"/>
        </w:rPr>
        <w:t>广西政府采购云平台（https://www.gcy.zfcg.gxzf.gov.cn）</w:t>
      </w:r>
      <w:r>
        <w:rPr>
          <w:rFonts w:hint="eastAsia" w:ascii="宋体" w:hAnsi="宋体" w:eastAsia="宋体" w:cs="Times New Roman"/>
          <w:color w:val="auto"/>
          <w:szCs w:val="21"/>
          <w:highlight w:val="none"/>
        </w:rPr>
        <w:t>获取采购文件，并于</w:t>
      </w:r>
      <w:r>
        <w:rPr>
          <w:rFonts w:hint="eastAsia" w:ascii="宋体" w:hAnsi="宋体" w:eastAsia="宋体" w:cs="Times New Roman"/>
          <w:color w:val="auto"/>
          <w:szCs w:val="21"/>
          <w:highlight w:val="none"/>
          <w:u w:val="single"/>
          <w:lang w:eastAsia="zh-CN"/>
        </w:rPr>
        <w:t>2026年</w:t>
      </w:r>
      <w:r>
        <w:rPr>
          <w:rFonts w:hint="eastAsia" w:ascii="宋体" w:hAnsi="宋体" w:cs="Times New Roman"/>
          <w:color w:val="auto"/>
          <w:szCs w:val="21"/>
          <w:highlight w:val="none"/>
          <w:u w:val="single"/>
          <w:lang w:val="en-US" w:eastAsia="zh-CN"/>
        </w:rPr>
        <w:t>8</w:t>
      </w:r>
      <w:r>
        <w:rPr>
          <w:rFonts w:hint="eastAsia" w:ascii="宋体" w:hAnsi="宋体" w:eastAsia="宋体" w:cs="Times New Roman"/>
          <w:color w:val="auto"/>
          <w:szCs w:val="21"/>
          <w:highlight w:val="none"/>
          <w:u w:val="single"/>
          <w:lang w:eastAsia="zh-CN"/>
        </w:rPr>
        <w:t>月</w:t>
      </w:r>
      <w:r>
        <w:rPr>
          <w:rFonts w:hint="eastAsia" w:ascii="宋体" w:hAnsi="宋体" w:cs="Times New Roman"/>
          <w:color w:val="auto"/>
          <w:szCs w:val="21"/>
          <w:highlight w:val="none"/>
          <w:u w:val="single"/>
          <w:lang w:val="en-US" w:eastAsia="zh-CN"/>
        </w:rPr>
        <w:t>6</w:t>
      </w:r>
      <w:r>
        <w:rPr>
          <w:rFonts w:hint="eastAsia" w:ascii="宋体" w:hAnsi="宋体" w:eastAsia="宋体" w:cs="Times New Roman"/>
          <w:color w:val="auto"/>
          <w:szCs w:val="21"/>
          <w:highlight w:val="none"/>
          <w:u w:val="single"/>
          <w:lang w:eastAsia="zh-CN"/>
        </w:rPr>
        <w:t>日</w:t>
      </w:r>
      <w:r>
        <w:rPr>
          <w:rFonts w:hint="eastAsia" w:ascii="宋体" w:hAnsi="宋体" w:eastAsia="宋体" w:cs="Times New Roman"/>
          <w:bCs/>
          <w:color w:val="auto"/>
          <w:szCs w:val="21"/>
          <w:highlight w:val="none"/>
          <w:u w:val="single"/>
          <w:lang w:val="en-US" w:eastAsia="zh-CN"/>
        </w:rPr>
        <w:t>9时30分</w:t>
      </w:r>
      <w:r>
        <w:rPr>
          <w:rFonts w:hint="eastAsia" w:ascii="宋体" w:hAnsi="宋体" w:eastAsia="宋体" w:cs="Times New Roman"/>
          <w:bCs/>
          <w:color w:val="auto"/>
          <w:szCs w:val="21"/>
          <w:highlight w:val="none"/>
        </w:rPr>
        <w:t>（北京时间）前提交响应</w:t>
      </w:r>
      <w:r>
        <w:rPr>
          <w:rFonts w:ascii="宋体" w:hAnsi="宋体" w:eastAsia="宋体" w:cs="Times New Roman"/>
          <w:bCs/>
          <w:color w:val="auto"/>
          <w:szCs w:val="21"/>
          <w:highlight w:val="none"/>
        </w:rPr>
        <w:t>文件</w:t>
      </w:r>
      <w:r>
        <w:rPr>
          <w:rFonts w:hint="eastAsia" w:ascii="宋体" w:hAnsi="宋体" w:eastAsia="宋体" w:cs="Times New Roman"/>
          <w:color w:val="auto"/>
          <w:szCs w:val="21"/>
          <w:highlight w:val="none"/>
        </w:rPr>
        <w:t>。</w:t>
      </w:r>
    </w:p>
    <w:p w14:paraId="3936FD8C">
      <w:pPr>
        <w:keepNext w:val="0"/>
        <w:keepLines w:val="0"/>
        <w:pageBreakBefore w:val="0"/>
        <w:widowControl w:val="0"/>
        <w:shd w:val="clear" w:color="auto"/>
        <w:kinsoku/>
        <w:wordWrap/>
        <w:overflowPunct/>
        <w:topLinePunct w:val="0"/>
        <w:autoSpaceDE/>
        <w:autoSpaceDN/>
        <w:bidi w:val="0"/>
        <w:adjustRightInd/>
        <w:snapToGrid/>
        <w:spacing w:before="0" w:beforeLines="50" w:after="0" w:afterLines="50" w:line="240" w:lineRule="auto"/>
        <w:textAlignment w:val="auto"/>
        <w:rPr>
          <w:rFonts w:ascii="Times New Roman" w:hAnsi="Times New Roman" w:eastAsia="宋体" w:cs="Times New Roman"/>
          <w:color w:val="auto"/>
          <w:sz w:val="24"/>
          <w:szCs w:val="24"/>
          <w:highlight w:val="none"/>
        </w:rPr>
      </w:pPr>
      <w:r>
        <w:rPr>
          <w:rFonts w:hint="eastAsia" w:ascii="黑体" w:hAnsi="黑体" w:eastAsia="黑体" w:cs="宋体"/>
          <w:bCs/>
          <w:color w:val="auto"/>
          <w:sz w:val="24"/>
          <w:szCs w:val="24"/>
          <w:highlight w:val="none"/>
        </w:rPr>
        <w:t>一、项目基本情况</w:t>
      </w:r>
      <w:bookmarkEnd w:id="9"/>
      <w:bookmarkEnd w:id="10"/>
      <w:bookmarkEnd w:id="11"/>
      <w:bookmarkEnd w:id="12"/>
      <w:bookmarkEnd w:id="13"/>
    </w:p>
    <w:p w14:paraId="38F913F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项目编号：</w:t>
      </w:r>
      <w:r>
        <w:rPr>
          <w:rFonts w:hint="eastAsia" w:ascii="宋体" w:hAnsi="宋体" w:cs="Times New Roman"/>
          <w:color w:val="auto"/>
          <w:szCs w:val="21"/>
          <w:highlight w:val="none"/>
          <w:lang w:eastAsia="zh-CN"/>
        </w:rPr>
        <w:t>NNZC2026-C2-990604-GLZB</w:t>
      </w:r>
    </w:p>
    <w:p w14:paraId="2DEBC922">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2</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项目名称：</w:t>
      </w:r>
      <w:r>
        <w:rPr>
          <w:rFonts w:hint="eastAsia" w:ascii="宋体" w:hAnsi="宋体" w:cs="Times New Roman"/>
          <w:color w:val="auto"/>
          <w:szCs w:val="21"/>
          <w:highlight w:val="none"/>
          <w:lang w:eastAsia="zh-CN"/>
        </w:rPr>
        <w:t>南宁市西乡塘区银岭灌区维修养护工程</w:t>
      </w:r>
    </w:p>
    <w:p w14:paraId="52D1B38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采购方式：竞争性磋商</w:t>
      </w:r>
    </w:p>
    <w:p w14:paraId="5338E4D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预算金额：</w:t>
      </w:r>
      <w:r>
        <w:rPr>
          <w:rFonts w:hint="eastAsia" w:ascii="宋体" w:hAnsi="宋体" w:cs="Times New Roman"/>
          <w:color w:val="auto"/>
          <w:szCs w:val="21"/>
          <w:highlight w:val="none"/>
          <w:lang w:val="en-US" w:eastAsia="zh-CN"/>
        </w:rPr>
        <w:t>700000.00</w:t>
      </w:r>
      <w:r>
        <w:rPr>
          <w:rFonts w:hint="eastAsia" w:ascii="宋体" w:hAnsi="宋体" w:eastAsia="宋体" w:cs="Times New Roman"/>
          <w:color w:val="auto"/>
          <w:szCs w:val="21"/>
          <w:highlight w:val="none"/>
        </w:rPr>
        <w:t>元</w:t>
      </w:r>
    </w:p>
    <w:p w14:paraId="6732802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最高限价：</w:t>
      </w:r>
      <w:r>
        <w:rPr>
          <w:rFonts w:hint="eastAsia" w:ascii="宋体" w:hAnsi="宋体" w:cs="Times New Roman"/>
          <w:color w:val="auto"/>
          <w:szCs w:val="21"/>
          <w:highlight w:val="none"/>
          <w:lang w:val="en-US" w:eastAsia="zh-CN"/>
        </w:rPr>
        <w:t>666476.16</w:t>
      </w:r>
      <w:r>
        <w:rPr>
          <w:rFonts w:hint="eastAsia" w:ascii="宋体" w:hAnsi="宋体" w:eastAsia="宋体" w:cs="Times New Roman"/>
          <w:color w:val="auto"/>
          <w:szCs w:val="21"/>
          <w:highlight w:val="none"/>
        </w:rPr>
        <w:t>元</w:t>
      </w:r>
    </w:p>
    <w:p w14:paraId="61F08BB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rPr>
        <w:t>采购需求：</w:t>
      </w:r>
    </w:p>
    <w:tbl>
      <w:tblPr>
        <w:tblStyle w:val="27"/>
        <w:tblW w:w="82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7"/>
        <w:gridCol w:w="2031"/>
        <w:gridCol w:w="737"/>
        <w:gridCol w:w="728"/>
        <w:gridCol w:w="4011"/>
      </w:tblGrid>
      <w:tr w14:paraId="638B42E0">
        <w:trPr>
          <w:trHeight w:val="598" w:hRule="atLeast"/>
          <w:jc w:val="center"/>
        </w:trPr>
        <w:tc>
          <w:tcPr>
            <w:tcW w:w="757" w:type="dxa"/>
            <w:tcBorders>
              <w:top w:val="single" w:color="auto" w:sz="4" w:space="0"/>
              <w:left w:val="single" w:color="auto" w:sz="4" w:space="0"/>
              <w:bottom w:val="single" w:color="auto" w:sz="4" w:space="0"/>
              <w:right w:val="single" w:color="auto" w:sz="4" w:space="0"/>
            </w:tcBorders>
            <w:noWrap w:val="0"/>
            <w:vAlign w:val="center"/>
          </w:tcPr>
          <w:p w14:paraId="2291EE72">
            <w:pPr>
              <w:keepNext w:val="0"/>
              <w:keepLines w:val="0"/>
              <w:pageBreakBefore w:val="0"/>
              <w:widowControl w:val="0"/>
              <w:shd w:val="clear" w:color="auto"/>
              <w:kinsoku/>
              <w:wordWrap/>
              <w:overflowPunct/>
              <w:topLinePunct w:val="0"/>
              <w:autoSpaceDE/>
              <w:autoSpaceDN/>
              <w:bidi w:val="0"/>
              <w:adjustRightInd/>
              <w:snapToGrid w:val="0"/>
              <w:spacing w:before="0" w:beforeLines="50" w:after="0" w:afterLines="50" w:line="240" w:lineRule="auto"/>
              <w:jc w:val="center"/>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序号</w:t>
            </w:r>
          </w:p>
        </w:tc>
        <w:tc>
          <w:tcPr>
            <w:tcW w:w="2031" w:type="dxa"/>
            <w:tcBorders>
              <w:top w:val="single" w:color="auto" w:sz="4" w:space="0"/>
              <w:left w:val="single" w:color="auto" w:sz="4" w:space="0"/>
              <w:bottom w:val="single" w:color="auto" w:sz="4" w:space="0"/>
              <w:right w:val="single" w:color="auto" w:sz="4" w:space="0"/>
            </w:tcBorders>
            <w:noWrap w:val="0"/>
            <w:vAlign w:val="center"/>
          </w:tcPr>
          <w:p w14:paraId="6D820BF0">
            <w:pPr>
              <w:keepNext w:val="0"/>
              <w:keepLines w:val="0"/>
              <w:pageBreakBefore w:val="0"/>
              <w:widowControl w:val="0"/>
              <w:shd w:val="clear" w:color="auto"/>
              <w:kinsoku/>
              <w:wordWrap/>
              <w:overflowPunct/>
              <w:topLinePunct w:val="0"/>
              <w:autoSpaceDE/>
              <w:autoSpaceDN/>
              <w:bidi w:val="0"/>
              <w:adjustRightInd/>
              <w:snapToGrid w:val="0"/>
              <w:spacing w:before="0" w:beforeLines="50" w:after="0" w:afterLines="50" w:line="240" w:lineRule="auto"/>
              <w:jc w:val="center"/>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标的的名称</w:t>
            </w:r>
          </w:p>
        </w:tc>
        <w:tc>
          <w:tcPr>
            <w:tcW w:w="737" w:type="dxa"/>
            <w:tcBorders>
              <w:top w:val="single" w:color="auto" w:sz="4" w:space="0"/>
              <w:left w:val="single" w:color="auto" w:sz="4" w:space="0"/>
              <w:bottom w:val="single" w:color="auto" w:sz="4" w:space="0"/>
              <w:right w:val="single" w:color="auto" w:sz="4" w:space="0"/>
            </w:tcBorders>
            <w:noWrap w:val="0"/>
            <w:vAlign w:val="center"/>
          </w:tcPr>
          <w:p w14:paraId="5F9B407A">
            <w:pPr>
              <w:keepNext w:val="0"/>
              <w:keepLines w:val="0"/>
              <w:pageBreakBefore w:val="0"/>
              <w:widowControl w:val="0"/>
              <w:shd w:val="clear" w:color="auto"/>
              <w:kinsoku/>
              <w:wordWrap/>
              <w:overflowPunct/>
              <w:topLinePunct w:val="0"/>
              <w:autoSpaceDE/>
              <w:autoSpaceDN/>
              <w:bidi w:val="0"/>
              <w:adjustRightInd/>
              <w:snapToGrid w:val="0"/>
              <w:spacing w:before="0" w:beforeLines="50" w:after="0" w:afterLines="50" w:line="24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单位</w:t>
            </w:r>
          </w:p>
        </w:tc>
        <w:tc>
          <w:tcPr>
            <w:tcW w:w="728" w:type="dxa"/>
            <w:tcBorders>
              <w:top w:val="single" w:color="auto" w:sz="4" w:space="0"/>
              <w:left w:val="single" w:color="auto" w:sz="4" w:space="0"/>
              <w:bottom w:val="single" w:color="auto" w:sz="4" w:space="0"/>
              <w:right w:val="single" w:color="auto" w:sz="4" w:space="0"/>
            </w:tcBorders>
            <w:noWrap w:val="0"/>
            <w:vAlign w:val="center"/>
          </w:tcPr>
          <w:p w14:paraId="5571E318">
            <w:pPr>
              <w:keepNext w:val="0"/>
              <w:keepLines w:val="0"/>
              <w:pageBreakBefore w:val="0"/>
              <w:widowControl w:val="0"/>
              <w:shd w:val="clear" w:color="auto"/>
              <w:kinsoku/>
              <w:wordWrap/>
              <w:overflowPunct/>
              <w:topLinePunct w:val="0"/>
              <w:autoSpaceDE/>
              <w:autoSpaceDN/>
              <w:bidi w:val="0"/>
              <w:adjustRightInd/>
              <w:snapToGrid w:val="0"/>
              <w:spacing w:before="0" w:beforeLines="50" w:after="0" w:afterLines="50" w:line="240" w:lineRule="auto"/>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数量</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08AD8867">
            <w:pPr>
              <w:keepNext w:val="0"/>
              <w:keepLines w:val="0"/>
              <w:pageBreakBefore w:val="0"/>
              <w:widowControl w:val="0"/>
              <w:shd w:val="clear" w:color="auto"/>
              <w:kinsoku/>
              <w:wordWrap/>
              <w:overflowPunct/>
              <w:topLinePunct w:val="0"/>
              <w:autoSpaceDE/>
              <w:autoSpaceDN/>
              <w:bidi w:val="0"/>
              <w:adjustRightInd/>
              <w:snapToGrid w:val="0"/>
              <w:spacing w:before="0" w:beforeLines="50" w:after="0" w:afterLines="50" w:line="240" w:lineRule="auto"/>
              <w:jc w:val="center"/>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采购范围</w:t>
            </w:r>
          </w:p>
        </w:tc>
      </w:tr>
      <w:tr w14:paraId="7C9C9595">
        <w:trPr>
          <w:jc w:val="center"/>
        </w:trPr>
        <w:tc>
          <w:tcPr>
            <w:tcW w:w="757" w:type="dxa"/>
            <w:tcBorders>
              <w:top w:val="single" w:color="auto" w:sz="4" w:space="0"/>
              <w:left w:val="single" w:color="auto" w:sz="4" w:space="0"/>
              <w:bottom w:val="single" w:color="auto" w:sz="4" w:space="0"/>
              <w:right w:val="single" w:color="auto" w:sz="4" w:space="0"/>
            </w:tcBorders>
            <w:noWrap w:val="0"/>
            <w:vAlign w:val="center"/>
          </w:tcPr>
          <w:p w14:paraId="2A20090A">
            <w:pPr>
              <w:keepNext w:val="0"/>
              <w:keepLines w:val="0"/>
              <w:pageBreakBefore w:val="0"/>
              <w:widowControl w:val="0"/>
              <w:shd w:val="clear" w:color="auto"/>
              <w:kinsoku/>
              <w:wordWrap/>
              <w:overflowPunct/>
              <w:topLinePunct w:val="0"/>
              <w:autoSpaceDE/>
              <w:autoSpaceDN/>
              <w:bidi w:val="0"/>
              <w:adjustRightInd/>
              <w:snapToGrid w:val="0"/>
              <w:spacing w:before="0" w:beforeLines="50" w:after="0" w:afterLines="50" w:line="240" w:lineRule="auto"/>
              <w:jc w:val="center"/>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2031" w:type="dxa"/>
            <w:tcBorders>
              <w:top w:val="single" w:color="auto" w:sz="4" w:space="0"/>
              <w:left w:val="single" w:color="auto" w:sz="4" w:space="0"/>
              <w:bottom w:val="single" w:color="auto" w:sz="4" w:space="0"/>
              <w:right w:val="single" w:color="auto" w:sz="4" w:space="0"/>
            </w:tcBorders>
            <w:noWrap w:val="0"/>
            <w:vAlign w:val="center"/>
          </w:tcPr>
          <w:p w14:paraId="2E803A56">
            <w:pPr>
              <w:keepNext w:val="0"/>
              <w:keepLines w:val="0"/>
              <w:pageBreakBefore w:val="0"/>
              <w:widowControl w:val="0"/>
              <w:shd w:val="clear" w:color="auto"/>
              <w:kinsoku/>
              <w:wordWrap/>
              <w:overflowPunct/>
              <w:topLinePunct w:val="0"/>
              <w:autoSpaceDE/>
              <w:autoSpaceDN/>
              <w:bidi w:val="0"/>
              <w:adjustRightInd/>
              <w:snapToGrid w:val="0"/>
              <w:spacing w:before="0" w:beforeLines="50" w:after="0" w:afterLines="50" w:line="240" w:lineRule="auto"/>
              <w:jc w:val="center"/>
              <w:textAlignment w:val="auto"/>
              <w:rPr>
                <w:rFonts w:hint="eastAsia" w:ascii="宋体" w:hAnsi="宋体" w:eastAsia="宋体" w:cs="Times New Roman"/>
                <w:color w:val="auto"/>
                <w:szCs w:val="21"/>
                <w:highlight w:val="none"/>
                <w:lang w:eastAsia="zh-CN"/>
              </w:rPr>
            </w:pPr>
            <w:r>
              <w:rPr>
                <w:rFonts w:hint="eastAsia" w:ascii="宋体" w:hAnsi="宋体" w:cs="Times New Roman"/>
                <w:color w:val="auto"/>
                <w:szCs w:val="21"/>
                <w:highlight w:val="none"/>
                <w:lang w:eastAsia="zh-CN"/>
              </w:rPr>
              <w:t>南宁市西乡塘区银岭灌区维修养护工程</w:t>
            </w:r>
          </w:p>
        </w:tc>
        <w:tc>
          <w:tcPr>
            <w:tcW w:w="737" w:type="dxa"/>
            <w:tcBorders>
              <w:top w:val="single" w:color="auto" w:sz="4" w:space="0"/>
              <w:left w:val="single" w:color="auto" w:sz="4" w:space="0"/>
              <w:bottom w:val="single" w:color="auto" w:sz="4" w:space="0"/>
              <w:right w:val="single" w:color="auto" w:sz="4" w:space="0"/>
            </w:tcBorders>
            <w:noWrap w:val="0"/>
            <w:vAlign w:val="center"/>
          </w:tcPr>
          <w:p w14:paraId="35E72ADA">
            <w:pPr>
              <w:keepNext w:val="0"/>
              <w:keepLines w:val="0"/>
              <w:pageBreakBefore w:val="0"/>
              <w:widowControl w:val="0"/>
              <w:shd w:val="clear" w:color="auto"/>
              <w:kinsoku/>
              <w:wordWrap/>
              <w:overflowPunct/>
              <w:topLinePunct w:val="0"/>
              <w:autoSpaceDE/>
              <w:autoSpaceDN/>
              <w:bidi w:val="0"/>
              <w:adjustRightInd/>
              <w:snapToGrid w:val="0"/>
              <w:spacing w:before="0" w:beforeLines="50" w:after="0" w:afterLines="50" w:line="240" w:lineRule="auto"/>
              <w:jc w:val="center"/>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项</w:t>
            </w:r>
          </w:p>
        </w:tc>
        <w:tc>
          <w:tcPr>
            <w:tcW w:w="728" w:type="dxa"/>
            <w:tcBorders>
              <w:top w:val="single" w:color="auto" w:sz="4" w:space="0"/>
              <w:left w:val="single" w:color="auto" w:sz="4" w:space="0"/>
              <w:bottom w:val="single" w:color="auto" w:sz="4" w:space="0"/>
              <w:right w:val="single" w:color="auto" w:sz="4" w:space="0"/>
            </w:tcBorders>
            <w:noWrap w:val="0"/>
            <w:vAlign w:val="center"/>
          </w:tcPr>
          <w:p w14:paraId="094D72F8">
            <w:pPr>
              <w:keepNext w:val="0"/>
              <w:keepLines w:val="0"/>
              <w:pageBreakBefore w:val="0"/>
              <w:widowControl w:val="0"/>
              <w:shd w:val="clear" w:color="auto"/>
              <w:kinsoku/>
              <w:wordWrap/>
              <w:overflowPunct/>
              <w:topLinePunct w:val="0"/>
              <w:autoSpaceDE/>
              <w:autoSpaceDN/>
              <w:bidi w:val="0"/>
              <w:adjustRightInd/>
              <w:snapToGrid w:val="0"/>
              <w:spacing w:before="0" w:beforeLines="50" w:after="0" w:afterLines="50" w:line="240" w:lineRule="auto"/>
              <w:jc w:val="center"/>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0D995C1F">
            <w:pPr>
              <w:keepNext w:val="0"/>
              <w:keepLines w:val="0"/>
              <w:pageBreakBefore w:val="0"/>
              <w:widowControl w:val="0"/>
              <w:shd w:val="clear" w:color="auto"/>
              <w:kinsoku/>
              <w:wordWrap/>
              <w:overflowPunct/>
              <w:topLinePunct w:val="0"/>
              <w:autoSpaceDE/>
              <w:autoSpaceDN/>
              <w:bidi w:val="0"/>
              <w:adjustRightInd/>
              <w:snapToGrid w:val="0"/>
              <w:spacing w:before="0" w:beforeLines="50" w:after="0" w:afterLines="50" w:line="240" w:lineRule="auto"/>
              <w:jc w:val="lef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开展银岭灌区银岭水库至九宋滑石水库主干渠维修养护等。</w:t>
            </w:r>
          </w:p>
        </w:tc>
      </w:tr>
    </w:tbl>
    <w:p w14:paraId="2F1E7B8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7.合同履行期限：</w:t>
      </w:r>
      <w:r>
        <w:rPr>
          <w:rFonts w:hint="eastAsia" w:ascii="宋体" w:hAnsi="宋体" w:eastAsia="宋体" w:cs="Times New Roman"/>
          <w:color w:val="auto"/>
          <w:szCs w:val="21"/>
          <w:highlight w:val="none"/>
          <w:lang w:val="en-US" w:eastAsia="zh-CN"/>
        </w:rPr>
        <w:t>详见磋商文件第二章采购需求</w:t>
      </w:r>
      <w:r>
        <w:rPr>
          <w:rFonts w:hint="eastAsia" w:ascii="宋体" w:hAnsi="宋体" w:eastAsia="宋体" w:cs="Times New Roman"/>
          <w:color w:val="auto"/>
          <w:szCs w:val="21"/>
          <w:highlight w:val="none"/>
        </w:rPr>
        <w:t>。</w:t>
      </w:r>
    </w:p>
    <w:p w14:paraId="1759CD9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8.本项目是否接受联合体：□是/☑否</w:t>
      </w:r>
    </w:p>
    <w:p w14:paraId="483BAB98">
      <w:pPr>
        <w:keepNext w:val="0"/>
        <w:keepLines w:val="0"/>
        <w:pageBreakBefore w:val="0"/>
        <w:widowControl w:val="0"/>
        <w:shd w:val="clear" w:color="auto"/>
        <w:kinsoku/>
        <w:wordWrap/>
        <w:overflowPunct/>
        <w:topLinePunct w:val="0"/>
        <w:autoSpaceDE/>
        <w:autoSpaceDN/>
        <w:bidi w:val="0"/>
        <w:adjustRightInd/>
        <w:snapToGrid/>
        <w:spacing w:before="0" w:beforeLines="50" w:after="0" w:afterLines="50" w:line="240" w:lineRule="auto"/>
        <w:textAlignment w:val="auto"/>
        <w:rPr>
          <w:rFonts w:hint="eastAsia" w:ascii="黑体" w:hAnsi="黑体" w:eastAsia="黑体" w:cs="宋体"/>
          <w:bCs/>
          <w:color w:val="auto"/>
          <w:sz w:val="24"/>
          <w:szCs w:val="24"/>
          <w:highlight w:val="none"/>
        </w:rPr>
      </w:pPr>
      <w:bookmarkStart w:id="18" w:name="_Toc44229879"/>
      <w:bookmarkStart w:id="19" w:name="_Toc35393799"/>
      <w:bookmarkStart w:id="20" w:name="_Toc28359090"/>
      <w:bookmarkStart w:id="21" w:name="_Toc28359013"/>
      <w:bookmarkStart w:id="22" w:name="_Toc35393630"/>
      <w:r>
        <w:rPr>
          <w:rFonts w:hint="eastAsia" w:ascii="黑体" w:hAnsi="黑体" w:eastAsia="黑体" w:cs="宋体"/>
          <w:bCs/>
          <w:color w:val="auto"/>
          <w:sz w:val="24"/>
          <w:szCs w:val="24"/>
          <w:highlight w:val="none"/>
        </w:rPr>
        <w:t>二、供应商的资格条件</w:t>
      </w:r>
      <w:bookmarkEnd w:id="18"/>
      <w:bookmarkEnd w:id="19"/>
      <w:bookmarkEnd w:id="20"/>
      <w:bookmarkEnd w:id="21"/>
      <w:bookmarkEnd w:id="22"/>
    </w:p>
    <w:p w14:paraId="4AFC06AF">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1.满足《中华人民共和国政府采购法》第二十二条规定；</w:t>
      </w:r>
    </w:p>
    <w:p w14:paraId="1C02C47B">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2.落实政府采购政策需满足的资格要求：</w:t>
      </w:r>
    </w:p>
    <w:p w14:paraId="2B28B4F8">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专门面向</w:t>
      </w:r>
      <w:r>
        <w:rPr>
          <w:rFonts w:hint="eastAsia" w:ascii="宋体" w:hAnsi="宋体" w:cs="Times New Roman"/>
          <w:color w:val="auto"/>
          <w:szCs w:val="21"/>
          <w:highlight w:val="none"/>
          <w:lang w:val="en-US" w:eastAsia="zh-CN"/>
        </w:rPr>
        <w:t>小微</w:t>
      </w:r>
      <w:r>
        <w:rPr>
          <w:rFonts w:hint="eastAsia" w:ascii="宋体" w:hAnsi="宋体" w:eastAsia="宋体" w:cs="Times New Roman"/>
          <w:color w:val="auto"/>
          <w:szCs w:val="21"/>
          <w:highlight w:val="none"/>
        </w:rPr>
        <w:t>企业采购的项目（供应商应为小微企业、监狱企业、残疾人福利性单位)</w:t>
      </w:r>
    </w:p>
    <w:p w14:paraId="7447439B">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非专门面向中小企业采购的项目</w:t>
      </w:r>
    </w:p>
    <w:p w14:paraId="719DC447">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3.本项目的特定资格要求：</w:t>
      </w:r>
      <w:r>
        <w:rPr>
          <w:rFonts w:hint="eastAsia" w:ascii="宋体" w:hAnsi="宋体" w:eastAsia="宋体" w:cs="Times New Roman"/>
          <w:color w:val="auto"/>
          <w:szCs w:val="21"/>
          <w:highlight w:val="none"/>
          <w:lang w:val="en-US" w:eastAsia="zh-CN"/>
        </w:rPr>
        <w:t>供应商须具备</w:t>
      </w:r>
      <w:r>
        <w:rPr>
          <w:rFonts w:hint="eastAsia" w:ascii="宋体" w:hAnsi="宋体" w:cs="Times New Roman"/>
          <w:color w:val="auto"/>
          <w:szCs w:val="21"/>
          <w:highlight w:val="none"/>
          <w:lang w:val="en-US" w:eastAsia="zh-CN"/>
        </w:rPr>
        <w:t>水利水电工程施工总承包</w:t>
      </w:r>
      <w:r>
        <w:rPr>
          <w:rFonts w:hint="eastAsia" w:ascii="宋体" w:hAnsi="宋体" w:eastAsia="宋体" w:cs="Times New Roman"/>
          <w:color w:val="auto"/>
          <w:szCs w:val="21"/>
          <w:highlight w:val="none"/>
          <w:lang w:val="en-US" w:eastAsia="zh-CN"/>
        </w:rPr>
        <w:t>三级及以上资质。拟派项目经理须具备</w:t>
      </w:r>
      <w:r>
        <w:rPr>
          <w:rFonts w:hint="eastAsia" w:ascii="宋体" w:hAnsi="宋体" w:cs="Times New Roman"/>
          <w:color w:val="auto"/>
          <w:szCs w:val="21"/>
          <w:highlight w:val="none"/>
          <w:lang w:val="en-US" w:eastAsia="zh-CN"/>
        </w:rPr>
        <w:t>水利水电工程</w:t>
      </w:r>
      <w:r>
        <w:rPr>
          <w:rFonts w:hint="eastAsia" w:ascii="宋体" w:hAnsi="宋体" w:eastAsia="宋体" w:cs="Times New Roman"/>
          <w:color w:val="auto"/>
          <w:szCs w:val="21"/>
          <w:highlight w:val="none"/>
          <w:lang w:val="en-US" w:eastAsia="zh-CN"/>
        </w:rPr>
        <w:t>专业</w:t>
      </w:r>
      <w:r>
        <w:rPr>
          <w:rFonts w:hint="eastAsia" w:ascii="宋体" w:hAnsi="宋体" w:cs="Times New Roman"/>
          <w:color w:val="auto"/>
          <w:szCs w:val="21"/>
          <w:highlight w:val="none"/>
          <w:lang w:val="en-US" w:eastAsia="zh-CN"/>
        </w:rPr>
        <w:t>二</w:t>
      </w:r>
      <w:r>
        <w:rPr>
          <w:rFonts w:hint="eastAsia" w:ascii="宋体" w:hAnsi="宋体" w:eastAsia="宋体" w:cs="Times New Roman"/>
          <w:color w:val="auto"/>
          <w:szCs w:val="21"/>
          <w:highlight w:val="none"/>
          <w:lang w:val="en-US" w:eastAsia="zh-CN"/>
        </w:rPr>
        <w:t>级及以上注册建造师执业资格及有效的安全生产考核合格证书（B类）。</w:t>
      </w:r>
    </w:p>
    <w:p w14:paraId="36586EF1">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4.本项目的特定条件：无。</w:t>
      </w:r>
    </w:p>
    <w:p w14:paraId="15CE55A8">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74B40C9">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E496AAB">
      <w:pPr>
        <w:keepNext w:val="0"/>
        <w:keepLines w:val="0"/>
        <w:pageBreakBefore w:val="0"/>
        <w:widowControl w:val="0"/>
        <w:shd w:val="clear" w:color="auto"/>
        <w:kinsoku/>
        <w:wordWrap w:val="0"/>
        <w:overflowPunct/>
        <w:topLinePunct w:val="0"/>
        <w:autoSpaceDE/>
        <w:autoSpaceDN/>
        <w:bidi w:val="0"/>
        <w:adjustRightInd/>
        <w:snapToGrid/>
        <w:spacing w:before="0" w:beforeLines="50" w:after="0" w:afterLines="50" w:line="240" w:lineRule="auto"/>
        <w:textAlignment w:val="auto"/>
        <w:rPr>
          <w:rFonts w:hint="eastAsia" w:ascii="黑体" w:hAnsi="黑体" w:eastAsia="黑体" w:cs="宋体"/>
          <w:bCs/>
          <w:color w:val="auto"/>
          <w:sz w:val="24"/>
          <w:szCs w:val="24"/>
          <w:highlight w:val="none"/>
        </w:rPr>
      </w:pPr>
      <w:r>
        <w:rPr>
          <w:rFonts w:hint="eastAsia" w:ascii="黑体" w:hAnsi="黑体" w:eastAsia="黑体" w:cs="宋体"/>
          <w:bCs/>
          <w:color w:val="auto"/>
          <w:sz w:val="24"/>
          <w:szCs w:val="24"/>
          <w:highlight w:val="none"/>
        </w:rPr>
        <w:t>三、获取竞争性磋商文件</w:t>
      </w:r>
      <w:bookmarkEnd w:id="14"/>
      <w:bookmarkEnd w:id="15"/>
      <w:bookmarkEnd w:id="16"/>
      <w:bookmarkEnd w:id="17"/>
    </w:p>
    <w:p w14:paraId="7DF46D8B">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bookmarkStart w:id="23" w:name="_Toc28359005"/>
      <w:bookmarkStart w:id="24" w:name="_Toc28359082"/>
      <w:bookmarkStart w:id="25" w:name="_Toc35393624"/>
      <w:bookmarkStart w:id="26" w:name="_Toc35393793"/>
      <w:r>
        <w:rPr>
          <w:rFonts w:hint="eastAsia" w:ascii="宋体" w:hAnsi="宋体" w:eastAsia="宋体" w:cs="Times New Roman"/>
          <w:color w:val="auto"/>
          <w:szCs w:val="21"/>
          <w:highlight w:val="none"/>
        </w:rPr>
        <w:t>时间：自公告发布之日起。</w:t>
      </w:r>
    </w:p>
    <w:p w14:paraId="3DE363A3">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获取方式:网上下载。本项目不发放纸质采购文件，供应商可自行在</w:t>
      </w:r>
      <w:r>
        <w:rPr>
          <w:rFonts w:hint="eastAsia" w:ascii="宋体" w:hAnsi="宋体" w:eastAsia="宋体" w:cs="Times New Roman"/>
          <w:color w:val="auto"/>
          <w:szCs w:val="21"/>
          <w:highlight w:val="none"/>
        </w:rPr>
        <w:fldChar w:fldCharType="begin"/>
      </w:r>
      <w:r>
        <w:rPr>
          <w:rFonts w:hint="eastAsia" w:ascii="宋体" w:hAnsi="宋体" w:eastAsia="宋体" w:cs="Times New Roman"/>
          <w:color w:val="auto"/>
          <w:szCs w:val="21"/>
          <w:highlight w:val="none"/>
        </w:rPr>
        <w:instrText xml:space="preserve"> HYPERLINK "" </w:instrText>
      </w:r>
      <w:r>
        <w:rPr>
          <w:rFonts w:hint="eastAsia" w:ascii="宋体" w:hAnsi="宋体" w:eastAsia="宋体" w:cs="Times New Roman"/>
          <w:color w:val="auto"/>
          <w:szCs w:val="21"/>
          <w:highlight w:val="none"/>
        </w:rPr>
        <w:fldChar w:fldCharType="separate"/>
      </w:r>
      <w:r>
        <w:rPr>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lang w:eastAsia="zh-CN"/>
        </w:rPr>
        <w:t>广西政府采购云平台（https://www.gcy.zfcg.gxzf.gov.cn）</w:t>
      </w:r>
      <w:r>
        <w:rPr>
          <w:rFonts w:hint="eastAsia" w:ascii="宋体" w:hAnsi="宋体" w:eastAsia="宋体" w:cs="Times New Roman"/>
          <w:color w:val="auto"/>
          <w:szCs w:val="21"/>
          <w:highlight w:val="none"/>
        </w:rPr>
        <w:t>下载采购文件（操作路径：登录</w:t>
      </w:r>
      <w:r>
        <w:rPr>
          <w:rFonts w:hint="eastAsia" w:ascii="宋体" w:hAnsi="宋体" w:eastAsia="宋体" w:cs="Times New Roman"/>
          <w:color w:val="auto"/>
          <w:szCs w:val="21"/>
          <w:highlight w:val="none"/>
          <w:lang w:eastAsia="zh-CN"/>
        </w:rPr>
        <w:t>广西政府采购云平台</w:t>
      </w:r>
      <w:r>
        <w:rPr>
          <w:rFonts w:hint="eastAsia" w:ascii="宋体" w:hAnsi="宋体" w:eastAsia="宋体" w:cs="Times New Roman"/>
          <w:color w:val="auto"/>
          <w:szCs w:val="21"/>
          <w:highlight w:val="none"/>
        </w:rPr>
        <w:t>-项目采购-获取采购文件-找到本项目-点击“申请获取采购文件”），电子响应文件制作需要基于</w:t>
      </w:r>
      <w:r>
        <w:rPr>
          <w:rFonts w:hint="eastAsia" w:ascii="宋体" w:hAnsi="宋体" w:eastAsia="宋体" w:cs="Times New Roman"/>
          <w:color w:val="auto"/>
          <w:szCs w:val="21"/>
          <w:highlight w:val="none"/>
          <w:lang w:eastAsia="zh-CN"/>
        </w:rPr>
        <w:t>广西政府采购云平台（https://www.gcy.zfcg.gxzf.gov.cn）</w:t>
      </w:r>
      <w:r>
        <w:rPr>
          <w:rFonts w:hint="eastAsia" w:ascii="宋体" w:hAnsi="宋体" w:eastAsia="宋体" w:cs="Times New Roman"/>
          <w:color w:val="auto"/>
          <w:szCs w:val="21"/>
          <w:highlight w:val="none"/>
        </w:rPr>
        <w:t>获取的采购文件编制。</w:t>
      </w:r>
    </w:p>
    <w:p w14:paraId="3D676E6E">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售价：0元。</w:t>
      </w:r>
    </w:p>
    <w:p w14:paraId="79AEA14B">
      <w:pPr>
        <w:keepNext w:val="0"/>
        <w:keepLines w:val="0"/>
        <w:pageBreakBefore w:val="0"/>
        <w:widowControl w:val="0"/>
        <w:shd w:val="clear" w:color="auto"/>
        <w:kinsoku/>
        <w:wordWrap w:val="0"/>
        <w:overflowPunct/>
        <w:topLinePunct w:val="0"/>
        <w:autoSpaceDE/>
        <w:autoSpaceDN/>
        <w:bidi w:val="0"/>
        <w:adjustRightInd/>
        <w:snapToGrid/>
        <w:spacing w:before="0" w:beforeLines="50" w:after="0" w:afterLines="50" w:line="240" w:lineRule="auto"/>
        <w:textAlignment w:val="auto"/>
        <w:rPr>
          <w:rFonts w:hint="eastAsia" w:ascii="黑体" w:hAnsi="黑体" w:eastAsia="黑体" w:cs="宋体"/>
          <w:bCs/>
          <w:color w:val="auto"/>
          <w:sz w:val="24"/>
          <w:szCs w:val="24"/>
          <w:highlight w:val="none"/>
        </w:rPr>
      </w:pPr>
      <w:r>
        <w:rPr>
          <w:rFonts w:hint="eastAsia" w:ascii="黑体" w:hAnsi="黑体" w:eastAsia="黑体" w:cs="宋体"/>
          <w:bCs/>
          <w:color w:val="auto"/>
          <w:sz w:val="24"/>
          <w:szCs w:val="24"/>
          <w:highlight w:val="none"/>
        </w:rPr>
        <w:t>四、</w:t>
      </w:r>
      <w:bookmarkEnd w:id="23"/>
      <w:bookmarkEnd w:id="24"/>
      <w:bookmarkEnd w:id="25"/>
      <w:bookmarkEnd w:id="26"/>
      <w:r>
        <w:rPr>
          <w:rFonts w:hint="eastAsia" w:ascii="黑体" w:hAnsi="黑体" w:eastAsia="黑体" w:cs="宋体"/>
          <w:bCs/>
          <w:color w:val="auto"/>
          <w:sz w:val="24"/>
          <w:szCs w:val="24"/>
          <w:highlight w:val="none"/>
        </w:rPr>
        <w:t>响应文件提交</w:t>
      </w:r>
    </w:p>
    <w:p w14:paraId="0292F136">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1.首次响应文件提交截止时间（北京时间）：</w:t>
      </w:r>
      <w:r>
        <w:rPr>
          <w:rFonts w:hint="eastAsia" w:ascii="宋体" w:hAnsi="宋体" w:eastAsia="宋体" w:cs="Times New Roman"/>
          <w:color w:val="auto"/>
          <w:szCs w:val="21"/>
          <w:highlight w:val="none"/>
          <w:lang w:eastAsia="zh-CN"/>
        </w:rPr>
        <w:t>2026年</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lang w:eastAsia="zh-CN"/>
        </w:rPr>
        <w:t>月</w:t>
      </w: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lang w:eastAsia="zh-CN"/>
        </w:rPr>
        <w:t>日</w:t>
      </w:r>
      <w:r>
        <w:rPr>
          <w:rFonts w:hint="eastAsia" w:ascii="宋体" w:hAnsi="宋体" w:eastAsia="宋体" w:cs="Times New Roman"/>
          <w:color w:val="auto"/>
          <w:szCs w:val="21"/>
          <w:highlight w:val="none"/>
          <w:lang w:val="en-US" w:eastAsia="zh-CN"/>
        </w:rPr>
        <w:t>9</w:t>
      </w:r>
      <w:r>
        <w:rPr>
          <w:rFonts w:hint="eastAsia" w:ascii="宋体" w:hAnsi="宋体" w:eastAsia="宋体" w:cs="Times New Roman"/>
          <w:color w:val="auto"/>
          <w:szCs w:val="21"/>
          <w:highlight w:val="none"/>
        </w:rPr>
        <w:t>时</w:t>
      </w:r>
      <w:r>
        <w:rPr>
          <w:rFonts w:hint="eastAsia" w:ascii="宋体" w:hAnsi="宋体" w:eastAsia="宋体" w:cs="Times New Roman"/>
          <w:color w:val="auto"/>
          <w:szCs w:val="21"/>
          <w:highlight w:val="none"/>
          <w:lang w:val="en-US" w:eastAsia="zh-CN"/>
        </w:rPr>
        <w:t>30</w:t>
      </w:r>
      <w:r>
        <w:rPr>
          <w:rFonts w:hint="eastAsia" w:ascii="宋体" w:hAnsi="宋体" w:eastAsia="宋体" w:cs="Times New Roman"/>
          <w:color w:val="auto"/>
          <w:szCs w:val="21"/>
          <w:highlight w:val="none"/>
        </w:rPr>
        <w:t>分（北京时间）。</w:t>
      </w:r>
    </w:p>
    <w:p w14:paraId="001FEDDE">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2.首次响应文件提交地点：</w:t>
      </w:r>
    </w:p>
    <w:p w14:paraId="11329719">
      <w:pPr>
        <w:keepNext w:val="0"/>
        <w:keepLines w:val="0"/>
        <w:pageBreakBefore w:val="0"/>
        <w:widowControl/>
        <w:shd w:val="clear" w:color="auto"/>
        <w:kinsoku/>
        <w:wordWrap w:val="0"/>
        <w:overflowPunct/>
        <w:topLinePunct w:val="0"/>
        <w:autoSpaceDE/>
        <w:autoSpaceDN/>
        <w:bidi w:val="0"/>
        <w:adjustRightInd/>
        <w:snapToGrid/>
        <w:spacing w:line="440" w:lineRule="exact"/>
        <w:ind w:firstLine="420" w:firstLineChars="200"/>
        <w:jc w:val="left"/>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（1）响应文件提交方式：本项目为南宁市全流程电子化项目，通过</w:t>
      </w:r>
      <w:r>
        <w:rPr>
          <w:rFonts w:hint="eastAsia" w:ascii="宋体" w:hAnsi="宋体" w:eastAsia="宋体" w:cs="Times New Roman"/>
          <w:color w:val="auto"/>
          <w:szCs w:val="21"/>
          <w:highlight w:val="none"/>
          <w:lang w:eastAsia="zh-CN"/>
        </w:rPr>
        <w:t>广西政府采购云平台（https://www.gcy.zfcg.gxzf.gov.cn）</w:t>
      </w:r>
      <w:r>
        <w:rPr>
          <w:rFonts w:hint="eastAsia" w:ascii="宋体" w:hAnsi="宋体" w:eastAsia="宋体" w:cs="Times New Roman"/>
          <w:color w:val="auto"/>
          <w:szCs w:val="21"/>
          <w:highlight w:val="none"/>
        </w:rPr>
        <w:t>实行在线电子响应，供应商应先安装“广西政府采购云平台电子交易客户端”（请自行前往广西政府采购云平台进行下载），并按照本项目采购文件和广西政府采购云平台的要求编制、加密后在</w:t>
      </w:r>
      <w:r>
        <w:rPr>
          <w:rFonts w:hint="eastAsia" w:ascii="宋体" w:hAnsi="宋体" w:eastAsia="宋体" w:cs="Times New Roman"/>
          <w:color w:val="auto"/>
          <w:szCs w:val="21"/>
          <w:highlight w:val="none"/>
          <w:lang w:eastAsia="zh-CN"/>
        </w:rPr>
        <w:t>磋商</w:t>
      </w:r>
      <w:r>
        <w:rPr>
          <w:rFonts w:hint="eastAsia" w:ascii="宋体" w:hAnsi="宋体" w:eastAsia="宋体" w:cs="Times New Roman"/>
          <w:color w:val="auto"/>
          <w:szCs w:val="21"/>
          <w:highlight w:val="none"/>
        </w:rPr>
        <w:t>截止时间前通过网络上传至广西政府采购云平台，</w:t>
      </w:r>
      <w:r>
        <w:rPr>
          <w:rFonts w:hint="eastAsia" w:ascii="宋体" w:hAnsi="宋体" w:eastAsia="宋体" w:cs="Times New Roman"/>
          <w:b/>
          <w:color w:val="auto"/>
          <w:szCs w:val="21"/>
          <w:highlight w:val="none"/>
        </w:rPr>
        <w:t>供应商在广西政府采购云平台提交电子版响应文件时，请填写参加远程采购活动经办人联系方式，</w:t>
      </w:r>
      <w:r>
        <w:rPr>
          <w:rFonts w:hint="eastAsia" w:ascii="宋体" w:hAnsi="宋体" w:eastAsia="宋体" w:cs="Times New Roman"/>
          <w:color w:val="auto"/>
          <w:szCs w:val="21"/>
          <w:highlight w:val="none"/>
        </w:rPr>
        <w:t>电子响应文件具体操作流程详见本公告附件</w:t>
      </w:r>
      <w:r>
        <w:rPr>
          <w:rFonts w:ascii="宋体" w:hAnsi="宋体" w:eastAsia="宋体" w:cs="Times New Roman"/>
          <w:color w:val="auto"/>
          <w:szCs w:val="21"/>
          <w:highlight w:val="none"/>
        </w:rPr>
        <w:t>2</w:t>
      </w:r>
      <w:r>
        <w:rPr>
          <w:rFonts w:hint="eastAsia" w:ascii="宋体" w:hAnsi="宋体" w:eastAsia="宋体" w:cs="Times New Roman"/>
          <w:color w:val="auto"/>
          <w:szCs w:val="21"/>
          <w:highlight w:val="none"/>
        </w:rPr>
        <w:t>。</w:t>
      </w:r>
    </w:p>
    <w:p w14:paraId="6A3337E1">
      <w:pPr>
        <w:keepNext w:val="0"/>
        <w:keepLines w:val="0"/>
        <w:pageBreakBefore w:val="0"/>
        <w:widowControl/>
        <w:shd w:val="clear" w:color="auto"/>
        <w:kinsoku/>
        <w:wordWrap w:val="0"/>
        <w:overflowPunct/>
        <w:topLinePunct w:val="0"/>
        <w:autoSpaceDE/>
        <w:autoSpaceDN/>
        <w:bidi w:val="0"/>
        <w:adjustRightInd/>
        <w:spacing w:line="440" w:lineRule="exact"/>
        <w:ind w:firstLine="420" w:firstLineChars="200"/>
        <w:jc w:val="left"/>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（2）未进行网上注册并办理数字证书（CA认证）的供应商将无法参与本项目政府采购活动，潜在供应商应当在</w:t>
      </w:r>
      <w:r>
        <w:rPr>
          <w:rFonts w:hint="eastAsia" w:ascii="宋体" w:hAnsi="宋体" w:eastAsia="宋体" w:cs="Times New Roman"/>
          <w:color w:val="auto"/>
          <w:szCs w:val="21"/>
          <w:highlight w:val="none"/>
          <w:lang w:eastAsia="zh-CN"/>
        </w:rPr>
        <w:t>磋商</w:t>
      </w:r>
      <w:r>
        <w:rPr>
          <w:rFonts w:hint="eastAsia" w:ascii="宋体" w:hAnsi="宋体" w:eastAsia="宋体" w:cs="Times New Roman"/>
          <w:color w:val="auto"/>
          <w:szCs w:val="21"/>
          <w:highlight w:val="none"/>
        </w:rPr>
        <w:t>截止时间前，完成电子交易平台上的CA数字证书办理（申领流程见本公告附件</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rPr>
        <w:t>）及响应文件的提交。完成CA数字证书办理预计7日左右，</w:t>
      </w:r>
      <w:r>
        <w:rPr>
          <w:rFonts w:hint="eastAsia" w:ascii="宋体" w:hAnsi="宋体" w:eastAsia="宋体" w:cs="宋体"/>
          <w:color w:val="auto"/>
          <w:szCs w:val="21"/>
          <w:highlight w:val="none"/>
        </w:rPr>
        <w:t>供应商只需办理其中一家</w:t>
      </w:r>
      <w:r>
        <w:rPr>
          <w:rFonts w:ascii="宋体" w:hAnsi="宋体" w:eastAsia="宋体" w:cs="宋体"/>
          <w:color w:val="auto"/>
          <w:szCs w:val="21"/>
          <w:highlight w:val="none"/>
        </w:rPr>
        <w:t>CA数字证书及签章</w:t>
      </w:r>
      <w:r>
        <w:rPr>
          <w:rFonts w:hint="eastAsia" w:ascii="宋体" w:hAnsi="宋体" w:eastAsia="宋体" w:cs="Times New Roman"/>
          <w:color w:val="auto"/>
          <w:szCs w:val="21"/>
          <w:highlight w:val="none"/>
        </w:rPr>
        <w:t>。</w:t>
      </w:r>
    </w:p>
    <w:p w14:paraId="41898754">
      <w:pPr>
        <w:keepNext w:val="0"/>
        <w:keepLines w:val="0"/>
        <w:pageBreakBefore w:val="0"/>
        <w:widowControl/>
        <w:shd w:val="clear" w:color="auto"/>
        <w:kinsoku/>
        <w:wordWrap w:val="0"/>
        <w:overflowPunct/>
        <w:topLinePunct w:val="0"/>
        <w:autoSpaceDE/>
        <w:autoSpaceDN/>
        <w:bidi w:val="0"/>
        <w:adjustRightInd/>
        <w:spacing w:line="440" w:lineRule="exact"/>
        <w:ind w:firstLine="420" w:firstLineChars="200"/>
        <w:jc w:val="left"/>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（3）为确保网上操作合法、有效和安全，请供应商确保在电子响应过程中能够对相关数据电文进行加密和使用电子签章，妥善保管C</w:t>
      </w:r>
      <w:r>
        <w:rPr>
          <w:rFonts w:ascii="宋体" w:hAnsi="宋体" w:eastAsia="宋体" w:cs="Times New Roman"/>
          <w:color w:val="auto"/>
          <w:szCs w:val="21"/>
          <w:highlight w:val="none"/>
        </w:rPr>
        <w:t>A</w:t>
      </w:r>
      <w:r>
        <w:rPr>
          <w:rFonts w:hint="eastAsia" w:ascii="宋体" w:hAnsi="宋体" w:eastAsia="宋体" w:cs="Times New Roman"/>
          <w:color w:val="auto"/>
          <w:szCs w:val="21"/>
          <w:highlight w:val="none"/>
        </w:rPr>
        <w:t>数字证书并使用有效的CA数字证书参与整个采购活动。</w:t>
      </w:r>
    </w:p>
    <w:p w14:paraId="2E7EC7A4">
      <w:pPr>
        <w:keepNext w:val="0"/>
        <w:keepLines w:val="0"/>
        <w:pageBreakBefore w:val="0"/>
        <w:shd w:val="clear" w:color="auto"/>
        <w:kinsoku/>
        <w:wordWrap w:val="0"/>
        <w:overflowPunct/>
        <w:topLinePunct w:val="0"/>
        <w:autoSpaceDE/>
        <w:autoSpaceDN/>
        <w:bidi w:val="0"/>
        <w:adjustRightInd/>
        <w:spacing w:line="440" w:lineRule="exact"/>
        <w:ind w:firstLine="420" w:firstLineChars="200"/>
        <w:textAlignment w:val="auto"/>
        <w:rPr>
          <w:rFonts w:ascii="宋体" w:hAnsi="宋体" w:eastAsia="宋体" w:cs="Times New Roman"/>
          <w:bCs/>
          <w:color w:val="auto"/>
          <w:szCs w:val="21"/>
          <w:highlight w:val="none"/>
          <w:u w:val="single"/>
        </w:rPr>
      </w:pPr>
      <w:r>
        <w:rPr>
          <w:rFonts w:hint="eastAsia" w:ascii="宋体" w:hAnsi="宋体" w:eastAsia="宋体" w:cs="Times New Roman"/>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Times New Roman"/>
          <w:bCs/>
          <w:color w:val="auto"/>
          <w:szCs w:val="21"/>
          <w:highlight w:val="none"/>
          <w:u w:val="single"/>
          <w:lang w:eastAsia="zh-CN"/>
        </w:rPr>
        <w:t>广西政府采购云平台</w:t>
      </w:r>
      <w:r>
        <w:rPr>
          <w:rFonts w:hint="eastAsia" w:ascii="宋体" w:hAnsi="宋体" w:eastAsia="宋体" w:cs="Times New Roman"/>
          <w:bCs/>
          <w:color w:val="auto"/>
          <w:szCs w:val="21"/>
          <w:highlight w:val="none"/>
          <w:u w:val="single"/>
        </w:rPr>
        <w:t>将予以拒收。</w:t>
      </w:r>
    </w:p>
    <w:p w14:paraId="69903589">
      <w:pPr>
        <w:keepNext w:val="0"/>
        <w:keepLines w:val="0"/>
        <w:pageBreakBefore w:val="0"/>
        <w:shd w:val="clear" w:color="auto"/>
        <w:kinsoku/>
        <w:wordWrap w:val="0"/>
        <w:overflowPunct/>
        <w:topLinePunct w:val="0"/>
        <w:autoSpaceDE/>
        <w:autoSpaceDN/>
        <w:bidi w:val="0"/>
        <w:adjustRightInd/>
        <w:snapToGrid w:val="0"/>
        <w:spacing w:line="440" w:lineRule="exact"/>
        <w:ind w:firstLine="420" w:firstLineChars="200"/>
        <w:textAlignment w:val="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3、CA证书在线解密：首次响应文件开启时，须要供应商携带制作响应文件时用来加密的有效数字证书（CA认证）登录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电子开标大厅现场按规定时间对加密的响应文件进行解密，未能按要求进行解密的，由此产生的后果由</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自行承担。</w:t>
      </w:r>
    </w:p>
    <w:p w14:paraId="6AE500C1">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4、供应商需要在具备有摄像头及语音功能且互联网网络状况良好的电脑登录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7C826A89">
      <w:pPr>
        <w:keepNext w:val="0"/>
        <w:keepLines w:val="0"/>
        <w:pageBreakBefore w:val="0"/>
        <w:widowControl w:val="0"/>
        <w:shd w:val="clear" w:color="auto"/>
        <w:kinsoku/>
        <w:wordWrap w:val="0"/>
        <w:overflowPunct/>
        <w:topLinePunct w:val="0"/>
        <w:autoSpaceDE/>
        <w:autoSpaceDN/>
        <w:bidi w:val="0"/>
        <w:adjustRightInd/>
        <w:snapToGrid/>
        <w:spacing w:before="0" w:beforeLines="50" w:after="0" w:afterLines="50" w:line="240" w:lineRule="auto"/>
        <w:textAlignment w:val="auto"/>
        <w:rPr>
          <w:rFonts w:hint="eastAsia" w:ascii="黑体" w:hAnsi="黑体" w:eastAsia="黑体" w:cs="宋体"/>
          <w:bCs/>
          <w:color w:val="auto"/>
          <w:sz w:val="24"/>
          <w:szCs w:val="24"/>
          <w:highlight w:val="none"/>
        </w:rPr>
      </w:pPr>
      <w:r>
        <w:rPr>
          <w:rFonts w:hint="eastAsia" w:ascii="黑体" w:hAnsi="黑体" w:eastAsia="黑体" w:cs="宋体"/>
          <w:bCs/>
          <w:color w:val="auto"/>
          <w:sz w:val="24"/>
          <w:szCs w:val="24"/>
          <w:highlight w:val="none"/>
        </w:rPr>
        <w:t>五、开启（首次响应文件开启时间）</w:t>
      </w:r>
    </w:p>
    <w:p w14:paraId="7F53DA11">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1.时间（北京时间）：</w:t>
      </w:r>
      <w:r>
        <w:rPr>
          <w:rFonts w:hint="eastAsia" w:ascii="宋体" w:hAnsi="宋体" w:eastAsia="宋体" w:cs="Times New Roman"/>
          <w:color w:val="auto"/>
          <w:szCs w:val="21"/>
          <w:highlight w:val="none"/>
          <w:lang w:eastAsia="zh-CN"/>
        </w:rPr>
        <w:t>2026年</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lang w:eastAsia="zh-CN"/>
        </w:rPr>
        <w:t>月</w:t>
      </w:r>
      <w:r>
        <w:rPr>
          <w:rFonts w:hint="eastAsia" w:ascii="宋体" w:hAnsi="宋体" w:cs="Times New Roman"/>
          <w:color w:val="auto"/>
          <w:szCs w:val="21"/>
          <w:highlight w:val="none"/>
          <w:lang w:val="en-US" w:eastAsia="zh-CN"/>
        </w:rPr>
        <w:t>6</w:t>
      </w:r>
      <w:bookmarkStart w:id="1717" w:name="_GoBack"/>
      <w:bookmarkEnd w:id="1717"/>
      <w:r>
        <w:rPr>
          <w:rFonts w:hint="eastAsia" w:ascii="宋体" w:hAnsi="宋体" w:eastAsia="宋体" w:cs="Times New Roman"/>
          <w:color w:val="auto"/>
          <w:szCs w:val="21"/>
          <w:highlight w:val="none"/>
          <w:lang w:eastAsia="zh-CN"/>
        </w:rPr>
        <w:t>日</w:t>
      </w:r>
      <w:r>
        <w:rPr>
          <w:rFonts w:hint="eastAsia" w:ascii="宋体" w:hAnsi="宋体" w:eastAsia="宋体" w:cs="Times New Roman"/>
          <w:color w:val="auto"/>
          <w:szCs w:val="21"/>
          <w:highlight w:val="none"/>
          <w:lang w:val="en-US" w:eastAsia="zh-CN"/>
        </w:rPr>
        <w:t>9</w:t>
      </w:r>
      <w:r>
        <w:rPr>
          <w:rFonts w:hint="eastAsia" w:ascii="宋体" w:hAnsi="宋体" w:eastAsia="宋体" w:cs="Times New Roman"/>
          <w:color w:val="auto"/>
          <w:szCs w:val="21"/>
          <w:highlight w:val="none"/>
        </w:rPr>
        <w:t>时</w:t>
      </w:r>
      <w:r>
        <w:rPr>
          <w:rFonts w:hint="eastAsia" w:ascii="宋体" w:hAnsi="宋体" w:eastAsia="宋体" w:cs="Times New Roman"/>
          <w:color w:val="auto"/>
          <w:szCs w:val="21"/>
          <w:highlight w:val="none"/>
          <w:lang w:val="en-US" w:eastAsia="zh-CN"/>
        </w:rPr>
        <w:t>30</w:t>
      </w:r>
      <w:r>
        <w:rPr>
          <w:rFonts w:hint="eastAsia" w:ascii="宋体" w:hAnsi="宋体" w:eastAsia="宋体" w:cs="Times New Roman"/>
          <w:color w:val="auto"/>
          <w:szCs w:val="21"/>
          <w:highlight w:val="none"/>
        </w:rPr>
        <w:t>分后</w:t>
      </w:r>
    </w:p>
    <w:p w14:paraId="5A195C65">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2.地点：广西政府采购云平台开标大厅 </w:t>
      </w:r>
    </w:p>
    <w:p w14:paraId="13FFA0E9">
      <w:pPr>
        <w:keepNext w:val="0"/>
        <w:keepLines w:val="0"/>
        <w:pageBreakBefore w:val="0"/>
        <w:widowControl w:val="0"/>
        <w:shd w:val="clear" w:color="auto"/>
        <w:kinsoku/>
        <w:wordWrap w:val="0"/>
        <w:overflowPunct/>
        <w:topLinePunct w:val="0"/>
        <w:autoSpaceDE/>
        <w:autoSpaceDN/>
        <w:bidi w:val="0"/>
        <w:adjustRightInd/>
        <w:snapToGrid/>
        <w:spacing w:before="0" w:beforeLines="50" w:after="0" w:afterLines="50" w:line="240" w:lineRule="auto"/>
        <w:textAlignment w:val="auto"/>
        <w:rPr>
          <w:rFonts w:hint="eastAsia" w:ascii="黑体" w:hAnsi="黑体" w:eastAsia="黑体" w:cs="宋体"/>
          <w:b w:val="0"/>
          <w:bCs/>
          <w:color w:val="auto"/>
          <w:sz w:val="24"/>
          <w:szCs w:val="24"/>
          <w:highlight w:val="none"/>
        </w:rPr>
      </w:pPr>
      <w:bookmarkStart w:id="27" w:name="_Toc35393794"/>
      <w:bookmarkStart w:id="28" w:name="_Toc28359084"/>
      <w:bookmarkStart w:id="29" w:name="_Toc35393625"/>
      <w:bookmarkStart w:id="30" w:name="_Toc28359007"/>
      <w:r>
        <w:rPr>
          <w:rFonts w:hint="eastAsia" w:ascii="黑体" w:hAnsi="黑体" w:eastAsia="黑体" w:cs="宋体"/>
          <w:b w:val="0"/>
          <w:bCs/>
          <w:color w:val="auto"/>
          <w:sz w:val="24"/>
          <w:szCs w:val="24"/>
          <w:highlight w:val="none"/>
        </w:rPr>
        <w:t>六、公告期限</w:t>
      </w:r>
      <w:bookmarkEnd w:id="27"/>
      <w:bookmarkEnd w:id="28"/>
      <w:bookmarkEnd w:id="29"/>
      <w:bookmarkEnd w:id="30"/>
    </w:p>
    <w:p w14:paraId="600808B7">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自本公告发布之日起</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个工作日。</w:t>
      </w:r>
    </w:p>
    <w:p w14:paraId="27A31F37">
      <w:pPr>
        <w:keepNext w:val="0"/>
        <w:keepLines w:val="0"/>
        <w:pageBreakBefore w:val="0"/>
        <w:widowControl w:val="0"/>
        <w:shd w:val="clear" w:color="auto"/>
        <w:kinsoku/>
        <w:wordWrap w:val="0"/>
        <w:overflowPunct/>
        <w:topLinePunct w:val="0"/>
        <w:autoSpaceDE/>
        <w:autoSpaceDN/>
        <w:bidi w:val="0"/>
        <w:adjustRightInd/>
        <w:snapToGrid/>
        <w:spacing w:before="0" w:beforeLines="50" w:after="0" w:afterLines="50" w:line="240" w:lineRule="auto"/>
        <w:textAlignment w:val="auto"/>
        <w:rPr>
          <w:rFonts w:hint="eastAsia" w:ascii="黑体" w:hAnsi="黑体" w:eastAsia="黑体" w:cs="宋体"/>
          <w:b w:val="0"/>
          <w:bCs/>
          <w:color w:val="auto"/>
          <w:sz w:val="24"/>
          <w:szCs w:val="24"/>
          <w:highlight w:val="none"/>
        </w:rPr>
      </w:pPr>
      <w:bookmarkStart w:id="31" w:name="_Toc35393795"/>
      <w:bookmarkStart w:id="32" w:name="_Toc35393626"/>
      <w:r>
        <w:rPr>
          <w:rFonts w:hint="eastAsia" w:ascii="黑体" w:hAnsi="黑体" w:eastAsia="黑体" w:cs="宋体"/>
          <w:b w:val="0"/>
          <w:bCs/>
          <w:color w:val="auto"/>
          <w:sz w:val="24"/>
          <w:szCs w:val="24"/>
          <w:highlight w:val="none"/>
        </w:rPr>
        <w:t>七、其他补充事宜</w:t>
      </w:r>
      <w:bookmarkEnd w:id="31"/>
      <w:bookmarkEnd w:id="32"/>
    </w:p>
    <w:p w14:paraId="7F977678">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1.磋商保证金：本项目不收取磋商保证金</w:t>
      </w:r>
      <w:r>
        <w:rPr>
          <w:rFonts w:hint="eastAsia" w:ascii="宋体" w:hAnsi="宋体" w:cs="Times New Roman"/>
          <w:color w:val="auto"/>
          <w:szCs w:val="21"/>
          <w:highlight w:val="none"/>
          <w:lang w:eastAsia="zh-CN"/>
        </w:rPr>
        <w:t>。</w:t>
      </w:r>
    </w:p>
    <w:p w14:paraId="63804013">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2.采购意向公开链接：</w:t>
      </w:r>
      <w:bookmarkStart w:id="33" w:name="_Hlk37429585"/>
      <w:r>
        <w:rPr>
          <w:rFonts w:hint="eastAsia" w:ascii="宋体" w:hAnsi="宋体" w:eastAsia="宋体" w:cs="Times New Roman"/>
          <w:color w:val="auto"/>
          <w:szCs w:val="21"/>
          <w:highlight w:val="none"/>
        </w:rPr>
        <w:t>http://www.ccgp-guangxi.gov.cn/site/detail?categoryCode=ZcyAnnouncement&amp;parentId=66485&amp;articleId=VPVekuL533fVpb44SdD3AA==</w:t>
      </w:r>
    </w:p>
    <w:p w14:paraId="4690472F">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w:t>
      </w:r>
      <w:bookmarkStart w:id="34" w:name="_Hlk37429595"/>
      <w:r>
        <w:rPr>
          <w:rFonts w:hint="eastAsia" w:ascii="宋体" w:hAnsi="宋体" w:eastAsia="宋体" w:cs="Times New Roman"/>
          <w:color w:val="auto"/>
          <w:szCs w:val="21"/>
          <w:highlight w:val="none"/>
        </w:rPr>
        <w:t>网上查询地址</w:t>
      </w:r>
    </w:p>
    <w:bookmarkEnd w:id="33"/>
    <w:bookmarkEnd w:id="34"/>
    <w:p w14:paraId="3A642492">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bookmarkStart w:id="35" w:name="_Hlk37429674"/>
      <w:r>
        <w:rPr>
          <w:rFonts w:hint="eastAsia" w:ascii="宋体" w:hAnsi="宋体" w:eastAsia="宋体" w:cs="Times New Roman"/>
          <w:color w:val="auto"/>
          <w:szCs w:val="21"/>
          <w:highlight w:val="none"/>
        </w:rPr>
        <w:t>http://www.ccgp.gov.cn (中国政府采购网),http://zfcg.gxzf.gov.cn (广西政府采购网) , http://ggzy.jgswj.gxzf.gov.cn/nnggzy(全国公共资源交易平台(广西·南宁))</w:t>
      </w:r>
    </w:p>
    <w:p w14:paraId="54ED085F">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4.本项目需要落实的政府采购政策</w:t>
      </w:r>
    </w:p>
    <w:bookmarkEnd w:id="35"/>
    <w:p w14:paraId="4D974F4C">
      <w:pPr>
        <w:keepNext w:val="0"/>
        <w:keepLines w:val="0"/>
        <w:pageBreakBefore w:val="0"/>
        <w:shd w:val="clear" w:color="auto"/>
        <w:kinsoku/>
        <w:wordWrap w:val="0"/>
        <w:overflowPunct/>
        <w:topLinePunct w:val="0"/>
        <w:autoSpaceDE/>
        <w:autoSpaceDN/>
        <w:bidi w:val="0"/>
        <w:adjustRightInd/>
        <w:spacing w:line="440" w:lineRule="exact"/>
        <w:ind w:firstLine="420" w:firstLineChars="200"/>
        <w:jc w:val="left"/>
        <w:textAlignment w:val="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（1）《政府采购促进中小企业发展暂行办法》（财库〔2020〕46号）。</w:t>
      </w:r>
    </w:p>
    <w:p w14:paraId="57E69CCE">
      <w:pPr>
        <w:keepNext w:val="0"/>
        <w:keepLines w:val="0"/>
        <w:pageBreakBefore w:val="0"/>
        <w:shd w:val="clear" w:color="auto"/>
        <w:kinsoku/>
        <w:wordWrap w:val="0"/>
        <w:overflowPunct/>
        <w:topLinePunct w:val="0"/>
        <w:autoSpaceDE/>
        <w:autoSpaceDN/>
        <w:bidi w:val="0"/>
        <w:adjustRightInd/>
        <w:spacing w:line="440" w:lineRule="exact"/>
        <w:ind w:firstLine="420" w:firstLineChars="200"/>
        <w:jc w:val="left"/>
        <w:textAlignment w:val="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（2）《关于我区政府采购支持监狱企业发展有关问题的通知》（桂财采〔2015〕24号）。</w:t>
      </w:r>
    </w:p>
    <w:p w14:paraId="7D69B9AD">
      <w:pPr>
        <w:keepNext w:val="0"/>
        <w:keepLines w:val="0"/>
        <w:pageBreakBefore w:val="0"/>
        <w:shd w:val="clear" w:color="auto"/>
        <w:kinsoku/>
        <w:wordWrap w:val="0"/>
        <w:overflowPunct/>
        <w:topLinePunct w:val="0"/>
        <w:autoSpaceDE/>
        <w:autoSpaceDN/>
        <w:bidi w:val="0"/>
        <w:adjustRightInd/>
        <w:spacing w:line="440" w:lineRule="exact"/>
        <w:ind w:firstLine="420" w:firstLineChars="200"/>
        <w:jc w:val="left"/>
        <w:textAlignment w:val="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（3）《三部门联合发布关于促进残疾人就业政府采购政策的通知》（财库〔2017〕141号）。</w:t>
      </w:r>
    </w:p>
    <w:p w14:paraId="5C88CD92">
      <w:pPr>
        <w:keepNext w:val="0"/>
        <w:keepLines w:val="0"/>
        <w:pageBreakBefore w:val="0"/>
        <w:shd w:val="clear" w:color="auto"/>
        <w:kinsoku/>
        <w:wordWrap w:val="0"/>
        <w:overflowPunct/>
        <w:topLinePunct w:val="0"/>
        <w:autoSpaceDE/>
        <w:autoSpaceDN/>
        <w:bidi w:val="0"/>
        <w:adjustRightInd/>
        <w:spacing w:line="440" w:lineRule="exact"/>
        <w:ind w:firstLine="420" w:firstLineChars="200"/>
        <w:textAlignment w:val="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17B9A5B4">
      <w:pPr>
        <w:keepNext w:val="0"/>
        <w:keepLines w:val="0"/>
        <w:pageBreakBefore w:val="0"/>
        <w:widowControl w:val="0"/>
        <w:shd w:val="clear" w:color="auto"/>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宋体"/>
          <w:color w:val="auto"/>
          <w:kern w:val="0"/>
          <w:szCs w:val="21"/>
          <w:highlight w:val="none"/>
        </w:rPr>
        <w:t>6</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若对项目采购电子交易系统操作有疑问，可登录广西政府采购云平台（https://www.gcy.zfcg.gxzf.gov.cn），点击右侧咨询小采，获取采小蜜智能服务管家帮助，或拨打</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服务热线</w:t>
      </w:r>
      <w:r>
        <w:rPr>
          <w:rFonts w:hint="eastAsia" w:ascii="宋体" w:hAnsi="宋体" w:eastAsia="宋体" w:cs="宋体"/>
          <w:b/>
          <w:color w:val="auto"/>
          <w:kern w:val="0"/>
          <w:szCs w:val="21"/>
          <w:highlight w:val="none"/>
        </w:rPr>
        <w:t>95763</w:t>
      </w:r>
      <w:r>
        <w:rPr>
          <w:rFonts w:hint="eastAsia" w:ascii="宋体" w:hAnsi="宋体" w:eastAsia="宋体" w:cs="宋体"/>
          <w:color w:val="auto"/>
          <w:kern w:val="0"/>
          <w:szCs w:val="21"/>
          <w:highlight w:val="none"/>
        </w:rPr>
        <w:t>获取热线服务帮助。</w:t>
      </w:r>
      <w:r>
        <w:rPr>
          <w:rFonts w:hint="eastAsia" w:ascii="宋体" w:hAnsi="宋体" w:eastAsia="宋体" w:cs="Times New Roman"/>
          <w:color w:val="auto"/>
          <w:szCs w:val="21"/>
          <w:highlight w:val="none"/>
        </w:rPr>
        <w:t xml:space="preserve"> </w:t>
      </w:r>
    </w:p>
    <w:p w14:paraId="335D7090">
      <w:pPr>
        <w:keepNext w:val="0"/>
        <w:keepLines w:val="0"/>
        <w:pageBreakBefore w:val="0"/>
        <w:widowControl w:val="0"/>
        <w:shd w:val="clear" w:color="auto"/>
        <w:kinsoku/>
        <w:wordWrap/>
        <w:overflowPunct/>
        <w:topLinePunct w:val="0"/>
        <w:autoSpaceDE/>
        <w:autoSpaceDN/>
        <w:bidi w:val="0"/>
        <w:adjustRightInd/>
        <w:snapToGrid/>
        <w:spacing w:before="0" w:beforeLines="50" w:after="0" w:afterLines="50" w:line="240" w:lineRule="auto"/>
        <w:textAlignment w:val="auto"/>
        <w:rPr>
          <w:rFonts w:hint="eastAsia" w:ascii="黑体" w:hAnsi="黑体" w:eastAsia="黑体" w:cs="宋体"/>
          <w:b w:val="0"/>
          <w:bCs/>
          <w:color w:val="auto"/>
          <w:sz w:val="24"/>
          <w:szCs w:val="24"/>
          <w:highlight w:val="none"/>
        </w:rPr>
      </w:pPr>
      <w:r>
        <w:rPr>
          <w:rFonts w:hint="eastAsia" w:ascii="黑体" w:hAnsi="黑体" w:eastAsia="黑体" w:cs="宋体"/>
          <w:b w:val="0"/>
          <w:bCs/>
          <w:color w:val="auto"/>
          <w:sz w:val="24"/>
          <w:szCs w:val="24"/>
          <w:highlight w:val="none"/>
        </w:rPr>
        <w:t>八、凡对本次采购提出询问，请按以下方式联系</w:t>
      </w:r>
    </w:p>
    <w:p w14:paraId="2C24E75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1.采购人信息</w:t>
      </w:r>
    </w:p>
    <w:p w14:paraId="4CDEAE7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名    称：</w:t>
      </w:r>
      <w:r>
        <w:rPr>
          <w:rFonts w:hint="eastAsia" w:ascii="宋体" w:hAnsi="宋体" w:cs="Times New Roman"/>
          <w:color w:val="auto"/>
          <w:szCs w:val="21"/>
          <w:highlight w:val="none"/>
          <w:lang w:eastAsia="zh-CN"/>
        </w:rPr>
        <w:t>南宁市金沙湖水利工程管理所</w:t>
      </w:r>
    </w:p>
    <w:p w14:paraId="38EDD69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地    址：</w:t>
      </w:r>
      <w:r>
        <w:rPr>
          <w:rFonts w:hint="eastAsia" w:ascii="宋体" w:hAnsi="宋体" w:eastAsia="宋体" w:cs="Times New Roman"/>
          <w:color w:val="auto"/>
          <w:szCs w:val="21"/>
          <w:highlight w:val="none"/>
          <w:lang w:eastAsia="zh-CN"/>
        </w:rPr>
        <w:t>南宁市西乡塘区邕隆路石埠段268号</w:t>
      </w:r>
    </w:p>
    <w:p w14:paraId="2E90200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项目联系人：</w:t>
      </w:r>
      <w:r>
        <w:rPr>
          <w:rFonts w:hint="eastAsia" w:ascii="宋体" w:hAnsi="宋体" w:cs="Times New Roman"/>
          <w:color w:val="auto"/>
          <w:szCs w:val="21"/>
          <w:highlight w:val="none"/>
          <w:lang w:val="en-US" w:eastAsia="zh-CN"/>
        </w:rPr>
        <w:t>覃科成</w:t>
      </w:r>
    </w:p>
    <w:p w14:paraId="69241CD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联系电话：</w:t>
      </w:r>
      <w:r>
        <w:rPr>
          <w:rFonts w:hint="eastAsia" w:ascii="宋体" w:hAnsi="宋体" w:eastAsia="宋体" w:cs="Times New Roman"/>
          <w:color w:val="auto"/>
          <w:szCs w:val="21"/>
          <w:highlight w:val="none"/>
          <w:lang w:eastAsia="zh-CN"/>
        </w:rPr>
        <w:t>0771-3394230</w:t>
      </w:r>
    </w:p>
    <w:p w14:paraId="046321E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2.采购代理机构信息</w:t>
      </w:r>
    </w:p>
    <w:p w14:paraId="00755D7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名 称：广西国力招标有限公司</w:t>
      </w:r>
    </w:p>
    <w:p w14:paraId="7CD2877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地　址：南宁市白沙大道53号松宇时代13楼</w:t>
      </w:r>
    </w:p>
    <w:p w14:paraId="3CC5476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联系电话：0771-</w:t>
      </w:r>
      <w:r>
        <w:rPr>
          <w:rFonts w:hint="eastAsia" w:ascii="宋体" w:hAnsi="宋体" w:eastAsia="宋体" w:cs="Times New Roman"/>
          <w:color w:val="auto"/>
          <w:szCs w:val="21"/>
          <w:highlight w:val="none"/>
          <w:lang w:val="en-US" w:eastAsia="zh-CN"/>
        </w:rPr>
        <w:t>4915558</w:t>
      </w:r>
    </w:p>
    <w:p w14:paraId="16E89852">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3.项目联系方式</w:t>
      </w:r>
    </w:p>
    <w:p w14:paraId="15C9495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rPr>
        <w:t>项目联系人：</w:t>
      </w:r>
      <w:r>
        <w:rPr>
          <w:rFonts w:hint="eastAsia" w:ascii="宋体" w:hAnsi="宋体" w:eastAsia="宋体" w:cs="Times New Roman"/>
          <w:color w:val="auto"/>
          <w:szCs w:val="21"/>
          <w:highlight w:val="none"/>
          <w:lang w:val="en-US" w:eastAsia="zh-CN"/>
        </w:rPr>
        <w:t>何云飞、</w:t>
      </w:r>
      <w:r>
        <w:rPr>
          <w:rFonts w:hint="eastAsia" w:ascii="宋体" w:hAnsi="宋体" w:cs="Times New Roman"/>
          <w:color w:val="auto"/>
          <w:szCs w:val="21"/>
          <w:highlight w:val="none"/>
          <w:lang w:val="en-US" w:eastAsia="zh-CN"/>
        </w:rPr>
        <w:t>徐康</w:t>
      </w:r>
    </w:p>
    <w:p w14:paraId="377957D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电    话：0771-</w:t>
      </w:r>
      <w:r>
        <w:rPr>
          <w:rFonts w:hint="eastAsia" w:ascii="宋体" w:hAnsi="宋体" w:eastAsia="宋体" w:cs="Times New Roman"/>
          <w:color w:val="auto"/>
          <w:szCs w:val="21"/>
          <w:highlight w:val="none"/>
          <w:lang w:val="en-US" w:eastAsia="zh-CN"/>
        </w:rPr>
        <w:t>4915558</w:t>
      </w:r>
    </w:p>
    <w:p w14:paraId="3CF9437C">
      <w:pPr>
        <w:shd w:val="clear" w:color="auto"/>
        <w:spacing w:line="360" w:lineRule="auto"/>
        <w:ind w:firstLine="420" w:firstLineChars="200"/>
        <w:rPr>
          <w:rFonts w:ascii="宋体" w:hAnsi="宋体" w:eastAsia="宋体" w:cs="Times New Roman"/>
          <w:color w:val="auto"/>
          <w:szCs w:val="21"/>
          <w:highlight w:val="none"/>
        </w:rPr>
      </w:pPr>
    </w:p>
    <w:p w14:paraId="64E9A0DF">
      <w:pPr>
        <w:pStyle w:val="11"/>
        <w:widowControl w:val="0"/>
        <w:shd w:val="clear" w:color="auto"/>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附件：</w:t>
      </w:r>
    </w:p>
    <w:p w14:paraId="7B129CF0">
      <w:pPr>
        <w:pStyle w:val="11"/>
        <w:widowControl w:val="0"/>
        <w:shd w:val="clear" w:color="auto"/>
        <w:spacing w:line="360" w:lineRule="auto"/>
        <w:ind w:firstLine="420" w:firstLineChars="200"/>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4"/>
          <w:highlight w:val="none"/>
          <w:lang w:val="en-US" w:eastAsia="zh-CN" w:bidi="ar-SA"/>
        </w:rPr>
        <w:t>1.CA证书申请方式及操作指南下载地址（登陆</w:t>
      </w:r>
      <w:r>
        <w:rPr>
          <w:rFonts w:ascii="Times New Roman" w:hAnsi="Times New Roman" w:eastAsia="宋体" w:cs="Times New Roman"/>
          <w:color w:val="auto"/>
          <w:kern w:val="2"/>
          <w:sz w:val="21"/>
          <w:szCs w:val="24"/>
          <w:highlight w:val="none"/>
          <w:lang w:val="en-US" w:eastAsia="zh-CN" w:bidi="ar-SA"/>
        </w:rPr>
        <w:fldChar w:fldCharType="begin"/>
      </w:r>
      <w:r>
        <w:rPr>
          <w:rFonts w:ascii="Times New Roman" w:hAnsi="Times New Roman" w:eastAsia="宋体" w:cs="Times New Roman"/>
          <w:color w:val="auto"/>
          <w:kern w:val="2"/>
          <w:sz w:val="21"/>
          <w:szCs w:val="24"/>
          <w:highlight w:val="none"/>
          <w:lang w:val="en-US" w:eastAsia="zh-CN" w:bidi="ar-SA"/>
        </w:rPr>
        <w:instrText xml:space="preserve"> HYPERLINK "http://nncz.nanning.gov.cn/" </w:instrText>
      </w:r>
      <w:r>
        <w:rPr>
          <w:rFonts w:ascii="Times New Roman" w:hAnsi="Times New Roman" w:eastAsia="宋体" w:cs="Times New Roman"/>
          <w:color w:val="auto"/>
          <w:kern w:val="2"/>
          <w:sz w:val="21"/>
          <w:szCs w:val="24"/>
          <w:highlight w:val="none"/>
          <w:lang w:val="en-US" w:eastAsia="zh-CN" w:bidi="ar-SA"/>
        </w:rPr>
        <w:fldChar w:fldCharType="separate"/>
      </w:r>
      <w:r>
        <w:rPr>
          <w:rFonts w:ascii="宋体" w:hAnsi="宋体" w:eastAsia="宋体" w:cs="Times New Roman"/>
          <w:color w:val="auto"/>
          <w:kern w:val="2"/>
          <w:sz w:val="21"/>
          <w:szCs w:val="24"/>
          <w:highlight w:val="none"/>
          <w:u w:val="single"/>
          <w:lang w:val="en-US" w:eastAsia="zh-CN" w:bidi="ar-SA"/>
        </w:rPr>
        <w:t>http://nncz.nanning.gov.cn/</w:t>
      </w:r>
      <w:r>
        <w:rPr>
          <w:rFonts w:ascii="宋体" w:hAnsi="宋体" w:eastAsia="宋体" w:cs="Times New Roman"/>
          <w:color w:val="auto"/>
          <w:kern w:val="2"/>
          <w:sz w:val="21"/>
          <w:szCs w:val="24"/>
          <w:highlight w:val="none"/>
          <w:lang w:val="en-US" w:eastAsia="zh-CN" w:bidi="ar-SA"/>
        </w:rPr>
        <w:fldChar w:fldCharType="end"/>
      </w:r>
      <w:r>
        <w:rPr>
          <w:rFonts w:hint="eastAsia" w:ascii="宋体" w:hAnsi="宋体" w:eastAsia="宋体" w:cs="Times New Roman"/>
          <w:color w:val="auto"/>
          <w:kern w:val="2"/>
          <w:sz w:val="21"/>
          <w:szCs w:val="24"/>
          <w:highlight w:val="none"/>
          <w:lang w:val="en-US" w:eastAsia="zh-CN" w:bidi="ar-SA"/>
        </w:rPr>
        <w:t>（南宁市财政局官网）</w:t>
      </w:r>
      <w:r>
        <w:rPr>
          <w:rFonts w:ascii="宋体" w:hAnsi="宋体" w:eastAsia="宋体" w:cs="Times New Roman"/>
          <w:color w:val="auto"/>
          <w:kern w:val="2"/>
          <w:sz w:val="21"/>
          <w:szCs w:val="24"/>
          <w:highlight w:val="none"/>
          <w:lang w:val="en-US" w:eastAsia="zh-CN" w:bidi="ar-SA"/>
        </w:rPr>
        <w:t>-</w:t>
      </w:r>
      <w:r>
        <w:rPr>
          <w:rFonts w:hint="eastAsia" w:ascii="宋体" w:hAnsi="宋体" w:eastAsia="宋体" w:cs="Times New Roman"/>
          <w:color w:val="auto"/>
          <w:kern w:val="2"/>
          <w:sz w:val="21"/>
          <w:szCs w:val="24"/>
          <w:highlight w:val="none"/>
          <w:lang w:val="en-US" w:eastAsia="zh-CN" w:bidi="ar-SA"/>
        </w:rPr>
        <w:t>业务专题-政府采购监督管理-资料下载</w:t>
      </w:r>
      <w:r>
        <w:rPr>
          <w:rFonts w:ascii="宋体" w:hAnsi="宋体" w:eastAsia="宋体" w:cs="Times New Roman"/>
          <w:color w:val="auto"/>
          <w:kern w:val="2"/>
          <w:sz w:val="21"/>
          <w:szCs w:val="24"/>
          <w:highlight w:val="none"/>
          <w:lang w:val="en-US" w:eastAsia="zh-CN" w:bidi="ar-SA"/>
        </w:rPr>
        <w:t>-</w:t>
      </w:r>
      <w:r>
        <w:rPr>
          <w:rFonts w:hint="eastAsia" w:ascii="宋体" w:hAnsi="宋体" w:eastAsia="宋体" w:cs="Times New Roman"/>
          <w:color w:val="auto"/>
          <w:kern w:val="2"/>
          <w:sz w:val="21"/>
          <w:szCs w:val="24"/>
          <w:highlight w:val="none"/>
          <w:lang w:val="en-US" w:eastAsia="zh-CN" w:bidi="ar-SA"/>
        </w:rPr>
        <w:t>“广西政采云西部</w:t>
      </w:r>
      <w:r>
        <w:rPr>
          <w:rFonts w:ascii="宋体" w:hAnsi="宋体" w:eastAsia="宋体" w:cs="Times New Roman"/>
          <w:color w:val="auto"/>
          <w:kern w:val="2"/>
          <w:sz w:val="21"/>
          <w:szCs w:val="24"/>
          <w:highlight w:val="none"/>
          <w:lang w:val="en-US" w:eastAsia="zh-CN" w:bidi="ar-SA"/>
        </w:rPr>
        <w:t>CA</w:t>
      </w:r>
      <w:r>
        <w:rPr>
          <w:rFonts w:hint="eastAsia" w:ascii="宋体" w:hAnsi="宋体" w:eastAsia="宋体" w:cs="Times New Roman"/>
          <w:color w:val="auto"/>
          <w:kern w:val="2"/>
          <w:sz w:val="21"/>
          <w:szCs w:val="24"/>
          <w:highlight w:val="none"/>
          <w:lang w:val="en-US" w:eastAsia="zh-CN" w:bidi="ar-SA"/>
        </w:rPr>
        <w:t>办理方式”或“南宁市政采云</w:t>
      </w:r>
      <w:r>
        <w:rPr>
          <w:rFonts w:ascii="宋体" w:hAnsi="宋体" w:eastAsia="宋体" w:cs="Times New Roman"/>
          <w:color w:val="auto"/>
          <w:kern w:val="2"/>
          <w:sz w:val="21"/>
          <w:szCs w:val="24"/>
          <w:highlight w:val="none"/>
          <w:lang w:val="en-US" w:eastAsia="zh-CN" w:bidi="ar-SA"/>
        </w:rPr>
        <w:t>CA</w:t>
      </w:r>
      <w:r>
        <w:rPr>
          <w:rFonts w:hint="eastAsia" w:ascii="宋体" w:hAnsi="宋体" w:eastAsia="宋体" w:cs="Times New Roman"/>
          <w:color w:val="auto"/>
          <w:kern w:val="2"/>
          <w:sz w:val="21"/>
          <w:szCs w:val="24"/>
          <w:highlight w:val="none"/>
          <w:lang w:val="en-US" w:eastAsia="zh-CN" w:bidi="ar-SA"/>
        </w:rPr>
        <w:t>证书办理操作指南”）</w:t>
      </w:r>
    </w:p>
    <w:p w14:paraId="78B5CFA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kern w:val="2"/>
          <w:sz w:val="21"/>
          <w:szCs w:val="24"/>
          <w:highlight w:val="none"/>
          <w:lang w:val="en-US" w:eastAsia="zh-CN" w:bidi="ar-SA"/>
        </w:rPr>
        <w:t>2.电子响应文件制作与投送教程（在此网址下载：</w:t>
      </w:r>
      <w:r>
        <w:rPr>
          <w:rFonts w:ascii="Times New Roman" w:hAnsi="Times New Roman" w:eastAsia="宋体" w:cs="Times New Roman"/>
          <w:color w:val="auto"/>
          <w:kern w:val="2"/>
          <w:sz w:val="21"/>
          <w:szCs w:val="24"/>
          <w:highlight w:val="none"/>
          <w:lang w:val="en-US" w:eastAsia="zh-CN" w:bidi="ar-SA"/>
        </w:rPr>
        <w:fldChar w:fldCharType="begin"/>
      </w:r>
      <w:r>
        <w:rPr>
          <w:rFonts w:ascii="Times New Roman" w:hAnsi="Times New Roman" w:eastAsia="宋体" w:cs="Times New Roman"/>
          <w:color w:val="auto"/>
          <w:kern w:val="2"/>
          <w:sz w:val="21"/>
          <w:szCs w:val="24"/>
          <w:highlight w:val="none"/>
          <w:lang w:val="en-US" w:eastAsia="zh-CN" w:bidi="ar-SA"/>
        </w:rPr>
        <w:instrText xml:space="preserve"> HYPERLINK "http://nncz.nanning.gov.cn/" </w:instrText>
      </w:r>
      <w:r>
        <w:rPr>
          <w:rFonts w:ascii="Times New Roman" w:hAnsi="Times New Roman" w:eastAsia="宋体" w:cs="Times New Roman"/>
          <w:color w:val="auto"/>
          <w:kern w:val="2"/>
          <w:sz w:val="21"/>
          <w:szCs w:val="24"/>
          <w:highlight w:val="none"/>
          <w:lang w:val="en-US" w:eastAsia="zh-CN" w:bidi="ar-SA"/>
        </w:rPr>
        <w:fldChar w:fldCharType="separate"/>
      </w:r>
      <w:r>
        <w:rPr>
          <w:rStyle w:val="93"/>
          <w:rFonts w:ascii="宋体" w:hAnsi="宋体" w:eastAsia="宋体"/>
          <w:color w:val="auto"/>
          <w:kern w:val="2"/>
          <w:sz w:val="21"/>
          <w:szCs w:val="24"/>
          <w:highlight w:val="none"/>
          <w:lang w:val="en-US" w:eastAsia="zh-CN" w:bidi="ar-SA"/>
        </w:rPr>
        <w:t>http://nncz.nanning.gov.cn/</w:t>
      </w:r>
      <w:r>
        <w:rPr>
          <w:rFonts w:ascii="宋体" w:hAnsi="宋体" w:eastAsia="宋体" w:cs="Times New Roman"/>
          <w:color w:val="auto"/>
          <w:kern w:val="2"/>
          <w:sz w:val="21"/>
          <w:szCs w:val="24"/>
          <w:highlight w:val="none"/>
          <w:lang w:val="en-US" w:eastAsia="zh-CN" w:bidi="ar-SA"/>
        </w:rPr>
        <w:fldChar w:fldCharType="end"/>
      </w:r>
      <w:r>
        <w:rPr>
          <w:rFonts w:hint="eastAsia" w:ascii="宋体" w:hAnsi="宋体" w:eastAsia="宋体" w:cs="Times New Roman"/>
          <w:color w:val="auto"/>
          <w:kern w:val="2"/>
          <w:sz w:val="21"/>
          <w:szCs w:val="24"/>
          <w:highlight w:val="none"/>
          <w:lang w:val="en-US" w:eastAsia="zh-CN" w:bidi="ar-SA"/>
        </w:rPr>
        <w:t>（南宁市财政局官网）</w:t>
      </w:r>
      <w:r>
        <w:rPr>
          <w:rFonts w:ascii="宋体" w:hAnsi="宋体" w:eastAsia="宋体" w:cs="Times New Roman"/>
          <w:color w:val="auto"/>
          <w:kern w:val="2"/>
          <w:sz w:val="21"/>
          <w:szCs w:val="24"/>
          <w:highlight w:val="none"/>
          <w:lang w:val="en-US" w:eastAsia="zh-CN" w:bidi="ar-SA"/>
        </w:rPr>
        <w:t>-</w:t>
      </w:r>
      <w:r>
        <w:rPr>
          <w:rFonts w:hint="eastAsia" w:ascii="宋体" w:hAnsi="宋体" w:eastAsia="宋体" w:cs="Times New Roman"/>
          <w:color w:val="auto"/>
          <w:kern w:val="2"/>
          <w:sz w:val="21"/>
          <w:szCs w:val="24"/>
          <w:highlight w:val="none"/>
          <w:lang w:val="en-US" w:eastAsia="zh-CN" w:bidi="ar-SA"/>
        </w:rPr>
        <w:t>业务专题-政府采购监督管理-资料下载-南宁市政府采购项目全流程电子化交易操作指南）</w:t>
      </w:r>
    </w:p>
    <w:p w14:paraId="300D813A">
      <w:pPr>
        <w:pStyle w:val="11"/>
        <w:shd w:val="clear" w:color="auto"/>
        <w:spacing w:line="360" w:lineRule="auto"/>
        <w:ind w:firstLine="420" w:firstLineChars="200"/>
        <w:jc w:val="right"/>
        <w:rPr>
          <w:rFonts w:ascii="宋体" w:hAnsi="宋体" w:eastAsia="宋体" w:cs="Times New Roman"/>
          <w:color w:val="auto"/>
          <w:szCs w:val="21"/>
          <w:highlight w:val="none"/>
          <w:u w:val="single"/>
        </w:rPr>
      </w:pPr>
    </w:p>
    <w:p w14:paraId="1290BBCA">
      <w:pPr>
        <w:pStyle w:val="11"/>
        <w:shd w:val="clear" w:color="auto"/>
        <w:spacing w:line="360" w:lineRule="auto"/>
        <w:ind w:firstLine="420" w:firstLineChars="200"/>
        <w:jc w:val="right"/>
        <w:rPr>
          <w:rFonts w:hint="eastAsia" w:ascii="宋体" w:hAnsi="宋体" w:eastAsia="宋体" w:cs="Times New Roman"/>
          <w:color w:val="auto"/>
          <w:szCs w:val="21"/>
          <w:highlight w:val="none"/>
          <w:u w:val="none"/>
        </w:rPr>
      </w:pPr>
      <w:r>
        <w:rPr>
          <w:rFonts w:hint="eastAsia" w:ascii="宋体" w:hAnsi="宋体" w:eastAsia="宋体" w:cs="Times New Roman"/>
          <w:color w:val="auto"/>
          <w:szCs w:val="21"/>
          <w:highlight w:val="none"/>
          <w:u w:val="none"/>
        </w:rPr>
        <w:t>广西国力招标有限公司</w:t>
      </w:r>
    </w:p>
    <w:p w14:paraId="624BA0BF">
      <w:pPr>
        <w:shd w:val="clear" w:color="auto"/>
        <w:wordWrap w:val="0"/>
        <w:spacing w:line="360" w:lineRule="auto"/>
        <w:ind w:firstLine="420" w:firstLineChars="200"/>
        <w:jc w:val="right"/>
        <w:rPr>
          <w:rFonts w:ascii="宋体" w:hAnsi="宋体" w:eastAsia="宋体" w:cs="Times New Roman"/>
          <w:color w:val="auto"/>
          <w:sz w:val="32"/>
          <w:szCs w:val="32"/>
          <w:highlight w:val="none"/>
        </w:rPr>
      </w:pPr>
      <w:r>
        <w:rPr>
          <w:rFonts w:hint="eastAsia" w:ascii="宋体" w:hAnsi="宋体" w:eastAsia="宋体" w:cs="Times New Roman"/>
          <w:color w:val="auto"/>
          <w:szCs w:val="21"/>
          <w:highlight w:val="none"/>
          <w:u w:val="none"/>
          <w:lang w:eastAsia="zh-CN"/>
        </w:rPr>
        <w:t>2026年</w:t>
      </w:r>
      <w:r>
        <w:rPr>
          <w:rFonts w:hint="eastAsia" w:ascii="宋体" w:hAnsi="宋体" w:cs="Times New Roman"/>
          <w:color w:val="auto"/>
          <w:szCs w:val="21"/>
          <w:highlight w:val="none"/>
          <w:u w:val="none"/>
          <w:lang w:val="en-US" w:eastAsia="zh-CN"/>
        </w:rPr>
        <w:t>7</w:t>
      </w:r>
      <w:r>
        <w:rPr>
          <w:rFonts w:hint="eastAsia" w:ascii="宋体" w:hAnsi="宋体" w:eastAsia="宋体" w:cs="Times New Roman"/>
          <w:color w:val="auto"/>
          <w:szCs w:val="21"/>
          <w:highlight w:val="none"/>
          <w:u w:val="none"/>
          <w:lang w:val="en-US" w:eastAsia="zh-CN"/>
        </w:rPr>
        <w:t>月</w:t>
      </w:r>
      <w:r>
        <w:rPr>
          <w:rFonts w:hint="eastAsia" w:ascii="宋体" w:hAnsi="宋体" w:cs="Times New Roman"/>
          <w:color w:val="auto"/>
          <w:szCs w:val="21"/>
          <w:highlight w:val="none"/>
          <w:u w:val="none"/>
          <w:lang w:val="en-US" w:eastAsia="zh-CN"/>
        </w:rPr>
        <w:t>24</w:t>
      </w:r>
      <w:r>
        <w:rPr>
          <w:rFonts w:hint="eastAsia" w:ascii="宋体" w:hAnsi="宋体" w:eastAsia="宋体" w:cs="Times New Roman"/>
          <w:color w:val="auto"/>
          <w:szCs w:val="21"/>
          <w:highlight w:val="none"/>
          <w:u w:val="none"/>
        </w:rPr>
        <w:t>日</w:t>
      </w:r>
    </w:p>
    <w:p w14:paraId="7456522E">
      <w:pPr>
        <w:keepNext/>
        <w:keepLines/>
        <w:widowControl w:val="0"/>
        <w:shd w:val="clear" w:color="auto"/>
        <w:spacing w:before="180" w:after="180" w:line="240" w:lineRule="auto"/>
        <w:jc w:val="center"/>
        <w:outlineLvl w:val="0"/>
        <w:rPr>
          <w:rFonts w:hint="eastAsia" w:ascii="Times New Roman" w:hAnsi="Times New Roman" w:eastAsia="宋体" w:cs="Times New Roman"/>
          <w:b/>
          <w:bCs/>
          <w:color w:val="auto"/>
          <w:kern w:val="44"/>
          <w:sz w:val="32"/>
          <w:szCs w:val="44"/>
          <w:highlight w:val="none"/>
          <w:lang w:val="en-US" w:eastAsia="zh-CN" w:bidi="ar-SA"/>
        </w:rPr>
      </w:pPr>
      <w:bookmarkStart w:id="36" w:name="_Toc87898642"/>
      <w:r>
        <w:rPr>
          <w:rFonts w:hint="eastAsia" w:ascii="Cambria" w:hAnsi="Cambria" w:eastAsia="宋体" w:cs="Times New Roman"/>
          <w:b/>
          <w:bCs w:val="0"/>
          <w:color w:val="auto"/>
          <w:kern w:val="44"/>
          <w:sz w:val="32"/>
          <w:szCs w:val="32"/>
          <w:highlight w:val="none"/>
          <w:lang w:val="en-US" w:eastAsia="zh-CN" w:bidi="ar-SA"/>
        </w:rPr>
        <w:br w:type="page"/>
      </w:r>
      <w:r>
        <w:rPr>
          <w:rFonts w:hint="eastAsia" w:ascii="Cambria" w:hAnsi="Cambria" w:eastAsia="宋体" w:cs="Times New Roman"/>
          <w:b/>
          <w:bCs w:val="0"/>
          <w:color w:val="auto"/>
          <w:kern w:val="44"/>
          <w:sz w:val="32"/>
          <w:szCs w:val="32"/>
          <w:highlight w:val="none"/>
          <w:lang w:val="en-US" w:eastAsia="zh-CN" w:bidi="ar-SA"/>
        </w:rPr>
        <w:t>第二章 采购需求</w:t>
      </w:r>
      <w:bookmarkEnd w:id="36"/>
    </w:p>
    <w:p w14:paraId="3C29E095">
      <w:pPr>
        <w:shd w:val="clear" w:color="auto"/>
        <w:spacing w:line="48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4A40E62D">
      <w:pPr>
        <w:shd w:val="clear" w:color="auto"/>
        <w:spacing w:line="48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 xml:space="preserve"> 为落实政府采购政策需满足的要求</w:t>
      </w:r>
    </w:p>
    <w:p w14:paraId="33DA00A8">
      <w:pPr>
        <w:shd w:val="clear" w:color="auto"/>
        <w:spacing w:line="48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（1）本竞争性磋商采购文件所称中小企业必须符合《政府采购促进中小企业发展管理办法》（财库〔2020〕46号）的规定。</w:t>
      </w:r>
    </w:p>
    <w:p w14:paraId="5091A863">
      <w:pPr>
        <w:shd w:val="clear" w:color="auto"/>
        <w:spacing w:line="48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（2）工程项目中包含货物的，根据《财政部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28748F3C">
      <w:pPr>
        <w:shd w:val="clear" w:color="auto"/>
        <w:spacing w:line="480" w:lineRule="auto"/>
        <w:ind w:firstLine="411"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“实质性要求”是指采购需求中带“▲”的条款或者不能负偏离的条款或者已经指明不满足按响应文件作无效处理的条款。</w:t>
      </w:r>
    </w:p>
    <w:p w14:paraId="606BAF64">
      <w:pPr>
        <w:pStyle w:val="11"/>
        <w:shd w:val="clear" w:color="auto"/>
        <w:spacing w:line="48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highlight w:val="none"/>
        </w:rPr>
        <w:t>如投标人投标产品存在侵犯他人的知识产权或者专利成果行为的，应承担相应法律责任。</w:t>
      </w:r>
    </w:p>
    <w:p w14:paraId="3778BE57">
      <w:pPr>
        <w:shd w:val="clear" w:color="auto"/>
        <w:rPr>
          <w:rFonts w:hint="eastAsia" w:ascii="Times New Roman" w:hAnsi="Times New Roman" w:eastAsia="宋体" w:cs="Times New Roman"/>
          <w:color w:val="auto"/>
          <w:highlight w:val="none"/>
        </w:rPr>
      </w:pPr>
    </w:p>
    <w:tbl>
      <w:tblPr>
        <w:tblStyle w:val="27"/>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898"/>
        <w:gridCol w:w="466"/>
        <w:gridCol w:w="426"/>
        <w:gridCol w:w="5091"/>
        <w:gridCol w:w="1194"/>
        <w:gridCol w:w="926"/>
      </w:tblGrid>
      <w:tr w14:paraId="4F6676A5">
        <w:trPr>
          <w:trHeight w:val="454" w:hRule="atLeast"/>
        </w:trPr>
        <w:tc>
          <w:tcPr>
            <w:tcW w:w="5000" w:type="pct"/>
            <w:gridSpan w:val="8"/>
            <w:tcBorders>
              <w:tl2br w:val="nil"/>
              <w:tr2bl w:val="nil"/>
            </w:tcBorders>
            <w:noWrap w:val="0"/>
            <w:vAlign w:val="center"/>
          </w:tcPr>
          <w:p w14:paraId="01609820">
            <w:pPr>
              <w:shd w:val="clear" w:color="auto"/>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需求一览表</w:t>
            </w:r>
          </w:p>
        </w:tc>
      </w:tr>
      <w:tr w14:paraId="55E33AE4">
        <w:trPr>
          <w:trHeight w:val="454" w:hRule="atLeast"/>
        </w:trPr>
        <w:tc>
          <w:tcPr>
            <w:tcW w:w="831" w:type="pct"/>
            <w:gridSpan w:val="3"/>
            <w:tcBorders>
              <w:tl2br w:val="nil"/>
              <w:tr2bl w:val="nil"/>
            </w:tcBorders>
            <w:noWrap w:val="0"/>
            <w:vAlign w:val="center"/>
          </w:tcPr>
          <w:p w14:paraId="3D2375E1">
            <w:pPr>
              <w:shd w:val="clear" w:color="auto"/>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标段</w:t>
            </w:r>
          </w:p>
        </w:tc>
        <w:tc>
          <w:tcPr>
            <w:tcW w:w="4168" w:type="pct"/>
            <w:gridSpan w:val="5"/>
            <w:tcBorders>
              <w:tl2br w:val="nil"/>
              <w:tr2bl w:val="nil"/>
            </w:tcBorders>
            <w:noWrap w:val="0"/>
            <w:vAlign w:val="center"/>
          </w:tcPr>
          <w:p w14:paraId="5D7B4864">
            <w:pPr>
              <w:shd w:val="clear" w:color="auto"/>
              <w:spacing w:line="276" w:lineRule="auto"/>
              <w:jc w:val="left"/>
              <w:rPr>
                <w:rFonts w:hint="default" w:ascii="宋体" w:hAnsi="宋体" w:eastAsia="宋体" w:cs="宋体"/>
                <w:b w:val="0"/>
                <w:bCs w:val="0"/>
                <w:color w:val="auto"/>
                <w:szCs w:val="21"/>
                <w:highlight w:val="none"/>
                <w:lang w:val="en-US"/>
              </w:rPr>
            </w:pPr>
            <w:r>
              <w:rPr>
                <w:rFonts w:hint="eastAsia" w:ascii="宋体" w:hAnsi="宋体" w:eastAsia="宋体" w:cs="宋体"/>
                <w:b w:val="0"/>
                <w:bCs w:val="0"/>
                <w:color w:val="auto"/>
                <w:szCs w:val="21"/>
                <w:highlight w:val="none"/>
                <w:lang w:val="en-US" w:eastAsia="zh-CN"/>
              </w:rPr>
              <w:t>/</w:t>
            </w:r>
          </w:p>
        </w:tc>
      </w:tr>
      <w:tr w14:paraId="5D6DB676">
        <w:trPr>
          <w:trHeight w:val="454" w:hRule="atLeast"/>
        </w:trPr>
        <w:tc>
          <w:tcPr>
            <w:tcW w:w="173" w:type="pct"/>
            <w:vMerge w:val="restart"/>
            <w:tcBorders>
              <w:tl2br w:val="nil"/>
              <w:tr2bl w:val="nil"/>
            </w:tcBorders>
            <w:noWrap w:val="0"/>
            <w:vAlign w:val="center"/>
          </w:tcPr>
          <w:p w14:paraId="0B1AFE54">
            <w:pPr>
              <w:shd w:val="clear" w:color="auto"/>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采购清单及技术参数</w:t>
            </w:r>
          </w:p>
        </w:tc>
        <w:tc>
          <w:tcPr>
            <w:tcW w:w="173" w:type="pct"/>
            <w:tcBorders>
              <w:tl2br w:val="nil"/>
              <w:tr2bl w:val="nil"/>
            </w:tcBorders>
            <w:noWrap w:val="0"/>
            <w:vAlign w:val="center"/>
          </w:tcPr>
          <w:p w14:paraId="42AEB15E">
            <w:pPr>
              <w:shd w:val="clear" w:color="auto"/>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484" w:type="pct"/>
            <w:tcBorders>
              <w:tl2br w:val="nil"/>
              <w:tr2bl w:val="nil"/>
            </w:tcBorders>
            <w:noWrap w:val="0"/>
            <w:vAlign w:val="center"/>
          </w:tcPr>
          <w:p w14:paraId="038751C2">
            <w:pPr>
              <w:shd w:val="clear" w:color="auto"/>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211" w:type="pct"/>
            <w:tcBorders>
              <w:tl2br w:val="nil"/>
              <w:tr2bl w:val="nil"/>
            </w:tcBorders>
            <w:noWrap w:val="0"/>
            <w:vAlign w:val="center"/>
          </w:tcPr>
          <w:p w14:paraId="418B9F28">
            <w:pPr>
              <w:shd w:val="clear" w:color="auto"/>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211" w:type="pct"/>
            <w:tcBorders>
              <w:tl2br w:val="nil"/>
              <w:tr2bl w:val="nil"/>
            </w:tcBorders>
            <w:noWrap w:val="0"/>
            <w:vAlign w:val="center"/>
          </w:tcPr>
          <w:p w14:paraId="10E412BB">
            <w:pPr>
              <w:shd w:val="clear" w:color="auto"/>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2613" w:type="pct"/>
            <w:tcBorders>
              <w:tl2br w:val="nil"/>
              <w:tr2bl w:val="nil"/>
            </w:tcBorders>
            <w:noWrap w:val="0"/>
            <w:vAlign w:val="center"/>
          </w:tcPr>
          <w:p w14:paraId="079553FC">
            <w:pPr>
              <w:shd w:val="clear" w:color="auto"/>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技术需求</w:t>
            </w:r>
          </w:p>
        </w:tc>
        <w:tc>
          <w:tcPr>
            <w:tcW w:w="635" w:type="pct"/>
            <w:tcBorders>
              <w:tl2br w:val="nil"/>
              <w:tr2bl w:val="nil"/>
            </w:tcBorders>
            <w:noWrap w:val="0"/>
            <w:vAlign w:val="center"/>
          </w:tcPr>
          <w:p w14:paraId="4A0FB77A">
            <w:pPr>
              <w:shd w:val="clear" w:color="auto"/>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分项</w:t>
            </w:r>
            <w:r>
              <w:rPr>
                <w:rFonts w:hint="eastAsia" w:ascii="宋体" w:hAnsi="宋体" w:cs="宋体"/>
                <w:color w:val="auto"/>
                <w:szCs w:val="21"/>
                <w:highlight w:val="none"/>
                <w:lang w:val="en-US" w:eastAsia="zh-CN"/>
              </w:rPr>
              <w:t>最高限价</w:t>
            </w:r>
            <w:r>
              <w:rPr>
                <w:rFonts w:hint="eastAsia" w:ascii="宋体" w:hAnsi="宋体" w:eastAsia="宋体" w:cs="宋体"/>
                <w:color w:val="auto"/>
                <w:szCs w:val="21"/>
                <w:highlight w:val="none"/>
              </w:rPr>
              <w:t>（元）</w:t>
            </w:r>
          </w:p>
        </w:tc>
        <w:tc>
          <w:tcPr>
            <w:tcW w:w="496" w:type="pct"/>
            <w:tcBorders>
              <w:tl2br w:val="nil"/>
              <w:tr2bl w:val="nil"/>
            </w:tcBorders>
            <w:noWrap w:val="0"/>
            <w:vAlign w:val="center"/>
          </w:tcPr>
          <w:p w14:paraId="4D0F65D5">
            <w:pPr>
              <w:shd w:val="clear" w:color="auto"/>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中小企业划分标准所属行业名称（行业名称及划分见本章附件2）</w:t>
            </w:r>
          </w:p>
        </w:tc>
      </w:tr>
      <w:tr w14:paraId="6C3582C0">
        <w:trPr>
          <w:trHeight w:val="454" w:hRule="atLeast"/>
        </w:trPr>
        <w:tc>
          <w:tcPr>
            <w:tcW w:w="173" w:type="pct"/>
            <w:vMerge w:val="continue"/>
            <w:tcBorders>
              <w:tl2br w:val="nil"/>
              <w:tr2bl w:val="nil"/>
            </w:tcBorders>
            <w:noWrap w:val="0"/>
            <w:vAlign w:val="center"/>
          </w:tcPr>
          <w:p w14:paraId="4CADC94E">
            <w:pPr>
              <w:shd w:val="clear" w:color="auto"/>
              <w:spacing w:line="276" w:lineRule="auto"/>
              <w:jc w:val="center"/>
              <w:rPr>
                <w:rFonts w:hint="eastAsia" w:ascii="宋体" w:hAnsi="宋体" w:eastAsia="宋体" w:cs="宋体"/>
                <w:color w:val="auto"/>
                <w:szCs w:val="21"/>
                <w:highlight w:val="none"/>
              </w:rPr>
            </w:pPr>
          </w:p>
        </w:tc>
        <w:tc>
          <w:tcPr>
            <w:tcW w:w="173" w:type="pct"/>
            <w:tcBorders>
              <w:tl2br w:val="nil"/>
              <w:tr2bl w:val="nil"/>
            </w:tcBorders>
            <w:noWrap w:val="0"/>
            <w:vAlign w:val="center"/>
          </w:tcPr>
          <w:p w14:paraId="5F1173FC">
            <w:pPr>
              <w:shd w:val="clear" w:color="auto"/>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484" w:type="pct"/>
            <w:tcBorders>
              <w:tl2br w:val="nil"/>
              <w:tr2bl w:val="nil"/>
            </w:tcBorders>
            <w:noWrap w:val="0"/>
            <w:vAlign w:val="center"/>
          </w:tcPr>
          <w:p w14:paraId="1A48E756">
            <w:pPr>
              <w:shd w:val="clear" w:color="auto"/>
              <w:spacing w:line="40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南宁市西乡塘区银岭灌区维修养护工程</w:t>
            </w:r>
          </w:p>
        </w:tc>
        <w:tc>
          <w:tcPr>
            <w:tcW w:w="211" w:type="pct"/>
            <w:tcBorders>
              <w:tl2br w:val="nil"/>
              <w:tr2bl w:val="nil"/>
            </w:tcBorders>
            <w:noWrap w:val="0"/>
            <w:vAlign w:val="center"/>
          </w:tcPr>
          <w:p w14:paraId="34FABBFC">
            <w:pPr>
              <w:shd w:val="clear" w:color="auto"/>
              <w:snapToGrid w:val="0"/>
              <w:spacing w:line="400" w:lineRule="exact"/>
              <w:ind w:firstLine="39" w:firstLineChars="19"/>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w:t>
            </w:r>
          </w:p>
        </w:tc>
        <w:tc>
          <w:tcPr>
            <w:tcW w:w="211" w:type="pct"/>
            <w:tcBorders>
              <w:tl2br w:val="nil"/>
              <w:tr2bl w:val="nil"/>
            </w:tcBorders>
            <w:noWrap w:val="0"/>
            <w:vAlign w:val="center"/>
          </w:tcPr>
          <w:p w14:paraId="75DB387E">
            <w:pPr>
              <w:shd w:val="clear" w:color="auto"/>
              <w:snapToGrid w:val="0"/>
              <w:spacing w:line="400" w:lineRule="exact"/>
              <w:ind w:firstLine="39" w:firstLineChars="19"/>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613" w:type="pct"/>
            <w:tcBorders>
              <w:tl2br w:val="nil"/>
              <w:tr2bl w:val="nil"/>
            </w:tcBorders>
            <w:noWrap w:val="0"/>
            <w:vAlign w:val="top"/>
          </w:tcPr>
          <w:p w14:paraId="4E5081B6">
            <w:pPr>
              <w:shd w:val="clear" w:color="auto"/>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一、项目基本情况：</w:t>
            </w:r>
          </w:p>
          <w:p w14:paraId="21A03966">
            <w:pPr>
              <w:shd w:val="clear" w:color="auto"/>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1.项目名称：</w:t>
            </w:r>
            <w:r>
              <w:rPr>
                <w:rFonts w:hint="eastAsia" w:ascii="宋体" w:hAnsi="宋体" w:cs="宋体"/>
                <w:color w:val="auto"/>
                <w:szCs w:val="21"/>
                <w:highlight w:val="none"/>
                <w:lang w:eastAsia="zh-CN"/>
              </w:rPr>
              <w:t>南宁市西乡塘区银岭灌区维修养护工程</w:t>
            </w:r>
          </w:p>
          <w:p w14:paraId="36871B89">
            <w:pPr>
              <w:shd w:val="clear" w:color="auto"/>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建设内容</w:t>
            </w:r>
            <w:r>
              <w:rPr>
                <w:rFonts w:hint="eastAsia" w:ascii="宋体" w:hAnsi="宋体" w:eastAsia="宋体" w:cs="宋体"/>
                <w:color w:val="auto"/>
                <w:szCs w:val="21"/>
                <w:highlight w:val="none"/>
              </w:rPr>
              <w:t>：（1）清除渠道沿线两侧杂草、灌木约4174㎡；（2）渠道清淤约2754.6</w:t>
            </w:r>
            <w:r>
              <w:rPr>
                <w:rFonts w:hint="eastAsia" w:ascii="宋体" w:hAnsi="宋体" w:cs="宋体"/>
                <w:color w:val="auto"/>
                <w:szCs w:val="21"/>
                <w:highlight w:val="none"/>
                <w:lang w:val="en-US" w:eastAsia="zh-CN"/>
              </w:rPr>
              <w:t>立方米</w:t>
            </w:r>
            <w:r>
              <w:rPr>
                <w:rFonts w:hint="eastAsia" w:ascii="宋体" w:hAnsi="宋体" w:eastAsia="宋体" w:cs="宋体"/>
                <w:color w:val="auto"/>
                <w:szCs w:val="21"/>
                <w:highlight w:val="none"/>
              </w:rPr>
              <w:t>；（3）部分损毁渠道及水平撑拆除、重建；（4）新增部分渠道钢筋砼盖板；（5）渠道进口处新建格宾石笼护岸80m等，具体详见施工设计图。</w:t>
            </w:r>
          </w:p>
          <w:p w14:paraId="0C0A10D4">
            <w:pPr>
              <w:shd w:val="clear" w:color="auto"/>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招标范围</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包括招标</w:t>
            </w:r>
            <w:r>
              <w:rPr>
                <w:rFonts w:hint="eastAsia" w:ascii="宋体" w:hAnsi="宋体" w:eastAsia="宋体" w:cs="宋体"/>
                <w:color w:val="auto"/>
                <w:szCs w:val="21"/>
                <w:highlight w:val="none"/>
              </w:rPr>
              <w:t>工程量清单及</w:t>
            </w:r>
            <w:r>
              <w:rPr>
                <w:rFonts w:hint="eastAsia" w:ascii="宋体" w:hAnsi="宋体" w:cs="宋体"/>
                <w:color w:val="auto"/>
                <w:szCs w:val="21"/>
                <w:highlight w:val="none"/>
                <w:lang w:val="en-US" w:eastAsia="zh-CN"/>
              </w:rPr>
              <w:t>施工</w:t>
            </w:r>
            <w:r>
              <w:rPr>
                <w:rFonts w:hint="eastAsia" w:ascii="宋体" w:hAnsi="宋体" w:eastAsia="宋体" w:cs="宋体"/>
                <w:color w:val="auto"/>
                <w:szCs w:val="21"/>
                <w:highlight w:val="none"/>
              </w:rPr>
              <w:t>图纸</w:t>
            </w:r>
            <w:r>
              <w:rPr>
                <w:rFonts w:hint="eastAsia" w:ascii="宋体" w:hAnsi="宋体" w:cs="宋体"/>
                <w:color w:val="auto"/>
                <w:szCs w:val="21"/>
                <w:highlight w:val="none"/>
                <w:lang w:val="en-US" w:eastAsia="zh-CN"/>
              </w:rPr>
              <w:t>的所有内容</w:t>
            </w:r>
            <w:r>
              <w:rPr>
                <w:rFonts w:hint="eastAsia" w:ascii="宋体" w:hAnsi="宋体" w:eastAsia="宋体" w:cs="宋体"/>
                <w:color w:val="auto"/>
                <w:szCs w:val="21"/>
                <w:highlight w:val="none"/>
              </w:rPr>
              <w:t>。</w:t>
            </w:r>
          </w:p>
          <w:p w14:paraId="0B12852D">
            <w:pPr>
              <w:shd w:val="clear" w:color="auto"/>
              <w:spacing w:line="40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4.建设地点：</w:t>
            </w:r>
            <w:r>
              <w:rPr>
                <w:rFonts w:hint="eastAsia" w:ascii="宋体" w:hAnsi="宋体" w:cs="宋体"/>
                <w:color w:val="auto"/>
                <w:szCs w:val="21"/>
                <w:highlight w:val="none"/>
                <w:lang w:val="en-US" w:eastAsia="zh-CN"/>
              </w:rPr>
              <w:t>南宁市西乡塘区石埠街道</w:t>
            </w:r>
            <w:r>
              <w:rPr>
                <w:rFonts w:hint="eastAsia" w:ascii="宋体" w:hAnsi="宋体" w:eastAsia="宋体" w:cs="宋体"/>
                <w:color w:val="auto"/>
                <w:szCs w:val="21"/>
                <w:highlight w:val="none"/>
                <w:lang w:val="en-US" w:eastAsia="zh-CN"/>
              </w:rPr>
              <w:t>。</w:t>
            </w:r>
          </w:p>
          <w:p w14:paraId="311DB5FB">
            <w:pPr>
              <w:shd w:val="clear" w:color="auto"/>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r>
              <w:rPr>
                <w:rFonts w:hint="eastAsia" w:ascii="宋体" w:hAnsi="宋体" w:eastAsia="宋体" w:cs="宋体"/>
                <w:color w:val="auto"/>
                <w:szCs w:val="21"/>
                <w:highlight w:val="none"/>
                <w:lang w:val="en-US" w:eastAsia="zh-CN"/>
              </w:rPr>
              <w:t>发包方式：包工包料（固定单价合同）</w:t>
            </w:r>
          </w:p>
          <w:p w14:paraId="4A6D6053">
            <w:pPr>
              <w:shd w:val="clear" w:color="auto"/>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三、质量要求：符合设计图纸及国家、建设部现行有关标准、规范要求，工程质量达到国家及行业现行施工验收规范合格标准。</w:t>
            </w:r>
          </w:p>
          <w:p w14:paraId="66E9B7FD">
            <w:pPr>
              <w:shd w:val="clear" w:color="auto"/>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四、人员最低配备要求：供应商必须为本工程投入以下人员，拟投入的人员必须是本单位的在岗人员，并持有相应的执业资格证书，对相关人员的具体条件要求如下：</w:t>
            </w:r>
          </w:p>
          <w:p w14:paraId="5DED1464">
            <w:pPr>
              <w:shd w:val="clear" w:color="auto"/>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1.项目经理：持有</w:t>
            </w: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rPr>
              <w:t>级</w:t>
            </w:r>
            <w:r>
              <w:rPr>
                <w:rFonts w:hint="eastAsia" w:ascii="宋体" w:hAnsi="宋体" w:cs="宋体"/>
                <w:color w:val="auto"/>
                <w:szCs w:val="21"/>
                <w:highlight w:val="none"/>
                <w:lang w:val="en-US" w:eastAsia="zh-CN"/>
              </w:rPr>
              <w:t>及</w:t>
            </w:r>
            <w:r>
              <w:rPr>
                <w:rFonts w:hint="eastAsia" w:ascii="宋体" w:hAnsi="宋体" w:eastAsia="宋体" w:cs="宋体"/>
                <w:color w:val="auto"/>
                <w:szCs w:val="21"/>
                <w:highlight w:val="none"/>
              </w:rPr>
              <w:t>以上建造师注册证书，专业是</w:t>
            </w:r>
            <w:r>
              <w:rPr>
                <w:rFonts w:hint="eastAsia" w:ascii="宋体" w:hAnsi="宋体" w:cs="宋体"/>
                <w:color w:val="auto"/>
                <w:szCs w:val="21"/>
                <w:highlight w:val="none"/>
                <w:lang w:eastAsia="zh-CN"/>
              </w:rPr>
              <w:t>水利水电工程</w:t>
            </w:r>
            <w:r>
              <w:rPr>
                <w:rFonts w:hint="eastAsia" w:ascii="宋体" w:hAnsi="宋体" w:eastAsia="宋体" w:cs="宋体"/>
                <w:color w:val="auto"/>
                <w:szCs w:val="21"/>
                <w:highlight w:val="none"/>
              </w:rPr>
              <w:t>专业；持有安全生产考核合格证书（B证）。项目经理不得在任何在建工程中担任</w:t>
            </w:r>
            <w:r>
              <w:rPr>
                <w:rFonts w:hint="eastAsia" w:ascii="宋体" w:hAnsi="宋体" w:eastAsia="宋体" w:cs="宋体"/>
                <w:color w:val="auto"/>
                <w:szCs w:val="21"/>
                <w:highlight w:val="none"/>
                <w:lang w:val="en-US" w:eastAsia="zh-CN"/>
              </w:rPr>
              <w:t>项目经理</w:t>
            </w:r>
            <w:r>
              <w:rPr>
                <w:rFonts w:hint="eastAsia" w:ascii="宋体" w:hAnsi="宋体" w:eastAsia="宋体" w:cs="宋体"/>
                <w:color w:val="auto"/>
                <w:szCs w:val="21"/>
                <w:highlight w:val="none"/>
              </w:rPr>
              <w:t>职务。</w:t>
            </w:r>
          </w:p>
          <w:p w14:paraId="6D5320DD">
            <w:pPr>
              <w:shd w:val="clear" w:color="auto"/>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2.技术负责人：持有中级或以上技术职称，专业是</w:t>
            </w:r>
            <w:r>
              <w:rPr>
                <w:rFonts w:hint="eastAsia" w:ascii="宋体" w:hAnsi="宋体" w:cs="宋体"/>
                <w:color w:val="auto"/>
                <w:szCs w:val="21"/>
                <w:highlight w:val="none"/>
                <w:lang w:eastAsia="zh-CN"/>
              </w:rPr>
              <w:t>水利</w:t>
            </w:r>
            <w:r>
              <w:rPr>
                <w:rFonts w:hint="eastAsia" w:ascii="宋体" w:hAnsi="宋体" w:cs="宋体"/>
                <w:color w:val="auto"/>
                <w:szCs w:val="21"/>
                <w:highlight w:val="none"/>
                <w:lang w:val="en-US" w:eastAsia="zh-CN"/>
              </w:rPr>
              <w:t>相关</w:t>
            </w:r>
            <w:r>
              <w:rPr>
                <w:rFonts w:hint="eastAsia" w:ascii="宋体" w:hAnsi="宋体" w:eastAsia="宋体" w:cs="宋体"/>
                <w:color w:val="auto"/>
                <w:szCs w:val="21"/>
                <w:highlight w:val="none"/>
              </w:rPr>
              <w:t>专业（专业以技术职称证书所填写专业为准）。</w:t>
            </w:r>
          </w:p>
          <w:p w14:paraId="29DAD0F1">
            <w:pPr>
              <w:shd w:val="clear" w:color="auto"/>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3.质量员：持有有效的岗位资格证书。</w:t>
            </w:r>
          </w:p>
          <w:p w14:paraId="067E29FC">
            <w:pPr>
              <w:shd w:val="clear" w:color="auto"/>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4.安全员：持有有效的安全生产考核合格证书（C证）。</w:t>
            </w:r>
          </w:p>
          <w:p w14:paraId="181C5A26">
            <w:pPr>
              <w:shd w:val="clear" w:color="auto"/>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5.施工员：持有有效的岗位资格证书。</w:t>
            </w:r>
          </w:p>
        </w:tc>
        <w:tc>
          <w:tcPr>
            <w:tcW w:w="635" w:type="pct"/>
            <w:tcBorders>
              <w:tl2br w:val="nil"/>
              <w:tr2bl w:val="nil"/>
            </w:tcBorders>
            <w:noWrap w:val="0"/>
            <w:vAlign w:val="center"/>
          </w:tcPr>
          <w:p w14:paraId="43B3AD59">
            <w:pPr>
              <w:pStyle w:val="20"/>
              <w:shd w:val="clear" w:color="auto"/>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cs="Times New Roman"/>
                <w:color w:val="auto"/>
                <w:sz w:val="21"/>
                <w:szCs w:val="21"/>
                <w:highlight w:val="none"/>
                <w:lang w:val="en-US" w:eastAsia="zh-CN"/>
              </w:rPr>
              <w:t>666476.16</w:t>
            </w:r>
          </w:p>
        </w:tc>
        <w:tc>
          <w:tcPr>
            <w:tcW w:w="496" w:type="pct"/>
            <w:tcBorders>
              <w:tl2br w:val="nil"/>
              <w:tr2bl w:val="nil"/>
            </w:tcBorders>
            <w:noWrap w:val="0"/>
            <w:vAlign w:val="center"/>
          </w:tcPr>
          <w:p w14:paraId="0423D0BB">
            <w:pPr>
              <w:shd w:val="clear" w:color="auto"/>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建筑业</w:t>
            </w:r>
          </w:p>
        </w:tc>
      </w:tr>
      <w:tr w14:paraId="0F48F849">
        <w:trPr>
          <w:trHeight w:val="454" w:hRule="atLeast"/>
        </w:trPr>
        <w:tc>
          <w:tcPr>
            <w:tcW w:w="346" w:type="pct"/>
            <w:gridSpan w:val="2"/>
            <w:tcBorders>
              <w:tl2br w:val="nil"/>
              <w:tr2bl w:val="nil"/>
            </w:tcBorders>
            <w:noWrap w:val="0"/>
            <w:vAlign w:val="center"/>
          </w:tcPr>
          <w:p w14:paraId="163EB005">
            <w:pPr>
              <w:shd w:val="clear" w:color="auto"/>
              <w:spacing w:line="40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w:t>
            </w:r>
          </w:p>
          <w:p w14:paraId="42994DE3">
            <w:pPr>
              <w:shd w:val="clear" w:color="auto"/>
              <w:spacing w:line="40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务</w:t>
            </w:r>
          </w:p>
          <w:p w14:paraId="755936DF">
            <w:pPr>
              <w:shd w:val="clear" w:color="auto"/>
              <w:spacing w:line="40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w:t>
            </w:r>
          </w:p>
          <w:p w14:paraId="1F40809F">
            <w:pPr>
              <w:shd w:val="clear" w:color="auto"/>
              <w:spacing w:line="400" w:lineRule="exact"/>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款</w:t>
            </w:r>
          </w:p>
        </w:tc>
        <w:tc>
          <w:tcPr>
            <w:tcW w:w="4653" w:type="pct"/>
            <w:gridSpan w:val="6"/>
            <w:tcBorders>
              <w:tl2br w:val="nil"/>
              <w:tr2bl w:val="nil"/>
            </w:tcBorders>
            <w:noWrap w:val="0"/>
            <w:vAlign w:val="top"/>
          </w:tcPr>
          <w:p w14:paraId="46210BA6">
            <w:pPr>
              <w:shd w:val="clear" w:color="auto"/>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合同签订期：自成交通知书发出之日起</w:t>
            </w:r>
            <w:r>
              <w:rPr>
                <w:rFonts w:hint="eastAsia" w:ascii="宋体" w:hAnsi="宋体" w:eastAsia="宋体" w:cs="宋体"/>
                <w:color w:val="auto"/>
                <w:szCs w:val="21"/>
                <w:highlight w:val="none"/>
                <w:u w:val="none"/>
              </w:rPr>
              <w:t>25</w:t>
            </w:r>
            <w:r>
              <w:rPr>
                <w:rFonts w:hint="eastAsia" w:ascii="宋体" w:hAnsi="宋体" w:eastAsia="宋体" w:cs="宋体"/>
                <w:color w:val="auto"/>
                <w:szCs w:val="21"/>
                <w:highlight w:val="none"/>
              </w:rPr>
              <w:t>日内。</w:t>
            </w:r>
          </w:p>
          <w:p w14:paraId="12FAD273">
            <w:pPr>
              <w:shd w:val="clear" w:color="auto"/>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工期：</w:t>
            </w: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rPr>
              <w:t>日历天。</w:t>
            </w:r>
          </w:p>
          <w:p w14:paraId="48030625">
            <w:pPr>
              <w:shd w:val="clear" w:color="auto"/>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w:t>
            </w:r>
          </w:p>
          <w:p w14:paraId="007353B4">
            <w:pPr>
              <w:shd w:val="clear" w:color="auto"/>
              <w:spacing w:line="40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采用工程量清单报价，投标报价不得高于采购预算价，否则竞标无效。</w:t>
            </w:r>
          </w:p>
          <w:p w14:paraId="0840CFE9">
            <w:pPr>
              <w:shd w:val="clear" w:color="auto"/>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eastAsia="zh-CN"/>
              </w:rPr>
              <w:t>报价必须</w:t>
            </w:r>
            <w:r>
              <w:rPr>
                <w:rFonts w:hint="eastAsia" w:ascii="宋体" w:hAnsi="宋体" w:eastAsia="宋体" w:cs="宋体"/>
                <w:color w:val="auto"/>
                <w:spacing w:val="2"/>
                <w:szCs w:val="21"/>
                <w:highlight w:val="none"/>
                <w:lang w:eastAsia="zh-CN"/>
              </w:rPr>
              <w:t>包含</w:t>
            </w:r>
            <w:r>
              <w:rPr>
                <w:rFonts w:hint="eastAsia" w:ascii="宋体" w:hAnsi="宋体" w:eastAsia="宋体" w:cs="宋体"/>
                <w:color w:val="auto"/>
                <w:szCs w:val="21"/>
                <w:highlight w:val="none"/>
                <w:lang w:eastAsia="zh-CN"/>
              </w:rPr>
              <w:t>以下部分，包括：①满足本项目全部采购需求，包含投标服务、货物、工程的成本、运输（含保险）、安装（如有）、调试、检验、技术服务、培训等所有费用。②必要的保险费和各项税金（成交供应商需为该工程购买工程一切险）。</w:t>
            </w:r>
          </w:p>
          <w:p w14:paraId="40CADD3F">
            <w:pPr>
              <w:shd w:val="clear" w:color="auto"/>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本项目</w:t>
            </w:r>
            <w:r>
              <w:rPr>
                <w:rFonts w:hint="eastAsia" w:ascii="宋体" w:hAnsi="宋体" w:eastAsia="宋体" w:cs="宋体"/>
                <w:color w:val="auto"/>
                <w:spacing w:val="2"/>
                <w:szCs w:val="21"/>
                <w:highlight w:val="none"/>
                <w:lang w:eastAsia="zh-CN"/>
              </w:rPr>
              <w:t>采用</w:t>
            </w:r>
            <w:r>
              <w:rPr>
                <w:rFonts w:hint="eastAsia" w:ascii="宋体" w:hAnsi="宋体" w:eastAsia="宋体" w:cs="宋体"/>
                <w:color w:val="auto"/>
                <w:szCs w:val="21"/>
                <w:highlight w:val="none"/>
                <w:lang w:eastAsia="zh-CN"/>
              </w:rPr>
              <w:t>固定综合单价合同，工程量按实际结算，供应商工程量清单中项目的工程量无论增减，均按原单价结算。本工程最终结算价以审计部门等有关单位审定为准。</w:t>
            </w:r>
          </w:p>
          <w:p w14:paraId="310AE57D">
            <w:pPr>
              <w:shd w:val="clear" w:color="auto"/>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四</w:t>
            </w:r>
            <w:r>
              <w:rPr>
                <w:rFonts w:hint="eastAsia" w:ascii="宋体" w:hAnsi="宋体" w:eastAsia="宋体" w:cs="宋体"/>
                <w:color w:val="auto"/>
                <w:szCs w:val="21"/>
                <w:highlight w:val="none"/>
              </w:rPr>
              <w:t>、付款条件：</w:t>
            </w:r>
          </w:p>
          <w:p w14:paraId="26863C69">
            <w:pPr>
              <w:shd w:val="clear" w:color="auto"/>
              <w:spacing w:line="400" w:lineRule="exact"/>
              <w:ind w:firstLine="428" w:firstLineChars="200"/>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工程款原则上按月支付，合同内进度款支付限额为已完成工程量的80%，工程变更部分进度款支付限额为已完成工程量的60%；工程竣工验收达到质量要求，结算经审定并项目通过竣工验收，财政资金到位，工程款支付至结算总价的97%；工程通过竣工验收并且工程结算经南宁市财政或审计部门审定后，一次性扣留的质量保证金总额为工程价款结算总额的3%，待工程质量保修期满14天内无息退还。</w:t>
            </w:r>
          </w:p>
          <w:p w14:paraId="58532F46">
            <w:pPr>
              <w:shd w:val="clear" w:color="auto"/>
              <w:spacing w:line="40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五</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其他要求：</w:t>
            </w:r>
          </w:p>
          <w:p w14:paraId="435EFB83">
            <w:pPr>
              <w:shd w:val="clear" w:color="auto"/>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在未交付使用前，成交供应商应采取一切合理的预防措施，防止人员伤亡，财产损失，费用由成交供应商自行承担。</w:t>
            </w:r>
          </w:p>
          <w:p w14:paraId="3E452CB8">
            <w:pPr>
              <w:shd w:val="clear" w:color="auto"/>
              <w:spacing w:line="40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供应商如认为有必要进行现场踏勘的，可自行前往现场踏勘。供应商以考察目的进入采购人的项目现场，不得因此使采购人承担有关的责任和蒙受损失。供应商自行承担现场踏勘的责任和风险。</w:t>
            </w:r>
          </w:p>
          <w:p w14:paraId="62DE6B05">
            <w:pPr>
              <w:shd w:val="clear" w:color="auto"/>
              <w:adjustRightInd w:val="0"/>
              <w:spacing w:line="400" w:lineRule="exact"/>
              <w:ind w:left="6"/>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六</w:t>
            </w:r>
            <w:r>
              <w:rPr>
                <w:rFonts w:hint="eastAsia" w:ascii="宋体" w:hAnsi="宋体" w:eastAsia="宋体" w:cs="宋体"/>
                <w:color w:val="auto"/>
                <w:szCs w:val="21"/>
                <w:highlight w:val="none"/>
              </w:rPr>
              <w:t>、验收要求：按相关行政主管部门要求的程序组织；必须符合国家、自治区或南宁市相关的要求。</w:t>
            </w:r>
          </w:p>
        </w:tc>
      </w:tr>
    </w:tbl>
    <w:p w14:paraId="1C29F483">
      <w:pPr>
        <w:pStyle w:val="13"/>
        <w:shd w:val="clear" w:color="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color w:val="auto"/>
          <w:sz w:val="24"/>
          <w:szCs w:val="24"/>
          <w:highlight w:val="none"/>
        </w:rPr>
        <w:t>附件1：</w:t>
      </w:r>
    </w:p>
    <w:p w14:paraId="00781763">
      <w:pPr>
        <w:shd w:val="clear" w:color="auto"/>
        <w:spacing w:line="528" w:lineRule="exact"/>
        <w:jc w:val="center"/>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节能产品政府采购品目清单</w:t>
      </w:r>
    </w:p>
    <w:p w14:paraId="1DFD1B0A">
      <w:pPr>
        <w:widowControl/>
        <w:shd w:val="clear" w:color="auto"/>
        <w:jc w:val="left"/>
        <w:rPr>
          <w:rFonts w:hint="eastAsia" w:ascii="宋体" w:hAnsi="宋体" w:eastAsia="宋体" w:cs="宋体"/>
          <w:color w:val="auto"/>
          <w:kern w:val="0"/>
          <w:sz w:val="20"/>
          <w:szCs w:val="20"/>
          <w:highlight w:val="none"/>
        </w:rPr>
      </w:pP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190"/>
        <w:gridCol w:w="1620"/>
        <w:gridCol w:w="1724"/>
        <w:gridCol w:w="4633"/>
      </w:tblGrid>
      <w:tr w14:paraId="4530CA31">
        <w:trPr>
          <w:trHeight w:val="555" w:hRule="atLeast"/>
          <w:jc w:val="center"/>
        </w:trPr>
        <w:tc>
          <w:tcPr>
            <w:tcW w:w="347" w:type="pct"/>
            <w:noWrap w:val="0"/>
            <w:vAlign w:val="top"/>
          </w:tcPr>
          <w:p w14:paraId="0C8B449A">
            <w:pPr>
              <w:widowControl/>
              <w:shd w:val="clear" w:color="auto"/>
              <w:jc w:val="center"/>
              <w:rPr>
                <w:rFonts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品目序号</w:t>
            </w:r>
          </w:p>
        </w:tc>
        <w:tc>
          <w:tcPr>
            <w:tcW w:w="2301" w:type="pct"/>
            <w:gridSpan w:val="3"/>
            <w:noWrap w:val="0"/>
            <w:vAlign w:val="center"/>
          </w:tcPr>
          <w:p w14:paraId="79850009">
            <w:pPr>
              <w:widowControl/>
              <w:shd w:val="clear" w:color="auto"/>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名称</w:t>
            </w:r>
          </w:p>
        </w:tc>
        <w:tc>
          <w:tcPr>
            <w:tcW w:w="2351" w:type="pct"/>
            <w:noWrap w:val="0"/>
            <w:vAlign w:val="center"/>
          </w:tcPr>
          <w:p w14:paraId="10A31F90">
            <w:pPr>
              <w:widowControl/>
              <w:shd w:val="clear" w:color="auto"/>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依据的标准</w:t>
            </w:r>
          </w:p>
        </w:tc>
      </w:tr>
      <w:tr w14:paraId="2160BC80">
        <w:trPr>
          <w:trHeight w:val="495" w:hRule="atLeast"/>
          <w:jc w:val="center"/>
        </w:trPr>
        <w:tc>
          <w:tcPr>
            <w:tcW w:w="347" w:type="pct"/>
            <w:vMerge w:val="restart"/>
            <w:noWrap w:val="0"/>
            <w:vAlign w:val="center"/>
          </w:tcPr>
          <w:p w14:paraId="158CFE81">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604" w:type="pct"/>
            <w:vMerge w:val="restart"/>
            <w:noWrap w:val="0"/>
            <w:vAlign w:val="center"/>
          </w:tcPr>
          <w:p w14:paraId="70895F2E">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822" w:type="pct"/>
            <w:noWrap w:val="0"/>
            <w:vAlign w:val="center"/>
          </w:tcPr>
          <w:p w14:paraId="685FAEFE">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874" w:type="pct"/>
            <w:noWrap w:val="0"/>
            <w:vAlign w:val="center"/>
          </w:tcPr>
          <w:p w14:paraId="6681A6A1">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49A28F00">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674F8598">
        <w:trPr>
          <w:trHeight w:val="495" w:hRule="atLeast"/>
          <w:jc w:val="center"/>
        </w:trPr>
        <w:tc>
          <w:tcPr>
            <w:tcW w:w="347" w:type="pct"/>
            <w:vMerge w:val="continue"/>
            <w:noWrap w:val="0"/>
            <w:vAlign w:val="center"/>
          </w:tcPr>
          <w:p w14:paraId="0EE96EFF">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21DDCB86">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523F41BC">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874" w:type="pct"/>
            <w:noWrap w:val="0"/>
            <w:vAlign w:val="center"/>
          </w:tcPr>
          <w:p w14:paraId="5703FA11">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1C56B323">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7EAAC3BE">
        <w:trPr>
          <w:trHeight w:val="735" w:hRule="atLeast"/>
          <w:jc w:val="center"/>
        </w:trPr>
        <w:tc>
          <w:tcPr>
            <w:tcW w:w="347" w:type="pct"/>
            <w:vMerge w:val="continue"/>
            <w:noWrap w:val="0"/>
            <w:vAlign w:val="center"/>
          </w:tcPr>
          <w:p w14:paraId="2833CE41">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78A975CA">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28C8A8FB">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874" w:type="pct"/>
            <w:noWrap w:val="0"/>
            <w:vAlign w:val="center"/>
          </w:tcPr>
          <w:p w14:paraId="75B55C0B">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13253C44">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09F2C9EE">
        <w:trPr>
          <w:trHeight w:val="495" w:hRule="atLeast"/>
          <w:jc w:val="center"/>
        </w:trPr>
        <w:tc>
          <w:tcPr>
            <w:tcW w:w="347" w:type="pct"/>
            <w:vMerge w:val="restart"/>
            <w:noWrap w:val="0"/>
            <w:vAlign w:val="center"/>
          </w:tcPr>
          <w:p w14:paraId="06EDC21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604" w:type="pct"/>
            <w:vMerge w:val="restart"/>
            <w:noWrap w:val="0"/>
            <w:vAlign w:val="center"/>
          </w:tcPr>
          <w:p w14:paraId="77AC0537">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822" w:type="pct"/>
            <w:vMerge w:val="restart"/>
            <w:noWrap w:val="0"/>
            <w:vAlign w:val="center"/>
          </w:tcPr>
          <w:p w14:paraId="7267D9CD">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874" w:type="pct"/>
            <w:noWrap w:val="0"/>
            <w:vAlign w:val="center"/>
          </w:tcPr>
          <w:p w14:paraId="12EDFD1C">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2351" w:type="pct"/>
            <w:noWrap w:val="0"/>
            <w:vAlign w:val="center"/>
          </w:tcPr>
          <w:p w14:paraId="0C44F962">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3A950D73">
        <w:trPr>
          <w:trHeight w:val="495" w:hRule="atLeast"/>
          <w:jc w:val="center"/>
        </w:trPr>
        <w:tc>
          <w:tcPr>
            <w:tcW w:w="347" w:type="pct"/>
            <w:vMerge w:val="continue"/>
            <w:noWrap w:val="0"/>
            <w:vAlign w:val="center"/>
          </w:tcPr>
          <w:p w14:paraId="1334592D">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318640B6">
            <w:pPr>
              <w:widowControl/>
              <w:shd w:val="clear" w:color="auto"/>
              <w:jc w:val="left"/>
              <w:rPr>
                <w:rFonts w:ascii="宋体" w:hAnsi="宋体" w:eastAsia="宋体" w:cs="宋体"/>
                <w:color w:val="auto"/>
                <w:kern w:val="0"/>
                <w:sz w:val="20"/>
                <w:szCs w:val="20"/>
                <w:highlight w:val="none"/>
              </w:rPr>
            </w:pPr>
          </w:p>
        </w:tc>
        <w:tc>
          <w:tcPr>
            <w:tcW w:w="822" w:type="pct"/>
            <w:vMerge w:val="continue"/>
            <w:noWrap w:val="0"/>
            <w:vAlign w:val="center"/>
          </w:tcPr>
          <w:p w14:paraId="76EB3F14">
            <w:pPr>
              <w:widowControl/>
              <w:shd w:val="clear" w:color="auto"/>
              <w:jc w:val="left"/>
              <w:rPr>
                <w:rFonts w:ascii="宋体" w:hAnsi="宋体" w:eastAsia="宋体" w:cs="宋体"/>
                <w:color w:val="auto"/>
                <w:kern w:val="0"/>
                <w:sz w:val="20"/>
                <w:szCs w:val="20"/>
                <w:highlight w:val="none"/>
              </w:rPr>
            </w:pPr>
          </w:p>
        </w:tc>
        <w:tc>
          <w:tcPr>
            <w:tcW w:w="874" w:type="pct"/>
            <w:noWrap w:val="0"/>
            <w:vAlign w:val="center"/>
          </w:tcPr>
          <w:p w14:paraId="4FC36F7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2351" w:type="pct"/>
            <w:noWrap w:val="0"/>
            <w:vAlign w:val="center"/>
          </w:tcPr>
          <w:p w14:paraId="6D1472A9">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52840C5E">
        <w:trPr>
          <w:trHeight w:val="495" w:hRule="atLeast"/>
          <w:jc w:val="center"/>
        </w:trPr>
        <w:tc>
          <w:tcPr>
            <w:tcW w:w="347" w:type="pct"/>
            <w:vMerge w:val="continue"/>
            <w:noWrap w:val="0"/>
            <w:vAlign w:val="center"/>
          </w:tcPr>
          <w:p w14:paraId="34846859">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3B22E049">
            <w:pPr>
              <w:widowControl/>
              <w:shd w:val="clear" w:color="auto"/>
              <w:jc w:val="left"/>
              <w:rPr>
                <w:rFonts w:ascii="宋体" w:hAnsi="宋体" w:eastAsia="宋体" w:cs="宋体"/>
                <w:color w:val="auto"/>
                <w:kern w:val="0"/>
                <w:sz w:val="20"/>
                <w:szCs w:val="20"/>
                <w:highlight w:val="none"/>
              </w:rPr>
            </w:pPr>
          </w:p>
        </w:tc>
        <w:tc>
          <w:tcPr>
            <w:tcW w:w="822" w:type="pct"/>
            <w:vMerge w:val="continue"/>
            <w:noWrap w:val="0"/>
            <w:vAlign w:val="center"/>
          </w:tcPr>
          <w:p w14:paraId="4CB4DF59">
            <w:pPr>
              <w:widowControl/>
              <w:shd w:val="clear" w:color="auto"/>
              <w:jc w:val="left"/>
              <w:rPr>
                <w:rFonts w:ascii="宋体" w:hAnsi="宋体" w:eastAsia="宋体" w:cs="宋体"/>
                <w:color w:val="auto"/>
                <w:kern w:val="0"/>
                <w:sz w:val="20"/>
                <w:szCs w:val="20"/>
                <w:highlight w:val="none"/>
              </w:rPr>
            </w:pPr>
          </w:p>
        </w:tc>
        <w:tc>
          <w:tcPr>
            <w:tcW w:w="874" w:type="pct"/>
            <w:noWrap w:val="0"/>
            <w:vAlign w:val="center"/>
          </w:tcPr>
          <w:p w14:paraId="261CC199">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2351" w:type="pct"/>
            <w:noWrap w:val="0"/>
            <w:vAlign w:val="center"/>
          </w:tcPr>
          <w:p w14:paraId="34C1132D">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13C6C145">
        <w:trPr>
          <w:trHeight w:val="495" w:hRule="atLeast"/>
          <w:jc w:val="center"/>
        </w:trPr>
        <w:tc>
          <w:tcPr>
            <w:tcW w:w="347" w:type="pct"/>
            <w:vMerge w:val="continue"/>
            <w:noWrap w:val="0"/>
            <w:vAlign w:val="center"/>
          </w:tcPr>
          <w:p w14:paraId="56820D3F">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603A8E0F">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6788C0A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874" w:type="pct"/>
            <w:noWrap w:val="0"/>
            <w:vAlign w:val="center"/>
          </w:tcPr>
          <w:p w14:paraId="4D1B5277">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2351" w:type="pct"/>
            <w:noWrap w:val="0"/>
            <w:vAlign w:val="center"/>
          </w:tcPr>
          <w:p w14:paraId="63908772">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14:paraId="64B2E534">
        <w:trPr>
          <w:trHeight w:val="975" w:hRule="atLeast"/>
          <w:jc w:val="center"/>
        </w:trPr>
        <w:tc>
          <w:tcPr>
            <w:tcW w:w="347" w:type="pct"/>
            <w:vMerge w:val="continue"/>
            <w:noWrap w:val="0"/>
            <w:vAlign w:val="center"/>
          </w:tcPr>
          <w:p w14:paraId="7BEBABE5">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7C3BC9EE">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2032A1D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874" w:type="pct"/>
            <w:noWrap w:val="0"/>
            <w:vAlign w:val="center"/>
          </w:tcPr>
          <w:p w14:paraId="4B020050">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2351" w:type="pct"/>
            <w:noWrap w:val="0"/>
            <w:vAlign w:val="center"/>
          </w:tcPr>
          <w:p w14:paraId="43812595">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4737AFEC">
        <w:trPr>
          <w:trHeight w:val="495" w:hRule="atLeast"/>
          <w:jc w:val="center"/>
        </w:trPr>
        <w:tc>
          <w:tcPr>
            <w:tcW w:w="347" w:type="pct"/>
            <w:noWrap w:val="0"/>
            <w:vAlign w:val="center"/>
          </w:tcPr>
          <w:p w14:paraId="6EAC758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604" w:type="pct"/>
            <w:noWrap w:val="0"/>
            <w:vAlign w:val="center"/>
          </w:tcPr>
          <w:p w14:paraId="21D7EB2D">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822" w:type="pct"/>
            <w:noWrap w:val="0"/>
            <w:vAlign w:val="center"/>
          </w:tcPr>
          <w:p w14:paraId="0BBFD0A8">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874" w:type="pct"/>
            <w:noWrap w:val="0"/>
            <w:vAlign w:val="center"/>
          </w:tcPr>
          <w:p w14:paraId="6095E206">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25AD676B">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14:paraId="5F053076">
        <w:trPr>
          <w:trHeight w:val="495" w:hRule="atLeast"/>
          <w:jc w:val="center"/>
        </w:trPr>
        <w:tc>
          <w:tcPr>
            <w:tcW w:w="347" w:type="pct"/>
            <w:noWrap w:val="0"/>
            <w:vAlign w:val="center"/>
          </w:tcPr>
          <w:p w14:paraId="3C62DDD2">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604" w:type="pct"/>
            <w:noWrap w:val="0"/>
            <w:vAlign w:val="center"/>
          </w:tcPr>
          <w:p w14:paraId="1B636475">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822" w:type="pct"/>
            <w:noWrap w:val="0"/>
            <w:vAlign w:val="center"/>
          </w:tcPr>
          <w:p w14:paraId="46F7EE4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874" w:type="pct"/>
            <w:noWrap w:val="0"/>
            <w:vAlign w:val="center"/>
          </w:tcPr>
          <w:p w14:paraId="26073CB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2B119EFA">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230720D4">
        <w:trPr>
          <w:trHeight w:val="495" w:hRule="atLeast"/>
          <w:jc w:val="center"/>
        </w:trPr>
        <w:tc>
          <w:tcPr>
            <w:tcW w:w="347" w:type="pct"/>
            <w:noWrap w:val="0"/>
            <w:vAlign w:val="center"/>
          </w:tcPr>
          <w:p w14:paraId="2DDAF2E8">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604" w:type="pct"/>
            <w:noWrap w:val="0"/>
            <w:vAlign w:val="center"/>
          </w:tcPr>
          <w:p w14:paraId="2EC09BE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822" w:type="pct"/>
            <w:noWrap w:val="0"/>
            <w:vAlign w:val="center"/>
          </w:tcPr>
          <w:p w14:paraId="2DF08CA1">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874" w:type="pct"/>
            <w:noWrap w:val="0"/>
            <w:vAlign w:val="center"/>
          </w:tcPr>
          <w:p w14:paraId="0123C042">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5290512B">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14:paraId="22B9D950">
        <w:trPr>
          <w:trHeight w:val="735" w:hRule="atLeast"/>
          <w:jc w:val="center"/>
        </w:trPr>
        <w:tc>
          <w:tcPr>
            <w:tcW w:w="347" w:type="pct"/>
            <w:vMerge w:val="restart"/>
            <w:noWrap w:val="0"/>
            <w:vAlign w:val="center"/>
          </w:tcPr>
          <w:p w14:paraId="6AED45C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604" w:type="pct"/>
            <w:vMerge w:val="restart"/>
            <w:noWrap w:val="0"/>
            <w:vAlign w:val="center"/>
          </w:tcPr>
          <w:p w14:paraId="42D5AE8B">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822" w:type="pct"/>
            <w:vMerge w:val="restart"/>
            <w:noWrap w:val="0"/>
            <w:vAlign w:val="center"/>
          </w:tcPr>
          <w:p w14:paraId="7C063310">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874" w:type="pct"/>
            <w:noWrap w:val="0"/>
            <w:vAlign w:val="center"/>
          </w:tcPr>
          <w:p w14:paraId="58AE4662">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2351" w:type="pct"/>
            <w:noWrap w:val="0"/>
            <w:vAlign w:val="center"/>
          </w:tcPr>
          <w:p w14:paraId="0EBE32BD">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14:paraId="0C059225">
        <w:trPr>
          <w:trHeight w:val="495" w:hRule="atLeast"/>
          <w:jc w:val="center"/>
        </w:trPr>
        <w:tc>
          <w:tcPr>
            <w:tcW w:w="347" w:type="pct"/>
            <w:vMerge w:val="continue"/>
            <w:noWrap w:val="0"/>
            <w:vAlign w:val="center"/>
          </w:tcPr>
          <w:p w14:paraId="2804562C">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731271D2">
            <w:pPr>
              <w:widowControl/>
              <w:shd w:val="clear" w:color="auto"/>
              <w:jc w:val="left"/>
              <w:rPr>
                <w:rFonts w:ascii="宋体" w:hAnsi="宋体" w:eastAsia="宋体" w:cs="宋体"/>
                <w:color w:val="auto"/>
                <w:kern w:val="0"/>
                <w:sz w:val="20"/>
                <w:szCs w:val="20"/>
                <w:highlight w:val="none"/>
              </w:rPr>
            </w:pPr>
          </w:p>
        </w:tc>
        <w:tc>
          <w:tcPr>
            <w:tcW w:w="822" w:type="pct"/>
            <w:vMerge w:val="continue"/>
            <w:noWrap w:val="0"/>
            <w:vAlign w:val="center"/>
          </w:tcPr>
          <w:p w14:paraId="2E42F858">
            <w:pPr>
              <w:widowControl/>
              <w:shd w:val="clear" w:color="auto"/>
              <w:jc w:val="left"/>
              <w:rPr>
                <w:rFonts w:ascii="宋体" w:hAnsi="宋体" w:eastAsia="宋体" w:cs="宋体"/>
                <w:color w:val="auto"/>
                <w:kern w:val="0"/>
                <w:sz w:val="20"/>
                <w:szCs w:val="20"/>
                <w:highlight w:val="none"/>
              </w:rPr>
            </w:pPr>
          </w:p>
        </w:tc>
        <w:tc>
          <w:tcPr>
            <w:tcW w:w="874" w:type="pct"/>
            <w:noWrap w:val="0"/>
            <w:vAlign w:val="center"/>
          </w:tcPr>
          <w:p w14:paraId="49208347">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2351" w:type="pct"/>
            <w:noWrap w:val="0"/>
            <w:vAlign w:val="center"/>
          </w:tcPr>
          <w:p w14:paraId="1285B6ED">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14:paraId="53C63EAD">
        <w:trPr>
          <w:trHeight w:val="495" w:hRule="atLeast"/>
          <w:jc w:val="center"/>
        </w:trPr>
        <w:tc>
          <w:tcPr>
            <w:tcW w:w="347" w:type="pct"/>
            <w:vMerge w:val="continue"/>
            <w:noWrap w:val="0"/>
            <w:vAlign w:val="center"/>
          </w:tcPr>
          <w:p w14:paraId="36429E33">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3E883B53">
            <w:pPr>
              <w:widowControl/>
              <w:shd w:val="clear" w:color="auto"/>
              <w:jc w:val="left"/>
              <w:rPr>
                <w:rFonts w:ascii="宋体" w:hAnsi="宋体" w:eastAsia="宋体" w:cs="宋体"/>
                <w:color w:val="auto"/>
                <w:kern w:val="0"/>
                <w:sz w:val="20"/>
                <w:szCs w:val="20"/>
                <w:highlight w:val="none"/>
              </w:rPr>
            </w:pPr>
          </w:p>
        </w:tc>
        <w:tc>
          <w:tcPr>
            <w:tcW w:w="822" w:type="pct"/>
            <w:vMerge w:val="continue"/>
            <w:noWrap w:val="0"/>
            <w:vAlign w:val="center"/>
          </w:tcPr>
          <w:p w14:paraId="4169B381">
            <w:pPr>
              <w:widowControl/>
              <w:shd w:val="clear" w:color="auto"/>
              <w:jc w:val="left"/>
              <w:rPr>
                <w:rFonts w:ascii="宋体" w:hAnsi="宋体" w:eastAsia="宋体" w:cs="宋体"/>
                <w:color w:val="auto"/>
                <w:kern w:val="0"/>
                <w:sz w:val="20"/>
                <w:szCs w:val="20"/>
                <w:highlight w:val="none"/>
              </w:rPr>
            </w:pPr>
          </w:p>
        </w:tc>
        <w:tc>
          <w:tcPr>
            <w:tcW w:w="874" w:type="pct"/>
            <w:noWrap w:val="0"/>
            <w:vAlign w:val="center"/>
          </w:tcPr>
          <w:p w14:paraId="12175D4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2351" w:type="pct"/>
            <w:noWrap w:val="0"/>
            <w:vAlign w:val="center"/>
          </w:tcPr>
          <w:p w14:paraId="64857071">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14:paraId="371FAE81">
        <w:trPr>
          <w:trHeight w:val="735" w:hRule="atLeast"/>
          <w:jc w:val="center"/>
        </w:trPr>
        <w:tc>
          <w:tcPr>
            <w:tcW w:w="347" w:type="pct"/>
            <w:vMerge w:val="continue"/>
            <w:noWrap w:val="0"/>
            <w:vAlign w:val="center"/>
          </w:tcPr>
          <w:p w14:paraId="6F2F6AFF">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70D3C136">
            <w:pPr>
              <w:widowControl/>
              <w:shd w:val="clear" w:color="auto"/>
              <w:jc w:val="left"/>
              <w:rPr>
                <w:rFonts w:ascii="宋体" w:hAnsi="宋体" w:eastAsia="宋体" w:cs="宋体"/>
                <w:color w:val="auto"/>
                <w:kern w:val="0"/>
                <w:sz w:val="20"/>
                <w:szCs w:val="20"/>
                <w:highlight w:val="none"/>
              </w:rPr>
            </w:pPr>
          </w:p>
        </w:tc>
        <w:tc>
          <w:tcPr>
            <w:tcW w:w="822" w:type="pct"/>
            <w:vMerge w:val="restart"/>
            <w:noWrap w:val="0"/>
            <w:vAlign w:val="center"/>
          </w:tcPr>
          <w:p w14:paraId="37DDAE7D">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874" w:type="pct"/>
            <w:noWrap w:val="0"/>
            <w:vAlign w:val="center"/>
          </w:tcPr>
          <w:p w14:paraId="37B8C7A9">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2351" w:type="pct"/>
            <w:noWrap w:val="0"/>
            <w:vAlign w:val="center"/>
          </w:tcPr>
          <w:p w14:paraId="5446A169">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34945F2E">
        <w:trPr>
          <w:trHeight w:val="735" w:hRule="atLeast"/>
          <w:jc w:val="center"/>
        </w:trPr>
        <w:tc>
          <w:tcPr>
            <w:tcW w:w="347" w:type="pct"/>
            <w:vMerge w:val="continue"/>
            <w:noWrap w:val="0"/>
            <w:vAlign w:val="center"/>
          </w:tcPr>
          <w:p w14:paraId="4A6AE095">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692C43F9">
            <w:pPr>
              <w:widowControl/>
              <w:shd w:val="clear" w:color="auto"/>
              <w:jc w:val="left"/>
              <w:rPr>
                <w:rFonts w:ascii="宋体" w:hAnsi="宋体" w:eastAsia="宋体" w:cs="宋体"/>
                <w:color w:val="auto"/>
                <w:kern w:val="0"/>
                <w:sz w:val="20"/>
                <w:szCs w:val="20"/>
                <w:highlight w:val="none"/>
              </w:rPr>
            </w:pPr>
          </w:p>
        </w:tc>
        <w:tc>
          <w:tcPr>
            <w:tcW w:w="822" w:type="pct"/>
            <w:vMerge w:val="continue"/>
            <w:noWrap w:val="0"/>
            <w:vAlign w:val="center"/>
          </w:tcPr>
          <w:p w14:paraId="61E2A455">
            <w:pPr>
              <w:widowControl/>
              <w:shd w:val="clear" w:color="auto"/>
              <w:jc w:val="left"/>
              <w:rPr>
                <w:rFonts w:ascii="宋体" w:hAnsi="宋体" w:eastAsia="宋体" w:cs="宋体"/>
                <w:color w:val="auto"/>
                <w:kern w:val="0"/>
                <w:sz w:val="20"/>
                <w:szCs w:val="20"/>
                <w:highlight w:val="none"/>
              </w:rPr>
            </w:pPr>
          </w:p>
        </w:tc>
        <w:tc>
          <w:tcPr>
            <w:tcW w:w="874" w:type="pct"/>
            <w:noWrap w:val="0"/>
            <w:vAlign w:val="center"/>
          </w:tcPr>
          <w:p w14:paraId="2B2A86F7">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2351" w:type="pct"/>
            <w:noWrap w:val="0"/>
            <w:vAlign w:val="center"/>
          </w:tcPr>
          <w:p w14:paraId="1B650469">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14:paraId="16D18CAB">
        <w:trPr>
          <w:trHeight w:val="735" w:hRule="atLeast"/>
          <w:jc w:val="center"/>
        </w:trPr>
        <w:tc>
          <w:tcPr>
            <w:tcW w:w="347" w:type="pct"/>
            <w:vMerge w:val="continue"/>
            <w:noWrap w:val="0"/>
            <w:vAlign w:val="center"/>
          </w:tcPr>
          <w:p w14:paraId="337E3BA3">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79C7ED1E">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3E60E9A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874" w:type="pct"/>
            <w:noWrap w:val="0"/>
            <w:vAlign w:val="center"/>
          </w:tcPr>
          <w:p w14:paraId="23A8069C">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2351" w:type="pct"/>
            <w:noWrap w:val="0"/>
            <w:vAlign w:val="center"/>
          </w:tcPr>
          <w:p w14:paraId="6198EB26">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14:paraId="4D190B96">
        <w:trPr>
          <w:trHeight w:val="735" w:hRule="atLeast"/>
          <w:jc w:val="center"/>
        </w:trPr>
        <w:tc>
          <w:tcPr>
            <w:tcW w:w="347" w:type="pct"/>
            <w:vMerge w:val="continue"/>
            <w:noWrap w:val="0"/>
            <w:vAlign w:val="center"/>
          </w:tcPr>
          <w:p w14:paraId="512C7A49">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709611B5">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1F788A72">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874" w:type="pct"/>
            <w:noWrap w:val="0"/>
            <w:vAlign w:val="center"/>
          </w:tcPr>
          <w:p w14:paraId="71295CC1">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2351" w:type="pct"/>
            <w:noWrap w:val="0"/>
            <w:vAlign w:val="center"/>
          </w:tcPr>
          <w:p w14:paraId="39EAB91E">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14:paraId="475C3AE4">
        <w:trPr>
          <w:trHeight w:val="495" w:hRule="atLeast"/>
          <w:jc w:val="center"/>
        </w:trPr>
        <w:tc>
          <w:tcPr>
            <w:tcW w:w="347" w:type="pct"/>
            <w:noWrap w:val="0"/>
            <w:vAlign w:val="center"/>
          </w:tcPr>
          <w:p w14:paraId="13A8D1A0">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604" w:type="pct"/>
            <w:noWrap w:val="0"/>
            <w:vAlign w:val="center"/>
          </w:tcPr>
          <w:p w14:paraId="1D38F57D">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822" w:type="pct"/>
            <w:noWrap w:val="0"/>
            <w:vAlign w:val="center"/>
          </w:tcPr>
          <w:p w14:paraId="2ACB1BAC">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874" w:type="pct"/>
            <w:noWrap w:val="0"/>
            <w:vAlign w:val="center"/>
          </w:tcPr>
          <w:p w14:paraId="362BC5CD">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25ED5EDD">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14:paraId="73DBB20F">
        <w:trPr>
          <w:trHeight w:val="495" w:hRule="atLeast"/>
          <w:jc w:val="center"/>
        </w:trPr>
        <w:tc>
          <w:tcPr>
            <w:tcW w:w="347" w:type="pct"/>
            <w:noWrap w:val="0"/>
            <w:vAlign w:val="center"/>
          </w:tcPr>
          <w:p w14:paraId="285B9B58">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604" w:type="pct"/>
            <w:noWrap w:val="0"/>
            <w:vAlign w:val="center"/>
          </w:tcPr>
          <w:p w14:paraId="3E946983">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822" w:type="pct"/>
            <w:noWrap w:val="0"/>
            <w:vAlign w:val="center"/>
          </w:tcPr>
          <w:p w14:paraId="29B96B3E">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874" w:type="pct"/>
            <w:noWrap w:val="0"/>
            <w:vAlign w:val="center"/>
          </w:tcPr>
          <w:p w14:paraId="5DD3A45C">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5AEB4A94">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14:paraId="7CEEDB5F">
        <w:trPr>
          <w:trHeight w:val="495" w:hRule="atLeast"/>
          <w:jc w:val="center"/>
        </w:trPr>
        <w:tc>
          <w:tcPr>
            <w:tcW w:w="347" w:type="pct"/>
            <w:noWrap w:val="0"/>
            <w:vAlign w:val="center"/>
          </w:tcPr>
          <w:p w14:paraId="13406BAD">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604" w:type="pct"/>
            <w:noWrap w:val="0"/>
            <w:vAlign w:val="center"/>
          </w:tcPr>
          <w:p w14:paraId="3356437C">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822" w:type="pct"/>
            <w:noWrap w:val="0"/>
            <w:vAlign w:val="center"/>
          </w:tcPr>
          <w:p w14:paraId="71BEF9E7">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874" w:type="pct"/>
            <w:noWrap w:val="0"/>
            <w:vAlign w:val="center"/>
          </w:tcPr>
          <w:p w14:paraId="13C4F61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39D5D21E">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14:paraId="4F170848">
        <w:trPr>
          <w:trHeight w:val="495" w:hRule="atLeast"/>
          <w:jc w:val="center"/>
        </w:trPr>
        <w:tc>
          <w:tcPr>
            <w:tcW w:w="347" w:type="pct"/>
            <w:vMerge w:val="restart"/>
            <w:noWrap w:val="0"/>
            <w:vAlign w:val="center"/>
          </w:tcPr>
          <w:p w14:paraId="496BB162">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604" w:type="pct"/>
            <w:vMerge w:val="restart"/>
            <w:noWrap w:val="0"/>
            <w:vAlign w:val="center"/>
          </w:tcPr>
          <w:p w14:paraId="716A68A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822" w:type="pct"/>
            <w:noWrap w:val="0"/>
            <w:vAlign w:val="center"/>
          </w:tcPr>
          <w:p w14:paraId="0F46117C">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874" w:type="pct"/>
            <w:noWrap w:val="0"/>
            <w:vAlign w:val="center"/>
          </w:tcPr>
          <w:p w14:paraId="4CB562A7">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5232D2FC">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14:paraId="42DEAFFE">
        <w:trPr>
          <w:trHeight w:val="975" w:hRule="atLeast"/>
          <w:jc w:val="center"/>
        </w:trPr>
        <w:tc>
          <w:tcPr>
            <w:tcW w:w="347" w:type="pct"/>
            <w:vMerge w:val="continue"/>
            <w:noWrap w:val="0"/>
            <w:vAlign w:val="center"/>
          </w:tcPr>
          <w:p w14:paraId="21F892BD">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69141071">
            <w:pPr>
              <w:widowControl/>
              <w:shd w:val="clear" w:color="auto"/>
              <w:jc w:val="left"/>
              <w:rPr>
                <w:rFonts w:ascii="宋体" w:hAnsi="宋体" w:eastAsia="宋体" w:cs="宋体"/>
                <w:color w:val="auto"/>
                <w:kern w:val="0"/>
                <w:sz w:val="20"/>
                <w:szCs w:val="20"/>
                <w:highlight w:val="none"/>
              </w:rPr>
            </w:pPr>
          </w:p>
        </w:tc>
        <w:tc>
          <w:tcPr>
            <w:tcW w:w="822" w:type="pct"/>
            <w:vMerge w:val="restart"/>
            <w:noWrap w:val="0"/>
            <w:vAlign w:val="center"/>
          </w:tcPr>
          <w:p w14:paraId="1C9AC245">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874" w:type="pct"/>
            <w:noWrap w:val="0"/>
            <w:vAlign w:val="center"/>
          </w:tcPr>
          <w:p w14:paraId="4B29BE9D">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2351" w:type="pct"/>
            <w:noWrap w:val="0"/>
            <w:vAlign w:val="center"/>
          </w:tcPr>
          <w:p w14:paraId="2F47CB2B">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41031E65">
        <w:trPr>
          <w:trHeight w:val="735" w:hRule="atLeast"/>
          <w:jc w:val="center"/>
        </w:trPr>
        <w:tc>
          <w:tcPr>
            <w:tcW w:w="347" w:type="pct"/>
            <w:vMerge w:val="continue"/>
            <w:noWrap w:val="0"/>
            <w:vAlign w:val="center"/>
          </w:tcPr>
          <w:p w14:paraId="4FABB8B9">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7B3B971A">
            <w:pPr>
              <w:widowControl/>
              <w:shd w:val="clear" w:color="auto"/>
              <w:jc w:val="left"/>
              <w:rPr>
                <w:rFonts w:ascii="宋体" w:hAnsi="宋体" w:eastAsia="宋体" w:cs="宋体"/>
                <w:color w:val="auto"/>
                <w:kern w:val="0"/>
                <w:sz w:val="20"/>
                <w:szCs w:val="20"/>
                <w:highlight w:val="none"/>
              </w:rPr>
            </w:pPr>
          </w:p>
        </w:tc>
        <w:tc>
          <w:tcPr>
            <w:tcW w:w="822" w:type="pct"/>
            <w:vMerge w:val="continue"/>
            <w:noWrap w:val="0"/>
            <w:vAlign w:val="center"/>
          </w:tcPr>
          <w:p w14:paraId="6FD43CB1">
            <w:pPr>
              <w:widowControl/>
              <w:shd w:val="clear" w:color="auto"/>
              <w:jc w:val="left"/>
              <w:rPr>
                <w:rFonts w:ascii="宋体" w:hAnsi="宋体" w:eastAsia="宋体" w:cs="宋体"/>
                <w:color w:val="auto"/>
                <w:kern w:val="0"/>
                <w:sz w:val="20"/>
                <w:szCs w:val="20"/>
                <w:highlight w:val="none"/>
              </w:rPr>
            </w:pPr>
          </w:p>
        </w:tc>
        <w:tc>
          <w:tcPr>
            <w:tcW w:w="874" w:type="pct"/>
            <w:noWrap w:val="0"/>
            <w:vAlign w:val="center"/>
          </w:tcPr>
          <w:p w14:paraId="01EF5879">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2351" w:type="pct"/>
            <w:noWrap w:val="0"/>
            <w:vAlign w:val="center"/>
          </w:tcPr>
          <w:p w14:paraId="3C47D8F5">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4AE558C4">
        <w:trPr>
          <w:trHeight w:val="735" w:hRule="atLeast"/>
          <w:jc w:val="center"/>
        </w:trPr>
        <w:tc>
          <w:tcPr>
            <w:tcW w:w="347" w:type="pct"/>
            <w:vMerge w:val="continue"/>
            <w:noWrap w:val="0"/>
            <w:vAlign w:val="center"/>
          </w:tcPr>
          <w:p w14:paraId="42AE240F">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4B1A8AAC">
            <w:pPr>
              <w:widowControl/>
              <w:shd w:val="clear" w:color="auto"/>
              <w:jc w:val="left"/>
              <w:rPr>
                <w:rFonts w:ascii="宋体" w:hAnsi="宋体" w:eastAsia="宋体" w:cs="宋体"/>
                <w:color w:val="auto"/>
                <w:kern w:val="0"/>
                <w:sz w:val="20"/>
                <w:szCs w:val="20"/>
                <w:highlight w:val="none"/>
              </w:rPr>
            </w:pPr>
          </w:p>
        </w:tc>
        <w:tc>
          <w:tcPr>
            <w:tcW w:w="822" w:type="pct"/>
            <w:vMerge w:val="continue"/>
            <w:noWrap w:val="0"/>
            <w:vAlign w:val="center"/>
          </w:tcPr>
          <w:p w14:paraId="7F16AF86">
            <w:pPr>
              <w:widowControl/>
              <w:shd w:val="clear" w:color="auto"/>
              <w:jc w:val="left"/>
              <w:rPr>
                <w:rFonts w:ascii="宋体" w:hAnsi="宋体" w:eastAsia="宋体" w:cs="宋体"/>
                <w:color w:val="auto"/>
                <w:kern w:val="0"/>
                <w:sz w:val="20"/>
                <w:szCs w:val="20"/>
                <w:highlight w:val="none"/>
              </w:rPr>
            </w:pPr>
          </w:p>
        </w:tc>
        <w:tc>
          <w:tcPr>
            <w:tcW w:w="874" w:type="pct"/>
            <w:noWrap w:val="0"/>
            <w:vAlign w:val="center"/>
          </w:tcPr>
          <w:p w14:paraId="448FA402">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2351" w:type="pct"/>
            <w:noWrap w:val="0"/>
            <w:vAlign w:val="center"/>
          </w:tcPr>
          <w:p w14:paraId="624F8F57">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14:paraId="52AC2B82">
        <w:trPr>
          <w:trHeight w:val="495" w:hRule="atLeast"/>
          <w:jc w:val="center"/>
        </w:trPr>
        <w:tc>
          <w:tcPr>
            <w:tcW w:w="347" w:type="pct"/>
            <w:vMerge w:val="continue"/>
            <w:noWrap w:val="0"/>
            <w:vAlign w:val="center"/>
          </w:tcPr>
          <w:p w14:paraId="41D3F03A">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763B924B">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341AE955">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874" w:type="pct"/>
            <w:noWrap w:val="0"/>
            <w:vAlign w:val="center"/>
          </w:tcPr>
          <w:p w14:paraId="2FDCCE3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7E3DF0D6">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14:paraId="65374941">
        <w:trPr>
          <w:trHeight w:val="495" w:hRule="atLeast"/>
          <w:jc w:val="center"/>
        </w:trPr>
        <w:tc>
          <w:tcPr>
            <w:tcW w:w="347" w:type="pct"/>
            <w:vMerge w:val="continue"/>
            <w:noWrap w:val="0"/>
            <w:vAlign w:val="center"/>
          </w:tcPr>
          <w:p w14:paraId="4E9D29D7">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60232F18">
            <w:pPr>
              <w:widowControl/>
              <w:shd w:val="clear" w:color="auto"/>
              <w:jc w:val="left"/>
              <w:rPr>
                <w:rFonts w:ascii="宋体" w:hAnsi="宋体" w:eastAsia="宋体" w:cs="宋体"/>
                <w:color w:val="auto"/>
                <w:kern w:val="0"/>
                <w:sz w:val="20"/>
                <w:szCs w:val="20"/>
                <w:highlight w:val="none"/>
              </w:rPr>
            </w:pPr>
          </w:p>
        </w:tc>
        <w:tc>
          <w:tcPr>
            <w:tcW w:w="822" w:type="pct"/>
            <w:vMerge w:val="restart"/>
            <w:noWrap w:val="0"/>
            <w:vAlign w:val="center"/>
          </w:tcPr>
          <w:p w14:paraId="2DEB694B">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874" w:type="pct"/>
            <w:noWrap w:val="0"/>
            <w:vAlign w:val="center"/>
          </w:tcPr>
          <w:p w14:paraId="72428650">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2351" w:type="pct"/>
            <w:noWrap w:val="0"/>
            <w:vAlign w:val="center"/>
          </w:tcPr>
          <w:p w14:paraId="077B7F3C">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14:paraId="763248E3">
        <w:trPr>
          <w:trHeight w:val="495" w:hRule="atLeast"/>
          <w:jc w:val="center"/>
        </w:trPr>
        <w:tc>
          <w:tcPr>
            <w:tcW w:w="347" w:type="pct"/>
            <w:vMerge w:val="continue"/>
            <w:noWrap w:val="0"/>
            <w:vAlign w:val="center"/>
          </w:tcPr>
          <w:p w14:paraId="4D8322AE">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12E12D25">
            <w:pPr>
              <w:widowControl/>
              <w:shd w:val="clear" w:color="auto"/>
              <w:jc w:val="left"/>
              <w:rPr>
                <w:rFonts w:ascii="宋体" w:hAnsi="宋体" w:eastAsia="宋体" w:cs="宋体"/>
                <w:color w:val="auto"/>
                <w:kern w:val="0"/>
                <w:sz w:val="20"/>
                <w:szCs w:val="20"/>
                <w:highlight w:val="none"/>
              </w:rPr>
            </w:pPr>
          </w:p>
        </w:tc>
        <w:tc>
          <w:tcPr>
            <w:tcW w:w="822" w:type="pct"/>
            <w:vMerge w:val="continue"/>
            <w:noWrap w:val="0"/>
            <w:vAlign w:val="center"/>
          </w:tcPr>
          <w:p w14:paraId="04AC6873">
            <w:pPr>
              <w:widowControl/>
              <w:shd w:val="clear" w:color="auto"/>
              <w:jc w:val="left"/>
              <w:rPr>
                <w:rFonts w:ascii="宋体" w:hAnsi="宋体" w:eastAsia="宋体" w:cs="宋体"/>
                <w:color w:val="auto"/>
                <w:kern w:val="0"/>
                <w:sz w:val="20"/>
                <w:szCs w:val="20"/>
                <w:highlight w:val="none"/>
              </w:rPr>
            </w:pPr>
          </w:p>
        </w:tc>
        <w:tc>
          <w:tcPr>
            <w:tcW w:w="874" w:type="pct"/>
            <w:noWrap w:val="0"/>
            <w:vAlign w:val="center"/>
          </w:tcPr>
          <w:p w14:paraId="23FCD53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2351" w:type="pct"/>
            <w:noWrap w:val="0"/>
            <w:vAlign w:val="center"/>
          </w:tcPr>
          <w:p w14:paraId="09F3B451">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14:paraId="12EEB3B2">
        <w:trPr>
          <w:trHeight w:val="495" w:hRule="atLeast"/>
          <w:jc w:val="center"/>
        </w:trPr>
        <w:tc>
          <w:tcPr>
            <w:tcW w:w="347" w:type="pct"/>
            <w:vMerge w:val="continue"/>
            <w:noWrap w:val="0"/>
            <w:vAlign w:val="center"/>
          </w:tcPr>
          <w:p w14:paraId="78913E29">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740324C6">
            <w:pPr>
              <w:widowControl/>
              <w:shd w:val="clear" w:color="auto"/>
              <w:jc w:val="left"/>
              <w:rPr>
                <w:rFonts w:ascii="宋体" w:hAnsi="宋体" w:eastAsia="宋体" w:cs="宋体"/>
                <w:color w:val="auto"/>
                <w:kern w:val="0"/>
                <w:sz w:val="20"/>
                <w:szCs w:val="20"/>
                <w:highlight w:val="none"/>
              </w:rPr>
            </w:pPr>
          </w:p>
        </w:tc>
        <w:tc>
          <w:tcPr>
            <w:tcW w:w="822" w:type="pct"/>
            <w:vMerge w:val="continue"/>
            <w:noWrap w:val="0"/>
            <w:vAlign w:val="center"/>
          </w:tcPr>
          <w:p w14:paraId="098BC95B">
            <w:pPr>
              <w:widowControl/>
              <w:shd w:val="clear" w:color="auto"/>
              <w:jc w:val="left"/>
              <w:rPr>
                <w:rFonts w:ascii="宋体" w:hAnsi="宋体" w:eastAsia="宋体" w:cs="宋体"/>
                <w:color w:val="auto"/>
                <w:kern w:val="0"/>
                <w:sz w:val="20"/>
                <w:szCs w:val="20"/>
                <w:highlight w:val="none"/>
              </w:rPr>
            </w:pPr>
          </w:p>
        </w:tc>
        <w:tc>
          <w:tcPr>
            <w:tcW w:w="874" w:type="pct"/>
            <w:noWrap w:val="0"/>
            <w:vAlign w:val="center"/>
          </w:tcPr>
          <w:p w14:paraId="40B4972C">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2351" w:type="pct"/>
            <w:noWrap w:val="0"/>
            <w:vAlign w:val="center"/>
          </w:tcPr>
          <w:p w14:paraId="73B75775">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14:paraId="2067280E">
        <w:trPr>
          <w:trHeight w:val="495" w:hRule="atLeast"/>
          <w:jc w:val="center"/>
        </w:trPr>
        <w:tc>
          <w:tcPr>
            <w:tcW w:w="347" w:type="pct"/>
            <w:vMerge w:val="continue"/>
            <w:noWrap w:val="0"/>
            <w:vAlign w:val="center"/>
          </w:tcPr>
          <w:p w14:paraId="45CC6E9E">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39650216">
            <w:pPr>
              <w:widowControl/>
              <w:shd w:val="clear" w:color="auto"/>
              <w:jc w:val="left"/>
              <w:rPr>
                <w:rFonts w:ascii="宋体" w:hAnsi="宋体" w:eastAsia="宋体" w:cs="宋体"/>
                <w:color w:val="auto"/>
                <w:kern w:val="0"/>
                <w:sz w:val="20"/>
                <w:szCs w:val="20"/>
                <w:highlight w:val="none"/>
              </w:rPr>
            </w:pPr>
          </w:p>
        </w:tc>
        <w:tc>
          <w:tcPr>
            <w:tcW w:w="822" w:type="pct"/>
            <w:vMerge w:val="continue"/>
            <w:noWrap w:val="0"/>
            <w:vAlign w:val="center"/>
          </w:tcPr>
          <w:p w14:paraId="3DE76E64">
            <w:pPr>
              <w:widowControl/>
              <w:shd w:val="clear" w:color="auto"/>
              <w:jc w:val="left"/>
              <w:rPr>
                <w:rFonts w:ascii="宋体" w:hAnsi="宋体" w:eastAsia="宋体" w:cs="宋体"/>
                <w:color w:val="auto"/>
                <w:kern w:val="0"/>
                <w:sz w:val="20"/>
                <w:szCs w:val="20"/>
                <w:highlight w:val="none"/>
              </w:rPr>
            </w:pPr>
          </w:p>
        </w:tc>
        <w:tc>
          <w:tcPr>
            <w:tcW w:w="874" w:type="pct"/>
            <w:noWrap w:val="0"/>
            <w:vAlign w:val="center"/>
          </w:tcPr>
          <w:p w14:paraId="412F68A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2351" w:type="pct"/>
            <w:noWrap w:val="0"/>
            <w:vAlign w:val="center"/>
          </w:tcPr>
          <w:p w14:paraId="441F7C6E">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14:paraId="4DF6202E">
        <w:trPr>
          <w:trHeight w:val="495" w:hRule="atLeast"/>
          <w:jc w:val="center"/>
        </w:trPr>
        <w:tc>
          <w:tcPr>
            <w:tcW w:w="347" w:type="pct"/>
            <w:vMerge w:val="restart"/>
            <w:noWrap w:val="0"/>
            <w:vAlign w:val="center"/>
          </w:tcPr>
          <w:p w14:paraId="65548989">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604" w:type="pct"/>
            <w:vMerge w:val="restart"/>
            <w:noWrap w:val="0"/>
            <w:vAlign w:val="center"/>
          </w:tcPr>
          <w:p w14:paraId="42C53889">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822" w:type="pct"/>
            <w:noWrap w:val="0"/>
            <w:vAlign w:val="center"/>
          </w:tcPr>
          <w:p w14:paraId="24B26DE5">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874" w:type="pct"/>
            <w:noWrap w:val="0"/>
            <w:vAlign w:val="center"/>
          </w:tcPr>
          <w:p w14:paraId="373D4BA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075D9F2F">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14:paraId="1A8D0D8B">
        <w:trPr>
          <w:trHeight w:val="495" w:hRule="atLeast"/>
          <w:jc w:val="center"/>
        </w:trPr>
        <w:tc>
          <w:tcPr>
            <w:tcW w:w="347" w:type="pct"/>
            <w:vMerge w:val="continue"/>
            <w:noWrap w:val="0"/>
            <w:vAlign w:val="center"/>
          </w:tcPr>
          <w:p w14:paraId="3F8EFF8B">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0F2F9A0B">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624B0991">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874" w:type="pct"/>
            <w:noWrap w:val="0"/>
            <w:vAlign w:val="center"/>
          </w:tcPr>
          <w:p w14:paraId="190A1BC7">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1BDBB512">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14:paraId="74A383AF">
        <w:trPr>
          <w:trHeight w:val="495" w:hRule="atLeast"/>
          <w:jc w:val="center"/>
        </w:trPr>
        <w:tc>
          <w:tcPr>
            <w:tcW w:w="347" w:type="pct"/>
            <w:vMerge w:val="continue"/>
            <w:noWrap w:val="0"/>
            <w:vAlign w:val="center"/>
          </w:tcPr>
          <w:p w14:paraId="6ECD38B5">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7C580511">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75EFCC1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874" w:type="pct"/>
            <w:noWrap w:val="0"/>
            <w:vAlign w:val="center"/>
          </w:tcPr>
          <w:p w14:paraId="2AB60330">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066F07DD">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33BE0912">
        <w:trPr>
          <w:trHeight w:val="735" w:hRule="atLeast"/>
          <w:jc w:val="center"/>
        </w:trPr>
        <w:tc>
          <w:tcPr>
            <w:tcW w:w="347" w:type="pct"/>
            <w:vMerge w:val="continue"/>
            <w:noWrap w:val="0"/>
            <w:vAlign w:val="center"/>
          </w:tcPr>
          <w:p w14:paraId="082D0048">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6F0EF984">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261F4AE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874" w:type="pct"/>
            <w:noWrap w:val="0"/>
            <w:vAlign w:val="center"/>
          </w:tcPr>
          <w:p w14:paraId="4BE2E4EB">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0D0A30B3">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348FE2AF">
        <w:trPr>
          <w:trHeight w:val="735" w:hRule="atLeast"/>
          <w:jc w:val="center"/>
        </w:trPr>
        <w:tc>
          <w:tcPr>
            <w:tcW w:w="347" w:type="pct"/>
            <w:noWrap w:val="0"/>
            <w:vAlign w:val="center"/>
          </w:tcPr>
          <w:p w14:paraId="292D8179">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604" w:type="pct"/>
            <w:noWrap w:val="0"/>
            <w:vAlign w:val="center"/>
          </w:tcPr>
          <w:p w14:paraId="3E468029">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822" w:type="pct"/>
            <w:noWrap w:val="0"/>
            <w:vAlign w:val="center"/>
          </w:tcPr>
          <w:p w14:paraId="35A01070">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874" w:type="pct"/>
            <w:noWrap w:val="0"/>
            <w:vAlign w:val="center"/>
          </w:tcPr>
          <w:p w14:paraId="400B3DFE">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29755D1E">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14:paraId="7A68A422">
        <w:trPr>
          <w:trHeight w:val="975" w:hRule="atLeast"/>
          <w:jc w:val="center"/>
        </w:trPr>
        <w:tc>
          <w:tcPr>
            <w:tcW w:w="347" w:type="pct"/>
            <w:noWrap w:val="0"/>
            <w:vAlign w:val="center"/>
          </w:tcPr>
          <w:p w14:paraId="71982848">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604" w:type="pct"/>
            <w:noWrap w:val="0"/>
            <w:vAlign w:val="center"/>
          </w:tcPr>
          <w:p w14:paraId="7C218BFE">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822" w:type="pct"/>
            <w:noWrap w:val="0"/>
            <w:vAlign w:val="center"/>
          </w:tcPr>
          <w:p w14:paraId="599D1F9B">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874" w:type="pct"/>
            <w:noWrap w:val="0"/>
            <w:vAlign w:val="center"/>
          </w:tcPr>
          <w:p w14:paraId="6B1D2972">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2351" w:type="pct"/>
            <w:noWrap w:val="0"/>
            <w:vAlign w:val="center"/>
          </w:tcPr>
          <w:p w14:paraId="7EBED02F">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427713BB">
        <w:trPr>
          <w:trHeight w:val="495" w:hRule="atLeast"/>
          <w:jc w:val="center"/>
        </w:trPr>
        <w:tc>
          <w:tcPr>
            <w:tcW w:w="347" w:type="pct"/>
            <w:noWrap w:val="0"/>
            <w:vAlign w:val="center"/>
          </w:tcPr>
          <w:p w14:paraId="278236A1">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604" w:type="pct"/>
            <w:noWrap w:val="0"/>
            <w:vAlign w:val="center"/>
          </w:tcPr>
          <w:p w14:paraId="27378FF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822" w:type="pct"/>
            <w:noWrap w:val="0"/>
            <w:vAlign w:val="center"/>
          </w:tcPr>
          <w:p w14:paraId="4DA2CF08">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874" w:type="pct"/>
            <w:noWrap w:val="0"/>
            <w:vAlign w:val="center"/>
          </w:tcPr>
          <w:p w14:paraId="262F9945">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4AF0583E">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14:paraId="358B7EF5">
        <w:trPr>
          <w:trHeight w:val="285" w:hRule="atLeast"/>
          <w:jc w:val="center"/>
        </w:trPr>
        <w:tc>
          <w:tcPr>
            <w:tcW w:w="347" w:type="pct"/>
            <w:vMerge w:val="restart"/>
            <w:noWrap w:val="0"/>
            <w:vAlign w:val="center"/>
          </w:tcPr>
          <w:p w14:paraId="17EB588C">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604" w:type="pct"/>
            <w:vMerge w:val="restart"/>
            <w:noWrap w:val="0"/>
            <w:vAlign w:val="center"/>
          </w:tcPr>
          <w:p w14:paraId="12B91C7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822" w:type="pct"/>
            <w:noWrap w:val="0"/>
            <w:vAlign w:val="center"/>
          </w:tcPr>
          <w:p w14:paraId="45AF5721">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874" w:type="pct"/>
            <w:noWrap w:val="0"/>
            <w:vAlign w:val="center"/>
          </w:tcPr>
          <w:p w14:paraId="18E62911">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2DAB2813">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14:paraId="24FFF239">
        <w:trPr>
          <w:trHeight w:val="495" w:hRule="atLeast"/>
          <w:jc w:val="center"/>
        </w:trPr>
        <w:tc>
          <w:tcPr>
            <w:tcW w:w="347" w:type="pct"/>
            <w:vMerge w:val="continue"/>
            <w:noWrap w:val="0"/>
            <w:vAlign w:val="center"/>
          </w:tcPr>
          <w:p w14:paraId="6A4185A1">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0325615E">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0C8B6770">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874" w:type="pct"/>
            <w:noWrap w:val="0"/>
            <w:vAlign w:val="center"/>
          </w:tcPr>
          <w:p w14:paraId="7EC55FA2">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248F652B">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14:paraId="6AADC15D">
        <w:trPr>
          <w:trHeight w:val="495" w:hRule="atLeast"/>
          <w:jc w:val="center"/>
        </w:trPr>
        <w:tc>
          <w:tcPr>
            <w:tcW w:w="347" w:type="pct"/>
            <w:vMerge w:val="continue"/>
            <w:noWrap w:val="0"/>
            <w:vAlign w:val="center"/>
          </w:tcPr>
          <w:p w14:paraId="116ED203">
            <w:pPr>
              <w:widowControl/>
              <w:shd w:val="clear" w:color="auto"/>
              <w:jc w:val="left"/>
              <w:rPr>
                <w:rFonts w:ascii="宋体" w:hAnsi="宋体" w:eastAsia="宋体" w:cs="宋体"/>
                <w:color w:val="auto"/>
                <w:kern w:val="0"/>
                <w:sz w:val="20"/>
                <w:szCs w:val="20"/>
                <w:highlight w:val="none"/>
              </w:rPr>
            </w:pPr>
          </w:p>
        </w:tc>
        <w:tc>
          <w:tcPr>
            <w:tcW w:w="604" w:type="pct"/>
            <w:vMerge w:val="continue"/>
            <w:noWrap w:val="0"/>
            <w:vAlign w:val="center"/>
          </w:tcPr>
          <w:p w14:paraId="676F73DC">
            <w:pPr>
              <w:widowControl/>
              <w:shd w:val="clear" w:color="auto"/>
              <w:jc w:val="left"/>
              <w:rPr>
                <w:rFonts w:ascii="宋体" w:hAnsi="宋体" w:eastAsia="宋体" w:cs="宋体"/>
                <w:color w:val="auto"/>
                <w:kern w:val="0"/>
                <w:sz w:val="20"/>
                <w:szCs w:val="20"/>
                <w:highlight w:val="none"/>
              </w:rPr>
            </w:pPr>
          </w:p>
        </w:tc>
        <w:tc>
          <w:tcPr>
            <w:tcW w:w="822" w:type="pct"/>
            <w:noWrap w:val="0"/>
            <w:vAlign w:val="center"/>
          </w:tcPr>
          <w:p w14:paraId="5A3B2C97">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874" w:type="pct"/>
            <w:noWrap w:val="0"/>
            <w:vAlign w:val="center"/>
          </w:tcPr>
          <w:p w14:paraId="0E5E3FE2">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1DAF75B5">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14:paraId="35336E5D">
        <w:trPr>
          <w:trHeight w:val="495" w:hRule="atLeast"/>
          <w:jc w:val="center"/>
        </w:trPr>
        <w:tc>
          <w:tcPr>
            <w:tcW w:w="347" w:type="pct"/>
            <w:noWrap w:val="0"/>
            <w:vAlign w:val="center"/>
          </w:tcPr>
          <w:p w14:paraId="3174406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604" w:type="pct"/>
            <w:noWrap w:val="0"/>
            <w:vAlign w:val="center"/>
          </w:tcPr>
          <w:p w14:paraId="5445F5B7">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822" w:type="pct"/>
            <w:noWrap w:val="0"/>
            <w:vAlign w:val="center"/>
          </w:tcPr>
          <w:p w14:paraId="6D52470B">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874" w:type="pct"/>
            <w:noWrap w:val="0"/>
            <w:vAlign w:val="center"/>
          </w:tcPr>
          <w:p w14:paraId="274F929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1719A472">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14:paraId="64150724">
        <w:trPr>
          <w:trHeight w:val="495" w:hRule="atLeast"/>
          <w:jc w:val="center"/>
        </w:trPr>
        <w:tc>
          <w:tcPr>
            <w:tcW w:w="347" w:type="pct"/>
            <w:noWrap w:val="0"/>
            <w:vAlign w:val="center"/>
          </w:tcPr>
          <w:p w14:paraId="4AF2709E">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604" w:type="pct"/>
            <w:noWrap w:val="0"/>
            <w:vAlign w:val="center"/>
          </w:tcPr>
          <w:p w14:paraId="1565598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822" w:type="pct"/>
            <w:noWrap w:val="0"/>
            <w:vAlign w:val="center"/>
          </w:tcPr>
          <w:p w14:paraId="08A9989A">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874" w:type="pct"/>
            <w:noWrap w:val="0"/>
            <w:vAlign w:val="center"/>
          </w:tcPr>
          <w:p w14:paraId="11C32EDF">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5DB449C5">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14:paraId="2EF23EAC">
        <w:trPr>
          <w:trHeight w:val="495" w:hRule="atLeast"/>
          <w:jc w:val="center"/>
        </w:trPr>
        <w:tc>
          <w:tcPr>
            <w:tcW w:w="347" w:type="pct"/>
            <w:noWrap w:val="0"/>
            <w:vAlign w:val="center"/>
          </w:tcPr>
          <w:p w14:paraId="68D7A18C">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604" w:type="pct"/>
            <w:noWrap w:val="0"/>
            <w:vAlign w:val="center"/>
          </w:tcPr>
          <w:p w14:paraId="77DE7CB4">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822" w:type="pct"/>
            <w:noWrap w:val="0"/>
            <w:vAlign w:val="center"/>
          </w:tcPr>
          <w:p w14:paraId="5D681A26">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874" w:type="pct"/>
            <w:noWrap w:val="0"/>
            <w:vAlign w:val="center"/>
          </w:tcPr>
          <w:p w14:paraId="343D064D">
            <w:pPr>
              <w:widowControl/>
              <w:shd w:val="clear" w:color="auto"/>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2351" w:type="pct"/>
            <w:noWrap w:val="0"/>
            <w:vAlign w:val="center"/>
          </w:tcPr>
          <w:p w14:paraId="4640FED8">
            <w:pPr>
              <w:widowControl/>
              <w:shd w:val="clear" w:color="auto"/>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14:paraId="67A92D1E">
      <w:pPr>
        <w:shd w:val="clear" w:color="auto"/>
        <w:rPr>
          <w:rFonts w:hint="eastAsia" w:ascii="宋体" w:hAnsi="宋体" w:eastAsia="宋体" w:cs="宋体"/>
          <w:color w:val="auto"/>
          <w:kern w:val="0"/>
          <w:sz w:val="20"/>
          <w:szCs w:val="20"/>
          <w:highlight w:val="none"/>
        </w:rPr>
      </w:pPr>
    </w:p>
    <w:p w14:paraId="66325C67">
      <w:pPr>
        <w:pStyle w:val="13"/>
        <w:shd w:val="clear" w:color="auto"/>
        <w:spacing w:line="360" w:lineRule="auto"/>
        <w:rPr>
          <w:rFonts w:hint="eastAsia" w:ascii="宋体" w:hAnsi="宋体" w:eastAsia="宋体" w:cs="Times New Roman"/>
          <w:color w:val="auto"/>
          <w:szCs w:val="21"/>
          <w:highlight w:val="none"/>
        </w:rPr>
      </w:pPr>
      <w:r>
        <w:rPr>
          <w:rFonts w:hint="eastAsia" w:ascii="Times New Roman" w:hAnsi="Times New Roman" w:eastAsia="宋体" w:cs="Times New Roman"/>
          <w:color w:val="auto"/>
          <w:spacing w:val="-3"/>
          <w:szCs w:val="21"/>
          <w:highlight w:val="none"/>
        </w:rPr>
        <w:t>注：1.节能产品认证应依据相关国家标准的最新版本，依据国家标准中二级能效（水效）</w:t>
      </w:r>
      <w:r>
        <w:rPr>
          <w:rFonts w:hint="eastAsia" w:ascii="Times New Roman" w:hAnsi="Times New Roman" w:eastAsia="宋体" w:cs="Times New Roman"/>
          <w:color w:val="auto"/>
          <w:szCs w:val="21"/>
          <w:highlight w:val="none"/>
        </w:rPr>
        <w:t>指标。</w:t>
      </w:r>
    </w:p>
    <w:p w14:paraId="66650425">
      <w:pPr>
        <w:pStyle w:val="13"/>
        <w:shd w:val="clear" w:color="auto"/>
        <w:spacing w:line="360" w:lineRule="auto"/>
        <w:rPr>
          <w:rFonts w:hint="eastAsia" w:ascii="Times New Roman" w:hAnsi="Times New Roman" w:eastAsia="宋体" w:cs="Times New Roman"/>
          <w:b/>
          <w:bCs/>
          <w:color w:val="auto"/>
          <w:szCs w:val="21"/>
          <w:highlight w:val="none"/>
        </w:rPr>
      </w:pPr>
      <w:r>
        <w:rPr>
          <w:rFonts w:hint="eastAsia" w:ascii="宋体" w:hAnsi="宋体"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2</w:t>
      </w:r>
      <w:r>
        <w:rPr>
          <w:rFonts w:ascii="Times New Roman" w:hAnsi="Times New Roman" w:eastAsia="宋体" w:cs="Times New Roman"/>
          <w:b/>
          <w:bCs/>
          <w:color w:val="auto"/>
          <w:szCs w:val="21"/>
          <w:highlight w:val="none"/>
        </w:rPr>
        <w:t>.</w:t>
      </w:r>
      <w:r>
        <w:rPr>
          <w:rFonts w:hint="eastAsia" w:ascii="Times New Roman" w:hAnsi="Times New Roman" w:eastAsia="宋体" w:cs="Times New Roman"/>
          <w:b/>
          <w:bCs/>
          <w:color w:val="auto"/>
          <w:szCs w:val="21"/>
          <w:highlight w:val="none"/>
        </w:rPr>
        <w:t>以</w:t>
      </w:r>
      <w:r>
        <w:rPr>
          <w:rFonts w:ascii="Times New Roman" w:hAnsi="Times New Roman" w:eastAsia="宋体" w:cs="Times New Roman"/>
          <w:b/>
          <w:bCs/>
          <w:color w:val="auto"/>
          <w:szCs w:val="21"/>
          <w:highlight w:val="none"/>
        </w:rPr>
        <w:t>“</w:t>
      </w:r>
      <w:r>
        <w:rPr>
          <w:rFonts w:hint="eastAsia" w:ascii="Times New Roman" w:hAnsi="Times New Roman" w:eastAsia="宋体" w:cs="Times New Roman"/>
          <w:b/>
          <w:bCs/>
          <w:color w:val="auto"/>
          <w:szCs w:val="21"/>
          <w:highlight w:val="none"/>
        </w:rPr>
        <w:t>★</w:t>
      </w:r>
      <w:r>
        <w:rPr>
          <w:rFonts w:ascii="Times New Roman" w:hAnsi="Times New Roman" w:eastAsia="宋体" w:cs="Times New Roman"/>
          <w:b/>
          <w:bCs/>
          <w:color w:val="auto"/>
          <w:szCs w:val="21"/>
          <w:highlight w:val="none"/>
        </w:rPr>
        <w:t>”</w:t>
      </w:r>
      <w:r>
        <w:rPr>
          <w:rFonts w:hint="eastAsia" w:ascii="Times New Roman" w:hAnsi="Times New Roman" w:eastAsia="宋体" w:cs="Times New Roman"/>
          <w:b/>
          <w:bCs/>
          <w:color w:val="auto"/>
          <w:szCs w:val="21"/>
          <w:highlight w:val="none"/>
        </w:rPr>
        <w:t>标注的为政府强制采购产品。</w:t>
      </w:r>
    </w:p>
    <w:p w14:paraId="4BA62C0E">
      <w:pPr>
        <w:shd w:val="clear" w:color="auto"/>
        <w:jc w:val="left"/>
        <w:rPr>
          <w:rFonts w:hint="eastAsia" w:ascii="Arial Unicode MS" w:hAnsi="Arial Unicode MS" w:eastAsia="Arial Unicode MS" w:cs="Arial Unicode MS"/>
          <w:color w:val="auto"/>
          <w:sz w:val="32"/>
          <w:szCs w:val="32"/>
          <w:highlight w:val="none"/>
        </w:rPr>
        <w:sectPr>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p>
    <w:p w14:paraId="5A168F8B">
      <w:pPr>
        <w:widowControl w:val="0"/>
        <w:shd w:val="clear" w:color="auto"/>
        <w:jc w:val="left"/>
        <w:rPr>
          <w:rFonts w:hint="eastAsia" w:ascii="Arial Unicode MS" w:hAnsi="Arial Unicode MS" w:eastAsia="Arial Unicode MS" w:cs="Arial Unicode MS"/>
          <w:color w:val="auto"/>
          <w:kern w:val="0"/>
          <w:sz w:val="32"/>
          <w:szCs w:val="32"/>
          <w:highlight w:val="none"/>
          <w:lang w:val="en-US" w:eastAsia="zh-CN" w:bidi="ar-SA"/>
        </w:rPr>
      </w:pPr>
      <w:r>
        <w:rPr>
          <w:rFonts w:hint="eastAsia" w:ascii="Arial Unicode MS" w:hAnsi="Arial Unicode MS" w:eastAsia="Arial Unicode MS" w:cs="Arial Unicode MS"/>
          <w:color w:val="auto"/>
          <w:kern w:val="0"/>
          <w:sz w:val="32"/>
          <w:szCs w:val="32"/>
          <w:highlight w:val="none"/>
          <w:lang w:val="en-US" w:eastAsia="zh-CN" w:bidi="ar-SA"/>
        </w:rPr>
        <w:t>附件2：</w:t>
      </w:r>
    </w:p>
    <w:p w14:paraId="759C3BD2">
      <w:pPr>
        <w:keepNext w:val="0"/>
        <w:keepLines w:val="0"/>
        <w:pageBreakBefore w:val="0"/>
        <w:widowControl w:val="0"/>
        <w:shd w:val="clear" w:color="auto"/>
        <w:kinsoku/>
        <w:wordWrap/>
        <w:overflowPunct/>
        <w:topLinePunct w:val="0"/>
        <w:autoSpaceDE/>
        <w:autoSpaceDN/>
        <w:bidi w:val="0"/>
        <w:adjustRightInd/>
        <w:snapToGrid/>
        <w:spacing w:line="440" w:lineRule="exact"/>
        <w:ind w:left="0"/>
        <w:jc w:val="center"/>
        <w:textAlignment w:val="auto"/>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tbl>
      <w:tblPr>
        <w:tblStyle w:val="27"/>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0894D409">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056E0833">
            <w:pPr>
              <w:widowControl/>
              <w:shd w:val="clear" w:color="auto"/>
              <w:jc w:val="center"/>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3B1CE84D">
            <w:pPr>
              <w:widowControl/>
              <w:shd w:val="clear" w:color="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70744B75">
            <w:pPr>
              <w:widowControl/>
              <w:shd w:val="clear" w:color="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62A7FEC0">
            <w:pPr>
              <w:widowControl/>
              <w:shd w:val="clear" w:color="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26568C8F">
            <w:pPr>
              <w:widowControl/>
              <w:shd w:val="clear" w:color="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78751986">
            <w:pPr>
              <w:widowControl/>
              <w:shd w:val="clear" w:color="auto"/>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3C95F2DC">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D7D7D7"/>
            <w:noWrap w:val="0"/>
            <w:vAlign w:val="center"/>
          </w:tcPr>
          <w:p w14:paraId="07C5A071">
            <w:pPr>
              <w:widowControl/>
              <w:shd w:val="clear" w:color="auto"/>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shd w:val="clear" w:color="auto" w:fill="D7D7D7"/>
            <w:noWrap w:val="0"/>
            <w:vAlign w:val="center"/>
          </w:tcPr>
          <w:p w14:paraId="5C14613D">
            <w:pPr>
              <w:widowControl/>
              <w:shd w:val="clear" w:color="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shd w:val="clear" w:color="auto" w:fill="D7D7D7"/>
            <w:noWrap w:val="0"/>
            <w:vAlign w:val="center"/>
          </w:tcPr>
          <w:p w14:paraId="573BB1FE">
            <w:pPr>
              <w:widowControl/>
              <w:shd w:val="clear" w:color="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shd w:val="clear" w:color="auto" w:fill="D7D7D7"/>
            <w:noWrap w:val="0"/>
            <w:vAlign w:val="center"/>
          </w:tcPr>
          <w:p w14:paraId="7FFC3CDB">
            <w:pPr>
              <w:widowControl/>
              <w:shd w:val="clear" w:color="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701" w:type="dxa"/>
            <w:tcBorders>
              <w:top w:val="nil"/>
              <w:left w:val="nil"/>
              <w:bottom w:val="single" w:color="auto" w:sz="4" w:space="0"/>
              <w:right w:val="single" w:color="auto" w:sz="4" w:space="0"/>
            </w:tcBorders>
            <w:shd w:val="clear" w:color="auto" w:fill="D7D7D7"/>
            <w:noWrap w:val="0"/>
            <w:vAlign w:val="center"/>
          </w:tcPr>
          <w:p w14:paraId="2E6F00A0">
            <w:pPr>
              <w:widowControl/>
              <w:shd w:val="clear" w:color="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134" w:type="dxa"/>
            <w:tcBorders>
              <w:top w:val="nil"/>
              <w:left w:val="nil"/>
              <w:bottom w:val="single" w:color="auto" w:sz="4" w:space="0"/>
              <w:right w:val="single" w:color="auto" w:sz="4" w:space="0"/>
            </w:tcBorders>
            <w:shd w:val="clear" w:color="auto" w:fill="D7D7D7"/>
            <w:noWrap w:val="0"/>
            <w:vAlign w:val="center"/>
          </w:tcPr>
          <w:p w14:paraId="3E34A531">
            <w:pPr>
              <w:widowControl/>
              <w:shd w:val="clear" w:color="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16F854A9">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D7D7D7"/>
            <w:noWrap w:val="0"/>
            <w:vAlign w:val="center"/>
          </w:tcPr>
          <w:p w14:paraId="4F3DBE82">
            <w:pPr>
              <w:widowControl/>
              <w:shd w:val="clear" w:color="auto"/>
              <w:jc w:val="center"/>
              <w:rPr>
                <w:rFonts w:ascii="仿宋_GB2312" w:hAnsi="仿宋" w:eastAsia="仿宋_GB2312" w:cs="宋体"/>
                <w:b/>
                <w:bCs/>
                <w:color w:val="auto"/>
                <w:kern w:val="0"/>
                <w:sz w:val="18"/>
                <w:szCs w:val="18"/>
                <w:highlight w:val="none"/>
              </w:rPr>
            </w:pPr>
          </w:p>
        </w:tc>
        <w:tc>
          <w:tcPr>
            <w:tcW w:w="1984" w:type="dxa"/>
            <w:tcBorders>
              <w:top w:val="nil"/>
              <w:left w:val="nil"/>
              <w:bottom w:val="single" w:color="auto" w:sz="4" w:space="0"/>
              <w:right w:val="single" w:color="auto" w:sz="4" w:space="0"/>
            </w:tcBorders>
            <w:shd w:val="clear" w:color="auto" w:fill="D7D7D7"/>
            <w:noWrap w:val="0"/>
            <w:vAlign w:val="center"/>
          </w:tcPr>
          <w:p w14:paraId="59B64E9E">
            <w:pPr>
              <w:widowControl/>
              <w:shd w:val="clear" w:color="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shd w:val="clear" w:color="auto" w:fill="D7D7D7"/>
            <w:noWrap w:val="0"/>
            <w:vAlign w:val="center"/>
          </w:tcPr>
          <w:p w14:paraId="03913D1E">
            <w:pPr>
              <w:widowControl/>
              <w:shd w:val="clear" w:color="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42" w:type="dxa"/>
            <w:tcBorders>
              <w:top w:val="nil"/>
              <w:left w:val="nil"/>
              <w:bottom w:val="single" w:color="auto" w:sz="4" w:space="0"/>
              <w:right w:val="single" w:color="auto" w:sz="4" w:space="0"/>
            </w:tcBorders>
            <w:shd w:val="clear" w:color="auto" w:fill="D7D7D7"/>
            <w:noWrap w:val="0"/>
            <w:vAlign w:val="center"/>
          </w:tcPr>
          <w:p w14:paraId="2C5399CF">
            <w:pPr>
              <w:widowControl/>
              <w:shd w:val="clear" w:color="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701" w:type="dxa"/>
            <w:tcBorders>
              <w:top w:val="nil"/>
              <w:left w:val="nil"/>
              <w:bottom w:val="single" w:color="auto" w:sz="4" w:space="0"/>
              <w:right w:val="single" w:color="auto" w:sz="4" w:space="0"/>
            </w:tcBorders>
            <w:shd w:val="clear" w:color="auto" w:fill="D7D7D7"/>
            <w:noWrap w:val="0"/>
            <w:vAlign w:val="center"/>
          </w:tcPr>
          <w:p w14:paraId="56ECDB43">
            <w:pPr>
              <w:widowControl/>
              <w:shd w:val="clear" w:color="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134" w:type="dxa"/>
            <w:tcBorders>
              <w:top w:val="nil"/>
              <w:left w:val="nil"/>
              <w:bottom w:val="single" w:color="auto" w:sz="4" w:space="0"/>
              <w:right w:val="single" w:color="auto" w:sz="4" w:space="0"/>
            </w:tcBorders>
            <w:shd w:val="clear" w:color="auto" w:fill="D7D7D7"/>
            <w:noWrap w:val="0"/>
            <w:vAlign w:val="center"/>
          </w:tcPr>
          <w:p w14:paraId="1061A59A">
            <w:pPr>
              <w:widowControl/>
              <w:shd w:val="clear" w:color="auto"/>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bl>
    <w:p w14:paraId="071FCA23">
      <w:pPr>
        <w:shd w:val="clear" w:color="auto"/>
        <w:spacing w:line="560" w:lineRule="exact"/>
        <w:ind w:firstLine="525" w:firstLineChars="250"/>
        <w:rPr>
          <w:rFonts w:ascii="仿宋_GB2312" w:hAnsi="仿宋" w:eastAsia="仿宋_GB2312" w:cs="Times New Roman"/>
          <w:color w:val="auto"/>
          <w:szCs w:val="21"/>
          <w:highlight w:val="none"/>
        </w:rPr>
      </w:pPr>
      <w:r>
        <w:rPr>
          <w:rFonts w:hint="eastAsia" w:ascii="仿宋_GB2312" w:hAnsi="仿宋" w:eastAsia="仿宋_GB2312" w:cs="Times New Roman"/>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6EA7AC1">
      <w:pPr>
        <w:shd w:val="clear" w:color="auto"/>
        <w:jc w:val="center"/>
        <w:outlineLvl w:val="0"/>
        <w:rPr>
          <w:rFonts w:hAnsi="宋体"/>
          <w:color w:val="auto"/>
          <w:highlight w:val="none"/>
        </w:rPr>
        <w:sectPr>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p>
    <w:p w14:paraId="359EE054">
      <w:pPr>
        <w:keepNext/>
        <w:keepLines/>
        <w:pageBreakBefore w:val="0"/>
        <w:widowControl w:val="0"/>
        <w:shd w:val="clear" w:color="auto"/>
        <w:kinsoku/>
        <w:wordWrap/>
        <w:overflowPunct/>
        <w:topLinePunct w:val="0"/>
        <w:autoSpaceDE/>
        <w:autoSpaceDN/>
        <w:bidi w:val="0"/>
        <w:adjustRightInd/>
        <w:snapToGrid/>
        <w:spacing w:before="180" w:after="180" w:line="240" w:lineRule="auto"/>
        <w:jc w:val="center"/>
        <w:textAlignment w:val="auto"/>
        <w:outlineLvl w:val="0"/>
        <w:rPr>
          <w:rFonts w:hint="eastAsia" w:ascii="Times New Roman" w:hAnsi="Times New Roman" w:eastAsia="宋体" w:cs="Times New Roman"/>
          <w:b/>
          <w:bCs/>
          <w:color w:val="auto"/>
          <w:kern w:val="44"/>
          <w:sz w:val="32"/>
          <w:szCs w:val="44"/>
          <w:highlight w:val="none"/>
          <w:lang w:val="en-US" w:eastAsia="zh-CN" w:bidi="ar-SA"/>
        </w:rPr>
      </w:pPr>
      <w:bookmarkStart w:id="37" w:name="_Toc87898643"/>
      <w:r>
        <w:rPr>
          <w:rFonts w:hint="eastAsia" w:ascii="Cambria" w:hAnsi="Cambria" w:eastAsia="宋体" w:cs="Times New Roman"/>
          <w:b/>
          <w:bCs w:val="0"/>
          <w:color w:val="auto"/>
          <w:kern w:val="44"/>
          <w:sz w:val="32"/>
          <w:szCs w:val="32"/>
          <w:highlight w:val="none"/>
          <w:lang w:val="en-US" w:eastAsia="zh-CN" w:bidi="ar-SA"/>
        </w:rPr>
        <w:t>第三章 供应商须知</w:t>
      </w:r>
      <w:bookmarkEnd w:id="37"/>
    </w:p>
    <w:p w14:paraId="55DD26AB">
      <w:pPr>
        <w:pStyle w:val="4"/>
        <w:keepNext/>
        <w:keepLines/>
        <w:pageBreakBefore w:val="0"/>
        <w:widowControl w:val="0"/>
        <w:shd w:val="clear" w:color="auto"/>
        <w:kinsoku/>
        <w:wordWrap/>
        <w:overflowPunct/>
        <w:topLinePunct w:val="0"/>
        <w:autoSpaceDE/>
        <w:autoSpaceDN/>
        <w:bidi w:val="0"/>
        <w:adjustRightInd/>
        <w:snapToGrid/>
        <w:spacing w:before="120" w:after="120" w:line="240" w:lineRule="auto"/>
        <w:jc w:val="center"/>
        <w:textAlignment w:val="auto"/>
        <w:rPr>
          <w:rFonts w:hint="eastAsia" w:ascii="宋体" w:hAnsi="宋体" w:eastAsia="宋体" w:cs="Times New Roman"/>
          <w:b w:val="0"/>
          <w:bCs/>
          <w:color w:val="auto"/>
          <w:highlight w:val="none"/>
        </w:rPr>
      </w:pPr>
      <w:bookmarkStart w:id="38" w:name="_Toc87898644"/>
      <w:r>
        <w:rPr>
          <w:rFonts w:hint="eastAsia" w:ascii="宋体" w:hAnsi="宋体" w:eastAsia="宋体" w:cs="Times New Roman"/>
          <w:b w:val="0"/>
          <w:bCs/>
          <w:color w:val="auto"/>
          <w:highlight w:val="none"/>
        </w:rPr>
        <w:t>第一节 供应商须知前附表</w:t>
      </w:r>
      <w:bookmarkEnd w:id="38"/>
    </w:p>
    <w:tbl>
      <w:tblPr>
        <w:tblStyle w:val="27"/>
        <w:tblW w:w="99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608"/>
        <w:gridCol w:w="6456"/>
      </w:tblGrid>
      <w:tr w14:paraId="46DF50E2">
        <w:trPr>
          <w:trHeight w:val="454" w:hRule="atLeast"/>
          <w:jc w:val="center"/>
        </w:trPr>
        <w:tc>
          <w:tcPr>
            <w:tcW w:w="903" w:type="dxa"/>
            <w:noWrap w:val="0"/>
            <w:vAlign w:val="center"/>
          </w:tcPr>
          <w:p w14:paraId="65B7258A">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608" w:type="dxa"/>
            <w:noWrap w:val="0"/>
            <w:vAlign w:val="center"/>
          </w:tcPr>
          <w:p w14:paraId="642EA19E">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456" w:type="dxa"/>
            <w:noWrap w:val="0"/>
            <w:vAlign w:val="center"/>
          </w:tcPr>
          <w:p w14:paraId="68ECFA73">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2D1974DC">
        <w:trPr>
          <w:trHeight w:val="454" w:hRule="atLeast"/>
          <w:jc w:val="center"/>
        </w:trPr>
        <w:tc>
          <w:tcPr>
            <w:tcW w:w="903" w:type="dxa"/>
            <w:noWrap w:val="0"/>
            <w:vAlign w:val="center"/>
          </w:tcPr>
          <w:p w14:paraId="73C1F51D">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608" w:type="dxa"/>
            <w:noWrap w:val="0"/>
            <w:vAlign w:val="center"/>
          </w:tcPr>
          <w:p w14:paraId="202E0EDB">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456" w:type="dxa"/>
            <w:noWrap w:val="0"/>
            <w:vAlign w:val="center"/>
          </w:tcPr>
          <w:p w14:paraId="740F0EB2">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39406E29">
        <w:trPr>
          <w:trHeight w:val="454" w:hRule="atLeast"/>
          <w:jc w:val="center"/>
        </w:trPr>
        <w:tc>
          <w:tcPr>
            <w:tcW w:w="903" w:type="dxa"/>
            <w:noWrap w:val="0"/>
            <w:vAlign w:val="center"/>
          </w:tcPr>
          <w:p w14:paraId="1C9CB7A2">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608" w:type="dxa"/>
            <w:noWrap w:val="0"/>
            <w:vAlign w:val="center"/>
          </w:tcPr>
          <w:p w14:paraId="7A97137F">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456" w:type="dxa"/>
            <w:noWrap w:val="0"/>
            <w:vAlign w:val="center"/>
          </w:tcPr>
          <w:p w14:paraId="716DD387">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不允许联合体投标。</w:t>
            </w:r>
          </w:p>
        </w:tc>
      </w:tr>
      <w:tr w14:paraId="6E83ADB4">
        <w:trPr>
          <w:trHeight w:val="454" w:hRule="atLeast"/>
          <w:jc w:val="center"/>
        </w:trPr>
        <w:tc>
          <w:tcPr>
            <w:tcW w:w="903" w:type="dxa"/>
            <w:noWrap w:val="0"/>
            <w:vAlign w:val="center"/>
          </w:tcPr>
          <w:p w14:paraId="24E56C8A">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608" w:type="dxa"/>
            <w:noWrap w:val="0"/>
            <w:vAlign w:val="center"/>
          </w:tcPr>
          <w:p w14:paraId="4A63A57C">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456" w:type="dxa"/>
            <w:noWrap w:val="0"/>
            <w:vAlign w:val="center"/>
          </w:tcPr>
          <w:p w14:paraId="01380A3A">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无。</w:t>
            </w:r>
          </w:p>
        </w:tc>
      </w:tr>
      <w:tr w14:paraId="3549D031">
        <w:trPr>
          <w:trHeight w:val="454" w:hRule="atLeast"/>
          <w:jc w:val="center"/>
        </w:trPr>
        <w:tc>
          <w:tcPr>
            <w:tcW w:w="903" w:type="dxa"/>
            <w:noWrap w:val="0"/>
            <w:vAlign w:val="center"/>
          </w:tcPr>
          <w:p w14:paraId="77B43768">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608" w:type="dxa"/>
            <w:noWrap w:val="0"/>
            <w:vAlign w:val="center"/>
          </w:tcPr>
          <w:p w14:paraId="6DBA825D">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456" w:type="dxa"/>
            <w:noWrap w:val="0"/>
            <w:vAlign w:val="center"/>
          </w:tcPr>
          <w:p w14:paraId="165EA8D5">
            <w:pPr>
              <w:pStyle w:val="11"/>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sym w:font="Wingdings 2" w:char="0052"/>
            </w:r>
            <w:r>
              <w:rPr>
                <w:rFonts w:hint="eastAsia" w:ascii="宋体" w:hAnsi="宋体" w:eastAsia="宋体" w:cs="宋体"/>
                <w:color w:val="auto"/>
                <w:szCs w:val="21"/>
                <w:highlight w:val="none"/>
                <w:lang w:val="en-US" w:eastAsia="zh-CN"/>
              </w:rPr>
              <w:t>不允许分包</w:t>
            </w:r>
          </w:p>
          <w:p w14:paraId="3B8AF409">
            <w:pPr>
              <w:pStyle w:val="11"/>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7E7D8240">
            <w:pPr>
              <w:pStyle w:val="11"/>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p>
          <w:p w14:paraId="5ADD6CC7">
            <w:pPr>
              <w:pStyle w:val="11"/>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p>
        </w:tc>
      </w:tr>
      <w:tr w14:paraId="5CCBB1AA">
        <w:trPr>
          <w:trHeight w:val="454" w:hRule="atLeast"/>
          <w:jc w:val="center"/>
        </w:trPr>
        <w:tc>
          <w:tcPr>
            <w:tcW w:w="903" w:type="dxa"/>
            <w:noWrap w:val="0"/>
            <w:vAlign w:val="center"/>
          </w:tcPr>
          <w:p w14:paraId="7891EC58">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608" w:type="dxa"/>
            <w:noWrap w:val="0"/>
            <w:vAlign w:val="center"/>
          </w:tcPr>
          <w:p w14:paraId="0AB7A78A">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资格证明文件组成</w:t>
            </w:r>
          </w:p>
          <w:p w14:paraId="007F5B95">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p>
        </w:tc>
        <w:tc>
          <w:tcPr>
            <w:tcW w:w="6456" w:type="dxa"/>
            <w:noWrap w:val="0"/>
            <w:vAlign w:val="center"/>
          </w:tcPr>
          <w:p w14:paraId="031EBA49">
            <w:pPr>
              <w:pStyle w:val="11"/>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21674E69">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2、供应商依法缴纳税收的相关材料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投标截止时间前一年</w:t>
            </w:r>
            <w:r>
              <w:rPr>
                <w:rFonts w:hint="eastAsia" w:ascii="宋体" w:hAnsi="宋体" w:eastAsia="宋体" w:cs="宋体"/>
                <w:color w:val="auto"/>
                <w:szCs w:val="21"/>
                <w:highlight w:val="none"/>
              </w:rPr>
              <w:t>内</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任意三个月</w:t>
            </w:r>
            <w:r>
              <w:rPr>
                <w:rFonts w:hint="eastAsia" w:ascii="宋体" w:hAnsi="宋体" w:eastAsia="宋体" w:cs="宋体"/>
                <w:color w:val="auto"/>
                <w:szCs w:val="21"/>
                <w:highlight w:val="none"/>
              </w:rPr>
              <w:t>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7D78D1FB">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none"/>
              </w:rPr>
              <w:t>投标截止时间前一年内</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任意三个月</w:t>
            </w:r>
            <w:r>
              <w:rPr>
                <w:rFonts w:hint="eastAsia" w:ascii="宋体" w:hAnsi="宋体" w:eastAsia="宋体" w:cs="宋体"/>
                <w:color w:val="auto"/>
                <w:szCs w:val="21"/>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45E0E368">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none"/>
                <w:lang w:val="en-US" w:eastAsia="zh-CN"/>
              </w:rPr>
              <w:t>202</w:t>
            </w:r>
            <w:r>
              <w:rPr>
                <w:rFonts w:hint="eastAsia" w:ascii="宋体" w:hAnsi="宋体" w:cs="宋体"/>
                <w:color w:val="auto"/>
                <w:szCs w:val="21"/>
                <w:highlight w:val="none"/>
                <w:u w:val="none"/>
                <w:lang w:val="en-US" w:eastAsia="zh-CN"/>
              </w:rPr>
              <w:t>5</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财务状况报告复印件，供应商是法人的，应提供财务报告（含第三方审计机构评估的财务报告）（执行《企业会计准则》的，提供资产负债表、利润表、现金流量表、所有者权益变动表及其附注（以下称“四表一注”）；执行《小企业会计准则》的，提供资产负债表、利润表、现金流量表及其附注（以下称“三表一注”）)或者其基本开户银行出具的资信证明；供应商是其他组织或者自然人的，应提供经审计的财务报告（含第三方审计机构评估的财务报告）（包括“四表一注”、“三表一注”)或者银行出具的资信证明]；（</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05B8346D">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5.供应商直接控股、管理关系信息表；（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F3D3BAC">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6.资格声明函；（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76E953A">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b/>
                <w:color w:val="auto"/>
                <w:highlight w:val="none"/>
              </w:rPr>
            </w:pPr>
            <w:r>
              <w:rPr>
                <w:rFonts w:hint="eastAsia" w:ascii="宋体" w:hAnsi="宋体" w:eastAsia="宋体" w:cs="宋体"/>
                <w:color w:val="auto"/>
                <w:highlight w:val="none"/>
              </w:rPr>
              <w:t>7.联合体协议书；</w:t>
            </w:r>
            <w:r>
              <w:rPr>
                <w:rFonts w:hint="eastAsia" w:ascii="宋体" w:hAnsi="宋体" w:eastAsia="宋体" w:cs="宋体"/>
                <w:b/>
                <w:color w:val="auto"/>
                <w:highlight w:val="none"/>
              </w:rPr>
              <w:t>（联合体竞标时必须提供，否则响应文件按无效响应处理）</w:t>
            </w:r>
          </w:p>
          <w:p w14:paraId="64104967">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8.磋商供应商有效的企业资质证书</w:t>
            </w:r>
            <w:r>
              <w:rPr>
                <w:rFonts w:hint="eastAsia" w:ascii="宋体" w:hAnsi="宋体" w:eastAsia="宋体" w:cs="宋体"/>
                <w:color w:val="auto"/>
                <w:szCs w:val="21"/>
                <w:highlight w:val="none"/>
                <w:lang w:val="en-US" w:eastAsia="zh-CN"/>
              </w:rPr>
              <w:t>及安全生产许可证</w:t>
            </w:r>
            <w:r>
              <w:rPr>
                <w:rFonts w:hint="eastAsia" w:ascii="宋体" w:hAnsi="宋体" w:eastAsia="宋体" w:cs="宋体"/>
                <w:color w:val="auto"/>
                <w:szCs w:val="21"/>
                <w:highlight w:val="none"/>
              </w:rPr>
              <w:t>复印件；（</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7965AD6">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r>
              <w:rPr>
                <w:rFonts w:hint="eastAsia" w:ascii="宋体" w:hAnsi="宋体" w:eastAsia="宋体" w:cs="宋体"/>
                <w:color w:val="auto"/>
                <w:highlight w:val="none"/>
              </w:rPr>
              <w:t>拟投入本项目</w:t>
            </w:r>
            <w:r>
              <w:rPr>
                <w:rFonts w:hint="eastAsia" w:ascii="宋体" w:hAnsi="宋体" w:eastAsia="宋体" w:cs="宋体"/>
                <w:color w:val="auto"/>
                <w:highlight w:val="none"/>
                <w:lang w:val="en-US" w:eastAsia="zh-CN"/>
              </w:rPr>
              <w:t>的</w:t>
            </w:r>
            <w:r>
              <w:rPr>
                <w:rFonts w:hint="eastAsia" w:ascii="宋体" w:hAnsi="宋体" w:eastAsia="宋体" w:cs="宋体"/>
                <w:color w:val="auto"/>
                <w:szCs w:val="21"/>
                <w:highlight w:val="none"/>
              </w:rPr>
              <w:t>建造师</w:t>
            </w:r>
            <w:r>
              <w:rPr>
                <w:rFonts w:hint="eastAsia" w:ascii="宋体" w:hAnsi="宋体" w:eastAsia="宋体" w:cs="宋体"/>
                <w:color w:val="auto"/>
                <w:szCs w:val="21"/>
                <w:highlight w:val="none"/>
                <w:lang w:val="en-US" w:eastAsia="zh-CN"/>
              </w:rPr>
              <w:t>有效的</w:t>
            </w:r>
            <w:r>
              <w:rPr>
                <w:rFonts w:hint="eastAsia" w:ascii="宋体" w:hAnsi="宋体" w:eastAsia="宋体" w:cs="宋体"/>
                <w:color w:val="auto"/>
                <w:szCs w:val="21"/>
                <w:highlight w:val="none"/>
              </w:rPr>
              <w:t>资格证书复印件及安全生产考核合格证书（B类）</w:t>
            </w:r>
            <w:r>
              <w:rPr>
                <w:rFonts w:hint="eastAsia" w:ascii="宋体" w:hAnsi="宋体" w:eastAsia="宋体" w:cs="宋体"/>
                <w:color w:val="auto"/>
                <w:highlight w:val="none"/>
              </w:rPr>
              <w:t>证书复印件；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7F756DF">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10.除磋商文件规定必须提供以外，供应商认为需要提供的其他证明材料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w:t>
            </w:r>
            <w:r>
              <w:rPr>
                <w:rFonts w:hint="eastAsia" w:ascii="宋体" w:hAnsi="宋体" w:eastAsia="宋体" w:cs="宋体"/>
                <w:color w:val="auto"/>
                <w:szCs w:val="21"/>
                <w:highlight w:val="none"/>
                <w:lang w:eastAsia="zh-CN"/>
              </w:rPr>
              <w:t>：中小企业声明函</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必须提供，否则响应文件按无效响应处理</w:t>
            </w:r>
            <w:r>
              <w:rPr>
                <w:rFonts w:hint="eastAsia" w:ascii="宋体" w:hAnsi="宋体" w:eastAsia="宋体" w:cs="宋体"/>
                <w:b/>
                <w:bCs/>
                <w:color w:val="auto"/>
                <w:szCs w:val="21"/>
                <w:highlight w:val="none"/>
                <w:lang w:eastAsia="zh-CN"/>
              </w:rPr>
              <w:t>）</w:t>
            </w:r>
            <w:r>
              <w:rPr>
                <w:rFonts w:hint="eastAsia" w:ascii="宋体" w:hAnsi="宋体" w:eastAsia="宋体" w:cs="宋体"/>
                <w:b w:val="0"/>
                <w:bCs w:val="0"/>
                <w:color w:val="auto"/>
                <w:szCs w:val="21"/>
                <w:highlight w:val="none"/>
                <w:lang w:val="en-US" w:eastAsia="zh-CN"/>
              </w:rPr>
              <w:t>等</w:t>
            </w:r>
            <w:r>
              <w:rPr>
                <w:rFonts w:hint="eastAsia" w:ascii="宋体" w:hAnsi="宋体" w:eastAsia="宋体" w:cs="宋体"/>
                <w:color w:val="auto"/>
                <w:szCs w:val="21"/>
                <w:highlight w:val="none"/>
                <w:lang w:eastAsia="zh-CN"/>
              </w:rPr>
              <w:t>；</w:t>
            </w:r>
          </w:p>
          <w:p w14:paraId="2A3779CE">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20464557">
            <w:pPr>
              <w:keepNext w:val="0"/>
              <w:keepLines w:val="0"/>
              <w:pageBreakBefore w:val="0"/>
              <w:widowControl w:val="0"/>
              <w:shd w:val="clear" w:color="auto"/>
              <w:kinsoku/>
              <w:wordWrap/>
              <w:overflowPunct/>
              <w:topLinePunct w:val="0"/>
              <w:bidi w:val="0"/>
              <w:adjustRightInd/>
              <w:snapToGrid/>
              <w:spacing w:line="380" w:lineRule="exact"/>
              <w:ind w:firstLine="411"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p w14:paraId="0BD74ADE">
            <w:pPr>
              <w:keepNext w:val="0"/>
              <w:keepLines w:val="0"/>
              <w:pageBreakBefore w:val="0"/>
              <w:widowControl w:val="0"/>
              <w:shd w:val="clear" w:color="auto"/>
              <w:kinsoku/>
              <w:wordWrap/>
              <w:overflowPunct/>
              <w:topLinePunct w:val="0"/>
              <w:bidi w:val="0"/>
              <w:adjustRightInd/>
              <w:snapToGrid/>
              <w:spacing w:line="380" w:lineRule="exact"/>
              <w:ind w:firstLine="411" w:firstLineChars="196"/>
              <w:jc w:val="left"/>
              <w:rPr>
                <w:rFonts w:hint="eastAsia" w:ascii="宋体" w:hAnsi="宋体" w:eastAsia="宋体" w:cs="宋体"/>
                <w:b/>
                <w:color w:val="auto"/>
                <w:highlight w:val="none"/>
              </w:rPr>
            </w:pPr>
            <w:r>
              <w:rPr>
                <w:rFonts w:hint="eastAsia" w:ascii="宋体" w:hAnsi="宋体" w:eastAsia="宋体" w:cs="宋体"/>
                <w:b/>
                <w:color w:val="auto"/>
                <w:highlight w:val="none"/>
              </w:rPr>
              <w:t>2.联合体竞标时，第1-5项资格证明文件联合体各方均必须分别提供，联合体各方分别盖章和签字，否则响应文件按无效响应处理。</w:t>
            </w:r>
          </w:p>
        </w:tc>
      </w:tr>
      <w:tr w14:paraId="05B7355E">
        <w:trPr>
          <w:trHeight w:val="454" w:hRule="atLeast"/>
          <w:jc w:val="center"/>
        </w:trPr>
        <w:tc>
          <w:tcPr>
            <w:tcW w:w="903" w:type="dxa"/>
            <w:vMerge w:val="restart"/>
            <w:noWrap w:val="0"/>
            <w:vAlign w:val="center"/>
          </w:tcPr>
          <w:p w14:paraId="26D06A31">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608" w:type="dxa"/>
            <w:noWrap w:val="0"/>
            <w:vAlign w:val="center"/>
          </w:tcPr>
          <w:p w14:paraId="23947996">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456" w:type="dxa"/>
            <w:noWrap w:val="0"/>
            <w:vAlign w:val="center"/>
          </w:tcPr>
          <w:p w14:paraId="6BD55F1B">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6349396">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6BB7174">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6DB7645E">
            <w:pPr>
              <w:pStyle w:val="20"/>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4.商务条款偏离表（</w:t>
            </w:r>
            <w:r>
              <w:rPr>
                <w:rFonts w:hint="eastAsia" w:ascii="宋体" w:hAnsi="宋体" w:eastAsia="宋体" w:cs="宋体"/>
                <w:b/>
                <w:color w:val="auto"/>
                <w:sz w:val="21"/>
                <w:szCs w:val="21"/>
                <w:highlight w:val="none"/>
                <w:lang w:val="en-US" w:eastAsia="zh-CN"/>
              </w:rPr>
              <w:t>必须提供，否则响应文件按无效响应处理</w:t>
            </w:r>
            <w:r>
              <w:rPr>
                <w:rFonts w:hint="eastAsia" w:ascii="宋体" w:hAnsi="宋体" w:eastAsia="宋体" w:cs="宋体"/>
                <w:color w:val="auto"/>
                <w:sz w:val="21"/>
                <w:highlight w:val="none"/>
                <w:lang w:val="en-US" w:eastAsia="zh-CN"/>
              </w:rPr>
              <w:t>）</w:t>
            </w:r>
          </w:p>
          <w:p w14:paraId="277F4A33">
            <w:pPr>
              <w:pStyle w:val="20"/>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5.供应商认为需要提供的其他有关资料。</w:t>
            </w:r>
          </w:p>
          <w:p w14:paraId="2F38B4F4">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28DB10F4">
            <w:pPr>
              <w:keepNext w:val="0"/>
              <w:keepLines w:val="0"/>
              <w:pageBreakBefore w:val="0"/>
              <w:widowControl w:val="0"/>
              <w:shd w:val="clear" w:color="auto"/>
              <w:kinsoku/>
              <w:wordWrap/>
              <w:overflowPunct/>
              <w:topLinePunct w:val="0"/>
              <w:bidi w:val="0"/>
              <w:adjustRightInd/>
              <w:snapToGrid/>
              <w:spacing w:line="380" w:lineRule="exact"/>
              <w:ind w:firstLine="411"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1.法定代表人授权委托书必须由法定代表人及委托代理人签字，并加盖供应商公章，否则响应文件按无效响应处理。</w:t>
            </w:r>
          </w:p>
          <w:p w14:paraId="0189E1DE">
            <w:pPr>
              <w:keepNext w:val="0"/>
              <w:keepLines w:val="0"/>
              <w:pageBreakBefore w:val="0"/>
              <w:widowControl w:val="0"/>
              <w:shd w:val="clear" w:color="auto"/>
              <w:kinsoku/>
              <w:wordWrap/>
              <w:overflowPunct/>
              <w:topLinePunct w:val="0"/>
              <w:bidi w:val="0"/>
              <w:adjustRightInd/>
              <w:snapToGrid/>
              <w:spacing w:line="380" w:lineRule="exact"/>
              <w:ind w:firstLine="411"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509FDDD7">
        <w:trPr>
          <w:trHeight w:val="454" w:hRule="atLeast"/>
          <w:jc w:val="center"/>
        </w:trPr>
        <w:tc>
          <w:tcPr>
            <w:tcW w:w="903" w:type="dxa"/>
            <w:vMerge w:val="continue"/>
            <w:noWrap w:val="0"/>
            <w:vAlign w:val="center"/>
          </w:tcPr>
          <w:p w14:paraId="056FB81C">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p>
        </w:tc>
        <w:tc>
          <w:tcPr>
            <w:tcW w:w="2608" w:type="dxa"/>
            <w:noWrap w:val="0"/>
            <w:vAlign w:val="center"/>
          </w:tcPr>
          <w:p w14:paraId="06F098C8">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456" w:type="dxa"/>
            <w:noWrap w:val="0"/>
            <w:vAlign w:val="center"/>
          </w:tcPr>
          <w:p w14:paraId="3199D47E">
            <w:pPr>
              <w:keepNext w:val="0"/>
              <w:keepLines w:val="0"/>
              <w:pageBreakBefore w:val="0"/>
              <w:widowControl w:val="0"/>
              <w:shd w:val="clear" w:color="auto"/>
              <w:kinsoku/>
              <w:wordWrap/>
              <w:overflowPunct/>
              <w:topLinePunct w:val="0"/>
              <w:bidi w:val="0"/>
              <w:adjustRightInd/>
              <w:snapToGrid/>
              <w:spacing w:line="380" w:lineRule="exact"/>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1.技术需求偏离表；</w:t>
            </w:r>
            <w:r>
              <w:rPr>
                <w:rFonts w:hint="eastAsia" w:ascii="宋体" w:hAnsi="宋体" w:eastAsia="宋体" w:cs="宋体"/>
                <w:color w:val="auto"/>
                <w:sz w:val="21"/>
                <w:highlight w:val="none"/>
                <w:lang w:val="en-US" w:eastAsia="zh-CN"/>
              </w:rPr>
              <w:t>（</w:t>
            </w:r>
            <w:r>
              <w:rPr>
                <w:rFonts w:hint="eastAsia" w:ascii="宋体" w:hAnsi="宋体" w:eastAsia="宋体" w:cs="宋体"/>
                <w:b/>
                <w:color w:val="auto"/>
                <w:sz w:val="21"/>
                <w:szCs w:val="21"/>
                <w:highlight w:val="none"/>
                <w:lang w:val="en-US" w:eastAsia="zh-CN"/>
              </w:rPr>
              <w:t>必须提供，否则响应文件按无效响应处理</w:t>
            </w:r>
            <w:r>
              <w:rPr>
                <w:rFonts w:hint="eastAsia" w:ascii="宋体" w:hAnsi="宋体" w:eastAsia="宋体" w:cs="宋体"/>
                <w:color w:val="auto"/>
                <w:sz w:val="21"/>
                <w:highlight w:val="none"/>
                <w:lang w:val="en-US" w:eastAsia="zh-CN"/>
              </w:rPr>
              <w:t>）</w:t>
            </w:r>
          </w:p>
          <w:p w14:paraId="4A7E118B">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1.企业概况表；</w:t>
            </w:r>
          </w:p>
          <w:p w14:paraId="444E7D3E">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2.近三年来施工企业承建的项目竣工工程情况表；</w:t>
            </w:r>
          </w:p>
          <w:p w14:paraId="19C87758">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3.项目经理（或建造师）简历表；</w:t>
            </w:r>
          </w:p>
          <w:p w14:paraId="36A22ACA">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4.主要施工管理人员表；</w:t>
            </w:r>
          </w:p>
          <w:p w14:paraId="52D12C07">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5.施工组织设计；</w:t>
            </w:r>
          </w:p>
          <w:p w14:paraId="264D10A2">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highlight w:val="none"/>
              </w:rPr>
            </w:pPr>
            <w:r>
              <w:rPr>
                <w:rFonts w:hint="eastAsia" w:ascii="宋体" w:hAnsi="宋体" w:eastAsia="宋体" w:cs="宋体"/>
                <w:color w:val="auto"/>
                <w:szCs w:val="21"/>
                <w:highlight w:val="none"/>
              </w:rPr>
              <w:t>6.</w:t>
            </w:r>
            <w:r>
              <w:rPr>
                <w:rFonts w:hint="eastAsia" w:ascii="宋体" w:hAnsi="宋体" w:eastAsia="宋体" w:cs="宋体"/>
                <w:color w:val="auto"/>
                <w:highlight w:val="none"/>
              </w:rPr>
              <w:t>供应商认为需要提供的其它有关资料。</w:t>
            </w:r>
          </w:p>
          <w:p w14:paraId="573D6285">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7B65CC26">
        <w:trPr>
          <w:trHeight w:val="454" w:hRule="atLeast"/>
          <w:jc w:val="center"/>
        </w:trPr>
        <w:tc>
          <w:tcPr>
            <w:tcW w:w="903" w:type="dxa"/>
            <w:noWrap w:val="0"/>
            <w:vAlign w:val="center"/>
          </w:tcPr>
          <w:p w14:paraId="03928E9F">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608" w:type="dxa"/>
            <w:noWrap w:val="0"/>
            <w:vAlign w:val="center"/>
          </w:tcPr>
          <w:p w14:paraId="4DF42870">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456" w:type="dxa"/>
            <w:noWrap w:val="0"/>
            <w:vAlign w:val="center"/>
          </w:tcPr>
          <w:p w14:paraId="34939162">
            <w:pPr>
              <w:keepNext w:val="0"/>
              <w:keepLines w:val="0"/>
              <w:pageBreakBefore w:val="0"/>
              <w:widowControl w:val="0"/>
              <w:shd w:val="clear" w:color="auto"/>
              <w:tabs>
                <w:tab w:val="left" w:pos="459"/>
              </w:tabs>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1.响应函及附录；</w:t>
            </w:r>
            <w:r>
              <w:rPr>
                <w:rFonts w:hint="eastAsia" w:ascii="宋体" w:hAnsi="宋体" w:eastAsia="宋体" w:cs="宋体"/>
                <w:b/>
                <w:color w:val="auto"/>
                <w:szCs w:val="21"/>
                <w:highlight w:val="none"/>
              </w:rPr>
              <w:t>（必须提供，否则作无效响应处理）</w:t>
            </w:r>
          </w:p>
          <w:p w14:paraId="02D68014">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09A6E2D">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highlight w:val="none"/>
              </w:rPr>
              <w:t>已标价的工程量清单报价文件；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5F332A0">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4.中小企业声明函。</w:t>
            </w:r>
          </w:p>
        </w:tc>
      </w:tr>
      <w:tr w14:paraId="13328785">
        <w:trPr>
          <w:trHeight w:val="454" w:hRule="atLeast"/>
          <w:jc w:val="center"/>
        </w:trPr>
        <w:tc>
          <w:tcPr>
            <w:tcW w:w="903" w:type="dxa"/>
            <w:noWrap w:val="0"/>
            <w:vAlign w:val="center"/>
          </w:tcPr>
          <w:p w14:paraId="60DBD241">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608" w:type="dxa"/>
            <w:noWrap w:val="0"/>
            <w:vAlign w:val="center"/>
          </w:tcPr>
          <w:p w14:paraId="06426B55">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456" w:type="dxa"/>
            <w:noWrap w:val="0"/>
            <w:vAlign w:val="center"/>
          </w:tcPr>
          <w:p w14:paraId="5939C74A">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282B2BA8">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 ）</w:t>
            </w:r>
          </w:p>
        </w:tc>
      </w:tr>
      <w:tr w14:paraId="2DDEC0B1">
        <w:trPr>
          <w:trHeight w:val="454" w:hRule="atLeast"/>
          <w:jc w:val="center"/>
        </w:trPr>
        <w:tc>
          <w:tcPr>
            <w:tcW w:w="903" w:type="dxa"/>
            <w:noWrap w:val="0"/>
            <w:vAlign w:val="center"/>
          </w:tcPr>
          <w:p w14:paraId="2176D35D">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608" w:type="dxa"/>
            <w:noWrap w:val="0"/>
            <w:vAlign w:val="center"/>
          </w:tcPr>
          <w:p w14:paraId="4B7D6D61">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456" w:type="dxa"/>
            <w:noWrap w:val="0"/>
            <w:vAlign w:val="center"/>
          </w:tcPr>
          <w:p w14:paraId="3438B573">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响应报价必须包含满足本次竞标全部采购需求工程的成本、调试、检验、技术服务、培训、税费等所有费用。</w:t>
            </w:r>
            <w:r>
              <w:rPr>
                <w:rFonts w:hint="eastAsia" w:ascii="宋体" w:hAnsi="宋体" w:eastAsia="宋体" w:cs="宋体"/>
                <w:b/>
                <w:color w:val="auto"/>
                <w:szCs w:val="21"/>
                <w:highlight w:val="none"/>
              </w:rPr>
              <w:t>（采购需求另有约定的，从其约定。）</w:t>
            </w:r>
          </w:p>
        </w:tc>
      </w:tr>
      <w:tr w14:paraId="20D19D7F">
        <w:trPr>
          <w:trHeight w:val="454" w:hRule="atLeast"/>
          <w:jc w:val="center"/>
        </w:trPr>
        <w:tc>
          <w:tcPr>
            <w:tcW w:w="903" w:type="dxa"/>
            <w:noWrap w:val="0"/>
            <w:vAlign w:val="center"/>
          </w:tcPr>
          <w:p w14:paraId="6E3C82F7">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608" w:type="dxa"/>
            <w:noWrap w:val="0"/>
            <w:vAlign w:val="center"/>
          </w:tcPr>
          <w:p w14:paraId="7C7295B3">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456" w:type="dxa"/>
            <w:noWrap w:val="0"/>
            <w:vAlign w:val="center"/>
          </w:tcPr>
          <w:p w14:paraId="14260F09">
            <w:pPr>
              <w:keepNext w:val="0"/>
              <w:keepLines w:val="0"/>
              <w:pageBreakBefore w:val="0"/>
              <w:widowControl w:val="0"/>
              <w:shd w:val="clear" w:color="auto"/>
              <w:kinsoku/>
              <w:wordWrap/>
              <w:overflowPunct/>
              <w:topLinePunct w:val="0"/>
              <w:autoSpaceDE/>
              <w:autoSpaceDN/>
              <w:bidi w:val="0"/>
              <w:adjustRightInd/>
              <w:snapToGrid/>
              <w:spacing w:line="380" w:lineRule="exact"/>
              <w:ind w:left="0" w:hanging="283" w:hangingChars="135"/>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自首次响应文件提交截止之日起</w:t>
            </w:r>
            <w:r>
              <w:rPr>
                <w:rFonts w:hint="eastAsia" w:ascii="宋体" w:hAnsi="宋体" w:eastAsia="宋体" w:cs="宋体"/>
                <w:color w:val="auto"/>
                <w:kern w:val="2"/>
                <w:sz w:val="21"/>
                <w:szCs w:val="21"/>
                <w:highlight w:val="none"/>
                <w:u w:val="single"/>
                <w:lang w:val="en-US" w:eastAsia="zh-CN" w:bidi="ar-SA"/>
              </w:rPr>
              <w:t>90</w:t>
            </w:r>
            <w:r>
              <w:rPr>
                <w:rFonts w:hint="eastAsia" w:ascii="宋体" w:hAnsi="宋体" w:eastAsia="宋体" w:cs="宋体"/>
                <w:color w:val="auto"/>
                <w:kern w:val="2"/>
                <w:sz w:val="21"/>
                <w:szCs w:val="21"/>
                <w:highlight w:val="none"/>
                <w:lang w:val="en-US" w:eastAsia="zh-CN" w:bidi="ar-SA"/>
              </w:rPr>
              <w:t>日。</w:t>
            </w:r>
          </w:p>
        </w:tc>
      </w:tr>
      <w:tr w14:paraId="7772E958">
        <w:trPr>
          <w:trHeight w:val="454" w:hRule="atLeast"/>
          <w:jc w:val="center"/>
        </w:trPr>
        <w:tc>
          <w:tcPr>
            <w:tcW w:w="903" w:type="dxa"/>
            <w:noWrap w:val="0"/>
            <w:vAlign w:val="center"/>
          </w:tcPr>
          <w:p w14:paraId="0890398C">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608" w:type="dxa"/>
            <w:noWrap w:val="0"/>
            <w:vAlign w:val="center"/>
          </w:tcPr>
          <w:p w14:paraId="384BC7C7">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456" w:type="dxa"/>
            <w:noWrap w:val="0"/>
            <w:vAlign w:val="center"/>
          </w:tcPr>
          <w:p w14:paraId="5F0483E6">
            <w:pPr>
              <w:keepNext w:val="0"/>
              <w:keepLines w:val="0"/>
              <w:pageBreakBefore w:val="0"/>
              <w:widowControl w:val="0"/>
              <w:shd w:val="clear" w:color="auto"/>
              <w:kinsoku/>
              <w:wordWrap/>
              <w:overflowPunct/>
              <w:topLinePunct w:val="0"/>
              <w:autoSpaceDE w:val="0"/>
              <w:autoSpaceDN w:val="0"/>
              <w:bidi w:val="0"/>
              <w:adjustRightInd/>
              <w:snapToGrid/>
              <w:spacing w:line="380" w:lineRule="exact"/>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03747C61">
        <w:trPr>
          <w:trHeight w:val="454" w:hRule="atLeast"/>
          <w:jc w:val="center"/>
        </w:trPr>
        <w:tc>
          <w:tcPr>
            <w:tcW w:w="903" w:type="dxa"/>
            <w:vMerge w:val="restart"/>
            <w:noWrap w:val="0"/>
            <w:vAlign w:val="center"/>
          </w:tcPr>
          <w:p w14:paraId="59A24A95">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608" w:type="dxa"/>
            <w:noWrap w:val="0"/>
            <w:vAlign w:val="center"/>
          </w:tcPr>
          <w:p w14:paraId="76DE8649">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456" w:type="dxa"/>
            <w:noWrap w:val="0"/>
            <w:vAlign w:val="center"/>
          </w:tcPr>
          <w:p w14:paraId="651693A5">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5DF0A3B0">
        <w:trPr>
          <w:trHeight w:val="454" w:hRule="atLeast"/>
          <w:jc w:val="center"/>
        </w:trPr>
        <w:tc>
          <w:tcPr>
            <w:tcW w:w="903" w:type="dxa"/>
            <w:vMerge w:val="continue"/>
            <w:noWrap w:val="0"/>
            <w:vAlign w:val="center"/>
          </w:tcPr>
          <w:p w14:paraId="33C88E1F">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p>
        </w:tc>
        <w:tc>
          <w:tcPr>
            <w:tcW w:w="2608" w:type="dxa"/>
            <w:noWrap w:val="0"/>
            <w:vAlign w:val="center"/>
          </w:tcPr>
          <w:p w14:paraId="0BD09454">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456" w:type="dxa"/>
            <w:noWrap w:val="0"/>
            <w:vAlign w:val="center"/>
          </w:tcPr>
          <w:p w14:paraId="765A200C">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1EE3EE20">
        <w:trPr>
          <w:trHeight w:val="454" w:hRule="atLeast"/>
          <w:jc w:val="center"/>
        </w:trPr>
        <w:tc>
          <w:tcPr>
            <w:tcW w:w="903" w:type="dxa"/>
            <w:noWrap w:val="0"/>
            <w:vAlign w:val="center"/>
          </w:tcPr>
          <w:p w14:paraId="43CF6B0D">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608" w:type="dxa"/>
            <w:noWrap w:val="0"/>
            <w:vAlign w:val="center"/>
          </w:tcPr>
          <w:p w14:paraId="5140A235">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456" w:type="dxa"/>
            <w:noWrap w:val="0"/>
            <w:vAlign w:val="center"/>
          </w:tcPr>
          <w:p w14:paraId="2DA24A6A">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3DDFE3A1">
        <w:trPr>
          <w:trHeight w:val="454" w:hRule="atLeast"/>
          <w:jc w:val="center"/>
        </w:trPr>
        <w:tc>
          <w:tcPr>
            <w:tcW w:w="903" w:type="dxa"/>
            <w:noWrap w:val="0"/>
            <w:vAlign w:val="center"/>
          </w:tcPr>
          <w:p w14:paraId="31F544F2">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608" w:type="dxa"/>
            <w:noWrap w:val="0"/>
            <w:vAlign w:val="center"/>
          </w:tcPr>
          <w:p w14:paraId="13A0CEAF">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456" w:type="dxa"/>
            <w:noWrap w:val="0"/>
            <w:vAlign w:val="center"/>
          </w:tcPr>
          <w:p w14:paraId="149AE441">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0DBEEDAE">
        <w:trPr>
          <w:trHeight w:val="454" w:hRule="atLeast"/>
          <w:jc w:val="center"/>
        </w:trPr>
        <w:tc>
          <w:tcPr>
            <w:tcW w:w="903" w:type="dxa"/>
            <w:vMerge w:val="restart"/>
            <w:noWrap w:val="0"/>
            <w:vAlign w:val="center"/>
          </w:tcPr>
          <w:p w14:paraId="69D3F942">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608" w:type="dxa"/>
            <w:noWrap w:val="0"/>
            <w:vAlign w:val="center"/>
          </w:tcPr>
          <w:p w14:paraId="6FE9F0D8">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456" w:type="dxa"/>
            <w:noWrap w:val="0"/>
            <w:vAlign w:val="center"/>
          </w:tcPr>
          <w:p w14:paraId="781ECE11">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0 </w:t>
            </w:r>
            <w:r>
              <w:rPr>
                <w:rFonts w:hint="eastAsia" w:ascii="宋体" w:hAnsi="宋体" w:eastAsia="宋体" w:cs="宋体"/>
                <w:color w:val="auto"/>
                <w:szCs w:val="21"/>
                <w:highlight w:val="none"/>
              </w:rPr>
              <w:t>项。</w:t>
            </w:r>
          </w:p>
          <w:p w14:paraId="2AFD61B6">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0 </w:t>
            </w:r>
            <w:r>
              <w:rPr>
                <w:rFonts w:hint="eastAsia" w:ascii="宋体" w:hAnsi="宋体" w:eastAsia="宋体" w:cs="宋体"/>
                <w:color w:val="auto"/>
                <w:szCs w:val="21"/>
                <w:highlight w:val="none"/>
              </w:rPr>
              <w:t>项。</w:t>
            </w:r>
          </w:p>
        </w:tc>
      </w:tr>
      <w:tr w14:paraId="3B7BA2E4">
        <w:trPr>
          <w:trHeight w:val="454" w:hRule="atLeast"/>
          <w:jc w:val="center"/>
        </w:trPr>
        <w:tc>
          <w:tcPr>
            <w:tcW w:w="903" w:type="dxa"/>
            <w:vMerge w:val="continue"/>
            <w:noWrap w:val="0"/>
            <w:vAlign w:val="center"/>
          </w:tcPr>
          <w:p w14:paraId="17EE15A9">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p>
        </w:tc>
        <w:tc>
          <w:tcPr>
            <w:tcW w:w="2608" w:type="dxa"/>
            <w:noWrap w:val="0"/>
            <w:vAlign w:val="center"/>
          </w:tcPr>
          <w:p w14:paraId="224A6D56">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p w14:paraId="3522B859">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p>
        </w:tc>
        <w:tc>
          <w:tcPr>
            <w:tcW w:w="6456" w:type="dxa"/>
            <w:noWrap w:val="0"/>
            <w:vAlign w:val="center"/>
          </w:tcPr>
          <w:p w14:paraId="337809F4">
            <w:pPr>
              <w:pStyle w:val="11"/>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7559AC79">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tc>
      </w:tr>
      <w:tr w14:paraId="6C1F2E53">
        <w:trPr>
          <w:trHeight w:val="454" w:hRule="atLeast"/>
          <w:jc w:val="center"/>
        </w:trPr>
        <w:tc>
          <w:tcPr>
            <w:tcW w:w="903" w:type="dxa"/>
            <w:noWrap w:val="0"/>
            <w:vAlign w:val="center"/>
          </w:tcPr>
          <w:p w14:paraId="0F021B60">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608" w:type="dxa"/>
            <w:noWrap w:val="0"/>
            <w:vAlign w:val="center"/>
          </w:tcPr>
          <w:p w14:paraId="767E91A3">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456" w:type="dxa"/>
            <w:noWrap w:val="0"/>
            <w:vAlign w:val="center"/>
          </w:tcPr>
          <w:p w14:paraId="55A51406">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tc>
      </w:tr>
      <w:tr w14:paraId="7E6A030D">
        <w:trPr>
          <w:trHeight w:val="454" w:hRule="atLeast"/>
          <w:jc w:val="center"/>
        </w:trPr>
        <w:tc>
          <w:tcPr>
            <w:tcW w:w="903" w:type="dxa"/>
            <w:noWrap w:val="0"/>
            <w:vAlign w:val="center"/>
          </w:tcPr>
          <w:p w14:paraId="1B4BBBC4">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608" w:type="dxa"/>
            <w:noWrap w:val="0"/>
            <w:vAlign w:val="center"/>
          </w:tcPr>
          <w:p w14:paraId="53BD3456">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456" w:type="dxa"/>
            <w:noWrap w:val="0"/>
            <w:vAlign w:val="center"/>
          </w:tcPr>
          <w:p w14:paraId="067C46FF">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09E7A976">
        <w:trPr>
          <w:trHeight w:val="454" w:hRule="atLeast"/>
          <w:jc w:val="center"/>
        </w:trPr>
        <w:tc>
          <w:tcPr>
            <w:tcW w:w="903" w:type="dxa"/>
            <w:vMerge w:val="restart"/>
            <w:noWrap w:val="0"/>
            <w:vAlign w:val="center"/>
          </w:tcPr>
          <w:p w14:paraId="57CBA183">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608" w:type="dxa"/>
            <w:noWrap w:val="0"/>
            <w:vAlign w:val="center"/>
          </w:tcPr>
          <w:p w14:paraId="660F8B5E">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456" w:type="dxa"/>
            <w:noWrap w:val="0"/>
            <w:vAlign w:val="center"/>
          </w:tcPr>
          <w:p w14:paraId="39C1A682">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230CC659">
        <w:trPr>
          <w:trHeight w:val="454" w:hRule="atLeast"/>
          <w:jc w:val="center"/>
        </w:trPr>
        <w:tc>
          <w:tcPr>
            <w:tcW w:w="903" w:type="dxa"/>
            <w:vMerge w:val="continue"/>
            <w:noWrap w:val="0"/>
            <w:vAlign w:val="center"/>
          </w:tcPr>
          <w:p w14:paraId="52776E00">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p>
        </w:tc>
        <w:tc>
          <w:tcPr>
            <w:tcW w:w="2608" w:type="dxa"/>
            <w:noWrap w:val="0"/>
            <w:vAlign w:val="center"/>
          </w:tcPr>
          <w:p w14:paraId="10F88658">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456" w:type="dxa"/>
            <w:noWrap w:val="0"/>
            <w:vAlign w:val="center"/>
          </w:tcPr>
          <w:p w14:paraId="3D0193C6">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（1）广西国力招标有限公司；</w:t>
            </w:r>
          </w:p>
          <w:p w14:paraId="24AB9C87">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联系电话：0771-4915688</w:t>
            </w:r>
          </w:p>
          <w:p w14:paraId="372563B2">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通讯地址：南宁市白沙大道53号松宇时代13楼</w:t>
            </w:r>
          </w:p>
          <w:p w14:paraId="5B19BFFB">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cs="宋体"/>
                <w:color w:val="auto"/>
                <w:szCs w:val="21"/>
                <w:highlight w:val="none"/>
                <w:lang w:eastAsia="zh-CN"/>
              </w:rPr>
              <w:t>南宁市金沙湖水利工程管理所</w:t>
            </w:r>
          </w:p>
          <w:p w14:paraId="77D3C599">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0771-3394230</w:t>
            </w:r>
          </w:p>
          <w:p w14:paraId="30B00A5E">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w:t>
            </w:r>
            <w:r>
              <w:rPr>
                <w:rFonts w:hint="eastAsia" w:ascii="宋体" w:hAnsi="宋体" w:eastAsia="宋体" w:cs="宋体"/>
                <w:color w:val="auto"/>
                <w:szCs w:val="21"/>
                <w:highlight w:val="none"/>
                <w:lang w:eastAsia="zh-CN"/>
              </w:rPr>
              <w:t>南宁市西乡塘区邕隆路石埠段268号</w:t>
            </w:r>
          </w:p>
        </w:tc>
      </w:tr>
      <w:tr w14:paraId="20AA06E2">
        <w:trPr>
          <w:trHeight w:val="454" w:hRule="atLeast"/>
          <w:jc w:val="center"/>
        </w:trPr>
        <w:tc>
          <w:tcPr>
            <w:tcW w:w="903" w:type="dxa"/>
            <w:vMerge w:val="continue"/>
            <w:noWrap w:val="0"/>
            <w:vAlign w:val="center"/>
          </w:tcPr>
          <w:p w14:paraId="5F799ED2">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p>
        </w:tc>
        <w:tc>
          <w:tcPr>
            <w:tcW w:w="2608" w:type="dxa"/>
            <w:noWrap w:val="0"/>
            <w:vAlign w:val="center"/>
          </w:tcPr>
          <w:p w14:paraId="665DC71B">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456" w:type="dxa"/>
            <w:noWrap w:val="0"/>
            <w:vAlign w:val="center"/>
          </w:tcPr>
          <w:p w14:paraId="39B1AAEF">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rPr>
              <w:t>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30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p>
        </w:tc>
      </w:tr>
      <w:tr w14:paraId="599C67BD">
        <w:trPr>
          <w:trHeight w:val="454" w:hRule="atLeast"/>
          <w:jc w:val="center"/>
        </w:trPr>
        <w:tc>
          <w:tcPr>
            <w:tcW w:w="903" w:type="dxa"/>
            <w:noWrap w:val="0"/>
            <w:vAlign w:val="center"/>
          </w:tcPr>
          <w:p w14:paraId="18E27BD3">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608" w:type="dxa"/>
            <w:noWrap w:val="0"/>
            <w:vAlign w:val="center"/>
          </w:tcPr>
          <w:p w14:paraId="3C4F20E8">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456" w:type="dxa"/>
            <w:noWrap w:val="0"/>
            <w:vAlign w:val="center"/>
          </w:tcPr>
          <w:p w14:paraId="3A214BA4">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1、受理方式：纸质方式受理，投诉书正、副本（经过质疑的事项才可投诉）。</w:t>
            </w:r>
          </w:p>
          <w:p w14:paraId="1BBFDB92">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2、邮寄地址：</w:t>
            </w:r>
          </w:p>
          <w:p w14:paraId="5417AA84">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highlight w:val="none"/>
              </w:rPr>
              <w:t>名称：</w:t>
            </w:r>
            <w:r>
              <w:rPr>
                <w:rFonts w:hint="eastAsia" w:ascii="宋体" w:hAnsi="宋体" w:eastAsia="宋体" w:cs="宋体"/>
                <w:color w:val="auto"/>
                <w:szCs w:val="21"/>
                <w:highlight w:val="none"/>
                <w:lang w:eastAsia="zh-CN"/>
              </w:rPr>
              <w:t>南宁市财政局政府采购监督管理科</w:t>
            </w:r>
          </w:p>
          <w:p w14:paraId="404C50A8">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highlight w:val="none"/>
              </w:rPr>
            </w:pPr>
            <w:r>
              <w:rPr>
                <w:rFonts w:hint="eastAsia" w:ascii="宋体" w:hAnsi="宋体" w:eastAsia="宋体" w:cs="宋体"/>
                <w:color w:val="auto"/>
                <w:highlight w:val="none"/>
              </w:rPr>
              <w:t>地址：</w:t>
            </w:r>
            <w:r>
              <w:rPr>
                <w:rFonts w:hint="eastAsia" w:ascii="宋体" w:hAnsi="宋体" w:eastAsia="宋体" w:cs="宋体"/>
                <w:color w:val="auto"/>
                <w:szCs w:val="21"/>
                <w:highlight w:val="none"/>
              </w:rPr>
              <w:t>南宁市青秀区东葛路129号</w:t>
            </w:r>
          </w:p>
        </w:tc>
      </w:tr>
      <w:tr w14:paraId="2B70E265">
        <w:trPr>
          <w:trHeight w:val="454" w:hRule="atLeast"/>
          <w:jc w:val="center"/>
        </w:trPr>
        <w:tc>
          <w:tcPr>
            <w:tcW w:w="903" w:type="dxa"/>
            <w:noWrap w:val="0"/>
            <w:vAlign w:val="center"/>
          </w:tcPr>
          <w:p w14:paraId="3B2A131C">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608" w:type="dxa"/>
            <w:noWrap w:val="0"/>
            <w:vAlign w:val="center"/>
          </w:tcPr>
          <w:p w14:paraId="7A578648">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456" w:type="dxa"/>
            <w:noWrap w:val="0"/>
            <w:vAlign w:val="center"/>
          </w:tcPr>
          <w:p w14:paraId="655C16DF">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 是否收取采购代理费：</w:t>
            </w:r>
          </w:p>
          <w:p w14:paraId="074BF921">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2"/>
                <w:szCs w:val="21"/>
                <w:highlight w:val="none"/>
                <w:lang w:val="en-US" w:eastAsia="zh-CN" w:bidi="ar-SA"/>
              </w:rPr>
              <w:sym w:font="Wingdings 2" w:char="0052"/>
            </w:r>
            <w:r>
              <w:rPr>
                <w:rFonts w:hint="eastAsia" w:ascii="宋体" w:hAnsi="宋体" w:eastAsia="宋体" w:cs="宋体"/>
                <w:color w:val="auto"/>
                <w:kern w:val="0"/>
                <w:sz w:val="21"/>
                <w:szCs w:val="21"/>
                <w:highlight w:val="none"/>
                <w:lang w:val="en-US" w:eastAsia="zh-CN" w:bidi="ar-SA"/>
              </w:rPr>
              <w:t>是    □ 否</w:t>
            </w:r>
          </w:p>
          <w:p w14:paraId="0CFF142F">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2.采购代理费支付方式：</w:t>
            </w:r>
          </w:p>
          <w:p w14:paraId="474EFF46">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2"/>
                <w:szCs w:val="21"/>
                <w:highlight w:val="none"/>
                <w:lang w:val="en-US" w:eastAsia="zh-CN" w:bidi="ar-SA"/>
              </w:rPr>
              <w:sym w:font="Wingdings 2" w:char="0052"/>
            </w:r>
            <w:r>
              <w:rPr>
                <w:rFonts w:hint="eastAsia" w:ascii="宋体" w:hAnsi="宋体" w:eastAsia="宋体" w:cs="宋体"/>
                <w:color w:val="auto"/>
                <w:kern w:val="0"/>
                <w:sz w:val="21"/>
                <w:szCs w:val="21"/>
                <w:highlight w:val="none"/>
                <w:lang w:val="en-US" w:eastAsia="zh-CN" w:bidi="ar-SA"/>
              </w:rPr>
              <w:t>本项目代理服务费由</w:t>
            </w:r>
            <w:r>
              <w:rPr>
                <w:rFonts w:hint="eastAsia" w:ascii="宋体" w:hAnsi="宋体" w:eastAsia="宋体" w:cs="宋体"/>
                <w:color w:val="auto"/>
                <w:kern w:val="0"/>
                <w:sz w:val="21"/>
                <w:szCs w:val="21"/>
                <w:highlight w:val="none"/>
                <w:u w:val="single"/>
                <w:lang w:val="en-US" w:eastAsia="zh-CN" w:bidi="ar-SA"/>
              </w:rPr>
              <w:t>成交供应商</w:t>
            </w:r>
            <w:r>
              <w:rPr>
                <w:rFonts w:hint="eastAsia" w:ascii="宋体" w:hAnsi="宋体" w:eastAsia="宋体" w:cs="宋体"/>
                <w:color w:val="auto"/>
                <w:kern w:val="0"/>
                <w:sz w:val="21"/>
                <w:szCs w:val="21"/>
                <w:highlight w:val="none"/>
                <w:lang w:val="en-US" w:eastAsia="zh-CN" w:bidi="ar-SA"/>
              </w:rPr>
              <w:t>领取成交通知书前，一次性向采购代理机构支付。</w:t>
            </w:r>
          </w:p>
          <w:p w14:paraId="562CDF1D">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□采购人支付。</w:t>
            </w:r>
          </w:p>
          <w:p w14:paraId="2D1845F5">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3.采购代理费收取标准：</w:t>
            </w:r>
          </w:p>
          <w:p w14:paraId="75DDB7ED">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sym w:font="Wingdings 2" w:char="F052"/>
            </w:r>
            <w:r>
              <w:rPr>
                <w:rFonts w:hint="eastAsia" w:ascii="宋体" w:hAnsi="宋体" w:eastAsia="宋体" w:cs="宋体"/>
                <w:color w:val="auto"/>
                <w:kern w:val="0"/>
                <w:sz w:val="21"/>
                <w:szCs w:val="21"/>
                <w:highlight w:val="none"/>
                <w:lang w:val="en-US" w:eastAsia="zh-CN" w:bidi="ar-SA"/>
              </w:rPr>
              <w:t>以分标成交金额为计费额，按</w:t>
            </w:r>
            <w:r>
              <w:rPr>
                <w:rFonts w:hint="eastAsia" w:ascii="宋体" w:hAnsi="宋体" w:eastAsia="宋体" w:cs="宋体"/>
                <w:b/>
                <w:bCs/>
                <w:color w:val="auto"/>
                <w:kern w:val="0"/>
                <w:sz w:val="21"/>
                <w:szCs w:val="21"/>
                <w:highlight w:val="none"/>
                <w:u w:val="single"/>
                <w:lang w:val="en-US" w:eastAsia="zh-CN" w:bidi="ar-SA"/>
              </w:rPr>
              <w:t>桂价费〔2011〕5</w:t>
            </w:r>
            <w:r>
              <w:rPr>
                <w:rFonts w:hint="eastAsia" w:ascii="宋体" w:hAnsi="宋体" w:cs="宋体"/>
                <w:b/>
                <w:bCs/>
                <w:color w:val="auto"/>
                <w:kern w:val="0"/>
                <w:sz w:val="21"/>
                <w:szCs w:val="21"/>
                <w:highlight w:val="none"/>
                <w:u w:val="single"/>
                <w:lang w:val="en-US" w:eastAsia="zh-CN" w:bidi="ar-SA"/>
              </w:rPr>
              <w:t>5</w:t>
            </w:r>
            <w:r>
              <w:rPr>
                <w:rFonts w:hint="eastAsia" w:ascii="宋体" w:hAnsi="宋体" w:eastAsia="宋体" w:cs="宋体"/>
                <w:b/>
                <w:bCs/>
                <w:color w:val="auto"/>
                <w:kern w:val="0"/>
                <w:sz w:val="21"/>
                <w:szCs w:val="21"/>
                <w:highlight w:val="none"/>
                <w:u w:val="single"/>
                <w:lang w:val="en-US" w:eastAsia="zh-CN" w:bidi="ar-SA"/>
              </w:rPr>
              <w:t>号文件确定的收费标准</w:t>
            </w:r>
            <w:r>
              <w:rPr>
                <w:rFonts w:hint="eastAsia" w:ascii="宋体" w:hAnsi="宋体" w:eastAsia="宋体" w:cs="宋体"/>
                <w:color w:val="auto"/>
                <w:kern w:val="0"/>
                <w:sz w:val="21"/>
                <w:szCs w:val="21"/>
                <w:highlight w:val="none"/>
                <w:lang w:val="en-US" w:eastAsia="zh-CN" w:bidi="ar-SA"/>
              </w:rPr>
              <w:t>采用差额定率累进法计算出收费基准价格，采购代理收费以收费基准价格收取。</w:t>
            </w:r>
          </w:p>
          <w:p w14:paraId="1E269B58">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□固定采购代理收费</w:t>
            </w:r>
            <w:r>
              <w:rPr>
                <w:rFonts w:hint="eastAsia" w:ascii="宋体" w:hAnsi="宋体" w:eastAsia="宋体" w:cs="宋体"/>
                <w:color w:val="auto"/>
                <w:kern w:val="0"/>
                <w:sz w:val="21"/>
                <w:szCs w:val="21"/>
                <w:highlight w:val="none"/>
                <w:u w:val="single"/>
                <w:lang w:val="en-US" w:eastAsia="zh-CN" w:bidi="ar-SA"/>
              </w:rPr>
              <w:t xml:space="preserve">              。</w:t>
            </w:r>
          </w:p>
          <w:p w14:paraId="7B2141E0">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 采购代理费收取银行账户</w:t>
            </w:r>
          </w:p>
          <w:p w14:paraId="57BAA841">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账户名称：广西国力招标有限公司</w:t>
            </w:r>
          </w:p>
          <w:p w14:paraId="7D0C221C">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开户银行：广西北部湾银行股份有限公司南宁市白沙支行（网银支付可选广西北部湾银行江南支行）</w:t>
            </w:r>
          </w:p>
          <w:p w14:paraId="1FB84512">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银行账号：800109057400039</w:t>
            </w:r>
          </w:p>
        </w:tc>
      </w:tr>
      <w:tr w14:paraId="0A39E09D">
        <w:trPr>
          <w:trHeight w:val="454" w:hRule="atLeast"/>
          <w:jc w:val="center"/>
        </w:trPr>
        <w:tc>
          <w:tcPr>
            <w:tcW w:w="903" w:type="dxa"/>
            <w:noWrap w:val="0"/>
            <w:vAlign w:val="center"/>
          </w:tcPr>
          <w:p w14:paraId="405898E1">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608" w:type="dxa"/>
            <w:noWrap w:val="0"/>
            <w:vAlign w:val="center"/>
          </w:tcPr>
          <w:p w14:paraId="0C145968">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456" w:type="dxa"/>
            <w:noWrap w:val="0"/>
            <w:vAlign w:val="center"/>
          </w:tcPr>
          <w:p w14:paraId="40C39BC6">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解释权：</w:t>
            </w:r>
            <w:r>
              <w:rPr>
                <w:rFonts w:hint="eastAsia" w:ascii="宋体" w:hAnsi="宋体" w:eastAsia="宋体" w:cs="宋体"/>
                <w:color w:val="auto"/>
                <w:kern w:val="0"/>
                <w:sz w:val="21"/>
                <w:szCs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kern w:val="0"/>
                <w:sz w:val="21"/>
                <w:szCs w:val="21"/>
                <w:highlight w:val="none"/>
                <w:lang w:val="en-US" w:eastAsia="zh-CN" w:bidi="ar-SA"/>
              </w:rPr>
              <w:t>由采购人或者采购代理机构负责解释。</w:t>
            </w:r>
          </w:p>
          <w:p w14:paraId="0672E177">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法律责任：</w:t>
            </w:r>
          </w:p>
          <w:p w14:paraId="51573C3C">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16DBD419">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highlight w:val="none"/>
              </w:rPr>
            </w:pPr>
            <w:r>
              <w:rPr>
                <w:rFonts w:hint="eastAsia" w:ascii="宋体" w:hAnsi="宋体" w:eastAsia="宋体" w:cs="宋体"/>
                <w:b/>
                <w:color w:val="auto"/>
                <w:highlight w:val="none"/>
              </w:rPr>
              <w:t>2.</w:t>
            </w:r>
            <w:r>
              <w:rPr>
                <w:rFonts w:hint="eastAsia" w:ascii="宋体" w:hAnsi="宋体" w:eastAsia="宋体" w:cs="宋体"/>
                <w:b/>
                <w:color w:val="auto"/>
                <w:szCs w:val="21"/>
                <w:highlight w:val="none"/>
              </w:rPr>
              <w:t xml:space="preserve"> 本项目采购代理机构应严格按照</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项目采购全流程电子化电子开评标规程执行项目采购活动，代理机构在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7C4FB63">
        <w:trPr>
          <w:trHeight w:val="454" w:hRule="atLeast"/>
          <w:jc w:val="center"/>
        </w:trPr>
        <w:tc>
          <w:tcPr>
            <w:tcW w:w="903" w:type="dxa"/>
            <w:noWrap w:val="0"/>
            <w:vAlign w:val="center"/>
          </w:tcPr>
          <w:p w14:paraId="0DBBA81E">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608" w:type="dxa"/>
            <w:noWrap w:val="0"/>
            <w:vAlign w:val="center"/>
          </w:tcPr>
          <w:p w14:paraId="350BBB4C">
            <w:pPr>
              <w:keepNext w:val="0"/>
              <w:keepLines w:val="0"/>
              <w:pageBreakBefore w:val="0"/>
              <w:widowControl w:val="0"/>
              <w:shd w:val="clear" w:color="auto"/>
              <w:kinsoku/>
              <w:wordWrap/>
              <w:overflowPunct/>
              <w:topLinePunct w:val="0"/>
              <w:bidi w:val="0"/>
              <w:adjustRightInd/>
              <w:snapToGri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456" w:type="dxa"/>
            <w:noWrap w:val="0"/>
            <w:vAlign w:val="center"/>
          </w:tcPr>
          <w:p w14:paraId="4FD186B0">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7146B2D">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9313AFA">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3517C17B">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4.自然人竞标的，磋商文件规定盖公章处由自然人摁手指指印。</w:t>
            </w:r>
          </w:p>
          <w:p w14:paraId="5587F41E">
            <w:pPr>
              <w:keepNext w:val="0"/>
              <w:keepLines w:val="0"/>
              <w:pageBreakBefore w:val="0"/>
              <w:widowControl w:val="0"/>
              <w:shd w:val="clear" w:color="auto"/>
              <w:kinsoku/>
              <w:wordWrap/>
              <w:overflowPunct/>
              <w:topLinePunct w:val="0"/>
              <w:bidi w:val="0"/>
              <w:adjustRightInd/>
              <w:snapToGrid/>
              <w:spacing w:line="38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5.本磋商文件所称的“以上”“以下”“以内”“届满”，包括本数；所称的“不满”“超过”“以外”，不包括本数。</w:t>
            </w:r>
          </w:p>
        </w:tc>
      </w:tr>
    </w:tbl>
    <w:p w14:paraId="5E83D901">
      <w:pPr>
        <w:pStyle w:val="4"/>
        <w:shd w:val="clear" w:color="auto"/>
        <w:spacing w:line="420" w:lineRule="exact"/>
        <w:jc w:val="center"/>
        <w:rPr>
          <w:rFonts w:hint="eastAsia" w:ascii="宋体" w:hAnsi="宋体" w:eastAsia="宋体" w:cs="Times New Roman"/>
          <w:b w:val="0"/>
          <w:bCs/>
          <w:color w:val="auto"/>
          <w:highlight w:val="none"/>
        </w:rPr>
      </w:pPr>
      <w:r>
        <w:rPr>
          <w:rFonts w:ascii="宋体" w:hAnsi="宋体" w:eastAsia="宋体" w:cs="Times New Roman"/>
          <w:b w:val="0"/>
          <w:bCs/>
          <w:color w:val="auto"/>
          <w:highlight w:val="none"/>
        </w:rPr>
        <w:br w:type="page"/>
      </w:r>
      <w:bookmarkStart w:id="39" w:name="_Toc87898645"/>
      <w:r>
        <w:rPr>
          <w:rFonts w:hint="eastAsia" w:ascii="宋体" w:hAnsi="宋体" w:eastAsia="宋体" w:cs="Times New Roman"/>
          <w:b w:val="0"/>
          <w:bCs/>
          <w:color w:val="auto"/>
          <w:highlight w:val="none"/>
        </w:rPr>
        <w:t>第二节 供应商须知正文</w:t>
      </w:r>
      <w:bookmarkEnd w:id="39"/>
    </w:p>
    <w:p w14:paraId="634E7C4D">
      <w:pPr>
        <w:keepNext/>
        <w:keepLines/>
        <w:pageBreakBefore w:val="0"/>
        <w:widowControl w:val="0"/>
        <w:shd w:val="clear" w:color="auto"/>
        <w:kinsoku/>
        <w:wordWrap/>
        <w:overflowPunct/>
        <w:topLinePunct w:val="0"/>
        <w:autoSpaceDE/>
        <w:autoSpaceDN/>
        <w:bidi w:val="0"/>
        <w:adjustRightInd/>
        <w:snapToGrid/>
        <w:spacing w:before="240" w:after="240" w:line="240" w:lineRule="auto"/>
        <w:jc w:val="both"/>
        <w:textAlignment w:val="auto"/>
        <w:outlineLvl w:val="2"/>
        <w:rPr>
          <w:rFonts w:hint="eastAsia" w:ascii="Times New Roman" w:hAnsi="Times New Roman" w:eastAsia="宋体" w:cs="Times New Roman"/>
          <w:b/>
          <w:bCs/>
          <w:color w:val="auto"/>
          <w:kern w:val="2"/>
          <w:sz w:val="30"/>
          <w:szCs w:val="32"/>
          <w:highlight w:val="none"/>
          <w:lang w:val="en-US" w:eastAsia="zh-CN" w:bidi="ar-SA"/>
        </w:rPr>
      </w:pPr>
      <w:bookmarkStart w:id="40" w:name="_Toc87898646"/>
      <w:r>
        <w:rPr>
          <w:rFonts w:hint="eastAsia" w:ascii="Times New Roman" w:hAnsi="Times New Roman" w:eastAsia="宋体" w:cs="Times New Roman"/>
          <w:b/>
          <w:bCs/>
          <w:color w:val="auto"/>
          <w:kern w:val="2"/>
          <w:sz w:val="30"/>
          <w:szCs w:val="32"/>
          <w:highlight w:val="none"/>
          <w:lang w:val="en-US" w:eastAsia="zh-CN" w:bidi="ar-SA"/>
        </w:rPr>
        <w:t>一、总则</w:t>
      </w:r>
      <w:bookmarkEnd w:id="40"/>
    </w:p>
    <w:p w14:paraId="175B7705">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4CC587D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E3CEC2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1.2本竞争性磋商文件（以下简称磋商文件）适用于本项目的所有采购程序和环节（法律、法规另有规定的，从其规定）。</w:t>
      </w:r>
    </w:p>
    <w:p w14:paraId="441C04DE">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2B22916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2.1“采购人”是指依法进行政府采购的国家机关、事业单位、团体组织。</w:t>
      </w:r>
    </w:p>
    <w:p w14:paraId="14624D7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2.2“采购代理机构”是指政府采购集中采购机构和集中采购机构以外的采购代理机构。</w:t>
      </w:r>
    </w:p>
    <w:p w14:paraId="7D135D9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2.3“供应商”是指向采购人提供货物、工程或者服务的法人、其他组织或者自然人。</w:t>
      </w:r>
    </w:p>
    <w:p w14:paraId="4CD795D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2.4“工程”是指除货物和服务以外的其他政府采购对象。</w:t>
      </w:r>
    </w:p>
    <w:p w14:paraId="7E29F77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2.5“竞标”是指供应商按照本项目竞争性磋商公告或者邀请函规定的方式获取磋商文件、提交响应文件并希望获得标的的行为。</w:t>
      </w:r>
    </w:p>
    <w:p w14:paraId="36B2862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2.6“响应文件”是指：供应商根据本磋商文件要求，编制包含资格证明、报价商务技术等所有内容的文件。</w:t>
      </w:r>
    </w:p>
    <w:p w14:paraId="2A9B331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2.7“实质性要求”是指磋商文件中已经指明不满足则响应文件按无效响应处理的条款，或者不能负偏离的条款，或者采购需求中带“▲”的条款。</w:t>
      </w:r>
    </w:p>
    <w:p w14:paraId="1F34669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2.8“正偏离”，是指响应文件对磋商文件“采购需求”中有关条款作出的响应优于条款要求并有利于采购人的情形。</w:t>
      </w:r>
    </w:p>
    <w:p w14:paraId="630B75B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2.9“负偏离”，是指响应文件对磋商文件“采购需求”中有关条款作出的响应不满足条款要求，导致采购人要求不能得到满足的情形。</w:t>
      </w:r>
    </w:p>
    <w:p w14:paraId="47BACFA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2.10“允许负偏离的条款”是指采购需求中的不属于“实质性要求”的条款。</w:t>
      </w:r>
    </w:p>
    <w:p w14:paraId="2DCFE19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2.11“书面形式”是指合同书、信件和数据电文（包括电报、电传、传真、电子数据交换和电子邮件）等可以有形地表现所载内容的形式。</w:t>
      </w:r>
    </w:p>
    <w:p w14:paraId="4074AAD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2.12“首次报价”是指供应商提交的首次响应文件中的报价。</w:t>
      </w:r>
    </w:p>
    <w:p w14:paraId="64F6E41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2.13“评审报价”是指供应商提交的最后报价并经修正（如有）和政策功能价格扣除（如有）后的价格。</w:t>
      </w:r>
    </w:p>
    <w:p w14:paraId="56082B5A">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0E804EE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供应商的资格条件详见“供应商须知前附表”。</w:t>
      </w:r>
    </w:p>
    <w:p w14:paraId="57007018">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725D4EC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供应商应承担参与本次采购活动有关的所有费用，包括但不限于、勘查现场、编制和提交响应文件、参加磋商与应答、签订合同等，不论竞标结果如何，均应自行承担。</w:t>
      </w:r>
    </w:p>
    <w:p w14:paraId="672DE473">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594EF61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5.1本项目是否接受联合体竞标，详见“供应商须知前附表”。</w:t>
      </w:r>
    </w:p>
    <w:p w14:paraId="75D7156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5.2如接受联合体竞标，联合体竞标要求详见“供应商须知前附表”。</w:t>
      </w:r>
    </w:p>
    <w:p w14:paraId="70D0629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5.3根据《政府采购促进中小企业发展暂行办法》（财库[2020]46号）第九条规定，接受大中型企业与小微企业组成联合体的采购项目，对于联合协议约定小微企业的合同份额占到合同总金额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30%以上的，采购人、采购代理机构应当对联合体的报价给予工程项目为 1%—2%的扣除，用扣除后的价格参加评审。组成联合体的小微企业与联合体内其他企业、分包企业之间存在直接控股、管理关系的，不享受价格扣除优惠政策。</w:t>
      </w:r>
    </w:p>
    <w:p w14:paraId="5F44B717">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31A2289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6.1本项目是否允许分包详见“供应商须知前附表”，本项目不允许违法分包。</w:t>
      </w:r>
    </w:p>
    <w:p w14:paraId="1CC89BE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6.2根据《政府采购促进中小企业发展暂行办法》（财库[2020]46号）第九条规定，允许大中型企业向一家或者多家小微企业分包的采购项目，对于分包意向协议约定小微企业的合同份额占到合同总金额 30%以上的，采购人、采购代理机构应当对大中型企业的报价给予工程项目为 1%—2%的扣除，用扣除后的价格参加评审。接受分包的小微企业与分包企业之间存在直接控股、管理关系的，不享受价格扣除优惠政策。</w:t>
      </w:r>
    </w:p>
    <w:p w14:paraId="207359A9">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bookmarkStart w:id="41" w:name="_Toc254970532"/>
      <w:bookmarkStart w:id="42" w:name="_Toc254970673"/>
      <w:r>
        <w:rPr>
          <w:rFonts w:hint="eastAsia" w:ascii="黑体" w:hAnsi="黑体" w:eastAsia="黑体" w:cs="宋体"/>
          <w:b/>
          <w:bCs/>
          <w:color w:val="auto"/>
          <w:sz w:val="24"/>
          <w:highlight w:val="none"/>
        </w:rPr>
        <w:t>7.特别说明</w:t>
      </w:r>
      <w:bookmarkEnd w:id="41"/>
      <w:bookmarkEnd w:id="42"/>
    </w:p>
    <w:p w14:paraId="303A108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bookmarkStart w:id="43" w:name="_8.1提供相同品牌产品且通过资格审查、符合性审查的不同投标人参加同一合"/>
      <w:bookmarkEnd w:id="43"/>
      <w:r>
        <w:rPr>
          <w:rFonts w:hint="eastAsia" w:ascii="宋体" w:hAnsi="宋体" w:eastAsia="宋体" w:cs="Times New Roman"/>
          <w:color w:val="auto"/>
          <w:kern w:val="0"/>
          <w:sz w:val="21"/>
          <w:szCs w:val="21"/>
          <w:highlight w:val="none"/>
          <w:lang w:val="en-US" w:eastAsia="zh-CN" w:bidi="ar-SA"/>
        </w:rPr>
        <w:t>7.1</w:t>
      </w:r>
      <w:bookmarkStart w:id="44" w:name="_Hlk65832145"/>
      <w:r>
        <w:rPr>
          <w:rFonts w:hint="eastAsia" w:ascii="宋体" w:hAnsi="宋体" w:eastAsia="宋体" w:cs="Times New Roman"/>
          <w:color w:val="auto"/>
          <w:kern w:val="0"/>
          <w:sz w:val="21"/>
          <w:szCs w:val="21"/>
          <w:highlight w:val="none"/>
          <w:lang w:val="en-US" w:eastAsia="zh-CN" w:bidi="ar-SA"/>
        </w:rPr>
        <w:t>如果本磋商文件要求提供供应商或制造商的资格、信誉、荣誉、业绩与企业认证等材料的，资格、信誉、荣誉、业绩与企业认证等必须为供应商或者制造商所拥有或自身获得 。</w:t>
      </w:r>
    </w:p>
    <w:bookmarkEnd w:id="44"/>
    <w:p w14:paraId="061BFA1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7.2供应商应仔细阅读磋商文件的所有内容，按照磋商文件的要求提交响应文件，并对所提供的全部资料的真实性承担法律责任。</w:t>
      </w:r>
    </w:p>
    <w:p w14:paraId="1EBFD5F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A8FB3A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7.4在政府采购活动中，采购人员及相关人员与供应商有下列利害关系之一的，应当回避：</w:t>
      </w:r>
    </w:p>
    <w:p w14:paraId="2DE8945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（1）参加采购活动前3年内与供应商存在劳动关系；</w:t>
      </w:r>
    </w:p>
    <w:p w14:paraId="6B78069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（2）参加采购活动前3年内担任供应商的董事、监事；</w:t>
      </w:r>
    </w:p>
    <w:p w14:paraId="427AF19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（3）参加采购活动前3年内是供应商的控股股东或者实际控制人；</w:t>
      </w:r>
    </w:p>
    <w:p w14:paraId="1250C56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（4）与供应商的法定代表人或者负责人有夫妻、直系血亲、三代以内旁系血亲或者近姻亲关系；</w:t>
      </w:r>
    </w:p>
    <w:p w14:paraId="10BB079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（5）与供应商有其他可能影响政府采购活动公平、公正进行的关系。</w:t>
      </w:r>
    </w:p>
    <w:p w14:paraId="39174B9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99012B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7.5有下列情形之一的视为供应商相互串通竞标，响应文件将被视为无效：</w:t>
      </w:r>
    </w:p>
    <w:p w14:paraId="06C8C20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（1）不同供应商的响应文件由同一单位或者个人编制； </w:t>
      </w:r>
    </w:p>
    <w:p w14:paraId="28AC7EC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（2）不同供应商委托同一单位或者个人办理竞标事宜；</w:t>
      </w:r>
    </w:p>
    <w:p w14:paraId="7BA00EF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（3）不同的供应商的响应文件载明的项目管理员为同一个人；</w:t>
      </w:r>
    </w:p>
    <w:p w14:paraId="6561780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（4）不同供应商的响应文件异常一致或者报价呈规律性差异；</w:t>
      </w:r>
    </w:p>
    <w:p w14:paraId="4CE2B53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（5）不同供应商的响应文件相互混装；</w:t>
      </w:r>
    </w:p>
    <w:p w14:paraId="330E3C9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（6）不同供应商的磋商保证金从同一单位或者个人账户转出。</w:t>
      </w:r>
      <w:r>
        <w:rPr>
          <w:rFonts w:hint="eastAsia" w:ascii="宋体" w:hAnsi="宋体" w:eastAsia="宋体" w:cs="Times New Roman"/>
          <w:color w:val="auto"/>
          <w:kern w:val="0"/>
          <w:sz w:val="21"/>
          <w:szCs w:val="21"/>
          <w:highlight w:val="none"/>
          <w:lang w:val="en-US" w:eastAsia="zh-CN" w:bidi="ar-SA"/>
        </w:rPr>
        <w:tab/>
      </w:r>
    </w:p>
    <w:p w14:paraId="364E0CA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7.6供应商有下列情形之一的，属于恶意串通行为，将报同级监督管理部门：</w:t>
      </w:r>
    </w:p>
    <w:p w14:paraId="4AFD57C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（1）供应商直接或者间接从采购人或者采购代理机构处获得其他供应商的相关信息并修改其响应文件；</w:t>
      </w:r>
    </w:p>
    <w:p w14:paraId="5A3E58A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（2）供应商按照采购人或者采购代理机构的授意撤换、修改响应文件；</w:t>
      </w:r>
    </w:p>
    <w:p w14:paraId="5943E8F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（3）供应商之间协商报价、技术方案等响应文件或者响应文件的实质性内容；</w:t>
      </w:r>
    </w:p>
    <w:p w14:paraId="604F0DA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（4）属于同一集团、协会、商会等组织成员的供应商按照该组织要求协同参加政府采购活动；</w:t>
      </w:r>
    </w:p>
    <w:p w14:paraId="72B4709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（5）供应商之间事先约定一致抬高或者压低报价，或者在政府采购活动中事先约定轮流以高价位或者低价位成交，或者事先约定由某一特定供应商成交，然后再参加竞标；</w:t>
      </w:r>
    </w:p>
    <w:p w14:paraId="7A47C3A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（6）供应商之间商定部分供应商放弃参加政府采购活动或者放弃成交；</w:t>
      </w:r>
    </w:p>
    <w:p w14:paraId="1DF2B09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（7）供应商与采购人或者采购代理机构之间、供应商相互之间，为谋求特定供应商成交或者排斥其他供应商的其他串通行为。</w:t>
      </w:r>
    </w:p>
    <w:p w14:paraId="0A986E53">
      <w:pPr>
        <w:keepNext/>
        <w:keepLines/>
        <w:widowControl w:val="0"/>
        <w:shd w:val="clear" w:color="auto"/>
        <w:bidi w:val="0"/>
        <w:spacing w:before="120" w:after="120" w:line="240" w:lineRule="auto"/>
        <w:jc w:val="both"/>
        <w:outlineLvl w:val="2"/>
        <w:rPr>
          <w:rFonts w:hint="eastAsia" w:ascii="Times New Roman" w:hAnsi="Times New Roman" w:eastAsia="宋体" w:cs="Times New Roman"/>
          <w:b/>
          <w:bCs/>
          <w:color w:val="auto"/>
          <w:kern w:val="2"/>
          <w:sz w:val="30"/>
          <w:szCs w:val="32"/>
          <w:highlight w:val="none"/>
          <w:lang w:val="en-US" w:eastAsia="zh-CN" w:bidi="ar-SA"/>
        </w:rPr>
      </w:pPr>
      <w:bookmarkStart w:id="45" w:name="_Toc87898647"/>
      <w:bookmarkStart w:id="46" w:name="_Toc254970675"/>
      <w:bookmarkStart w:id="47" w:name="_Toc254970534"/>
      <w:r>
        <w:rPr>
          <w:rFonts w:hint="eastAsia" w:ascii="Times New Roman" w:hAnsi="Times New Roman" w:eastAsia="宋体" w:cs="Times New Roman"/>
          <w:b/>
          <w:bCs/>
          <w:color w:val="auto"/>
          <w:kern w:val="2"/>
          <w:sz w:val="30"/>
          <w:szCs w:val="32"/>
          <w:highlight w:val="none"/>
          <w:lang w:val="en-US" w:eastAsia="zh-CN" w:bidi="ar-SA"/>
        </w:rPr>
        <w:t>二、磋商文件</w:t>
      </w:r>
      <w:bookmarkEnd w:id="45"/>
      <w:bookmarkEnd w:id="46"/>
      <w:bookmarkEnd w:id="47"/>
    </w:p>
    <w:p w14:paraId="2CC4A39A">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02FCE12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第一章 竞争性磋商公告；</w:t>
      </w:r>
    </w:p>
    <w:p w14:paraId="2F4C80A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第二章 采购需求；</w:t>
      </w:r>
    </w:p>
    <w:p w14:paraId="343A7FE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第三章 供应商须知； </w:t>
      </w:r>
    </w:p>
    <w:p w14:paraId="3A26B34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第四章 评审程序、评审方法和评审标准；</w:t>
      </w:r>
    </w:p>
    <w:p w14:paraId="0201FB5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第五章 响应文件格式；</w:t>
      </w:r>
    </w:p>
    <w:p w14:paraId="188975F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第六章 合同文本；</w:t>
      </w:r>
    </w:p>
    <w:p w14:paraId="66FEACD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第七章 质疑、投诉材料格式。</w:t>
      </w:r>
    </w:p>
    <w:p w14:paraId="55DD1770">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244B541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供应商应认真阅读磋商文件的采购需求，如供应商对磋商文件有疑问的，如要求采购人作出澄清或者修改的，供应商尽应在提交首次响应文件截止之日前，以书面形式向采购人、采购代理机构提出。</w:t>
      </w:r>
    </w:p>
    <w:p w14:paraId="4B5EF414">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6DBCD35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10.1已获取磋商文件的潜在供应商，若有问题需要澄清，应于应标截止时间前，以书面形式向采购代理机构提出，采购代理机构与采购人研究后，对认为有必要回答的问题，按照本章10.3的内容处理。</w:t>
      </w:r>
    </w:p>
    <w:p w14:paraId="11E0358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10.2</w:t>
      </w:r>
      <w:r>
        <w:rPr>
          <w:rFonts w:hint="eastAsia" w:ascii="宋体" w:hAnsi="宋体" w:eastAsia="宋体" w:cs="Times New Roman"/>
          <w:b/>
          <w:bCs/>
          <w:color w:val="auto"/>
          <w:kern w:val="0"/>
          <w:sz w:val="21"/>
          <w:szCs w:val="21"/>
          <w:highlight w:val="none"/>
          <w:lang w:val="en-US" w:eastAsia="zh-CN" w:bidi="ar-SA"/>
        </w:rPr>
        <w:t>采购人或者采购代理机构可以对已发出的磋商文件进行必要的澄清或者修改，但不得改变采购标的和资格条件。澄清或者修改应当在原公告发布媒体上发布澄清公告。澄清或者修改的内容为磋商文件的组成部分</w:t>
      </w:r>
      <w:r>
        <w:rPr>
          <w:rFonts w:hint="eastAsia" w:ascii="宋体" w:hAnsi="宋体" w:eastAsia="宋体" w:cs="Times New Roman"/>
          <w:color w:val="auto"/>
          <w:kern w:val="0"/>
          <w:sz w:val="21"/>
          <w:szCs w:val="21"/>
          <w:highlight w:val="none"/>
          <w:lang w:val="en-US" w:eastAsia="zh-CN" w:bidi="ar-SA"/>
        </w:rPr>
        <w:t>。</w:t>
      </w:r>
    </w:p>
    <w:p w14:paraId="161EE8F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74D7041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10.4采购信息更正公告的内容应当包括采购人和采购代理机构名称、地址、联系方式，原公告的采购项目名称及首次公告日期，更正事项、内容及日期，采购项目联系人和电话。</w:t>
      </w:r>
    </w:p>
    <w:p w14:paraId="2B19934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39F164B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b/>
          <w:bCs/>
          <w:color w:val="auto"/>
          <w:kern w:val="0"/>
          <w:sz w:val="21"/>
          <w:szCs w:val="21"/>
          <w:highlight w:val="none"/>
          <w:lang w:val="en-US" w:eastAsia="zh-CN" w:bidi="ar-SA"/>
        </w:rPr>
        <w:t>▲响应文件未按磋商文件的澄清、修改的内容编制，又不符合实质性要求的，其响应文件作无效处理。</w:t>
      </w:r>
    </w:p>
    <w:p w14:paraId="330245D7">
      <w:pPr>
        <w:keepNext/>
        <w:keepLines/>
        <w:widowControl w:val="0"/>
        <w:shd w:val="clear" w:color="auto"/>
        <w:bidi w:val="0"/>
        <w:spacing w:before="120" w:after="120" w:line="240" w:lineRule="auto"/>
        <w:jc w:val="both"/>
        <w:outlineLvl w:val="2"/>
        <w:rPr>
          <w:rFonts w:hint="eastAsia" w:ascii="Times New Roman" w:hAnsi="Times New Roman" w:eastAsia="宋体" w:cs="Times New Roman"/>
          <w:b/>
          <w:bCs/>
          <w:color w:val="auto"/>
          <w:kern w:val="2"/>
          <w:sz w:val="30"/>
          <w:szCs w:val="32"/>
          <w:highlight w:val="none"/>
          <w:lang w:val="en-US" w:eastAsia="zh-CN" w:bidi="ar-SA"/>
        </w:rPr>
      </w:pPr>
      <w:bookmarkStart w:id="48" w:name="_Toc87898648"/>
      <w:r>
        <w:rPr>
          <w:rFonts w:hint="eastAsia" w:ascii="Times New Roman" w:hAnsi="Times New Roman" w:eastAsia="宋体" w:cs="Times New Roman"/>
          <w:b/>
          <w:bCs/>
          <w:color w:val="auto"/>
          <w:kern w:val="2"/>
          <w:sz w:val="30"/>
          <w:szCs w:val="32"/>
          <w:highlight w:val="none"/>
          <w:lang w:val="en-US" w:eastAsia="zh-CN" w:bidi="ar-SA"/>
        </w:rPr>
        <w:t>三、响应文件的编制</w:t>
      </w:r>
      <w:bookmarkEnd w:id="48"/>
    </w:p>
    <w:p w14:paraId="50564695">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2707DE6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供应商必须按照磋商文件的要求编制响应文件，并对其提交的响应文件的真实性、合法性承担法律责任。响应文件必须对磋商文件作出实质性响应。</w:t>
      </w:r>
    </w:p>
    <w:p w14:paraId="1108E338">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36FFBEC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12.1响应文件由资格证明文件、报价文件、商务和技术文件三部分组成。</w:t>
      </w:r>
    </w:p>
    <w:p w14:paraId="7D531C6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12.1.1资格证明文件：详见须知前附表</w:t>
      </w:r>
    </w:p>
    <w:p w14:paraId="46A97C3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12.1.2商务技术文件：详见须知前附表</w:t>
      </w:r>
    </w:p>
    <w:p w14:paraId="027B3F7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12.1.3报价文件：详见须知前附表</w:t>
      </w:r>
    </w:p>
    <w:p w14:paraId="2F41781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12.2响应文件电子版：详见须知前附表</w:t>
      </w:r>
    </w:p>
    <w:p w14:paraId="7F25FF74">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E21D47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磋商文件已有明确规定的，使用磋商文件规定的计量单位；磋商文件没有规定的，应采用中华人民共和国法定计量单位，货币种类为人民币，否则视同未响应。</w:t>
      </w:r>
    </w:p>
    <w:p w14:paraId="730F6173">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35E5A26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供应商没有按照磋商文件要求提供全部资料，或者供应商没有对磋商文件在各方面作出实质性响应可能导致其响应无效，是供应商应当考虑的风险。</w:t>
      </w:r>
    </w:p>
    <w:p w14:paraId="43F11605">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107B730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15.1响应报价应按“第五章 响应文件格式”中“响应报价表”格式填写。</w:t>
      </w:r>
    </w:p>
    <w:p w14:paraId="6178978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15.2响应报价的价格构成见“供应商须知前附表”。</w:t>
      </w:r>
    </w:p>
    <w:p w14:paraId="0EE2A5D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15.3响应报价要求</w:t>
      </w:r>
    </w:p>
    <w:p w14:paraId="1765134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15.3.1供应商的响应报价应符合以下要求，否则响应文件按无效响应处理：</w:t>
      </w:r>
    </w:p>
    <w:p w14:paraId="2D163A5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（1）供应商必须就“采购需求”中所竞标的每个分标的全部内容分别作完整唯一总价报价，不得存在漏项报价；</w:t>
      </w:r>
    </w:p>
    <w:p w14:paraId="326C410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（2）供应商必须就所竞标的分标的单项内容作唯一报价。</w:t>
      </w:r>
    </w:p>
    <w:p w14:paraId="4DBFE68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15.3.2响应报价（包含首次报价、最后报价）超过所竞标分标规定的采购预算金额或者最高限价的，其响应文件将作无效处理。</w:t>
      </w:r>
    </w:p>
    <w:p w14:paraId="058605F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15.3.3</w:t>
      </w:r>
      <w:bookmarkStart w:id="49" w:name="_Hlk42592874"/>
      <w:r>
        <w:rPr>
          <w:rFonts w:hint="eastAsia" w:ascii="宋体" w:hAnsi="宋体" w:eastAsia="宋体" w:cs="Times New Roman"/>
          <w:color w:val="auto"/>
          <w:kern w:val="0"/>
          <w:sz w:val="21"/>
          <w:szCs w:val="21"/>
          <w:highlight w:val="none"/>
          <w:lang w:val="en-US" w:eastAsia="zh-CN" w:bidi="ar-SA"/>
        </w:rPr>
        <w:t>响应报价（包含首次报价、最后报价）超过分项采购预算金额或者最高限价的，其响应文件将作无效处理。</w:t>
      </w:r>
    </w:p>
    <w:p w14:paraId="131BB83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15.3.4磋商价格及依据</w:t>
      </w:r>
    </w:p>
    <w:p w14:paraId="3CF5DCF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15.3.4.1 本工程磋商报价采用工程量清单报价。工程量按实际结算。供应商应就本项目作完整唯一报价。</w:t>
      </w:r>
    </w:p>
    <w:p w14:paraId="336A9EF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15.3.4.2 本工程采用固定综合单价承包，磋商报价为供应商在响应文件中提出的各项支付金额的总和。供应商工程量清单中原有项目的工程量无论增减多少，均按原单价结算，承包人必须按发包人的指令完成施工，不得以任何理由拒绝，否则视为违约，供应商应在报价中考虑由工程量变化带来的风险。</w:t>
      </w:r>
    </w:p>
    <w:p w14:paraId="15BC01A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15.3.4.3供应商所填报的各项综合单价中的各种材料单价及综合单价，在合同实施期间不因市场价格变化因素而变动，供应商所填报的单价及综合单价在合同实施期间在任何情况下不再作调整（工程变更、本工程约定的材料价格风险及政策性调整除外），供应商在报价时应考虑各种风险因素和自己的承受能力。</w:t>
      </w:r>
    </w:p>
    <w:p w14:paraId="3BF2483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15.3.4.4本合同实施期间因设计变更引起工程项目、工程量变化的，其工程量按实际发生并经监理工程师及发包人签证认可，变更合同价款按下列方法进行：</w:t>
      </w:r>
    </w:p>
    <w:p w14:paraId="60FBD912">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（1）合同中已有适用于变更工程的价格，按合同已有的价格变更合同价款；</w:t>
      </w:r>
    </w:p>
    <w:p w14:paraId="59F9382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（2）合同中只有类似于变更工程的价格，可以参照类似价格变更合同价款；</w:t>
      </w:r>
    </w:p>
    <w:p w14:paraId="4EA8E38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合同中没有适用或类似于变更工程的价格，则有定额的套定额计算（土石方除外），执行本工程磋商报价的计算及结算依据并乘以下浮系数（成交价/工程预算控制价）计算，其中材料价格有信息价的按施工期间的信息价进行计算，无信息的按市场价；新增项目无定额可套的，由发包人、承包人及监理根据市场价格协商确定。</w:t>
      </w:r>
    </w:p>
    <w:p w14:paraId="24882DF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（4）国家和本自治区政策性调整有关费用标准的，按文件规定执行。</w:t>
      </w:r>
    </w:p>
    <w:p w14:paraId="729B548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15.3.4.5磋商价格计算依据：</w:t>
      </w:r>
    </w:p>
    <w:p w14:paraId="0305834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桂水基[2007]38号文联合发布的《广西壮族自治区水利水电工程设计概(预)算编制规定》、《广西水利水电建筑工程预算定额》、《广西水利水电设备安装工程预算定额》和《广西水利水电工程机械台时费定额》。</w:t>
      </w:r>
    </w:p>
    <w:p w14:paraId="54323FF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采购人不提供取土点、弃土点，有关土石方挖、填、弃的超运均以包干形式考虑在相关单价，以总价包干。土石方按市场报价，土石方运距由供应商按所能承受能力自行考虑。结算时不对运距进行费用签证。</w:t>
      </w:r>
    </w:p>
    <w:p w14:paraId="66B5753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（3）根据相关规定，磋商报价中含建安劳保费。</w:t>
      </w:r>
    </w:p>
    <w:p w14:paraId="5E80A8F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（4）本工程安全文明施工费的费用，按行业相关规定执行，作为不可竞争措施费单列，否则作废标处理。</w:t>
      </w:r>
    </w:p>
    <w:p w14:paraId="0F999A8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（5）本工程各种费率按最低值计算，土方工程的外运土方及取土不另行考虑运距；施工期间的水电费由施工方承担。</w:t>
      </w:r>
    </w:p>
    <w:p w14:paraId="1F3D6D5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磋商供应商的临时占地（含半成品加工厂、料厂、拌和站、借弃土场、项目部驻地等）租用费（含拆迁补偿）、临时用地的环保、恢复及所有临时性占地的青苗补偿及地面附着物发生的费用均由供应商负责；由于磋商供应商原因引起工期延长造成磋商供应商临时占地的租用费增加由磋商供应商负责。以上费用在报价中自行考虑。</w:t>
      </w:r>
    </w:p>
    <w:p w14:paraId="6052BE7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（7）供应商可自行先到工地踏勘以充分了解工地位置、情况、道路、储存空间、装卸限制及任何其他足以影响承包价的情况，任何因忽视或误解工地情况而导致的索赔或工期延长申请将不被批准。</w:t>
      </w:r>
    </w:p>
    <w:p w14:paraId="38FE965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（8）本项目采用多次报价方式，作最终报价时采购人将书面告知各供应商，</w:t>
      </w:r>
      <w:r>
        <w:rPr>
          <w:rFonts w:hint="eastAsia" w:ascii="宋体" w:hAnsi="宋体" w:eastAsia="宋体" w:cs="Times New Roman"/>
          <w:b/>
          <w:bCs/>
          <w:color w:val="auto"/>
          <w:kern w:val="0"/>
          <w:sz w:val="21"/>
          <w:szCs w:val="21"/>
          <w:highlight w:val="none"/>
          <w:lang w:val="en-US" w:eastAsia="zh-CN" w:bidi="ar-SA"/>
        </w:rPr>
        <w:t>供应商的最终报价如有变动，则必须以完整的工程量清单报价表的格式（按磋商文件中的相关规定签字盖章）编制提交，供应商须提前做好相关准备并按时递交最终报价文件，否则按响应无效处理</w:t>
      </w:r>
      <w:r>
        <w:rPr>
          <w:rFonts w:hint="eastAsia" w:ascii="宋体" w:hAnsi="宋体" w:eastAsia="宋体" w:cs="Times New Roman"/>
          <w:color w:val="auto"/>
          <w:kern w:val="0"/>
          <w:sz w:val="21"/>
          <w:szCs w:val="21"/>
          <w:highlight w:val="none"/>
          <w:lang w:val="en-US" w:eastAsia="zh-CN" w:bidi="ar-SA"/>
        </w:rPr>
        <w:t>。</w:t>
      </w:r>
    </w:p>
    <w:p w14:paraId="5252C1B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15.3.4.6</w:t>
      </w:r>
      <w:r>
        <w:rPr>
          <w:rFonts w:hint="eastAsia" w:ascii="宋体" w:hAnsi="宋体" w:eastAsia="宋体" w:cs="Times New Roman"/>
          <w:b/>
          <w:bCs/>
          <w:color w:val="auto"/>
          <w:kern w:val="0"/>
          <w:sz w:val="21"/>
          <w:szCs w:val="21"/>
          <w:highlight w:val="none"/>
          <w:lang w:val="en-US" w:eastAsia="zh-CN" w:bidi="ar-SA"/>
        </w:rPr>
        <w:t>本工程报价按工程量清单报价，具体信息价等详见工程量清单说明</w:t>
      </w:r>
      <w:r>
        <w:rPr>
          <w:rFonts w:hint="eastAsia" w:ascii="宋体" w:hAnsi="宋体" w:eastAsia="宋体" w:cs="Times New Roman"/>
          <w:color w:val="auto"/>
          <w:kern w:val="0"/>
          <w:sz w:val="21"/>
          <w:szCs w:val="21"/>
          <w:highlight w:val="none"/>
          <w:lang w:val="en-US" w:eastAsia="zh-CN" w:bidi="ar-SA"/>
        </w:rPr>
        <w:t>。</w:t>
      </w:r>
    </w:p>
    <w:p w14:paraId="41BEF97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15.3.4.7供应商应认真填写工程量清单中所列的所有各细目的单价和合价，填写时应注意：</w:t>
      </w:r>
    </w:p>
    <w:p w14:paraId="48C4F21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（1）有工程数量的应报单价和合价；</w:t>
      </w:r>
    </w:p>
    <w:p w14:paraId="73F4A96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（2）无工程数量的项目不报价；</w:t>
      </w:r>
    </w:p>
    <w:p w14:paraId="1D02B06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除非采购人对采购文件予以修改，供应商应按采购人提供的工程量清单中列出的工程项目和工程量填报单价和合价。每一项目只允许有一个报价。任何有选择的报价将不予接受。供应商未填单价或合价的工程项目，承包人必须实施且在实施后，采购人将不予以支付，并视为该项费用已包括在其他有价款的单价或合价内，承包人必须按发包人现场代表或发包人授权的监理工程师的指令完成工程量清单中未填入单价或总额价的工程细目，但不能得到支付与结算。</w:t>
      </w:r>
    </w:p>
    <w:bookmarkEnd w:id="49"/>
    <w:p w14:paraId="77076361">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043DB0C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16.1竞标有效期是指为保证采购人有足够的时间在提交响应文件后完成评审、确定成交供应商、合同签订等工作而要求供应商提交的响应文件在一定时间内保持有效的期限。</w:t>
      </w:r>
    </w:p>
    <w:p w14:paraId="75059D2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16.2 竞标有效期应由供应商按“供应商须知前附表”规定的期限作出响应。</w:t>
      </w:r>
    </w:p>
    <w:p w14:paraId="729ED16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16.3供应商的响应文件在竞标有效期内均保持有效。</w:t>
      </w:r>
    </w:p>
    <w:p w14:paraId="6C17BDFD">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2984C74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详见“供应商须知前附表”。</w:t>
      </w:r>
    </w:p>
    <w:p w14:paraId="366DF657">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1EBACF5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7E2155C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18.2响应文件应按资格证明、报价分别编制，商务技术文件合并编制，本磋商只接受电子版响应文件，要求见本章“12.2响应文件电子版要求”。</w:t>
      </w:r>
    </w:p>
    <w:p w14:paraId="7D14D0F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18.</w:t>
      </w:r>
      <w:bookmarkStart w:id="50" w:name="_Hlk65832699"/>
      <w:r>
        <w:rPr>
          <w:rFonts w:hint="eastAsia" w:ascii="宋体" w:hAnsi="宋体" w:eastAsia="宋体" w:cs="Times New Roman"/>
          <w:color w:val="auto"/>
          <w:kern w:val="0"/>
          <w:sz w:val="21"/>
          <w:szCs w:val="21"/>
          <w:highlight w:val="none"/>
          <w:lang w:val="en-US" w:eastAsia="zh-CN" w:bidi="ar-SA"/>
        </w:rPr>
        <w:t>3响应文件须由供应商在</w:t>
      </w:r>
      <w:r>
        <w:rPr>
          <w:rFonts w:hint="eastAsia" w:ascii="宋体" w:hAnsi="宋体" w:eastAsia="宋体" w:cs="Times New Roman"/>
          <w:color w:val="auto"/>
          <w:kern w:val="0"/>
          <w:sz w:val="21"/>
          <w:szCs w:val="21"/>
          <w:highlight w:val="none"/>
          <w:lang w:val="zh-CN" w:eastAsia="zh-CN" w:bidi="ar-SA"/>
        </w:rPr>
        <w:t>“</w:t>
      </w:r>
      <w:r>
        <w:rPr>
          <w:rFonts w:hint="eastAsia" w:ascii="宋体" w:hAnsi="宋体" w:eastAsia="宋体" w:cs="Times New Roman"/>
          <w:color w:val="auto"/>
          <w:kern w:val="0"/>
          <w:sz w:val="21"/>
          <w:szCs w:val="21"/>
          <w:highlight w:val="none"/>
          <w:lang w:val="en-US" w:eastAsia="zh-CN" w:bidi="ar-SA"/>
        </w:rPr>
        <w:t>第五章 响应文件格式</w:t>
      </w:r>
      <w:r>
        <w:rPr>
          <w:rFonts w:hint="eastAsia" w:ascii="宋体" w:hAnsi="宋体" w:eastAsia="宋体" w:cs="Times New Roman"/>
          <w:color w:val="auto"/>
          <w:kern w:val="0"/>
          <w:sz w:val="21"/>
          <w:szCs w:val="21"/>
          <w:highlight w:val="none"/>
          <w:lang w:val="zh-CN" w:eastAsia="zh-CN" w:bidi="ar-SA"/>
        </w:rPr>
        <w:t>”</w:t>
      </w:r>
      <w:r>
        <w:rPr>
          <w:rFonts w:hint="eastAsia" w:ascii="宋体" w:hAnsi="宋体" w:eastAsia="宋体" w:cs="Times New Roman"/>
          <w:color w:val="auto"/>
          <w:kern w:val="0"/>
          <w:sz w:val="21"/>
          <w:szCs w:val="21"/>
          <w:highlight w:val="none"/>
          <w:lang w:val="en-US" w:eastAsia="zh-CN" w:bidi="ar-SA"/>
        </w:rPr>
        <w:t>规定位置进行签署、盖章</w:t>
      </w:r>
      <w:bookmarkEnd w:id="50"/>
      <w:r>
        <w:rPr>
          <w:rFonts w:hint="eastAsia" w:ascii="宋体" w:hAnsi="宋体" w:eastAsia="宋体" w:cs="Times New Roman"/>
          <w:color w:val="auto"/>
          <w:kern w:val="0"/>
          <w:sz w:val="21"/>
          <w:szCs w:val="21"/>
          <w:highlight w:val="none"/>
          <w:lang w:val="en-US" w:eastAsia="zh-CN" w:bidi="ar-SA"/>
        </w:rPr>
        <w:t>，否则其响应文件按无效响应处理。骑缝盖公章不视为在规定位置盖章。</w:t>
      </w:r>
    </w:p>
    <w:p w14:paraId="7368022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18.4响应文件中标注的供应商名称应与营业执照（事业单位法人证书、执业许可证、自然人身份证）及电子公章一致，否则其响应文件按无效响应处理。</w:t>
      </w:r>
    </w:p>
    <w:p w14:paraId="130D390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18.5响应文件应避免涂改、行间插字或者删除，否则其响应文件按无效响应处理。</w:t>
      </w:r>
    </w:p>
    <w:p w14:paraId="61DECB16">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590B786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zh-CN" w:eastAsia="zh-CN" w:bidi="ar-SA"/>
        </w:rPr>
      </w:pPr>
      <w:r>
        <w:rPr>
          <w:rFonts w:hint="eastAsia" w:ascii="宋体" w:hAnsi="宋体" w:eastAsia="宋体" w:cs="Times New Roman"/>
          <w:color w:val="auto"/>
          <w:kern w:val="0"/>
          <w:sz w:val="21"/>
          <w:szCs w:val="21"/>
          <w:highlight w:val="none"/>
          <w:lang w:val="zh-CN" w:eastAsia="zh-CN" w:bidi="ar-SA"/>
        </w:rPr>
        <w:t>19.1供应商进行电子交易应安装客户端软件—“政采云电子交易客户端”，并按照磋商文件和电子交易平台的要求编制并加密响应文件。供应商未按规定加密的响应文件，电子交易平台将拒收并提示。</w:t>
      </w:r>
    </w:p>
    <w:p w14:paraId="2A41882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zh-CN" w:eastAsia="zh-CN" w:bidi="ar-SA"/>
        </w:rPr>
      </w:pPr>
      <w:r>
        <w:rPr>
          <w:rFonts w:hint="eastAsia" w:ascii="宋体" w:hAnsi="宋体" w:eastAsia="宋体" w:cs="Times New Roman"/>
          <w:color w:val="auto"/>
          <w:kern w:val="0"/>
          <w:sz w:val="21"/>
          <w:szCs w:val="21"/>
          <w:highlight w:val="none"/>
          <w:lang w:val="zh-CN" w:eastAsia="zh-CN" w:bidi="ar-SA"/>
        </w:rPr>
        <w:t>19.2使用“政采云电子交易客户端”需要提前申领CA数字证书，申领流程见该项目采购公告附件。</w:t>
      </w:r>
    </w:p>
    <w:p w14:paraId="167F559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19.3为确保网上操作合法、有效和安全，供应商应当在响应文件提交截止时间前完成在“政府采购云平台”的身份认证，确保在电子交易过程中能够对相关数据电文进行加密和使用电子签名。</w:t>
      </w:r>
    </w:p>
    <w:p w14:paraId="206E79D9">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0CA6E0A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20.1供应商必须在“供应商须知前附表”规定的时间和地点提交响应文件。</w:t>
      </w:r>
    </w:p>
    <w:p w14:paraId="49BAE65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20.2 在响应文件提交截止时间以后，不能补充、修改响应文件。</w:t>
      </w:r>
    </w:p>
    <w:p w14:paraId="628942A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20.3 在提交“最后报价”后，供应商不能退出谈判。</w:t>
      </w:r>
    </w:p>
    <w:p w14:paraId="1CC75A3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20.4 电子交易平台收到响应文件，将妥善保存并即时向供应商发出确认回执通知。在响应文件提交截止时间前，除供应商补充、修改或者撤回响应文件外，任何单位和个人不得解密或提取响应文件。</w:t>
      </w:r>
    </w:p>
    <w:p w14:paraId="3739510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20.5 采购机构不可视情况延长提交响应文件的截止时间。</w:t>
      </w:r>
    </w:p>
    <w:p w14:paraId="08C17D0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20.6备份响应文件。详见在“供应商须知前附表”。</w:t>
      </w:r>
    </w:p>
    <w:p w14:paraId="4087E16C">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3085647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详见“供应商须知前附表”。</w:t>
      </w:r>
    </w:p>
    <w:p w14:paraId="424F65CE">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bookmarkStart w:id="51" w:name="_Hlk45702405"/>
      <w:r>
        <w:rPr>
          <w:rFonts w:hint="eastAsia" w:ascii="黑体" w:hAnsi="黑体" w:eastAsia="黑体" w:cs="宋体"/>
          <w:b/>
          <w:bCs/>
          <w:color w:val="auto"/>
          <w:sz w:val="24"/>
          <w:highlight w:val="none"/>
        </w:rPr>
        <w:t>22. 首次响应文件的退回</w:t>
      </w:r>
    </w:p>
    <w:p w14:paraId="792D67C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在首次响应文件提交截止时间止提交响应文件的供应商不足3家时电子响应文件由代理机构在广西政府采购云平台操作退回，除此之外采购人和采购代理机构对已提交的电子响应文件概不退回。</w:t>
      </w:r>
    </w:p>
    <w:p w14:paraId="592C7393">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5614D9D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本项目不收取磋商保证金，供应商在首次响应文件提交截止时间后可向采购人、采购代理机构书面申请撤回电子响应文件。</w:t>
      </w:r>
      <w:bookmarkEnd w:id="51"/>
    </w:p>
    <w:p w14:paraId="798E0E42">
      <w:pPr>
        <w:keepNext/>
        <w:keepLines/>
        <w:widowControl w:val="0"/>
        <w:shd w:val="clear" w:color="auto"/>
        <w:bidi w:val="0"/>
        <w:spacing w:before="120" w:after="120" w:line="240" w:lineRule="auto"/>
        <w:jc w:val="both"/>
        <w:outlineLvl w:val="2"/>
        <w:rPr>
          <w:rFonts w:hint="eastAsia" w:ascii="Times New Roman" w:hAnsi="Times New Roman" w:eastAsia="宋体" w:cs="Times New Roman"/>
          <w:b/>
          <w:bCs/>
          <w:color w:val="auto"/>
          <w:kern w:val="2"/>
          <w:sz w:val="30"/>
          <w:szCs w:val="32"/>
          <w:highlight w:val="none"/>
          <w:lang w:val="en-US" w:eastAsia="zh-CN" w:bidi="ar-SA"/>
        </w:rPr>
      </w:pPr>
      <w:bookmarkStart w:id="52" w:name="_Toc87898649"/>
      <w:r>
        <w:rPr>
          <w:rFonts w:hint="eastAsia" w:ascii="Times New Roman" w:hAnsi="Times New Roman" w:eastAsia="宋体" w:cs="Times New Roman"/>
          <w:b/>
          <w:bCs/>
          <w:color w:val="auto"/>
          <w:kern w:val="2"/>
          <w:sz w:val="30"/>
          <w:szCs w:val="32"/>
          <w:highlight w:val="none"/>
          <w:lang w:val="en-US" w:eastAsia="zh-CN" w:bidi="ar-SA"/>
        </w:rPr>
        <w:t>四、评审及磋商</w:t>
      </w:r>
      <w:bookmarkEnd w:id="52"/>
    </w:p>
    <w:p w14:paraId="064933E4">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6C48386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D88BEA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ABDE40B">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4D3B517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25.1首次响应文件由磋商小组或者采购代理机构在“供应商须知前附表”规定的时间开启。</w:t>
      </w:r>
    </w:p>
    <w:p w14:paraId="0EE7A32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25.2 响应文件解密</w:t>
      </w:r>
    </w:p>
    <w:p w14:paraId="1B06A1A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bCs/>
          <w:color w:val="auto"/>
          <w:kern w:val="0"/>
          <w:sz w:val="21"/>
          <w:szCs w:val="21"/>
          <w:highlight w:val="none"/>
          <w:lang w:val="en-US" w:eastAsia="zh-CN" w:bidi="ar-SA"/>
        </w:rPr>
        <w:t>采购代理机构将在“供应商须知前附表”规定的时</w:t>
      </w:r>
      <w:r>
        <w:rPr>
          <w:rFonts w:hint="eastAsia" w:ascii="宋体" w:hAnsi="宋体" w:eastAsia="宋体" w:cs="Times New Roman"/>
          <w:color w:val="auto"/>
          <w:kern w:val="0"/>
          <w:sz w:val="21"/>
          <w:szCs w:val="21"/>
          <w:highlight w:val="none"/>
          <w:lang w:val="en-US" w:eastAsia="zh-CN" w:bidi="ar-SA"/>
        </w:rPr>
        <w:t>间通过电子交易平台组织响应文件开启，采购机构依托电子交易平台发起开始解密指令，供应商的法定代表人或其委托代理人</w:t>
      </w:r>
      <w:r>
        <w:rPr>
          <w:rFonts w:hint="eastAsia" w:ascii="宋体" w:hAnsi="宋体" w:eastAsia="宋体" w:cs="Times New Roman"/>
          <w:b/>
          <w:color w:val="auto"/>
          <w:kern w:val="0"/>
          <w:sz w:val="21"/>
          <w:szCs w:val="21"/>
          <w:highlight w:val="none"/>
          <w:lang w:val="en-US" w:eastAsia="zh-CN" w:bidi="ar-SA"/>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eastAsia="宋体" w:cs="Times New Roman"/>
          <w:color w:val="auto"/>
          <w:kern w:val="0"/>
          <w:sz w:val="21"/>
          <w:szCs w:val="21"/>
          <w:highlight w:val="none"/>
          <w:lang w:val="en-US" w:eastAsia="zh-CN" w:bidi="ar-SA"/>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eastAsia="宋体" w:cs="Times New Roman"/>
          <w:b/>
          <w:color w:val="auto"/>
          <w:kern w:val="0"/>
          <w:sz w:val="21"/>
          <w:szCs w:val="21"/>
          <w:highlight w:val="none"/>
          <w:lang w:val="en-US" w:eastAsia="zh-CN" w:bidi="ar-SA"/>
        </w:rPr>
        <w:t>视为响应文件无效。</w:t>
      </w:r>
      <w:r>
        <w:rPr>
          <w:rFonts w:hint="eastAsia" w:ascii="宋体" w:hAnsi="宋体" w:eastAsia="宋体" w:cs="Times New Roman"/>
          <w:color w:val="auto"/>
          <w:kern w:val="0"/>
          <w:sz w:val="21"/>
          <w:szCs w:val="21"/>
          <w:highlight w:val="none"/>
          <w:lang w:val="en-US" w:eastAsia="zh-CN" w:bidi="ar-SA"/>
        </w:rPr>
        <w:t>（解密</w:t>
      </w:r>
      <w:r>
        <w:rPr>
          <w:rFonts w:hint="eastAsia" w:ascii="宋体" w:hAnsi="宋体" w:eastAsia="宋体" w:cs="Times New Roman"/>
          <w:bCs/>
          <w:color w:val="auto"/>
          <w:kern w:val="0"/>
          <w:sz w:val="21"/>
          <w:szCs w:val="21"/>
          <w:highlight w:val="none"/>
          <w:lang w:val="en-US" w:eastAsia="zh-CN" w:bidi="ar-SA"/>
        </w:rPr>
        <w:t>异常情况处理：详见本章</w:t>
      </w:r>
      <w:r>
        <w:rPr>
          <w:rFonts w:hint="eastAsia" w:ascii="宋体" w:hAnsi="宋体" w:eastAsia="宋体" w:cs="Times New Roman"/>
          <w:color w:val="auto"/>
          <w:kern w:val="0"/>
          <w:sz w:val="21"/>
          <w:szCs w:val="21"/>
          <w:highlight w:val="none"/>
          <w:lang w:val="en-US" w:eastAsia="zh-CN" w:bidi="ar-SA"/>
        </w:rPr>
        <w:t>26.3 电子交易活动的中止。）</w:t>
      </w:r>
    </w:p>
    <w:p w14:paraId="619DC74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如供应商成功解密响应文件，但未在“政采云”电子开标大厅参加谈判的，视同认可谈判过程和结果，由此产生的后果由供应商自行负责。 参与谈判的供应商不足3家的，不得谈判。</w:t>
      </w:r>
    </w:p>
    <w:p w14:paraId="508EBA23">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26.评审程序、评审方法和评审标准</w:t>
      </w:r>
    </w:p>
    <w:p w14:paraId="27A992B2">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26.1磋商小组按照“第四章 评审程序、评审方法和评审标准”规定的方法、评审因素、标准和程序对响应文件进行评审。</w:t>
      </w:r>
    </w:p>
    <w:p w14:paraId="425DBF0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26.2 采购需求负偏离要求及磋商顺序详见 “ 供应商须知前附表”。</w:t>
      </w:r>
    </w:p>
    <w:p w14:paraId="3340C92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26.3电子交易活动的中止。采购过程中出现以下情形，导致电子交易平台无法正常运行，或者无法保证电子交易的公平、公正和安全时，采购机构可中止电子交易活动：</w:t>
      </w:r>
    </w:p>
    <w:p w14:paraId="24DB69E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（1）电子交易平台发生故障而无法登录访问的； </w:t>
      </w:r>
    </w:p>
    <w:p w14:paraId="3A0E2B5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（2）电子交易平台应用或数据库出现错误，不能进行正常操作的；</w:t>
      </w:r>
    </w:p>
    <w:p w14:paraId="3E4F4F4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（3）电子交易平台发现严重安全漏洞，有潜在泄密危险的；</w:t>
      </w:r>
    </w:p>
    <w:p w14:paraId="5BBF0F8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（4）病毒发作导致不能进行正常操作的； </w:t>
      </w:r>
    </w:p>
    <w:p w14:paraId="465B801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（4）其他无法保证电子交易的公平、公正和安全的情况。</w:t>
      </w:r>
    </w:p>
    <w:p w14:paraId="2E2FF98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19E8E30">
      <w:pPr>
        <w:keepNext/>
        <w:keepLines/>
        <w:widowControl w:val="0"/>
        <w:shd w:val="clear" w:color="auto"/>
        <w:bidi w:val="0"/>
        <w:spacing w:before="120" w:after="120" w:line="240" w:lineRule="auto"/>
        <w:jc w:val="both"/>
        <w:outlineLvl w:val="2"/>
        <w:rPr>
          <w:rFonts w:hint="eastAsia" w:ascii="Times New Roman" w:hAnsi="Times New Roman" w:eastAsia="宋体" w:cs="Times New Roman"/>
          <w:b/>
          <w:bCs/>
          <w:color w:val="auto"/>
          <w:kern w:val="2"/>
          <w:sz w:val="30"/>
          <w:szCs w:val="32"/>
          <w:highlight w:val="none"/>
          <w:lang w:val="en-US" w:eastAsia="zh-CN" w:bidi="ar-SA"/>
        </w:rPr>
      </w:pPr>
      <w:bookmarkStart w:id="53" w:name="_Toc87898650"/>
      <w:r>
        <w:rPr>
          <w:rFonts w:hint="eastAsia" w:ascii="Times New Roman" w:hAnsi="Times New Roman" w:eastAsia="宋体" w:cs="Times New Roman"/>
          <w:b/>
          <w:bCs/>
          <w:color w:val="auto"/>
          <w:kern w:val="2"/>
          <w:sz w:val="30"/>
          <w:szCs w:val="32"/>
          <w:highlight w:val="none"/>
          <w:lang w:val="en-US" w:eastAsia="zh-CN" w:bidi="ar-SA"/>
        </w:rPr>
        <w:t>五、成交及合同</w:t>
      </w:r>
      <w:bookmarkEnd w:id="53"/>
    </w:p>
    <w:p w14:paraId="69AF7C6F">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0F7E3A2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27.1确定成交供应商。 </w:t>
      </w:r>
      <w:r>
        <w:rPr>
          <w:rFonts w:hint="eastAsia" w:ascii="宋体" w:hAnsi="宋体" w:eastAsia="宋体" w:cs="Times New Roman"/>
          <w:b/>
          <w:bCs/>
          <w:color w:val="auto"/>
          <w:kern w:val="0"/>
          <w:sz w:val="21"/>
          <w:szCs w:val="21"/>
          <w:highlight w:val="none"/>
          <w:u w:val="single"/>
          <w:lang w:val="en-US" w:eastAsia="zh-CN" w:bidi="ar-SA"/>
        </w:rPr>
        <w:t>由采购人直接委托评审专家确定的，评审报告提出的排序第一的供应商为成交供应商</w:t>
      </w:r>
      <w:r>
        <w:rPr>
          <w:rFonts w:hint="eastAsia" w:ascii="宋体" w:hAnsi="宋体" w:eastAsia="宋体" w:cs="Times New Roman"/>
          <w:color w:val="auto"/>
          <w:kern w:val="0"/>
          <w:sz w:val="21"/>
          <w:szCs w:val="21"/>
          <w:highlight w:val="none"/>
          <w:lang w:val="en-US" w:eastAsia="zh-CN" w:bidi="ar-SA"/>
        </w:rPr>
        <w:t>。</w:t>
      </w:r>
    </w:p>
    <w:p w14:paraId="53DAB4A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27.2成交通知及成交结果公告。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121CD90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6E38441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A884C4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41E9E5C3">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425C993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详见 “供应商须知前附表”</w:t>
      </w:r>
    </w:p>
    <w:p w14:paraId="2F4723D5">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178E67F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zh-CN" w:eastAsia="zh-CN" w:bidi="ar-SA"/>
        </w:rPr>
      </w:pPr>
      <w:r>
        <w:rPr>
          <w:rFonts w:hint="eastAsia" w:ascii="宋体" w:hAnsi="宋体" w:eastAsia="宋体" w:cs="Times New Roman"/>
          <w:color w:val="auto"/>
          <w:kern w:val="0"/>
          <w:sz w:val="21"/>
          <w:szCs w:val="21"/>
          <w:highlight w:val="none"/>
          <w:lang w:val="en-US" w:eastAsia="zh-CN" w:bidi="ar-SA"/>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Times New Roman"/>
          <w:color w:val="auto"/>
          <w:kern w:val="0"/>
          <w:sz w:val="21"/>
          <w:szCs w:val="21"/>
          <w:highlight w:val="none"/>
          <w:lang w:val="zh-CN" w:eastAsia="zh-CN" w:bidi="ar-SA"/>
        </w:rPr>
        <w:t>如成交供应商为联合体的，由联合体成员各方法定代表人或其授权代表与采购人代表签订合同。</w:t>
      </w:r>
    </w:p>
    <w:p w14:paraId="0ED0BC6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498C117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982F74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29.4如签订合同并生效后，供应商无故拒绝或延期，除按照合同条款处理外，列入不良行为记录，并给予通报。</w:t>
      </w:r>
    </w:p>
    <w:p w14:paraId="097340C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29.5采购合同由采购人与成交供应商根据磋商文件、响应文件等内容通过政府采购电子交易平台在线签订，自动备案，在线签订须携带的材料见“ 供应商须知前附表”。</w:t>
      </w:r>
    </w:p>
    <w:p w14:paraId="4BA1C2DD">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383E59E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根据《中华人民共和国政府采购法实施条例》第五十条规定，采购人或者受托采购代理机构应当自政府采购合同签订之日起2个工作日内，将政府采购合同在省级以上人民政府财政部门指定的媒体上公告，但政府采购合同中涉及国家秘密、商业秘密的内容除外。</w:t>
      </w:r>
    </w:p>
    <w:p w14:paraId="6788C3C9">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31. 询问、质疑和投诉</w:t>
      </w:r>
    </w:p>
    <w:p w14:paraId="559682F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31.1供应商对政府采购活动事项有疑问的，可以向采购人、采购代理机构提出询问，采购人或者采购代理机构应当在3个工作日内对供应商依法提出的询问作出答复。</w:t>
      </w:r>
    </w:p>
    <w:p w14:paraId="5C485AC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具体质疑起算时间及处理方式如下： </w:t>
      </w:r>
    </w:p>
    <w:p w14:paraId="3D0DBF5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（1）对可以质疑的磋商文件提出质疑的，为收到磋商文件之日或者竞争性谈判公告期限届满之日。</w:t>
      </w:r>
    </w:p>
    <w:p w14:paraId="754B79B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（2）对采购过程提出质疑的，为各采购程序环节结束之日；</w:t>
      </w:r>
    </w:p>
    <w:p w14:paraId="35A028F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（3）对成交结果提出质疑的，为成交结果公告期限届满之日。</w:t>
      </w:r>
    </w:p>
    <w:p w14:paraId="703B086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B91A94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31.4 供应商提出质疑应当提交质疑函和必要的证明材料，针对同一采购程序环节的质疑必须在法定质疑期内一次性提出。质疑函应当包括下列内容（质疑函格式后附）：</w:t>
      </w:r>
    </w:p>
    <w:p w14:paraId="31304BF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（1）供应商的姓名或者名称、地址、邮编、联系人及联系电话；</w:t>
      </w:r>
    </w:p>
    <w:p w14:paraId="3B83D60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（2）质疑项目的名称、编号；</w:t>
      </w:r>
    </w:p>
    <w:p w14:paraId="1D35D95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（3）具体、明确的质疑事项和与质疑事项相关的请求；</w:t>
      </w:r>
    </w:p>
    <w:p w14:paraId="0C87785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（4）事实依据；</w:t>
      </w:r>
    </w:p>
    <w:p w14:paraId="184C2E6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（5）必要的法律依据；</w:t>
      </w:r>
    </w:p>
    <w:p w14:paraId="6ED12FD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（6）提出质疑的日期。</w:t>
      </w:r>
    </w:p>
    <w:p w14:paraId="2076893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供应商为自然人的，应当由本人签字；供应商为法人或者其他组织的，应当由法定代表人、主要负责人，或者其委托代理人签字或者盖章，并加盖公章。</w:t>
      </w:r>
    </w:p>
    <w:p w14:paraId="53378FF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31.5采购人、采购代理机构认为供应商质疑不成立，或者成立但未对成交结果构成影响的，继续开展采购活动；认为供应商质疑成立且影响或者可能影响成交结果的，按照下列情况处理：</w:t>
      </w:r>
    </w:p>
    <w:p w14:paraId="6F159B8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（一）对采购文件提出的质疑，依法通过澄清或者修改可以继续开展采购活动的，澄清或者修改采购文件后继续开展采购活动；否则应当修改采购文件后重新开展采购活动。</w:t>
      </w:r>
    </w:p>
    <w:p w14:paraId="2E18022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（二）对采购过程或者成交结果提出的质疑，合格供应商符合法定数量时，可以从合格的成交候选人中另行确定成交供应商的，应当依法另行确定成交供应商；否则应当重新开展采购活动。</w:t>
      </w:r>
    </w:p>
    <w:p w14:paraId="5EC882C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质疑答复导致成交结果改变的，采购人或者采购代理机构应当将有关情况书面报告本级财政部门。</w:t>
      </w:r>
    </w:p>
    <w:p w14:paraId="4D363CB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4" w:name="_Toc80205930"/>
    </w:p>
    <w:p w14:paraId="27A719F7">
      <w:pPr>
        <w:keepNext/>
        <w:keepLines/>
        <w:widowControl w:val="0"/>
        <w:shd w:val="clear" w:color="auto"/>
        <w:bidi w:val="0"/>
        <w:spacing w:before="120" w:after="120" w:line="240" w:lineRule="auto"/>
        <w:jc w:val="both"/>
        <w:outlineLvl w:val="2"/>
        <w:rPr>
          <w:rFonts w:ascii="Times New Roman" w:hAnsi="Times New Roman" w:eastAsia="宋体" w:cs="Times New Roman"/>
          <w:b/>
          <w:bCs/>
          <w:color w:val="auto"/>
          <w:kern w:val="2"/>
          <w:sz w:val="30"/>
          <w:szCs w:val="32"/>
          <w:highlight w:val="none"/>
          <w:lang w:val="en-US" w:eastAsia="zh-CN" w:bidi="ar-SA"/>
        </w:rPr>
      </w:pPr>
      <w:bookmarkStart w:id="55" w:name="_Toc87898651"/>
      <w:r>
        <w:rPr>
          <w:rFonts w:hint="eastAsia" w:ascii="Times New Roman" w:hAnsi="Times New Roman" w:eastAsia="宋体" w:cs="Times New Roman"/>
          <w:b/>
          <w:bCs/>
          <w:color w:val="auto"/>
          <w:kern w:val="2"/>
          <w:sz w:val="30"/>
          <w:szCs w:val="32"/>
          <w:highlight w:val="none"/>
          <w:lang w:val="en-US" w:eastAsia="zh-CN" w:bidi="ar-SA"/>
        </w:rPr>
        <w:t>六、验收</w:t>
      </w:r>
      <w:bookmarkEnd w:id="54"/>
      <w:bookmarkEnd w:id="55"/>
    </w:p>
    <w:p w14:paraId="5DFA1DCC">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25EC086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32.1竣工验收条件</w:t>
      </w:r>
    </w:p>
    <w:p w14:paraId="0BB80E7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工程具备以下条件的，成交供应商可以申请竣工验收:</w:t>
      </w:r>
    </w:p>
    <w:p w14:paraId="0444538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(1)除采购人同意的甩项工作和缺陷修补工作外，合同范围内的全部工程以及有关工作，包括合同要求的试验、试运行以及检验均已完成，并符合合同要求；</w:t>
      </w:r>
    </w:p>
    <w:p w14:paraId="69525D5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(2)已按合同约定编制了甩项工作和缺陷修补工作清单以及相应的施工计划；</w:t>
      </w:r>
    </w:p>
    <w:p w14:paraId="54606E1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(3)已按合同约定的内容和份数备齐竣工资料。</w:t>
      </w:r>
    </w:p>
    <w:p w14:paraId="4C62E58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32.2竣工验收程序</w:t>
      </w:r>
    </w:p>
    <w:p w14:paraId="56B1865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除专用合同条款另有约定外，成交供应商申请竣工验收的，应当按照以下程序进行:</w:t>
      </w:r>
    </w:p>
    <w:p w14:paraId="5FA7649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成交供应商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1CBEB3D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监理人审查后认为已具备竣工验收条件的，应将竣工验收申请报告提交采购人，采购人应在收到经监理人审核的竣工验收申请报告后28天内审批完毕并组织监理人、成交供应商、设计人等相关单位完成竣工验收。</w:t>
      </w:r>
    </w:p>
    <w:p w14:paraId="4997662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(3)竣工验收合格的，采购人应在验收合格后14天内向成交供应商签发工程接收证书。采购人无正当理由逾期不颁发工程接收证书的，自验收合格后第15 天起视为已颁发工程接收证书。</w:t>
      </w:r>
    </w:p>
    <w:p w14:paraId="1E68C80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63F5B60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(5)工程未经验收或验收不合格，发包人擅自使用的，应在转移占有工程后7天内向成交供应商颁发工程接收证书;采购人无正当理由逾期不颁发工程接收证书的，自转移占有后第15天起视为已颁发工程接收证书。</w:t>
      </w:r>
    </w:p>
    <w:p w14:paraId="4B23FAA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32.3竣工日期</w:t>
      </w:r>
    </w:p>
    <w:p w14:paraId="4B79E63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工程经竣工验收合格的，以成交供应商提交竣工验收申请报告之日为实际竣工日期，并在工程接收证书中载明;因采购人原因，未在监理人收到成交供应商提交的竣工验收申请报告42天内完成竣工验收，或完成竣工验收不予签发工程接收证书的，以提交竣工验收申请报告的日期为实际竣工日期;工程未经竣工验收，采购人擅自使用的，以转移占有工程之日为实际竣工日期。</w:t>
      </w:r>
    </w:p>
    <w:p w14:paraId="69FD6552">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074F7FC">
      <w:pPr>
        <w:keepNext/>
        <w:keepLines/>
        <w:widowControl w:val="0"/>
        <w:shd w:val="clear" w:color="auto"/>
        <w:bidi w:val="0"/>
        <w:spacing w:before="120" w:after="120" w:line="240" w:lineRule="auto"/>
        <w:jc w:val="both"/>
        <w:outlineLvl w:val="2"/>
        <w:rPr>
          <w:rFonts w:hint="eastAsia" w:ascii="Times New Roman" w:hAnsi="Times New Roman" w:eastAsia="宋体" w:cs="Times New Roman"/>
          <w:b/>
          <w:bCs/>
          <w:color w:val="auto"/>
          <w:kern w:val="2"/>
          <w:sz w:val="30"/>
          <w:szCs w:val="32"/>
          <w:highlight w:val="none"/>
          <w:lang w:val="en-US" w:eastAsia="zh-CN" w:bidi="ar-SA"/>
        </w:rPr>
      </w:pPr>
      <w:bookmarkStart w:id="56" w:name="_Toc87898652"/>
      <w:r>
        <w:rPr>
          <w:rFonts w:hint="eastAsia" w:ascii="Times New Roman" w:hAnsi="Times New Roman" w:eastAsia="宋体" w:cs="Times New Roman"/>
          <w:b/>
          <w:bCs/>
          <w:color w:val="auto"/>
          <w:kern w:val="2"/>
          <w:sz w:val="30"/>
          <w:szCs w:val="32"/>
          <w:highlight w:val="none"/>
          <w:lang w:val="en-US" w:eastAsia="zh-CN" w:bidi="ar-SA"/>
        </w:rPr>
        <w:t>七、其他事项</w:t>
      </w:r>
      <w:bookmarkEnd w:id="56"/>
    </w:p>
    <w:p w14:paraId="235C0569">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1ED1737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代理服务收费标准及缴费账户详见“供应商须知前附表”，供应商为联合体的，可以由联合体中的一方或者多方共同交纳代理服务费。</w:t>
      </w:r>
    </w:p>
    <w:p w14:paraId="1C06D007">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0E6E8C3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34.1本磋商文件解释规则详见“供应商须知前附表”。</w:t>
      </w:r>
    </w:p>
    <w:p w14:paraId="76F8320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34.2 其他事项详见“供应商须知前附表”。</w:t>
      </w:r>
    </w:p>
    <w:p w14:paraId="092AA92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由中小企业承接，即提供服务的人员为中小企业依照《中华人民共和国劳动合同法》订立劳动合同的从业人员，不对其中涉及的货物的制造商和工程承建商作出要求的，享受本文件规定的中小企业扶持政策。</w:t>
      </w:r>
    </w:p>
    <w:p w14:paraId="1CCAA5F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以联合体形式参加政府采购活动，联合体各方均为中小企业的，联合体视同中小企业。其中，联合体各方均为小微企业的，联合体视同小微企业。</w:t>
      </w:r>
    </w:p>
    <w:p w14:paraId="1FB8C60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依据本文件规定享受扶持政策获得政府采购合同的，小微企业不得将合同分包给大中型企业，中型企业不得将合同分包给大型企业。</w:t>
      </w:r>
    </w:p>
    <w:p w14:paraId="68E6C86D">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35. 政采贷相关说明</w:t>
      </w:r>
    </w:p>
    <w:p w14:paraId="76074DE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ascii="宋体" w:hAnsi="Courier New" w:eastAsia="宋体" w:cs="Times New Roman"/>
          <w:color w:val="auto"/>
          <w:kern w:val="0"/>
          <w:sz w:val="20"/>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为优化政府采购营商环境，缓解供应商资金难题，南宁市政府采购试行政府采购信用融资制度，中标供应商如有融资需求，可凭政府采购合同在“南宁市公共资源交易中心”官网（网址：http://www.nnggzy.org.cn）“交易信息-政府采购-政府采购信用融资”中融资银行和南宁市企业融资服务中心专栏信息申请政府采购信用融资。</w:t>
      </w:r>
    </w:p>
    <w:p w14:paraId="4C614D20">
      <w:pPr>
        <w:keepNext/>
        <w:keepLines/>
        <w:widowControl w:val="0"/>
        <w:shd w:val="clear" w:color="auto"/>
        <w:spacing w:before="180" w:after="180" w:line="240" w:lineRule="auto"/>
        <w:jc w:val="center"/>
        <w:outlineLvl w:val="0"/>
        <w:rPr>
          <w:rFonts w:hint="eastAsia" w:ascii="Times New Roman" w:hAnsi="Times New Roman" w:eastAsia="宋体" w:cs="Times New Roman"/>
          <w:b/>
          <w:bCs/>
          <w:color w:val="auto"/>
          <w:kern w:val="44"/>
          <w:sz w:val="32"/>
          <w:szCs w:val="44"/>
          <w:highlight w:val="none"/>
          <w:lang w:val="en-US" w:eastAsia="zh-CN" w:bidi="ar-SA"/>
        </w:rPr>
      </w:pPr>
      <w:bookmarkStart w:id="57" w:name="_Toc87898653"/>
      <w:r>
        <w:rPr>
          <w:rFonts w:hint="eastAsia" w:ascii="Times New Roman" w:hAnsi="Times New Roman" w:eastAsia="宋体" w:cs="Times New Roman"/>
          <w:b/>
          <w:bCs/>
          <w:color w:val="auto"/>
          <w:kern w:val="44"/>
          <w:sz w:val="32"/>
          <w:szCs w:val="44"/>
          <w:highlight w:val="none"/>
          <w:lang w:val="en-US" w:eastAsia="zh-CN" w:bidi="ar-SA"/>
        </w:rPr>
        <w:br w:type="page"/>
      </w:r>
      <w:r>
        <w:rPr>
          <w:rFonts w:hint="eastAsia" w:ascii="Times New Roman" w:hAnsi="Times New Roman" w:eastAsia="宋体" w:cs="Times New Roman"/>
          <w:b/>
          <w:bCs/>
          <w:color w:val="auto"/>
          <w:kern w:val="44"/>
          <w:sz w:val="32"/>
          <w:szCs w:val="44"/>
          <w:highlight w:val="none"/>
          <w:lang w:val="en-US" w:eastAsia="zh-CN" w:bidi="ar-SA"/>
        </w:rPr>
        <w:t>第四章  评审程序、评审方法和评审标准</w:t>
      </w:r>
      <w:bookmarkEnd w:id="57"/>
    </w:p>
    <w:p w14:paraId="0EF31558">
      <w:pPr>
        <w:pStyle w:val="4"/>
        <w:shd w:val="clear" w:color="auto"/>
        <w:spacing w:line="420" w:lineRule="exact"/>
        <w:jc w:val="center"/>
        <w:rPr>
          <w:rFonts w:hint="eastAsia" w:ascii="宋体" w:hAnsi="宋体" w:eastAsia="宋体" w:cs="Times New Roman"/>
          <w:b/>
          <w:bCs/>
          <w:color w:val="auto"/>
          <w:highlight w:val="none"/>
        </w:rPr>
      </w:pPr>
      <w:bookmarkStart w:id="58" w:name="_Toc87898654"/>
      <w:r>
        <w:rPr>
          <w:rFonts w:hint="eastAsia" w:ascii="宋体" w:hAnsi="宋体" w:eastAsia="宋体" w:cs="Times New Roman"/>
          <w:b/>
          <w:bCs/>
          <w:color w:val="auto"/>
          <w:highlight w:val="none"/>
        </w:rPr>
        <w:t>第一节 评审程序和评审方法</w:t>
      </w:r>
      <w:bookmarkEnd w:id="58"/>
    </w:p>
    <w:p w14:paraId="6BCF7FA1">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1.确认磋商文件</w:t>
      </w:r>
    </w:p>
    <w:p w14:paraId="1E6DE58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由磋商小组确认磋商文件。</w:t>
      </w:r>
    </w:p>
    <w:p w14:paraId="76071110">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49D9629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2.1响应文件开启后，磋商小组依法对供应商的资格证明文件进行审查。</w:t>
      </w:r>
    </w:p>
    <w:p w14:paraId="24C3AEF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注：采购人代表或者采购代理机构在资格审查结束前，对供应商进行信用查询。</w:t>
      </w:r>
    </w:p>
    <w:p w14:paraId="455A1D4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（1）查询渠道：广西政府采购云平台“信用中国”网站(www.creditchina.gov.cn)、中国政府采购网(www.ccgp.gov.cn)链接入口。</w:t>
      </w:r>
    </w:p>
    <w:p w14:paraId="0C2D5C3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（2）信用查询截止时点：资格审查结束前。</w:t>
      </w:r>
    </w:p>
    <w:p w14:paraId="07CA4BC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查询记录和证据留存方式：在查询网站中直接打印查询记录，截图另存为电子文档作为评审资料保存。</w:t>
      </w:r>
    </w:p>
    <w:p w14:paraId="394EAA5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4923FE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2.2资格审查标准为本磋商文件中载明对供应商资格要求的条件。资格审查采用合格制，凡符合磋商文件规定的供应商资格要求的响应文件均通过资格审查。</w:t>
      </w:r>
    </w:p>
    <w:p w14:paraId="59B1DCE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2.3供应商有下列情形之一的，资格审查不通过，其响应文件按无效响应处理：</w:t>
      </w:r>
    </w:p>
    <w:p w14:paraId="7B40E71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（1）不具备磋商文件中规定的资格要求的；</w:t>
      </w:r>
    </w:p>
    <w:p w14:paraId="6226CF9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（2）响应文件未提供任一项“供应商须知前附表”资格证明文件规定的“必须提供”的文件资料的；</w:t>
      </w:r>
    </w:p>
    <w:p w14:paraId="4C769A0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（3）响应文件提供的资格证明文件出现任一项不符合“供应商须知前附表”资格证明文件规定的“必须提供”的文件资料要求或者无效的。</w:t>
      </w:r>
    </w:p>
    <w:p w14:paraId="06A2332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bookmarkStart w:id="59" w:name="_Hlk68601553"/>
      <w:r>
        <w:rPr>
          <w:rFonts w:hint="eastAsia" w:ascii="宋体" w:hAnsi="宋体" w:eastAsia="宋体" w:cs="Times New Roman"/>
          <w:color w:val="auto"/>
          <w:kern w:val="0"/>
          <w:sz w:val="21"/>
          <w:szCs w:val="21"/>
          <w:highlight w:val="none"/>
          <w:lang w:val="en-US" w:eastAsia="zh-CN" w:bidi="ar-SA"/>
        </w:rPr>
        <w:t>（4）同一合同项下的不同供应商，单位负责人为同一人或者存在直接控股、管理关系的；为本项目提供过整体设计、规范编制或者项目管理、监理、检测等服务的。</w:t>
      </w:r>
      <w:bookmarkEnd w:id="59"/>
    </w:p>
    <w:p w14:paraId="7E42C12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2.4通过资格审查的合格供应商不足3家的，不得进入符合性审查环节，采购人或者采购代理机构应当重新开展采购活动。</w:t>
      </w:r>
    </w:p>
    <w:p w14:paraId="6E1D3BA3">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15D704C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3.1由磋商小组对通过资格审查的合格供应商的响应文件的响应报价、商务、技术等实质性要求进行符合性审查，以确定其是否满足磋商文件的实质性要求。</w:t>
      </w:r>
    </w:p>
    <w:p w14:paraId="7FB0FFD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5CABF02">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供应商为自然人的，必须由本人签字并附身份证明。</w:t>
      </w:r>
    </w:p>
    <w:p w14:paraId="7967037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3.4首次响应文件报价出现前后不一致的，按照下列规定修正： </w:t>
      </w:r>
    </w:p>
    <w:p w14:paraId="054796E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（1）响应文件中报价表内容与响应文件中相应内容不一致的，以报价表为准；</w:t>
      </w:r>
    </w:p>
    <w:p w14:paraId="13BDEE0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（2）大写金额和小写金额不一致的，以大写金额为准；</w:t>
      </w:r>
    </w:p>
    <w:p w14:paraId="1992C26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（3）单价金额小数点或者百分比有明显错位的，以报价表的总价为准，并修改单价；</w:t>
      </w:r>
    </w:p>
    <w:p w14:paraId="6E55976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（4）总价金额与按单价汇总金额不一致的，以单价金额计算结果为准。</w:t>
      </w:r>
    </w:p>
    <w:p w14:paraId="6EAD142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同时出现两种以上不一致的，按照以上（1）-（4）规定的顺序逐条进行修正。修正后的报价经供应商确认后产生约束力，供应商不确认的，其响应文件按无效响应处理。</w:t>
      </w:r>
    </w:p>
    <w:p w14:paraId="4C3F47A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3.5商务技术、报价评审</w:t>
      </w:r>
    </w:p>
    <w:p w14:paraId="041EDF6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在评审时，如发现下列情形之一的，将被视为响应文件无效处理：</w:t>
      </w:r>
    </w:p>
    <w:p w14:paraId="1B8ED55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（1）商务技术评审</w:t>
      </w:r>
    </w:p>
    <w:p w14:paraId="33713B9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1）响应文件未按磋商文件要求签署、盖章；</w:t>
      </w:r>
    </w:p>
    <w:p w14:paraId="44301C7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2）委托代理人未能出具有效身份证明或者出具的身份证明与授权委托书中的信息不符； </w:t>
      </w:r>
    </w:p>
    <w:p w14:paraId="0569FA2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60D131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4）商务条款中标“▲”的条款发生负偏离的或者允许负偏离的条款数超过“供应商须知前附表”规定项数的或者标明实质性的要求发生负偏离；</w:t>
      </w:r>
    </w:p>
    <w:p w14:paraId="40B40B3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5）未对竞标有效期作出响应或者响应文件承诺的竞标有效期不满足磋商文件要求；</w:t>
      </w:r>
    </w:p>
    <w:p w14:paraId="63382E7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6）响应文件的实质性内容未使用中文表述、使用计量单位不符合磋商文件要求；</w:t>
      </w:r>
    </w:p>
    <w:p w14:paraId="7633392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7）响应文件中的文件资料因填写不齐全或者内容虚假或者出现其他情形而导致被磋商小组认定无效；</w:t>
      </w:r>
    </w:p>
    <w:p w14:paraId="78A322B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8）响应文件含有采购人不能接受的附加条件；</w:t>
      </w:r>
    </w:p>
    <w:p w14:paraId="244732E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9）属于“供应商须知正文”第7.5条情形；</w:t>
      </w:r>
    </w:p>
    <w:p w14:paraId="1917840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10）技术需求允许负偏离的条款数超过“供应商须知前附表”规定项数；</w:t>
      </w:r>
    </w:p>
    <w:p w14:paraId="35263F6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11）虚假竞标，或者出现其他情形而导致被磋商小组认定无效；</w:t>
      </w:r>
    </w:p>
    <w:p w14:paraId="1DF6711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12）竞标技术方案不明确，磋商文件未允许但响应文件中存在一个或者一个以上备选（替代）竞标方案；</w:t>
      </w:r>
    </w:p>
    <w:p w14:paraId="75BA484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13）响应文件标注的项目名称或者项目编号与竞争性磋商文件标注的项目名称或者项目编号不一致的；</w:t>
      </w:r>
    </w:p>
    <w:p w14:paraId="4C0593E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14）未响应磋商文件实质性要求；</w:t>
      </w:r>
    </w:p>
    <w:p w14:paraId="3B9851B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15）法律、法规和磋商文件规定的其他无效情形。</w:t>
      </w:r>
    </w:p>
    <w:p w14:paraId="053DC7D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（2）报价评审</w:t>
      </w:r>
    </w:p>
    <w:p w14:paraId="1D62854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 响应文件未提供“供应商须知前附表” 报价文件中规定的“响应报价表”；</w:t>
      </w:r>
    </w:p>
    <w:p w14:paraId="4D4B6F3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2）未采用人民币报价或者未按照磋商文件标明的币种报价；</w:t>
      </w:r>
    </w:p>
    <w:p w14:paraId="5AA7832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17D8377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6D18EA2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01E2D98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6）响应文件响应的标的数量及单位与竞争性磋商采购文件要求实质性不一致的。</w:t>
      </w:r>
    </w:p>
    <w:p w14:paraId="03267192">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7）供应商采用总价优惠或以总价百分比优惠的方式进行响应报价的；</w:t>
      </w:r>
    </w:p>
    <w:p w14:paraId="530DEE5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8）安全文明施工费和规费、税金不按规定报价的；</w:t>
      </w:r>
    </w:p>
    <w:p w14:paraId="775F301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9）供应商已标价工程量清单的项目编码、计量单位、工程量任何一处与工程量清单不一致的；</w:t>
      </w:r>
    </w:p>
    <w:p w14:paraId="4EB64FC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10）供应商已标价工程量清单的项目名称或项目特征与工程量清单不一致，磋商小组要求澄清、说明或补正，但供应商拒绝澄清、说明或补正的；</w:t>
      </w:r>
    </w:p>
    <w:p w14:paraId="16611DD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11）响应函中的报价与已标价的工程量清单汇总表不一致的；</w:t>
      </w:r>
    </w:p>
    <w:p w14:paraId="23B7CE5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12）设有暂估价、暂列金额的，响应时未按工程量清单给出的暂估价总价、暂列金额总价计入磋商总报价中的。</w:t>
      </w:r>
    </w:p>
    <w:p w14:paraId="6D5428D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6AA0874">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71DC5B1">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6983FD3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E858FD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3CD84B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4.3对磋商文件作出的实质性变动是磋商文件的有效组成部分，由磋商小组及时以电子澄清函形式同时通知所有参加磋商的供应商。</w:t>
      </w:r>
    </w:p>
    <w:p w14:paraId="3D11445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8F3203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4.5磋商中，磋商的任何一方不得透露与磋商有关的其他供应商的技术资料、价格和其他信息。</w:t>
      </w:r>
    </w:p>
    <w:p w14:paraId="3AF3511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4.6磋商小组应对磋商过程和重要磋商内容进行记录，作为评标报告一部分，磋商小组在记录上签字确认。</w:t>
      </w:r>
    </w:p>
    <w:p w14:paraId="11151CD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主要内容包括：</w:t>
      </w:r>
    </w:p>
    <w:p w14:paraId="288F2A4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（1）按照相关规定进行公示的，公示情况说明；</w:t>
      </w:r>
    </w:p>
    <w:p w14:paraId="6A22DD3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（2）磋商日期和地点，磋商人员名单；</w:t>
      </w:r>
    </w:p>
    <w:p w14:paraId="7826060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（3）合同主要条款及价格商定情况。</w:t>
      </w:r>
    </w:p>
    <w:p w14:paraId="71B2848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4.7磋商过程中重新提交的响应文件，供应商可以在开启前补充、修改。</w:t>
      </w:r>
    </w:p>
    <w:p w14:paraId="6BA27DA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4.8对磋商过程提交的响应文件进行有效性、完整性和响应程度审查，通过审查的合格供应商不足3家的，采购人或者采购代理机构应当重新开展采购活动。</w:t>
      </w:r>
    </w:p>
    <w:p w14:paraId="10C3284C">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lang w:val="en-US" w:eastAsia="zh-CN"/>
        </w:rPr>
        <w:t>5.</w:t>
      </w:r>
      <w:r>
        <w:rPr>
          <w:rFonts w:hint="eastAsia" w:ascii="黑体" w:hAnsi="黑体" w:eastAsia="黑体" w:cs="宋体"/>
          <w:b/>
          <w:bCs/>
          <w:color w:val="auto"/>
          <w:sz w:val="24"/>
          <w:highlight w:val="none"/>
        </w:rPr>
        <w:t>最后报价</w:t>
      </w:r>
    </w:p>
    <w:p w14:paraId="7C51CB7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b/>
          <w:bCs/>
          <w:color w:val="auto"/>
          <w:kern w:val="0"/>
          <w:sz w:val="21"/>
          <w:szCs w:val="21"/>
          <w:highlight w:val="none"/>
          <w:lang w:val="en-US" w:eastAsia="zh-CN" w:bidi="ar-SA"/>
        </w:rPr>
      </w:pPr>
      <w:r>
        <w:rPr>
          <w:rFonts w:hint="eastAsia" w:ascii="宋体" w:hAnsi="宋体" w:eastAsia="宋体" w:cs="Times New Roman"/>
          <w:b/>
          <w:bCs/>
          <w:color w:val="auto"/>
          <w:kern w:val="0"/>
          <w:sz w:val="21"/>
          <w:szCs w:val="21"/>
          <w:highlight w:val="none"/>
          <w:lang w:val="en-US" w:eastAsia="zh-CN" w:bidi="ar-SA"/>
        </w:rPr>
        <w:t xml:space="preserve"> 本项目采用多次报价方式，作最后报价时磋商小组将书面告知参与谈判的供应商，各供应商的最后报价文件必须以工程量清单报价表的格式编制，不得以总价下浮的方式做最后报价，否则，作无效标处理。各供应商必须提前做好相关准备并按时递交最后报价文件，最后报价高于采购预算或最高限价的（如本项目公布了最高限价）的响应文件作无效标处理。</w:t>
      </w:r>
    </w:p>
    <w:p w14:paraId="5CB435A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4968325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64FA0E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F1A9ED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5.4已经提交响应文件的供应商，在提交最后报价之前，可以根据磋商情况退出磋商，退出磋商的供应商的响应文件按无效响应处理。</w:t>
      </w:r>
    </w:p>
    <w:p w14:paraId="4299FBB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5.5供应商未在规定时间内提交最后报价的，视同退出磋商。</w:t>
      </w:r>
    </w:p>
    <w:p w14:paraId="213A722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5.6磋商小组收齐某一分标最后报价后统一开启，磋商小组对最后报价进行有效性、完整性和响应程度的审查。</w:t>
      </w:r>
    </w:p>
    <w:p w14:paraId="254CF29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5.7最终响应文件的报价出现前后不一致的，按照本章第3.4条的规定修正。 </w:t>
      </w:r>
    </w:p>
    <w:p w14:paraId="3B12F5D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5.8修正后的最终报价出现下列情形的，按无效响应处理：</w:t>
      </w:r>
    </w:p>
    <w:p w14:paraId="29E542A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（1）供应商不确认的（全流程电子化评标采取在线确认）；</w:t>
      </w:r>
    </w:p>
    <w:p w14:paraId="53621F9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（2）经供应商确认修正后的响应报价（包含首次报价、最后报价）超过所竞标分标规定的采购预算金额或者最高限价的（如本项目公布了最高限价）；</w:t>
      </w:r>
    </w:p>
    <w:p w14:paraId="1ECAE1F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（3）经供应商确认修正后的响应报价（包含首次报价、最后报价）超过分项采购预算金额或者最高限价的（如本项目公布了最高限价）。</w:t>
      </w:r>
    </w:p>
    <w:p w14:paraId="151EEFF6">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5.9经供应商确认修正后的最后报价作为评审及签订合同的依据。</w:t>
      </w:r>
    </w:p>
    <w:p w14:paraId="779CE40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5.10供应商出现最后报价按无效响应处理或者响应文件按无效处理时，磋商小组应当告知有关供应商。</w:t>
      </w:r>
    </w:p>
    <w:p w14:paraId="0A64F52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5.11最后报价结束后，磋商小组不得再与供应商进行任何形式的商谈。</w:t>
      </w:r>
    </w:p>
    <w:p w14:paraId="7069ACFC">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6.比较与评价</w:t>
      </w:r>
    </w:p>
    <w:p w14:paraId="4A7A8AE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6.1评审方法：综合评分法。</w:t>
      </w:r>
    </w:p>
    <w:p w14:paraId="383D485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6.2经磋商确定最终采购需求和提交最后报价的供应商后，由磋商小组采用综合评分法对提交最后报价的供应商的响应文件和最后报价进行综合评分。</w:t>
      </w:r>
    </w:p>
    <w:p w14:paraId="70EFB81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6.3评审时，磋商小组各成员应当独立对每个有效响应的文件进行评价、打分，然后汇总每个供应商每项评分因素的得分。</w:t>
      </w:r>
    </w:p>
    <w:p w14:paraId="3A0E542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（1）磋商小组按照磋商文件中规定的评审标准计算各供应商的报价得分。项目评审过程中，不得去掉最后报价中的最高报价和最低报价。</w:t>
      </w:r>
    </w:p>
    <w:p w14:paraId="06497E0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（2）各供应商的得分为磋商小组所有成员的有效评分的算术平均数。</w:t>
      </w:r>
    </w:p>
    <w:p w14:paraId="6084452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6.4评审价为供应商的最后报价进行政策性扣除后的价格，评审价只是作为评审时使用。最终成交供应商的成交金额等于最后报价（如有修正，以确认修正后的最后报价为准）。</w:t>
      </w:r>
    </w:p>
    <w:p w14:paraId="3F4F4DA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6.5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0FD4E57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B2CC0CA">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7.评审标准</w:t>
      </w:r>
    </w:p>
    <w:p w14:paraId="4BE3B9C2">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7.1评审依据：磋商小组将以磋商响应文件为评审依据，对供应商的报价、技术、商务等方面内容按百分制打分。（计分方法按四舍五入取至百分位）</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3"/>
        <w:gridCol w:w="933"/>
        <w:gridCol w:w="7434"/>
        <w:gridCol w:w="895"/>
      </w:tblGrid>
      <w:tr w14:paraId="51DF5577">
        <w:trPr>
          <w:trHeight w:val="567" w:hRule="atLeast"/>
          <w:jc w:val="center"/>
        </w:trPr>
        <w:tc>
          <w:tcPr>
            <w:tcW w:w="296" w:type="pct"/>
            <w:noWrap w:val="0"/>
            <w:vAlign w:val="center"/>
          </w:tcPr>
          <w:p w14:paraId="10CA04EA">
            <w:pPr>
              <w:keepNext w:val="0"/>
              <w:keepLines w:val="0"/>
              <w:pageBreakBefore w:val="0"/>
              <w:widowControl/>
              <w:shd w:val="clear" w:color="auto"/>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474" w:type="pct"/>
            <w:noWrap w:val="0"/>
            <w:vAlign w:val="center"/>
          </w:tcPr>
          <w:p w14:paraId="1FB79AAF">
            <w:pPr>
              <w:keepNext w:val="0"/>
              <w:keepLines w:val="0"/>
              <w:pageBreakBefore w:val="0"/>
              <w:widowControl/>
              <w:shd w:val="clear" w:color="auto"/>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w:t>
            </w:r>
          </w:p>
          <w:p w14:paraId="5AD4DF45">
            <w:pPr>
              <w:keepNext w:val="0"/>
              <w:keepLines w:val="0"/>
              <w:pageBreakBefore w:val="0"/>
              <w:widowControl/>
              <w:shd w:val="clear" w:color="auto"/>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因素</w:t>
            </w:r>
          </w:p>
        </w:tc>
        <w:tc>
          <w:tcPr>
            <w:tcW w:w="3774" w:type="pct"/>
            <w:noWrap w:val="0"/>
            <w:vAlign w:val="center"/>
          </w:tcPr>
          <w:p w14:paraId="4D4877FB">
            <w:pPr>
              <w:keepNext w:val="0"/>
              <w:keepLines w:val="0"/>
              <w:pageBreakBefore w:val="0"/>
              <w:widowControl/>
              <w:shd w:val="clear" w:color="auto"/>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454" w:type="pct"/>
            <w:noWrap w:val="0"/>
            <w:vAlign w:val="center"/>
          </w:tcPr>
          <w:p w14:paraId="3B90E5FE">
            <w:pPr>
              <w:keepNext w:val="0"/>
              <w:keepLines w:val="0"/>
              <w:pageBreakBefore w:val="0"/>
              <w:widowControl/>
              <w:shd w:val="clear" w:color="auto"/>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7A24C3D6">
        <w:trPr>
          <w:trHeight w:val="567" w:hRule="atLeast"/>
          <w:jc w:val="center"/>
        </w:trPr>
        <w:tc>
          <w:tcPr>
            <w:tcW w:w="296" w:type="pct"/>
            <w:noWrap w:val="0"/>
            <w:vAlign w:val="center"/>
          </w:tcPr>
          <w:p w14:paraId="18148A01">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474" w:type="pct"/>
            <w:noWrap w:val="0"/>
            <w:vAlign w:val="center"/>
          </w:tcPr>
          <w:p w14:paraId="094A12DD">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3774" w:type="pct"/>
            <w:noWrap w:val="0"/>
            <w:vAlign w:val="top"/>
          </w:tcPr>
          <w:p w14:paraId="526749DC">
            <w:pPr>
              <w:keepNext w:val="0"/>
              <w:keepLines w:val="0"/>
              <w:pageBreakBefore w:val="0"/>
              <w:widowControl w:val="0"/>
              <w:shd w:val="clear" w:color="auto"/>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color w:val="auto"/>
                <w:sz w:val="21"/>
                <w:szCs w:val="21"/>
                <w:highlight w:val="none"/>
              </w:rPr>
              <w:t>评审报价为供应商的最后报价进行政策性扣除后的价格，评审报价只是作为评审时使用。最终成交供应商的成交金额等于最后报价（如有修正，以确认修正后的最后报价为准）。</w:t>
            </w:r>
          </w:p>
          <w:p w14:paraId="44FFAF6A">
            <w:pPr>
              <w:keepNext w:val="0"/>
              <w:keepLines w:val="0"/>
              <w:pageBreakBefore w:val="0"/>
              <w:widowControl w:val="0"/>
              <w:shd w:val="clear" w:color="auto"/>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2.政府采购政策性扣除计算方法</w:t>
            </w:r>
          </w:p>
          <w:p w14:paraId="172CBED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（1）本项目为专门面</w:t>
            </w:r>
            <w:r>
              <w:rPr>
                <w:rFonts w:hint="eastAsia" w:ascii="宋体" w:hAnsi="宋体" w:eastAsia="宋体" w:cs="宋体"/>
                <w:color w:val="auto"/>
                <w:sz w:val="21"/>
                <w:szCs w:val="21"/>
                <w:highlight w:val="none"/>
                <w:lang w:val="en-US" w:eastAsia="zh-CN"/>
              </w:rPr>
              <w:t>向中</w:t>
            </w:r>
            <w:r>
              <w:rPr>
                <w:rFonts w:hint="eastAsia" w:ascii="宋体" w:hAnsi="宋体" w:eastAsia="宋体" w:cs="宋体"/>
                <w:color w:val="auto"/>
                <w:sz w:val="21"/>
                <w:szCs w:val="21"/>
                <w:highlight w:val="none"/>
              </w:rPr>
              <w:t>小微企业项目，</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rPr>
              <w:t>小微企业、监狱企业、残疾人福利性单位不再执行价格评审优惠的扶持政策；评标报价=最后报价。</w:t>
            </w:r>
          </w:p>
          <w:p w14:paraId="341FA4A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关于政府采购支持监狱企业发展有关问题的通知》（财库〔2014〕68号）认定为监狱企业的，在采购活动中，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p>
          <w:p w14:paraId="65E040D1">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关于促进残疾人就业政府采购政策的通知》(财库〔2017〕141号)规定条件，认定为残疾人福利性单位的，在采购活动中，残疾人福利性单位视同小型、微型企业。残疾人福利性单位参加采购活动时，应当提供该通知规定的《残疾人福利性单位声明函》，并对声明的真实性负责。成交供应商为残疾人福利性单位的，随成交结果公告其《残疾人福利性单位声明函》，接受社会监督。</w:t>
            </w:r>
          </w:p>
          <w:p w14:paraId="335AFAA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（2）以进入比较与评价环节的最低的评审报价为基准价，基准价得分为</w:t>
            </w:r>
            <w:r>
              <w:rPr>
                <w:rFonts w:hint="eastAsia" w:ascii="宋体" w:hAnsi="宋体" w:eastAsia="宋体" w:cs="宋体"/>
                <w:bCs/>
                <w:color w:val="auto"/>
                <w:kern w:val="2"/>
                <w:sz w:val="21"/>
                <w:szCs w:val="21"/>
                <w:highlight w:val="none"/>
                <w:u w:val="none"/>
                <w:lang w:val="en-US" w:eastAsia="zh-CN" w:bidi="ar-SA"/>
              </w:rPr>
              <w:t>30分</w:t>
            </w:r>
            <w:r>
              <w:rPr>
                <w:rFonts w:hint="eastAsia" w:ascii="宋体" w:hAnsi="宋体" w:eastAsia="宋体" w:cs="宋体"/>
                <w:bCs/>
                <w:color w:val="auto"/>
                <w:kern w:val="2"/>
                <w:sz w:val="21"/>
                <w:szCs w:val="21"/>
                <w:highlight w:val="none"/>
                <w:lang w:val="en-US" w:eastAsia="zh-CN" w:bidi="ar-SA"/>
              </w:rPr>
              <w:t>。</w:t>
            </w:r>
          </w:p>
          <w:p w14:paraId="05118CF3">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（3）价格分计算公式：</w:t>
            </w:r>
          </w:p>
          <w:p w14:paraId="24C5A19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bCs/>
                <w:color w:val="auto"/>
                <w:kern w:val="2"/>
                <w:sz w:val="21"/>
                <w:szCs w:val="21"/>
                <w:highlight w:val="none"/>
                <w:u w:val="none"/>
                <w:lang w:val="en-US" w:eastAsia="zh-CN" w:bidi="ar-SA"/>
              </w:rPr>
            </w:pPr>
            <w:r>
              <w:rPr>
                <w:rFonts w:hint="eastAsia" w:ascii="宋体" w:hAnsi="宋体" w:eastAsia="宋体" w:cs="宋体"/>
                <w:bCs/>
                <w:color w:val="auto"/>
                <w:kern w:val="2"/>
                <w:sz w:val="21"/>
                <w:szCs w:val="21"/>
                <w:highlight w:val="none"/>
                <w:lang w:val="en-US" w:eastAsia="zh-CN" w:bidi="ar-SA"/>
              </w:rPr>
              <w:t>报价得分=（基准价/最后报价）×</w:t>
            </w:r>
            <w:r>
              <w:rPr>
                <w:rFonts w:hint="eastAsia" w:ascii="宋体" w:hAnsi="宋体" w:eastAsia="宋体" w:cs="宋体"/>
                <w:bCs/>
                <w:color w:val="auto"/>
                <w:kern w:val="2"/>
                <w:sz w:val="21"/>
                <w:szCs w:val="21"/>
                <w:highlight w:val="none"/>
                <w:u w:val="none"/>
                <w:lang w:val="en-US" w:eastAsia="zh-CN" w:bidi="ar-SA"/>
              </w:rPr>
              <w:t>30 分</w:t>
            </w:r>
          </w:p>
          <w:p w14:paraId="6D79291B">
            <w:pPr>
              <w:pStyle w:val="2"/>
              <w:keepNext w:val="0"/>
              <w:keepLines w:val="0"/>
              <w:pageBreakBefore w:val="0"/>
              <w:widowControl w:val="0"/>
              <w:shd w:val="clea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b/>
                <w:bCs/>
                <w:color w:val="auto"/>
                <w:kern w:val="2"/>
                <w:sz w:val="21"/>
                <w:szCs w:val="21"/>
                <w:highlight w:val="none"/>
                <w:lang w:val="en-US" w:eastAsia="zh-CN" w:bidi="ar-SA"/>
              </w:rPr>
              <w:t>为贯彻落实财政部《关于推动解决政府采购异常低价问题的通知》（财库〔2026〕2号）的相关政策精神，深化整治“内卷式”、无序低价竞争，防止恶意低价中标（成交）可能导致的项目质量风险与诚信履约问题，本项目特设立异常低价审查程序。</w:t>
            </w:r>
          </w:p>
          <w:p w14:paraId="35B6F398">
            <w:pPr>
              <w:pStyle w:val="2"/>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磋商小组在评审过程中，出现下列情形之一的，磋商小组应当启动异常低价投标（响应）审查程序：</w:t>
            </w:r>
          </w:p>
          <w:p w14:paraId="06AB2F39">
            <w:pPr>
              <w:pStyle w:val="2"/>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①投标（响应）报价低于全部通过符合性审查供应商投标（响应）报价平均值</w:t>
            </w:r>
            <w:r>
              <w:rPr>
                <w:rFonts w:hint="eastAsia" w:ascii="宋体" w:hAnsi="宋体" w:cs="宋体"/>
                <w:b/>
                <w:bCs/>
                <w:color w:val="auto"/>
                <w:kern w:val="2"/>
                <w:sz w:val="21"/>
                <w:szCs w:val="21"/>
                <w:highlight w:val="none"/>
                <w:lang w:val="en-US" w:eastAsia="zh-CN" w:bidi="ar-SA"/>
              </w:rPr>
              <w:t>50</w:t>
            </w:r>
            <w:r>
              <w:rPr>
                <w:rFonts w:hint="eastAsia" w:ascii="宋体" w:hAnsi="宋体" w:eastAsia="宋体" w:cs="宋体"/>
                <w:b/>
                <w:bCs/>
                <w:color w:val="auto"/>
                <w:kern w:val="2"/>
                <w:sz w:val="21"/>
                <w:szCs w:val="21"/>
                <w:highlight w:val="none"/>
                <w:lang w:val="en-US" w:eastAsia="zh-CN" w:bidi="ar-SA"/>
              </w:rPr>
              <w:t>%的，即投标（响应）报价＜全部通过符合性审查供应商投标（响应）报价平均值×</w:t>
            </w:r>
            <w:r>
              <w:rPr>
                <w:rFonts w:hint="eastAsia" w:ascii="宋体" w:hAnsi="宋体" w:cs="宋体"/>
                <w:b/>
                <w:bCs/>
                <w:color w:val="auto"/>
                <w:kern w:val="2"/>
                <w:sz w:val="21"/>
                <w:szCs w:val="21"/>
                <w:highlight w:val="none"/>
                <w:lang w:val="en-US" w:eastAsia="zh-CN" w:bidi="ar-SA"/>
              </w:rPr>
              <w:t>50</w:t>
            </w:r>
            <w:r>
              <w:rPr>
                <w:rFonts w:hint="eastAsia" w:ascii="宋体" w:hAnsi="宋体" w:eastAsia="宋体" w:cs="宋体"/>
                <w:b/>
                <w:bCs/>
                <w:color w:val="auto"/>
                <w:kern w:val="2"/>
                <w:sz w:val="21"/>
                <w:szCs w:val="21"/>
                <w:highlight w:val="none"/>
                <w:lang w:val="en-US" w:eastAsia="zh-CN" w:bidi="ar-SA"/>
              </w:rPr>
              <w:t>%；</w:t>
            </w:r>
          </w:p>
          <w:p w14:paraId="742763BF">
            <w:pPr>
              <w:pStyle w:val="2"/>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②投标（响应）报价低于通过符合性审查的次低报价供应商投标（响应）报价</w:t>
            </w:r>
            <w:r>
              <w:rPr>
                <w:rFonts w:hint="eastAsia" w:ascii="宋体" w:hAnsi="宋体" w:cs="宋体"/>
                <w:b/>
                <w:bCs/>
                <w:color w:val="auto"/>
                <w:kern w:val="2"/>
                <w:sz w:val="21"/>
                <w:szCs w:val="21"/>
                <w:highlight w:val="none"/>
                <w:lang w:val="en-US" w:eastAsia="zh-CN" w:bidi="ar-SA"/>
              </w:rPr>
              <w:t>50</w:t>
            </w:r>
            <w:r>
              <w:rPr>
                <w:rFonts w:hint="eastAsia" w:ascii="宋体" w:hAnsi="宋体" w:eastAsia="宋体" w:cs="宋体"/>
                <w:b/>
                <w:bCs/>
                <w:color w:val="auto"/>
                <w:kern w:val="2"/>
                <w:sz w:val="21"/>
                <w:szCs w:val="21"/>
                <w:highlight w:val="none"/>
                <w:lang w:val="en-US" w:eastAsia="zh-CN" w:bidi="ar-SA"/>
              </w:rPr>
              <w:t>%的，即投标（响应）报价＜通过符合性审查的次低报价供应商投标（响应）报价×</w:t>
            </w:r>
            <w:r>
              <w:rPr>
                <w:rFonts w:hint="eastAsia" w:ascii="宋体" w:hAnsi="宋体" w:cs="宋体"/>
                <w:b/>
                <w:bCs/>
                <w:color w:val="auto"/>
                <w:kern w:val="2"/>
                <w:sz w:val="21"/>
                <w:szCs w:val="21"/>
                <w:highlight w:val="none"/>
                <w:lang w:val="en-US" w:eastAsia="zh-CN" w:bidi="ar-SA"/>
              </w:rPr>
              <w:t>50</w:t>
            </w:r>
            <w:r>
              <w:rPr>
                <w:rFonts w:hint="eastAsia" w:ascii="宋体" w:hAnsi="宋体" w:eastAsia="宋体" w:cs="宋体"/>
                <w:b/>
                <w:bCs/>
                <w:color w:val="auto"/>
                <w:kern w:val="2"/>
                <w:sz w:val="21"/>
                <w:szCs w:val="21"/>
                <w:highlight w:val="none"/>
                <w:lang w:val="en-US" w:eastAsia="zh-CN" w:bidi="ar-SA"/>
              </w:rPr>
              <w:t>%；</w:t>
            </w:r>
          </w:p>
          <w:p w14:paraId="53042C8B">
            <w:pPr>
              <w:pStyle w:val="2"/>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③投标（响应）报价低于采购项目最高限价</w:t>
            </w:r>
            <w:r>
              <w:rPr>
                <w:rFonts w:hint="eastAsia" w:ascii="宋体" w:hAnsi="宋体" w:cs="宋体"/>
                <w:b/>
                <w:bCs/>
                <w:color w:val="auto"/>
                <w:kern w:val="2"/>
                <w:sz w:val="21"/>
                <w:szCs w:val="21"/>
                <w:highlight w:val="none"/>
                <w:lang w:val="en-US" w:eastAsia="zh-CN" w:bidi="ar-SA"/>
              </w:rPr>
              <w:t>45</w:t>
            </w:r>
            <w:r>
              <w:rPr>
                <w:rFonts w:hint="eastAsia" w:ascii="宋体" w:hAnsi="宋体" w:eastAsia="宋体" w:cs="宋体"/>
                <w:b/>
                <w:bCs/>
                <w:color w:val="auto"/>
                <w:kern w:val="2"/>
                <w:sz w:val="21"/>
                <w:szCs w:val="21"/>
                <w:highlight w:val="none"/>
                <w:lang w:val="en-US" w:eastAsia="zh-CN" w:bidi="ar-SA"/>
              </w:rPr>
              <w:t>%的，即投标（响应）报价＜采购项目最高限价×</w:t>
            </w:r>
            <w:r>
              <w:rPr>
                <w:rFonts w:hint="eastAsia" w:ascii="宋体" w:hAnsi="宋体" w:cs="宋体"/>
                <w:b/>
                <w:bCs/>
                <w:color w:val="auto"/>
                <w:kern w:val="2"/>
                <w:sz w:val="21"/>
                <w:szCs w:val="21"/>
                <w:highlight w:val="none"/>
                <w:lang w:val="en-US" w:eastAsia="zh-CN" w:bidi="ar-SA"/>
              </w:rPr>
              <w:t>45</w:t>
            </w:r>
            <w:r>
              <w:rPr>
                <w:rFonts w:hint="eastAsia" w:ascii="宋体" w:hAnsi="宋体" w:eastAsia="宋体" w:cs="宋体"/>
                <w:b/>
                <w:bCs/>
                <w:color w:val="auto"/>
                <w:kern w:val="2"/>
                <w:sz w:val="21"/>
                <w:szCs w:val="21"/>
                <w:highlight w:val="none"/>
                <w:lang w:val="en-US" w:eastAsia="zh-CN" w:bidi="ar-SA"/>
              </w:rPr>
              <w:t>%；</w:t>
            </w:r>
          </w:p>
          <w:p w14:paraId="63763FB2">
            <w:pPr>
              <w:pStyle w:val="2"/>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④磋商小组基于专业判断，认为供应商报价过低，有可能影响产品质量或者不能诚信履约的其他情形。</w:t>
            </w:r>
          </w:p>
          <w:p w14:paraId="654F535E">
            <w:pPr>
              <w:pStyle w:val="2"/>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触发审查的供应商应在磋商小组规定的时间内（一般不少于30分钟，供应商应提前做好充分准备）提交书面说明，并提供必要的证明材料，包括但不限于：详细的成本构成分析（包括人工、材料、机械、管理费、利润、税金等分项报价明细），拟采用的主要材料品牌、型号、产地及供应商报价单，拟投入本项目的关键人员、设备清单及来源说明，能够证明报价合理性的其他材料（如类似项目合同、采购凭证等）。</w:t>
            </w:r>
          </w:p>
          <w:p w14:paraId="22A25F4A">
            <w:pPr>
              <w:pStyle w:val="2"/>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磋商小组结合项目具体特点、市场行情、供应商的说明及证明材料，对其报价是否低于成本、是否影响项目质量和合同履约进行集体评议。</w:t>
            </w:r>
          </w:p>
          <w:p w14:paraId="0A21AD50">
            <w:pPr>
              <w:pStyle w:val="2"/>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若供应商未能按时提交说明和证明材料，或提交的材料不足以合理证明其报价能够保证项目质量并诚信履约，经磋商小组过半数成员认定，其响应文件将按无效响应处理。</w:t>
            </w:r>
          </w:p>
          <w:p w14:paraId="738B85F9">
            <w:pPr>
              <w:pStyle w:val="2"/>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若供应商的说明和证明材料经磋商小组评议认为合理、可信，其报价继续参与后续评审。</w:t>
            </w:r>
          </w:p>
        </w:tc>
        <w:tc>
          <w:tcPr>
            <w:tcW w:w="454" w:type="pct"/>
            <w:noWrap w:val="0"/>
            <w:vAlign w:val="center"/>
          </w:tcPr>
          <w:p w14:paraId="625DAF6E">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30分</w:t>
            </w:r>
          </w:p>
        </w:tc>
      </w:tr>
      <w:tr w14:paraId="6B351C52">
        <w:trPr>
          <w:trHeight w:val="567" w:hRule="atLeast"/>
          <w:jc w:val="center"/>
        </w:trPr>
        <w:tc>
          <w:tcPr>
            <w:tcW w:w="296" w:type="pct"/>
            <w:noWrap w:val="0"/>
            <w:vAlign w:val="center"/>
          </w:tcPr>
          <w:p w14:paraId="160C991A">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2</w:t>
            </w:r>
          </w:p>
        </w:tc>
        <w:tc>
          <w:tcPr>
            <w:tcW w:w="474" w:type="pct"/>
            <w:noWrap w:val="0"/>
            <w:vAlign w:val="center"/>
          </w:tcPr>
          <w:p w14:paraId="38582A19">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技术分</w:t>
            </w:r>
          </w:p>
        </w:tc>
        <w:tc>
          <w:tcPr>
            <w:tcW w:w="4229" w:type="pct"/>
            <w:gridSpan w:val="2"/>
            <w:noWrap w:val="0"/>
            <w:vAlign w:val="top"/>
          </w:tcPr>
          <w:p w14:paraId="3848ED45">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032AB95D">
        <w:trPr>
          <w:trHeight w:val="567" w:hRule="atLeast"/>
          <w:jc w:val="center"/>
        </w:trPr>
        <w:tc>
          <w:tcPr>
            <w:tcW w:w="296" w:type="pct"/>
            <w:noWrap w:val="0"/>
            <w:vAlign w:val="center"/>
          </w:tcPr>
          <w:p w14:paraId="5E6E56F1">
            <w:pPr>
              <w:keepNext w:val="0"/>
              <w:keepLines w:val="0"/>
              <w:pageBreakBefore w:val="0"/>
              <w:shd w:val="clear" w:color="auto"/>
              <w:kinsoku/>
              <w:wordWrap/>
              <w:overflowPunct/>
              <w:topLinePunct w:val="0"/>
              <w:autoSpaceDE/>
              <w:autoSpaceDN/>
              <w:bidi w:val="0"/>
              <w:adjustRightInd/>
              <w:snapToGrid/>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2.1</w:t>
            </w:r>
          </w:p>
        </w:tc>
        <w:tc>
          <w:tcPr>
            <w:tcW w:w="474" w:type="pct"/>
            <w:noWrap w:val="0"/>
            <w:vAlign w:val="center"/>
          </w:tcPr>
          <w:p w14:paraId="3C3D0C12">
            <w:pPr>
              <w:keepNext w:val="0"/>
              <w:keepLines w:val="0"/>
              <w:pageBreakBefore w:val="0"/>
              <w:shd w:val="clear" w:color="auto"/>
              <w:kinsoku/>
              <w:wordWrap/>
              <w:overflowPunct/>
              <w:topLinePunct w:val="0"/>
              <w:autoSpaceDE/>
              <w:autoSpaceDN/>
              <w:bidi w:val="0"/>
              <w:adjustRightInd/>
              <w:snapToGrid/>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主要施工方法</w:t>
            </w:r>
          </w:p>
        </w:tc>
        <w:tc>
          <w:tcPr>
            <w:tcW w:w="3774" w:type="pct"/>
            <w:noWrap w:val="0"/>
            <w:vAlign w:val="center"/>
          </w:tcPr>
          <w:p w14:paraId="75ED840E">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针对供应商提供的主要施工方案按以下标准计分：</w:t>
            </w:r>
          </w:p>
          <w:p w14:paraId="4DF032B2">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评审要点：①工程施工；②主要物资计划；③项目的重点难点；④供应商针对本项目特点提出的其他施工方法</w:t>
            </w:r>
          </w:p>
          <w:p w14:paraId="21403EC4">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一档（0分）：未提供主要施工方法，或提供的方案不能满足施工的需要。</w:t>
            </w:r>
          </w:p>
          <w:p w14:paraId="05F02A36">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二档（4分）：方案中含有以上①至④项要点中至少1项。提供的主要施工方法符合项目实际，但未能针对各主要分部施工配有全面的施工技术方案。</w:t>
            </w:r>
          </w:p>
          <w:p w14:paraId="71A88934">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三档（</w:t>
            </w:r>
            <w:r>
              <w:rPr>
                <w:rFonts w:hint="eastAsia" w:ascii="宋体" w:hAnsi="宋体" w:cs="Times New Roman"/>
                <w:color w:val="auto"/>
                <w:kern w:val="0"/>
                <w:sz w:val="21"/>
                <w:szCs w:val="21"/>
                <w:highlight w:val="none"/>
                <w:lang w:val="en-US" w:eastAsia="zh-CN" w:bidi="ar-SA"/>
              </w:rPr>
              <w:t>7</w:t>
            </w:r>
            <w:r>
              <w:rPr>
                <w:rFonts w:hint="eastAsia" w:ascii="宋体" w:hAnsi="宋体" w:eastAsia="宋体" w:cs="Times New Roman"/>
                <w:color w:val="auto"/>
                <w:kern w:val="0"/>
                <w:sz w:val="21"/>
                <w:szCs w:val="21"/>
                <w:highlight w:val="none"/>
                <w:lang w:val="en-US" w:eastAsia="zh-CN" w:bidi="ar-SA"/>
              </w:rPr>
              <w:t>分）：方案中含有以上①至④项要点中至少2项。对各主要分部施工工程分别进行了具体的施工技术方案的阐述，提供的各主要分部施工方法符合项目实际，能指导具体施工并确保施工质量和施工安全。</w:t>
            </w:r>
          </w:p>
          <w:p w14:paraId="0D7B1657">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四档（</w:t>
            </w:r>
            <w:r>
              <w:rPr>
                <w:rFonts w:hint="eastAsia" w:ascii="宋体" w:hAnsi="宋体" w:cs="Times New Roman"/>
                <w:color w:val="auto"/>
                <w:kern w:val="0"/>
                <w:sz w:val="21"/>
                <w:szCs w:val="21"/>
                <w:highlight w:val="none"/>
                <w:lang w:val="en-US" w:eastAsia="zh-CN" w:bidi="ar-SA"/>
              </w:rPr>
              <w:t>11</w:t>
            </w:r>
            <w:r>
              <w:rPr>
                <w:rFonts w:hint="eastAsia" w:ascii="宋体" w:hAnsi="宋体" w:eastAsia="宋体" w:cs="Times New Roman"/>
                <w:color w:val="auto"/>
                <w:kern w:val="0"/>
                <w:sz w:val="21"/>
                <w:szCs w:val="21"/>
                <w:highlight w:val="none"/>
                <w:lang w:val="en-US" w:eastAsia="zh-CN" w:bidi="ar-SA"/>
              </w:rPr>
              <w:t>分）：方案中含有以上①至④项要点中至少3项。对各主要分部施工工程分别进行了具体的施工技术方案的阐述，提供的各主要分部施工方法符合项目实际，能指导具体施工并确保施工质量和施工安全。有主要建筑材料稳定供应的保证措施，满足施工需要。</w:t>
            </w:r>
          </w:p>
          <w:p w14:paraId="6B5D3C7B">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五档（</w:t>
            </w:r>
            <w:r>
              <w:rPr>
                <w:rFonts w:hint="eastAsia" w:ascii="宋体" w:hAnsi="宋体" w:cs="Times New Roman"/>
                <w:color w:val="auto"/>
                <w:kern w:val="0"/>
                <w:sz w:val="21"/>
                <w:szCs w:val="21"/>
                <w:highlight w:val="none"/>
                <w:lang w:val="en-US" w:eastAsia="zh-CN" w:bidi="ar-SA"/>
              </w:rPr>
              <w:t>15</w:t>
            </w:r>
            <w:r>
              <w:rPr>
                <w:rFonts w:hint="eastAsia" w:ascii="宋体" w:hAnsi="宋体" w:eastAsia="宋体" w:cs="Times New Roman"/>
                <w:color w:val="auto"/>
                <w:kern w:val="0"/>
                <w:sz w:val="21"/>
                <w:szCs w:val="21"/>
                <w:highlight w:val="none"/>
                <w:lang w:val="en-US" w:eastAsia="zh-CN" w:bidi="ar-SA"/>
              </w:rPr>
              <w:t>分）：方案中含有以上所有①至④项要点。对各主要分部施工工程分别进行了具体的施工技术方案的阐述，提供的各主要分部施工方法符合项目实际，能指导具体施工并确保施工质量和施工安全。有主要建筑材料的资源稳定供应的保证措施，完全满足施工需要。针对本工程的特点，阐述本工程的重点和难点，解决重点和难点问题的方法和措施科学合理。</w:t>
            </w:r>
          </w:p>
        </w:tc>
        <w:tc>
          <w:tcPr>
            <w:tcW w:w="454" w:type="pct"/>
            <w:noWrap w:val="0"/>
            <w:vAlign w:val="center"/>
          </w:tcPr>
          <w:p w14:paraId="28B36FD8">
            <w:pPr>
              <w:keepNext w:val="0"/>
              <w:keepLines w:val="0"/>
              <w:pageBreakBefore w:val="0"/>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val="en-US" w:eastAsia="zh-CN"/>
              </w:rPr>
              <w:t>15</w:t>
            </w:r>
            <w:r>
              <w:rPr>
                <w:rFonts w:hint="eastAsia" w:ascii="宋体" w:hAnsi="宋体" w:eastAsia="宋体" w:cs="宋体"/>
                <w:color w:val="auto"/>
                <w:kern w:val="0"/>
                <w:szCs w:val="21"/>
                <w:highlight w:val="none"/>
              </w:rPr>
              <w:t>分</w:t>
            </w:r>
          </w:p>
        </w:tc>
      </w:tr>
      <w:tr w14:paraId="1A66A132">
        <w:trPr>
          <w:trHeight w:val="567" w:hRule="atLeast"/>
          <w:jc w:val="center"/>
        </w:trPr>
        <w:tc>
          <w:tcPr>
            <w:tcW w:w="296" w:type="pct"/>
            <w:noWrap w:val="0"/>
            <w:vAlign w:val="center"/>
          </w:tcPr>
          <w:p w14:paraId="36D577B4">
            <w:pPr>
              <w:keepNext w:val="0"/>
              <w:keepLines w:val="0"/>
              <w:pageBreakBefore w:val="0"/>
              <w:shd w:val="clear" w:color="auto"/>
              <w:kinsoku/>
              <w:wordWrap/>
              <w:overflowPunct/>
              <w:topLinePunct w:val="0"/>
              <w:autoSpaceDE/>
              <w:autoSpaceDN/>
              <w:bidi w:val="0"/>
              <w:adjustRightInd/>
              <w:snapToGrid/>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2.2</w:t>
            </w:r>
          </w:p>
        </w:tc>
        <w:tc>
          <w:tcPr>
            <w:tcW w:w="474" w:type="pct"/>
            <w:noWrap w:val="0"/>
            <w:vAlign w:val="center"/>
          </w:tcPr>
          <w:p w14:paraId="4BC0D534">
            <w:pPr>
              <w:keepNext w:val="0"/>
              <w:keepLines w:val="0"/>
              <w:pageBreakBefore w:val="0"/>
              <w:shd w:val="clear" w:color="auto"/>
              <w:kinsoku/>
              <w:wordWrap/>
              <w:overflowPunct/>
              <w:topLinePunct w:val="0"/>
              <w:autoSpaceDE/>
              <w:autoSpaceDN/>
              <w:bidi w:val="0"/>
              <w:adjustRightInd/>
              <w:snapToGrid/>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质量保证措施</w:t>
            </w:r>
          </w:p>
        </w:tc>
        <w:tc>
          <w:tcPr>
            <w:tcW w:w="3774" w:type="pct"/>
            <w:noWrap w:val="0"/>
            <w:vAlign w:val="center"/>
          </w:tcPr>
          <w:p w14:paraId="3BFBC975">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针对供应商提供的确保工程质量的技术组织措施按以下标准计分：</w:t>
            </w:r>
          </w:p>
          <w:p w14:paraId="28BA0A77">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评审要点：①质量技术管理班子和制度；②关键材料质量控制内容；③材料组织计划；④供应商针对本项目特点提出的其他确保工程质量的技术组织措施</w:t>
            </w:r>
          </w:p>
          <w:p w14:paraId="4E04BEE9">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一档（0分）：未提供质量保证措施或提供的方案不能满足施工的需要。</w:t>
            </w:r>
          </w:p>
          <w:p w14:paraId="0458B4E9">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二档（4分）：方案中含有以上①至④项要点中至少1项。有专门的质量技术管理班子和制度但质量技术管理班子和制度不健全，主要工序无质量技术保证措施和手段，自控体系不完整，不能有效保证承诺的技术质量。</w:t>
            </w:r>
          </w:p>
          <w:p w14:paraId="5367CFC0">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三档（</w:t>
            </w:r>
            <w:r>
              <w:rPr>
                <w:rFonts w:hint="eastAsia" w:ascii="宋体" w:hAnsi="宋体" w:cs="Times New Roman"/>
                <w:color w:val="auto"/>
                <w:kern w:val="0"/>
                <w:sz w:val="21"/>
                <w:szCs w:val="21"/>
                <w:highlight w:val="none"/>
                <w:lang w:val="en-US" w:eastAsia="zh-CN" w:bidi="ar-SA"/>
              </w:rPr>
              <w:t>7</w:t>
            </w:r>
            <w:r>
              <w:rPr>
                <w:rFonts w:hint="eastAsia" w:ascii="宋体" w:hAnsi="宋体" w:eastAsia="宋体" w:cs="Times New Roman"/>
                <w:color w:val="auto"/>
                <w:kern w:val="0"/>
                <w:sz w:val="21"/>
                <w:szCs w:val="21"/>
                <w:highlight w:val="none"/>
                <w:lang w:val="en-US" w:eastAsia="zh-CN" w:bidi="ar-SA"/>
              </w:rPr>
              <w:t>分）：方案中含有以上①至④项要点中至少2项。有专门的质量技术管理班子和制度，有人员配备，制度健全。有主要工序的质量技术保证措施和手段及自控体系，能保证技术质量，达到承诺的质量标准。</w:t>
            </w:r>
          </w:p>
          <w:p w14:paraId="4CBF7F11">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四档（</w:t>
            </w:r>
            <w:r>
              <w:rPr>
                <w:rFonts w:hint="eastAsia" w:ascii="宋体" w:hAnsi="宋体" w:cs="Times New Roman"/>
                <w:color w:val="auto"/>
                <w:kern w:val="0"/>
                <w:sz w:val="21"/>
                <w:szCs w:val="21"/>
                <w:highlight w:val="none"/>
                <w:lang w:val="en-US" w:eastAsia="zh-CN" w:bidi="ar-SA"/>
              </w:rPr>
              <w:t>11</w:t>
            </w:r>
            <w:r>
              <w:rPr>
                <w:rFonts w:hint="eastAsia" w:ascii="宋体" w:hAnsi="宋体" w:eastAsia="宋体" w:cs="Times New Roman"/>
                <w:color w:val="auto"/>
                <w:kern w:val="0"/>
                <w:sz w:val="21"/>
                <w:szCs w:val="21"/>
                <w:highlight w:val="none"/>
                <w:lang w:val="en-US" w:eastAsia="zh-CN" w:bidi="ar-SA"/>
              </w:rPr>
              <w:t>分）：方案中含有以上①至④项要点中至少3项。有专门的质量技术管理班子和制度，且人员配备基本合理，制度较健全。主要工序有较好的质量技术保证措施和手段，基本能有效保证技术质量，提供的自控体系较完整。有主要建筑材料质量保证措施确保施工质量。</w:t>
            </w:r>
          </w:p>
          <w:p w14:paraId="68042D8B">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五档（</w:t>
            </w:r>
            <w:r>
              <w:rPr>
                <w:rFonts w:hint="eastAsia" w:ascii="宋体" w:hAnsi="宋体" w:cs="Times New Roman"/>
                <w:color w:val="auto"/>
                <w:kern w:val="0"/>
                <w:sz w:val="21"/>
                <w:szCs w:val="21"/>
                <w:highlight w:val="none"/>
                <w:lang w:val="en-US" w:eastAsia="zh-CN" w:bidi="ar-SA"/>
              </w:rPr>
              <w:t>15</w:t>
            </w:r>
            <w:r>
              <w:rPr>
                <w:rFonts w:hint="eastAsia" w:ascii="宋体" w:hAnsi="宋体" w:eastAsia="宋体" w:cs="Times New Roman"/>
                <w:color w:val="auto"/>
                <w:kern w:val="0"/>
                <w:sz w:val="21"/>
                <w:szCs w:val="21"/>
                <w:highlight w:val="none"/>
                <w:lang w:val="en-US" w:eastAsia="zh-CN" w:bidi="ar-SA"/>
              </w:rPr>
              <w:t>分）：方案中含有以上所有①至④项要点。有专门的质量技术管理班子和制度，且人员配备合理，制度健全。主要工序有质量技术保证措施和手段，自控体系完整，能有效保证技术质量，完全能达到承诺的质量标准。有主要建筑材料质量保证措施确保施工质量，对材料的环保要求把控措施。有投入的施工材料组织计划且计划周密，并根据本项目的特点提出其他有针对性的确保工程质量的技术组织措施，满足施工需要。</w:t>
            </w:r>
          </w:p>
        </w:tc>
        <w:tc>
          <w:tcPr>
            <w:tcW w:w="454" w:type="pct"/>
            <w:noWrap w:val="0"/>
            <w:vAlign w:val="center"/>
          </w:tcPr>
          <w:p w14:paraId="41E6FC90">
            <w:pPr>
              <w:keepNext w:val="0"/>
              <w:keepLines w:val="0"/>
              <w:pageBreakBefore w:val="0"/>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15</w:t>
            </w:r>
            <w:r>
              <w:rPr>
                <w:rFonts w:hint="eastAsia" w:ascii="宋体" w:hAnsi="宋体" w:eastAsia="宋体" w:cs="宋体"/>
                <w:color w:val="auto"/>
                <w:kern w:val="0"/>
                <w:szCs w:val="21"/>
                <w:highlight w:val="none"/>
              </w:rPr>
              <w:t>分</w:t>
            </w:r>
          </w:p>
        </w:tc>
      </w:tr>
      <w:tr w14:paraId="5F2C8D1A">
        <w:trPr>
          <w:trHeight w:val="567" w:hRule="atLeast"/>
          <w:jc w:val="center"/>
        </w:trPr>
        <w:tc>
          <w:tcPr>
            <w:tcW w:w="296" w:type="pct"/>
            <w:noWrap w:val="0"/>
            <w:vAlign w:val="center"/>
          </w:tcPr>
          <w:p w14:paraId="5D9EFBC0">
            <w:pPr>
              <w:keepNext w:val="0"/>
              <w:keepLines w:val="0"/>
              <w:pageBreakBefore w:val="0"/>
              <w:shd w:val="clear" w:color="auto"/>
              <w:kinsoku/>
              <w:wordWrap/>
              <w:overflowPunct/>
              <w:topLinePunct w:val="0"/>
              <w:autoSpaceDE/>
              <w:autoSpaceDN/>
              <w:bidi w:val="0"/>
              <w:adjustRightInd/>
              <w:snapToGrid/>
              <w:spacing w:line="400" w:lineRule="exact"/>
              <w:ind w:left="-105" w:leftChars="-50" w:right="-105" w:rightChars="-50"/>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2.3</w:t>
            </w:r>
          </w:p>
        </w:tc>
        <w:tc>
          <w:tcPr>
            <w:tcW w:w="474" w:type="pct"/>
            <w:noWrap w:val="0"/>
            <w:vAlign w:val="center"/>
          </w:tcPr>
          <w:p w14:paraId="5365D5B3">
            <w:pPr>
              <w:keepNext w:val="0"/>
              <w:keepLines w:val="0"/>
              <w:pageBreakBefore w:val="0"/>
              <w:shd w:val="clear" w:color="auto"/>
              <w:kinsoku/>
              <w:wordWrap/>
              <w:overflowPunct/>
              <w:topLinePunct w:val="0"/>
              <w:autoSpaceDE/>
              <w:autoSpaceDN/>
              <w:bidi w:val="0"/>
              <w:adjustRightInd/>
              <w:snapToGrid/>
              <w:spacing w:line="400" w:lineRule="exact"/>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安全生产措施</w:t>
            </w:r>
          </w:p>
        </w:tc>
        <w:tc>
          <w:tcPr>
            <w:tcW w:w="3774" w:type="pct"/>
            <w:noWrap w:val="0"/>
            <w:vAlign w:val="center"/>
          </w:tcPr>
          <w:p w14:paraId="4B6FF47A">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针对供应商提供的确保安全生产的技术组织措施按以下标准计分：</w:t>
            </w:r>
          </w:p>
          <w:p w14:paraId="77C47B1A">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评审要点：①安全管理制度和人员；②安全技术措施；③防火、救援等应急措施；④确保文明施工的技术组织措施；⑤环保等相关措施；⑥供应商针对本项目其他特点提出其他确保安全生产的技术组织措施</w:t>
            </w:r>
          </w:p>
          <w:p w14:paraId="2075020B">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一档（0分）：未提供安全生产措施，或提供的方案不能满足施工的需要。</w:t>
            </w:r>
          </w:p>
          <w:p w14:paraId="297613BF">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二档（4分）：方案中含有以上①至⑥项要点中至少2项。保证安全生产的技术措施有专门的安全管理人员和制度，各道工序安全技术措施阐述不完整，确保工程质量的技术组织措施满足有关安全技术标准要求但措施考虑欠周全。</w:t>
            </w:r>
          </w:p>
          <w:p w14:paraId="246354C8">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三档（</w:t>
            </w:r>
            <w:r>
              <w:rPr>
                <w:rFonts w:hint="eastAsia" w:ascii="宋体" w:hAnsi="宋体" w:cs="Times New Roman"/>
                <w:color w:val="auto"/>
                <w:kern w:val="0"/>
                <w:sz w:val="21"/>
                <w:szCs w:val="21"/>
                <w:highlight w:val="none"/>
                <w:lang w:val="en-US" w:eastAsia="zh-CN" w:bidi="ar-SA"/>
              </w:rPr>
              <w:t>7</w:t>
            </w:r>
            <w:r>
              <w:rPr>
                <w:rFonts w:hint="eastAsia" w:ascii="宋体" w:hAnsi="宋体" w:eastAsia="宋体" w:cs="Times New Roman"/>
                <w:color w:val="auto"/>
                <w:kern w:val="0"/>
                <w:sz w:val="21"/>
                <w:szCs w:val="21"/>
                <w:highlight w:val="none"/>
                <w:lang w:val="en-US" w:eastAsia="zh-CN" w:bidi="ar-SA"/>
              </w:rPr>
              <w:t>分）：方案中含有以上①至⑥项要点中至少3项。保证安全生产的技术措施有专门的安全管理人员和制度，且人员配备和制度合理，阐述了各道工序安全技术措施但缺乏针对性，确保工程质量的技术组织措施符合实际且满足有关安全技术标准要求且措施可行。</w:t>
            </w:r>
          </w:p>
          <w:p w14:paraId="19DE13E0">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四档（</w:t>
            </w:r>
            <w:r>
              <w:rPr>
                <w:rFonts w:hint="eastAsia" w:ascii="宋体" w:hAnsi="宋体" w:cs="Times New Roman"/>
                <w:color w:val="auto"/>
                <w:kern w:val="0"/>
                <w:sz w:val="21"/>
                <w:szCs w:val="21"/>
                <w:highlight w:val="none"/>
                <w:lang w:val="en-US" w:eastAsia="zh-CN" w:bidi="ar-SA"/>
              </w:rPr>
              <w:t>11</w:t>
            </w:r>
            <w:r>
              <w:rPr>
                <w:rFonts w:hint="eastAsia" w:ascii="宋体" w:hAnsi="宋体" w:eastAsia="宋体" w:cs="Times New Roman"/>
                <w:color w:val="auto"/>
                <w:kern w:val="0"/>
                <w:sz w:val="21"/>
                <w:szCs w:val="21"/>
                <w:highlight w:val="none"/>
                <w:lang w:val="en-US" w:eastAsia="zh-CN" w:bidi="ar-SA"/>
              </w:rPr>
              <w:t>分）：方案中含有以上①至⑥项要点中至少4项。保证安全生产的技术措施有专门的安全管理人员和制度，且人员配备和制度健全，阐述了可行的有针对性的各道工序安全技术措施，确保工程质量的技术组织措施符合实际且满足有关安全技术标准要求，措施可行且考虑周全。提供可行的关于现场防火、应急救援、社会治安安全的措施。提出可行的确保文明施工的技术组织措施、环境保护措施，且措施内容达到《建筑施工安全生产检查标准》（JGJ59-2011）合格标准并符合《广西壮族自治区建筑工程文明施工导则》要求。</w:t>
            </w:r>
          </w:p>
          <w:p w14:paraId="51DF6B4A">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五档（</w:t>
            </w:r>
            <w:r>
              <w:rPr>
                <w:rFonts w:hint="eastAsia" w:ascii="宋体" w:hAnsi="宋体" w:cs="Times New Roman"/>
                <w:color w:val="auto"/>
                <w:kern w:val="0"/>
                <w:sz w:val="21"/>
                <w:szCs w:val="21"/>
                <w:highlight w:val="none"/>
                <w:lang w:val="en-US" w:eastAsia="zh-CN" w:bidi="ar-SA"/>
              </w:rPr>
              <w:t>15</w:t>
            </w:r>
            <w:r>
              <w:rPr>
                <w:rFonts w:hint="eastAsia" w:ascii="宋体" w:hAnsi="宋体" w:eastAsia="宋体" w:cs="Times New Roman"/>
                <w:color w:val="auto"/>
                <w:kern w:val="0"/>
                <w:sz w:val="21"/>
                <w:szCs w:val="21"/>
                <w:highlight w:val="none"/>
                <w:lang w:val="en-US" w:eastAsia="zh-CN" w:bidi="ar-SA"/>
              </w:rPr>
              <w:t>分）：方案中含有以上①至⑥项要点中至少5项。保证安全生产的技术措施有专门的安全管理人员和制度，且人员配备合理，制度健全，各道工序安全技术措施有针对性，确保工程质量的技术组织措施符合实际且满足有关安全技术标准要求。现场防火、应急救援、社会治安安全措施得力，能针对本工程项目场地和施工特点提出全面得力的确保文明施工的技术组织措施、环境保护措施，且措施内容达到《建筑施工安全生产检查标准》（JGJ59-2011）合格标准并符合《广西壮族自治区建筑工程文明施工导则》要求，各项措施科学、具体、有效，有具体实现现场文明施工目标的承诺。</w:t>
            </w:r>
          </w:p>
        </w:tc>
        <w:tc>
          <w:tcPr>
            <w:tcW w:w="454" w:type="pct"/>
            <w:noWrap w:val="0"/>
            <w:vAlign w:val="center"/>
          </w:tcPr>
          <w:p w14:paraId="136F7851">
            <w:pPr>
              <w:keepNext w:val="0"/>
              <w:keepLines w:val="0"/>
              <w:pageBreakBefore w:val="0"/>
              <w:shd w:val="clear" w:color="auto"/>
              <w:kinsoku/>
              <w:wordWrap/>
              <w:overflowPunct/>
              <w:topLinePunct w:val="0"/>
              <w:autoSpaceDE/>
              <w:autoSpaceDN/>
              <w:bidi w:val="0"/>
              <w:adjustRightInd/>
              <w:snapToGrid/>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15分</w:t>
            </w:r>
          </w:p>
        </w:tc>
      </w:tr>
      <w:tr w14:paraId="375192D7">
        <w:trPr>
          <w:trHeight w:val="567" w:hRule="atLeast"/>
          <w:jc w:val="center"/>
        </w:trPr>
        <w:tc>
          <w:tcPr>
            <w:tcW w:w="296" w:type="pct"/>
            <w:noWrap w:val="0"/>
            <w:vAlign w:val="center"/>
          </w:tcPr>
          <w:p w14:paraId="32515ADB">
            <w:pPr>
              <w:keepNext w:val="0"/>
              <w:keepLines w:val="0"/>
              <w:pageBreakBefore w:val="0"/>
              <w:shd w:val="clear" w:color="auto"/>
              <w:kinsoku/>
              <w:wordWrap/>
              <w:overflowPunct/>
              <w:topLinePunct w:val="0"/>
              <w:autoSpaceDE/>
              <w:autoSpaceDN/>
              <w:bidi w:val="0"/>
              <w:adjustRightInd/>
              <w:snapToGrid/>
              <w:spacing w:line="400" w:lineRule="exact"/>
              <w:ind w:left="-105" w:leftChars="-50" w:right="-105" w:rightChars="-50"/>
              <w:jc w:val="center"/>
              <w:textAlignment w:val="baseline"/>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4</w:t>
            </w:r>
          </w:p>
        </w:tc>
        <w:tc>
          <w:tcPr>
            <w:tcW w:w="474" w:type="pct"/>
            <w:noWrap w:val="0"/>
            <w:vAlign w:val="center"/>
          </w:tcPr>
          <w:p w14:paraId="72BF219F">
            <w:pPr>
              <w:keepNext w:val="0"/>
              <w:keepLines w:val="0"/>
              <w:pageBreakBefore w:val="0"/>
              <w:shd w:val="clear" w:color="auto"/>
              <w:kinsoku/>
              <w:wordWrap/>
              <w:overflowPunct/>
              <w:topLinePunct w:val="0"/>
              <w:autoSpaceDE/>
              <w:autoSpaceDN/>
              <w:bidi w:val="0"/>
              <w:adjustRightInd/>
              <w:snapToGrid/>
              <w:spacing w:line="400" w:lineRule="exact"/>
              <w:jc w:val="center"/>
              <w:textAlignment w:val="baseline"/>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工期保证措施</w:t>
            </w:r>
          </w:p>
        </w:tc>
        <w:tc>
          <w:tcPr>
            <w:tcW w:w="3774" w:type="pct"/>
            <w:noWrap w:val="0"/>
            <w:vAlign w:val="center"/>
          </w:tcPr>
          <w:p w14:paraId="19573C98">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针对供应商提供的确保工期的技术组织措施按以下标准计分：</w:t>
            </w:r>
          </w:p>
          <w:p w14:paraId="01D59DA7">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评审要点：①工期保障措施；②施工进度计划；③施工进度图（表）；④劳动力计划；⑤供应商针对本项目特点提出其他确保工期的其他技术组织措施</w:t>
            </w:r>
          </w:p>
          <w:p w14:paraId="5571C884">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一档（0分）：未提供保证工期方案，或提供的方案不能满足施工的需要。</w:t>
            </w:r>
          </w:p>
          <w:p w14:paraId="7D1057F0">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二档（4分）：方案中含有以上①至⑤项要点中至少1项。保证工期的施工组织措施方案中有施工工艺、施工方法、劳动力安排等方面有具体实施措施但未提供控制工期的施工进度计划。</w:t>
            </w:r>
          </w:p>
          <w:p w14:paraId="1F1F87FA">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三档（6分）：方案中含有以上①至⑤项要点中至少2项。保证工期的施工组织措施方案中在施工工艺、施工方法、材料选用、劳动力安排、技术等方面有具体措施，且有控制工期的施工进度计划，但考虑欠周全。</w:t>
            </w:r>
          </w:p>
          <w:p w14:paraId="372B69F6">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四档（8分）：方案中含有以上①至⑤项要点中至少3项。保证工期的施工组织措施方案中在施工工艺、施工方法、材料选用、劳动力安排、技术等方面有保证工期的具体措施且措施可行。有控制工期的施工进度计划，有施工总进度表或施工网络图，对供应商承诺的工期有一定的保障。</w:t>
            </w:r>
          </w:p>
          <w:p w14:paraId="0265805F">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五档（10分）：方案中含有以上①至⑤项要点中至少4项。保证工期的施工组织措施方案中在施工工艺、施工方法、材料选用、劳动力安排、技术等方面有保证工期的具体措施且措施得当。有控制工期的施工进度计划。有施工总进度表或施工网络图，各项计划图表编制完善，安排科学合理，符合本项目施工实际要求。有具体周密的劳动力安排计划，能保障供应商承诺的工期。</w:t>
            </w:r>
          </w:p>
        </w:tc>
        <w:tc>
          <w:tcPr>
            <w:tcW w:w="454" w:type="pct"/>
            <w:noWrap w:val="0"/>
            <w:vAlign w:val="center"/>
          </w:tcPr>
          <w:p w14:paraId="2C7BEBAE">
            <w:pPr>
              <w:keepNext w:val="0"/>
              <w:keepLines w:val="0"/>
              <w:pageBreakBefore w:val="0"/>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lang w:val="en-US" w:eastAsia="zh-CN"/>
              </w:rPr>
              <w:t>10</w:t>
            </w:r>
            <w:r>
              <w:rPr>
                <w:rFonts w:hint="eastAsia" w:ascii="宋体" w:hAnsi="宋体" w:eastAsia="宋体" w:cs="宋体"/>
                <w:bCs/>
                <w:color w:val="auto"/>
                <w:kern w:val="0"/>
                <w:szCs w:val="21"/>
                <w:highlight w:val="none"/>
              </w:rPr>
              <w:t>分</w:t>
            </w:r>
          </w:p>
        </w:tc>
      </w:tr>
      <w:tr w14:paraId="7B1150BB">
        <w:trPr>
          <w:trHeight w:val="302" w:hRule="atLeast"/>
          <w:jc w:val="center"/>
        </w:trPr>
        <w:tc>
          <w:tcPr>
            <w:tcW w:w="296" w:type="pct"/>
            <w:noWrap w:val="0"/>
            <w:vAlign w:val="center"/>
          </w:tcPr>
          <w:p w14:paraId="204AC3A5">
            <w:pPr>
              <w:keepNext w:val="0"/>
              <w:keepLines w:val="0"/>
              <w:pageBreakBefore w:val="0"/>
              <w:shd w:val="clear" w:color="auto"/>
              <w:kinsoku/>
              <w:wordWrap/>
              <w:overflowPunct/>
              <w:topLinePunct w:val="0"/>
              <w:autoSpaceDE/>
              <w:autoSpaceDN/>
              <w:bidi w:val="0"/>
              <w:adjustRightInd/>
              <w:snapToGrid/>
              <w:spacing w:line="400" w:lineRule="exact"/>
              <w:ind w:left="-105" w:leftChars="-50" w:right="-105" w:rightChars="-50"/>
              <w:jc w:val="center"/>
              <w:textAlignment w:val="baseline"/>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5</w:t>
            </w:r>
          </w:p>
        </w:tc>
        <w:tc>
          <w:tcPr>
            <w:tcW w:w="474" w:type="pct"/>
            <w:noWrap w:val="0"/>
            <w:vAlign w:val="center"/>
          </w:tcPr>
          <w:p w14:paraId="53A601D8">
            <w:pPr>
              <w:keepNext w:val="0"/>
              <w:keepLines w:val="0"/>
              <w:pageBreakBefore w:val="0"/>
              <w:shd w:val="clear" w:color="auto"/>
              <w:kinsoku/>
              <w:wordWrap/>
              <w:overflowPunct/>
              <w:topLinePunct w:val="0"/>
              <w:autoSpaceDE/>
              <w:autoSpaceDN/>
              <w:bidi w:val="0"/>
              <w:adjustRightInd/>
              <w:snapToGrid/>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项目管理机构</w:t>
            </w:r>
          </w:p>
        </w:tc>
        <w:tc>
          <w:tcPr>
            <w:tcW w:w="3774" w:type="pct"/>
            <w:noWrap w:val="0"/>
            <w:vAlign w:val="center"/>
          </w:tcPr>
          <w:p w14:paraId="6481200C">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 xml:space="preserve">本工程主要技术管理人员应具有相应施工现场专业人员职业培训合格证书，配备最低要求为：施工员1人、质量员1人、安全员1人。在达到最低人员数量和资格要求的情况下，对投入本工程管理人员配备情况按以下标准评审加分： </w:t>
            </w:r>
          </w:p>
          <w:p w14:paraId="3313EE6E">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cs="Times New Roman"/>
                <w:color w:val="auto"/>
                <w:kern w:val="0"/>
                <w:sz w:val="21"/>
                <w:szCs w:val="21"/>
                <w:highlight w:val="none"/>
                <w:lang w:val="en-US" w:eastAsia="zh-CN" w:bidi="ar-SA"/>
              </w:rPr>
              <w:t>一档</w:t>
            </w:r>
            <w:r>
              <w:rPr>
                <w:rFonts w:hint="eastAsia" w:ascii="宋体" w:hAnsi="宋体" w:eastAsia="宋体" w:cs="Times New Roman"/>
                <w:color w:val="auto"/>
                <w:kern w:val="0"/>
                <w:sz w:val="21"/>
                <w:szCs w:val="21"/>
                <w:highlight w:val="none"/>
                <w:lang w:val="en-US" w:eastAsia="zh-CN" w:bidi="ar-SA"/>
              </w:rPr>
              <w:t>（1分）:投入本工程主要管理人员基本满足施工需要，组织结构简单、不够全面，管理人员配备较差。</w:t>
            </w:r>
          </w:p>
          <w:p w14:paraId="6B13C000">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cs="Times New Roman"/>
                <w:color w:val="auto"/>
                <w:kern w:val="0"/>
                <w:sz w:val="21"/>
                <w:szCs w:val="21"/>
                <w:highlight w:val="none"/>
                <w:lang w:val="en-US" w:eastAsia="zh-CN" w:bidi="ar-SA"/>
              </w:rPr>
              <w:t>二档</w:t>
            </w:r>
            <w:r>
              <w:rPr>
                <w:rFonts w:hint="eastAsia" w:ascii="宋体" w:hAnsi="宋体" w:eastAsia="宋体" w:cs="Times New Roman"/>
                <w:color w:val="auto"/>
                <w:kern w:val="0"/>
                <w:sz w:val="21"/>
                <w:szCs w:val="21"/>
                <w:highlight w:val="none"/>
                <w:lang w:val="en-US" w:eastAsia="zh-CN" w:bidi="ar-SA"/>
              </w:rPr>
              <w:t xml:space="preserve">（2分）：投入本工程主要管理人员基本满足施工需要，人员搭配基本合理，管理人员配备齐全。同时，拟投入人员（除项目经理及技术负责人）中1人（含）以上具有工程类相关专业中级（含）以上职称。 </w:t>
            </w:r>
          </w:p>
          <w:p w14:paraId="7676DF90">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cs="Times New Roman"/>
                <w:color w:val="auto"/>
                <w:kern w:val="0"/>
                <w:sz w:val="21"/>
                <w:szCs w:val="21"/>
                <w:highlight w:val="none"/>
                <w:lang w:val="en-US" w:eastAsia="zh-CN" w:bidi="ar-SA"/>
              </w:rPr>
              <w:t>三档</w:t>
            </w:r>
            <w:r>
              <w:rPr>
                <w:rFonts w:hint="eastAsia" w:ascii="宋体" w:hAnsi="宋体" w:eastAsia="宋体" w:cs="Times New Roman"/>
                <w:color w:val="auto"/>
                <w:kern w:val="0"/>
                <w:sz w:val="21"/>
                <w:szCs w:val="21"/>
                <w:highlight w:val="none"/>
                <w:lang w:val="en-US" w:eastAsia="zh-CN" w:bidi="ar-SA"/>
              </w:rPr>
              <w:t>（3分）：拟投入本工程主要管理人员基本满足施工需要，人员搭配较合理，组织结构较完整，管理人员配备齐全且有经验。同时，拟投入人员（除项目经理及技术负责人）中2人（含）以上具有工程类相关专业中级（含）以上职称。</w:t>
            </w:r>
          </w:p>
          <w:p w14:paraId="1D6426AC">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cs="Times New Roman"/>
                <w:color w:val="auto"/>
                <w:kern w:val="0"/>
                <w:sz w:val="21"/>
                <w:szCs w:val="21"/>
                <w:highlight w:val="none"/>
                <w:lang w:val="en-US" w:eastAsia="zh-CN" w:bidi="ar-SA"/>
              </w:rPr>
              <w:t>四档</w:t>
            </w:r>
            <w:r>
              <w:rPr>
                <w:rFonts w:hint="eastAsia" w:ascii="宋体" w:hAnsi="宋体" w:eastAsia="宋体" w:cs="Times New Roman"/>
                <w:color w:val="auto"/>
                <w:kern w:val="0"/>
                <w:sz w:val="21"/>
                <w:szCs w:val="21"/>
                <w:highlight w:val="none"/>
                <w:lang w:val="en-US" w:eastAsia="zh-CN" w:bidi="ar-SA"/>
              </w:rPr>
              <w:t xml:space="preserve">（4分）：拟投入本工程主要管理人员满足施工需要，人员搭配较合理，组织结构较完整，管理人员配备齐全且有经验及综合素质优秀。同时，拟投入人员（除项目经理及技术负责人）中3人（含）以上具有工程类相关专业中级（含）以上职称。 </w:t>
            </w:r>
          </w:p>
          <w:p w14:paraId="4AC67D28">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cs="Times New Roman"/>
                <w:color w:val="auto"/>
                <w:kern w:val="0"/>
                <w:sz w:val="21"/>
                <w:szCs w:val="21"/>
                <w:highlight w:val="none"/>
                <w:lang w:val="en-US" w:eastAsia="zh-CN" w:bidi="ar-SA"/>
              </w:rPr>
              <w:t>五档</w:t>
            </w:r>
            <w:r>
              <w:rPr>
                <w:rFonts w:hint="eastAsia" w:ascii="宋体" w:hAnsi="宋体" w:eastAsia="宋体" w:cs="Times New Roman"/>
                <w:color w:val="auto"/>
                <w:kern w:val="0"/>
                <w:sz w:val="21"/>
                <w:szCs w:val="21"/>
                <w:highlight w:val="none"/>
                <w:lang w:val="en-US" w:eastAsia="zh-CN" w:bidi="ar-SA"/>
              </w:rPr>
              <w:t>（5分）：拟投入本工程主要管理人员</w:t>
            </w:r>
            <w:r>
              <w:rPr>
                <w:rFonts w:hint="eastAsia" w:ascii="宋体" w:hAnsi="宋体" w:cs="Times New Roman"/>
                <w:color w:val="auto"/>
                <w:kern w:val="0"/>
                <w:sz w:val="21"/>
                <w:szCs w:val="21"/>
                <w:highlight w:val="none"/>
                <w:lang w:val="en-US" w:eastAsia="zh-CN" w:bidi="ar-SA"/>
              </w:rPr>
              <w:t>完全</w:t>
            </w:r>
            <w:r>
              <w:rPr>
                <w:rFonts w:hint="eastAsia" w:ascii="宋体" w:hAnsi="宋体" w:eastAsia="宋体" w:cs="Times New Roman"/>
                <w:color w:val="auto"/>
                <w:kern w:val="0"/>
                <w:sz w:val="21"/>
                <w:szCs w:val="21"/>
                <w:highlight w:val="none"/>
                <w:lang w:val="en-US" w:eastAsia="zh-CN" w:bidi="ar-SA"/>
              </w:rPr>
              <w:t>满足施工需要，人员搭配合理，组织结构完整，管理人员配备齐全且有经验及综合素质优秀。同时，拟投入人员（除项目经理及技术负责人）中</w:t>
            </w:r>
            <w:r>
              <w:rPr>
                <w:rFonts w:hint="eastAsia" w:ascii="宋体" w:hAnsi="宋体" w:cs="Times New Roman"/>
                <w:color w:val="auto"/>
                <w:kern w:val="0"/>
                <w:sz w:val="21"/>
                <w:szCs w:val="21"/>
                <w:highlight w:val="none"/>
                <w:lang w:val="en-US" w:eastAsia="zh-CN" w:bidi="ar-SA"/>
              </w:rPr>
              <w:t>4</w:t>
            </w:r>
            <w:r>
              <w:rPr>
                <w:rFonts w:hint="eastAsia" w:ascii="宋体" w:hAnsi="宋体" w:eastAsia="宋体" w:cs="Times New Roman"/>
                <w:color w:val="auto"/>
                <w:kern w:val="0"/>
                <w:sz w:val="21"/>
                <w:szCs w:val="21"/>
                <w:highlight w:val="none"/>
                <w:lang w:val="en-US" w:eastAsia="zh-CN" w:bidi="ar-SA"/>
              </w:rPr>
              <w:t xml:space="preserve">人（含）以上具有工程类相关专业中级（含）以上职称。 </w:t>
            </w:r>
          </w:p>
          <w:p w14:paraId="7A4AC3E0">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注：未提供供应商为以上人员缴纳竞标截止日期前一年内任意3个月的社会保险的证明材料的不予计分。</w:t>
            </w:r>
          </w:p>
        </w:tc>
        <w:tc>
          <w:tcPr>
            <w:tcW w:w="454" w:type="pct"/>
            <w:noWrap w:val="0"/>
            <w:vAlign w:val="center"/>
          </w:tcPr>
          <w:p w14:paraId="341359C7">
            <w:pPr>
              <w:keepNext w:val="0"/>
              <w:keepLines w:val="0"/>
              <w:pageBreakBefore w:val="0"/>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分</w:t>
            </w:r>
          </w:p>
        </w:tc>
      </w:tr>
      <w:tr w14:paraId="11575FA2">
        <w:trPr>
          <w:trHeight w:val="567" w:hRule="atLeast"/>
          <w:jc w:val="center"/>
        </w:trPr>
        <w:tc>
          <w:tcPr>
            <w:tcW w:w="296" w:type="pct"/>
            <w:noWrap w:val="0"/>
            <w:vAlign w:val="center"/>
          </w:tcPr>
          <w:p w14:paraId="584C606F">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474" w:type="pct"/>
            <w:noWrap w:val="0"/>
            <w:vAlign w:val="center"/>
          </w:tcPr>
          <w:p w14:paraId="4D225D10">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商务分</w:t>
            </w:r>
          </w:p>
        </w:tc>
        <w:tc>
          <w:tcPr>
            <w:tcW w:w="4229" w:type="pct"/>
            <w:gridSpan w:val="2"/>
            <w:noWrap w:val="0"/>
            <w:vAlign w:val="center"/>
          </w:tcPr>
          <w:p w14:paraId="56EF6CA7">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4EF6999C">
        <w:trPr>
          <w:trHeight w:val="567" w:hRule="atLeast"/>
          <w:jc w:val="center"/>
        </w:trPr>
        <w:tc>
          <w:tcPr>
            <w:tcW w:w="296" w:type="pct"/>
            <w:noWrap w:val="0"/>
            <w:vAlign w:val="center"/>
          </w:tcPr>
          <w:p w14:paraId="23E0D5A1">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4249" w:type="pct"/>
            <w:gridSpan w:val="2"/>
            <w:noWrap w:val="0"/>
            <w:vAlign w:val="center"/>
          </w:tcPr>
          <w:p w14:paraId="2EF919C7">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2023年1月1日以来承建过与本次采购内容类似的项目，每有一个得2.5分，满分10分。</w:t>
            </w:r>
          </w:p>
          <w:p w14:paraId="08A260D2">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证明材料为①或②：①中标（成交）通知书和合同协议书复印件②竣工验收意见书复印件。同一项目，不同标段时按最高金额的标段计分，不重复计分。（证明材料不提供的不予得分）。</w:t>
            </w:r>
          </w:p>
        </w:tc>
        <w:tc>
          <w:tcPr>
            <w:tcW w:w="454" w:type="pct"/>
            <w:noWrap w:val="0"/>
            <w:vAlign w:val="center"/>
          </w:tcPr>
          <w:p w14:paraId="216E08CB">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rPr>
              <w:t>分</w:t>
            </w:r>
          </w:p>
        </w:tc>
      </w:tr>
      <w:tr w14:paraId="2BF6327E">
        <w:trPr>
          <w:trHeight w:val="567" w:hRule="atLeast"/>
          <w:jc w:val="center"/>
        </w:trPr>
        <w:tc>
          <w:tcPr>
            <w:tcW w:w="4545" w:type="pct"/>
            <w:gridSpan w:val="3"/>
            <w:noWrap w:val="0"/>
            <w:vAlign w:val="top"/>
          </w:tcPr>
          <w:p w14:paraId="3203E2A5">
            <w:pPr>
              <w:keepNext w:val="0"/>
              <w:keepLines w:val="0"/>
              <w:pageBreakBefore w:val="0"/>
              <w:widowControl w:val="0"/>
              <w:shd w:val="clear" w:color="auto"/>
              <w:kinsoku/>
              <w:wordWrap/>
              <w:overflowPunct/>
              <w:topLinePunct w:val="0"/>
              <w:autoSpaceDE/>
              <w:autoSpaceDN/>
              <w:bidi w:val="0"/>
              <w:adjustRightInd/>
              <w:snapToGrid/>
              <w:spacing w:line="40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总得分＝1＋2＋3</w:t>
            </w:r>
          </w:p>
        </w:tc>
        <w:tc>
          <w:tcPr>
            <w:tcW w:w="454" w:type="pct"/>
            <w:noWrap w:val="0"/>
            <w:vAlign w:val="center"/>
          </w:tcPr>
          <w:p w14:paraId="4D8F8EE3">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p>
        </w:tc>
      </w:tr>
    </w:tbl>
    <w:p w14:paraId="224301BA">
      <w:pPr>
        <w:pStyle w:val="20"/>
        <w:shd w:val="clear" w:color="auto"/>
        <w:rPr>
          <w:rFonts w:hint="eastAsia" w:ascii="Times New Roman" w:hAnsi="Times New Roman" w:eastAsia="宋体" w:cs="Times New Roman"/>
          <w:color w:val="auto"/>
          <w:highlight w:val="none"/>
          <w:lang w:val="en-US" w:eastAsia="zh-CN"/>
        </w:rPr>
      </w:pPr>
    </w:p>
    <w:p w14:paraId="7654371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bookmarkStart w:id="60" w:name="_Toc80205935"/>
      <w:r>
        <w:rPr>
          <w:rFonts w:hint="eastAsia" w:ascii="宋体" w:hAnsi="宋体" w:eastAsia="宋体" w:cs="Times New Roman"/>
          <w:color w:val="auto"/>
          <w:kern w:val="0"/>
          <w:sz w:val="21"/>
          <w:szCs w:val="21"/>
          <w:highlight w:val="none"/>
          <w:lang w:val="en-US" w:eastAsia="zh-CN" w:bidi="ar-SA"/>
        </w:rPr>
        <w:t>7.2.终止竞争性磋商采购活动</w:t>
      </w:r>
    </w:p>
    <w:p w14:paraId="13EC457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b/>
          <w:color w:val="auto"/>
          <w:kern w:val="0"/>
          <w:sz w:val="20"/>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0C82C91">
      <w:pPr>
        <w:pStyle w:val="4"/>
        <w:shd w:val="clear" w:color="auto"/>
        <w:spacing w:line="420" w:lineRule="exact"/>
        <w:jc w:val="center"/>
        <w:rPr>
          <w:rFonts w:hint="eastAsia" w:ascii="宋体" w:hAnsi="宋体" w:eastAsia="宋体" w:cs="Times New Roman"/>
          <w:b/>
          <w:bCs/>
          <w:color w:val="auto"/>
          <w:highlight w:val="none"/>
        </w:rPr>
      </w:pPr>
      <w:bookmarkStart w:id="61" w:name="_Toc87898655"/>
      <w:r>
        <w:rPr>
          <w:rFonts w:hint="eastAsia" w:ascii="宋体" w:hAnsi="宋体" w:eastAsia="宋体" w:cs="Times New Roman"/>
          <w:b/>
          <w:bCs/>
          <w:color w:val="auto"/>
          <w:highlight w:val="none"/>
        </w:rPr>
        <w:t>第二节 评标报告</w:t>
      </w:r>
      <w:bookmarkEnd w:id="60"/>
      <w:bookmarkEnd w:id="61"/>
    </w:p>
    <w:p w14:paraId="530FA97C">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1.成交标准</w:t>
      </w:r>
    </w:p>
    <w:p w14:paraId="0EEC472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6A354B5E">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2.评标争议事项处理</w:t>
      </w:r>
    </w:p>
    <w:p w14:paraId="722ED33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磋商小组成员对需要共同认定的事项存在争议的，应当按照少数服从多数的原则作出结论。持不同意见的磋商小组成员应当在评标报告上签署不同意见及理由，否则视为同意评标报告。</w:t>
      </w:r>
    </w:p>
    <w:p w14:paraId="0F0F8195">
      <w:pPr>
        <w:pStyle w:val="4"/>
        <w:shd w:val="clear" w:color="auto"/>
        <w:spacing w:line="420" w:lineRule="exact"/>
        <w:jc w:val="center"/>
        <w:rPr>
          <w:rFonts w:hint="eastAsia" w:ascii="宋体" w:hAnsi="宋体" w:eastAsia="宋体" w:cs="Times New Roman"/>
          <w:b/>
          <w:bCs/>
          <w:color w:val="auto"/>
          <w:highlight w:val="none"/>
        </w:rPr>
      </w:pPr>
      <w:bookmarkStart w:id="62" w:name="_Toc80205936"/>
      <w:bookmarkStart w:id="63" w:name="_Toc87898656"/>
      <w:r>
        <w:rPr>
          <w:rFonts w:hint="eastAsia" w:ascii="宋体" w:hAnsi="宋体" w:eastAsia="宋体" w:cs="Times New Roman"/>
          <w:b/>
          <w:bCs/>
          <w:color w:val="auto"/>
          <w:highlight w:val="none"/>
        </w:rPr>
        <w:t>第三节 评审过程的保密与录像</w:t>
      </w:r>
      <w:bookmarkEnd w:id="62"/>
      <w:bookmarkEnd w:id="63"/>
    </w:p>
    <w:p w14:paraId="783786E1">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1.保密。</w:t>
      </w:r>
    </w:p>
    <w:p w14:paraId="33718B49">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84E82D2">
      <w:pPr>
        <w:keepNext w:val="0"/>
        <w:keepLines w:val="0"/>
        <w:pageBreakBefore w:val="0"/>
        <w:widowControl w:val="0"/>
        <w:shd w:val="clear" w:color="auto"/>
        <w:kinsoku/>
        <w:wordWrap/>
        <w:overflowPunct/>
        <w:topLinePunct w:val="0"/>
        <w:autoSpaceDE/>
        <w:autoSpaceDN/>
        <w:bidi w:val="0"/>
        <w:adjustRightInd/>
        <w:snapToGrid/>
        <w:spacing w:before="120" w:after="120" w:line="240" w:lineRule="auto"/>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2.录音录像。</w:t>
      </w:r>
    </w:p>
    <w:p w14:paraId="2B4AF35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采购代理机构对评审工作现场及操作屏幕进行全过程录音录像，录音录像资料作为采购项目文件随其他文件一并存档。</w:t>
      </w:r>
    </w:p>
    <w:p w14:paraId="00A14009">
      <w:pPr>
        <w:shd w:val="clear" w:color="auto"/>
        <w:spacing w:line="400" w:lineRule="exact"/>
        <w:ind w:firstLine="420" w:firstLineChars="200"/>
        <w:rPr>
          <w:rFonts w:hint="eastAsia" w:ascii="宋体" w:hAnsi="宋体" w:eastAsia="宋体" w:cs="宋体"/>
          <w:color w:val="auto"/>
          <w:highlight w:val="none"/>
        </w:rPr>
      </w:pPr>
    </w:p>
    <w:p w14:paraId="2D7D62AF">
      <w:pPr>
        <w:shd w:val="clear" w:color="auto"/>
        <w:spacing w:line="400" w:lineRule="exact"/>
        <w:ind w:firstLine="420" w:firstLineChars="200"/>
        <w:rPr>
          <w:rFonts w:hint="eastAsia" w:ascii="宋体" w:hAnsi="宋体" w:eastAsia="宋体" w:cs="宋体"/>
          <w:color w:val="auto"/>
          <w:highlight w:val="none"/>
        </w:rPr>
      </w:pPr>
    </w:p>
    <w:p w14:paraId="78C276EB">
      <w:pPr>
        <w:pStyle w:val="4"/>
        <w:shd w:val="clear" w:color="auto"/>
        <w:jc w:val="center"/>
        <w:rPr>
          <w:rFonts w:eastAsia="宋体" w:cs="Times New Roman"/>
          <w:b/>
          <w:bCs/>
          <w:color w:val="auto"/>
          <w:highlight w:val="none"/>
        </w:rPr>
      </w:pPr>
      <w:r>
        <w:rPr>
          <w:rFonts w:eastAsia="宋体" w:cs="Times New Roman"/>
          <w:b/>
          <w:bCs/>
          <w:color w:val="auto"/>
          <w:highlight w:val="none"/>
        </w:rPr>
        <w:br w:type="page"/>
      </w:r>
    </w:p>
    <w:p w14:paraId="4662E165">
      <w:pPr>
        <w:pStyle w:val="4"/>
        <w:shd w:val="clear" w:color="auto"/>
        <w:jc w:val="center"/>
        <w:rPr>
          <w:rFonts w:eastAsia="宋体" w:cs="Times New Roman"/>
          <w:b/>
          <w:bCs/>
          <w:color w:val="auto"/>
          <w:highlight w:val="none"/>
        </w:rPr>
      </w:pPr>
    </w:p>
    <w:p w14:paraId="4BA89F7B">
      <w:pPr>
        <w:pStyle w:val="4"/>
        <w:shd w:val="clear" w:color="auto"/>
        <w:jc w:val="center"/>
        <w:rPr>
          <w:rFonts w:eastAsia="宋体" w:cs="Times New Roman"/>
          <w:b/>
          <w:bCs/>
          <w:color w:val="auto"/>
          <w:highlight w:val="none"/>
        </w:rPr>
      </w:pPr>
    </w:p>
    <w:p w14:paraId="72D8BC3B">
      <w:pPr>
        <w:pStyle w:val="4"/>
        <w:shd w:val="clear" w:color="auto"/>
        <w:jc w:val="center"/>
        <w:rPr>
          <w:rFonts w:eastAsia="宋体" w:cs="Times New Roman"/>
          <w:b/>
          <w:bCs/>
          <w:color w:val="auto"/>
          <w:highlight w:val="none"/>
        </w:rPr>
      </w:pPr>
    </w:p>
    <w:p w14:paraId="5F8C5B4E">
      <w:pPr>
        <w:pStyle w:val="4"/>
        <w:shd w:val="clear" w:color="auto"/>
        <w:jc w:val="center"/>
        <w:rPr>
          <w:rFonts w:eastAsia="宋体" w:cs="Times New Roman"/>
          <w:b/>
          <w:bCs/>
          <w:color w:val="auto"/>
          <w:highlight w:val="none"/>
        </w:rPr>
      </w:pPr>
    </w:p>
    <w:p w14:paraId="715C891A">
      <w:pPr>
        <w:pStyle w:val="4"/>
        <w:shd w:val="clear" w:color="auto"/>
        <w:jc w:val="center"/>
        <w:rPr>
          <w:rFonts w:eastAsia="宋体" w:cs="Times New Roman"/>
          <w:b/>
          <w:bCs/>
          <w:color w:val="auto"/>
          <w:highlight w:val="none"/>
        </w:rPr>
      </w:pPr>
    </w:p>
    <w:p w14:paraId="62D37C82">
      <w:pPr>
        <w:shd w:val="clear" w:color="auto"/>
        <w:jc w:val="center"/>
        <w:rPr>
          <w:color w:val="auto"/>
          <w:highlight w:val="none"/>
        </w:rPr>
        <w:sectPr>
          <w:footerReference r:id="rId11" w:type="first"/>
          <w:footerReference r:id="rId10" w:type="default"/>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bookmarkStart w:id="64" w:name="_Toc87898657"/>
      <w:r>
        <w:rPr>
          <w:rFonts w:hint="eastAsia" w:ascii="Times New Roman" w:hAnsi="Times New Roman" w:eastAsia="宋体" w:cs="Times New Roman"/>
          <w:b/>
          <w:bCs/>
          <w:color w:val="auto"/>
          <w:kern w:val="44"/>
          <w:sz w:val="32"/>
          <w:szCs w:val="44"/>
          <w:highlight w:val="none"/>
          <w:lang w:val="en-US" w:eastAsia="zh-CN" w:bidi="ar-SA"/>
        </w:rPr>
        <w:t>第五章 响应文件格式</w:t>
      </w:r>
      <w:bookmarkEnd w:id="64"/>
    </w:p>
    <w:p w14:paraId="087E996A">
      <w:pPr>
        <w:pStyle w:val="4"/>
        <w:shd w:val="clear" w:color="auto"/>
        <w:jc w:val="center"/>
        <w:rPr>
          <w:rFonts w:hint="eastAsia" w:ascii="宋体" w:hAnsi="宋体" w:eastAsia="宋体" w:cs="Times New Roman"/>
          <w:b w:val="0"/>
          <w:bCs/>
          <w:color w:val="auto"/>
          <w:highlight w:val="none"/>
        </w:rPr>
      </w:pPr>
      <w:bookmarkStart w:id="65" w:name="_Toc87898658"/>
      <w:bookmarkStart w:id="66" w:name="_Toc80205938"/>
      <w:r>
        <w:rPr>
          <w:rFonts w:hint="eastAsia" w:ascii="宋体" w:hAnsi="宋体" w:eastAsia="宋体" w:cs="Times New Roman"/>
          <w:b w:val="0"/>
          <w:bCs/>
          <w:color w:val="auto"/>
          <w:highlight w:val="none"/>
        </w:rPr>
        <w:t>第一节 封面格式</w:t>
      </w:r>
      <w:bookmarkEnd w:id="65"/>
      <w:bookmarkEnd w:id="66"/>
    </w:p>
    <w:p w14:paraId="18FA634D">
      <w:pPr>
        <w:shd w:val="clear" w:color="auto"/>
        <w:snapToGrid w:val="0"/>
        <w:spacing w:before="120" w:beforeLines="50" w:after="50"/>
        <w:rPr>
          <w:rFonts w:hint="eastAsia" w:ascii="宋体" w:hAnsi="宋体" w:eastAsia="宋体" w:cs="Times New Roman"/>
          <w:color w:val="auto"/>
          <w:sz w:val="24"/>
          <w:szCs w:val="20"/>
          <w:highlight w:val="none"/>
        </w:rPr>
      </w:pPr>
    </w:p>
    <w:p w14:paraId="667A7169">
      <w:pPr>
        <w:shd w:val="clear" w:color="auto"/>
        <w:snapToGrid w:val="0"/>
        <w:spacing w:before="120" w:beforeLines="50" w:after="50"/>
        <w:jc w:val="center"/>
        <w:rPr>
          <w:rFonts w:hint="eastAsia" w:ascii="宋体" w:hAnsi="宋体" w:eastAsia="宋体" w:cs="Times New Roman"/>
          <w:bCs/>
          <w:color w:val="auto"/>
          <w:sz w:val="24"/>
          <w:szCs w:val="20"/>
          <w:highlight w:val="none"/>
        </w:rPr>
      </w:pPr>
    </w:p>
    <w:p w14:paraId="173F1B5D">
      <w:pPr>
        <w:shd w:val="clear" w:color="auto"/>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2748B502">
      <w:pPr>
        <w:shd w:val="clear" w:color="auto"/>
        <w:snapToGrid w:val="0"/>
        <w:spacing w:before="120" w:beforeLines="50" w:after="50"/>
        <w:rPr>
          <w:rFonts w:hint="eastAsia" w:ascii="宋体" w:hAnsi="宋体" w:eastAsia="宋体" w:cs="Times New Roman"/>
          <w:bCs/>
          <w:color w:val="auto"/>
          <w:sz w:val="24"/>
          <w:szCs w:val="20"/>
          <w:highlight w:val="none"/>
        </w:rPr>
      </w:pPr>
    </w:p>
    <w:p w14:paraId="5200C6B8">
      <w:pPr>
        <w:shd w:val="clear" w:color="auto"/>
        <w:snapToGrid w:val="0"/>
        <w:spacing w:before="120" w:beforeLines="50" w:after="50"/>
        <w:rPr>
          <w:rFonts w:hint="eastAsia" w:ascii="宋体" w:hAnsi="宋体" w:eastAsia="宋体" w:cs="Times New Roman"/>
          <w:bCs/>
          <w:color w:val="auto"/>
          <w:sz w:val="24"/>
          <w:szCs w:val="20"/>
          <w:highlight w:val="none"/>
        </w:rPr>
      </w:pPr>
    </w:p>
    <w:p w14:paraId="42B9CB23">
      <w:pPr>
        <w:shd w:val="clear" w:color="auto"/>
        <w:snapToGrid w:val="0"/>
        <w:spacing w:before="120" w:beforeLines="50" w:after="50"/>
        <w:rPr>
          <w:rFonts w:hint="eastAsia" w:ascii="仿宋_GB2312" w:hAnsi="仿宋_GB2312" w:eastAsia="仿宋_GB2312" w:cs="仿宋_GB2312"/>
          <w:bCs/>
          <w:color w:val="auto"/>
          <w:sz w:val="32"/>
          <w:szCs w:val="32"/>
          <w:highlight w:val="none"/>
        </w:rPr>
      </w:pPr>
    </w:p>
    <w:p w14:paraId="2ADB5289">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p>
    <w:p w14:paraId="65903313">
      <w:pPr>
        <w:shd w:val="clear" w:color="auto"/>
        <w:snapToGrid w:val="0"/>
        <w:spacing w:before="120" w:beforeLines="50" w:after="50"/>
        <w:ind w:firstLine="480" w:firstLineChars="150"/>
        <w:rPr>
          <w:rFonts w:hint="eastAsia" w:ascii="宋体" w:hAnsi="宋体" w:eastAsia="宋体" w:cs="仿宋_GB2312"/>
          <w:bCs/>
          <w:color w:val="auto"/>
          <w:sz w:val="32"/>
          <w:szCs w:val="32"/>
          <w:highlight w:val="none"/>
        </w:rPr>
      </w:pPr>
    </w:p>
    <w:p w14:paraId="3625F345">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项目编号：</w:t>
      </w:r>
    </w:p>
    <w:p w14:paraId="73B25133">
      <w:pPr>
        <w:shd w:val="clear" w:color="auto"/>
        <w:snapToGrid w:val="0"/>
        <w:spacing w:before="120" w:beforeLines="50" w:after="50"/>
        <w:ind w:firstLine="480" w:firstLineChars="150"/>
        <w:rPr>
          <w:rFonts w:hint="eastAsia" w:ascii="宋体" w:hAnsi="宋体" w:eastAsia="宋体" w:cs="仿宋_GB2312"/>
          <w:bCs/>
          <w:color w:val="auto"/>
          <w:sz w:val="32"/>
          <w:szCs w:val="32"/>
          <w:highlight w:val="none"/>
        </w:rPr>
      </w:pPr>
    </w:p>
    <w:p w14:paraId="6AF6DA18">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78B5DBD7">
      <w:pPr>
        <w:shd w:val="clear" w:color="auto"/>
        <w:snapToGrid w:val="0"/>
        <w:spacing w:before="120" w:beforeLines="50" w:after="50"/>
        <w:rPr>
          <w:rFonts w:hint="eastAsia" w:ascii="宋体" w:hAnsi="宋体" w:eastAsia="宋体" w:cs="仿宋_GB2312"/>
          <w:bCs/>
          <w:color w:val="auto"/>
          <w:sz w:val="32"/>
          <w:szCs w:val="32"/>
          <w:highlight w:val="none"/>
        </w:rPr>
      </w:pPr>
    </w:p>
    <w:p w14:paraId="46FD090F">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24E8E8A6">
      <w:pPr>
        <w:shd w:val="clear" w:color="auto"/>
        <w:snapToGrid w:val="0"/>
        <w:spacing w:before="120" w:beforeLines="50" w:after="50"/>
        <w:rPr>
          <w:rFonts w:hint="eastAsia" w:ascii="宋体" w:hAnsi="宋体" w:eastAsia="宋体" w:cs="仿宋_GB2312"/>
          <w:bCs/>
          <w:color w:val="auto"/>
          <w:sz w:val="32"/>
          <w:szCs w:val="32"/>
          <w:highlight w:val="none"/>
        </w:rPr>
      </w:pPr>
    </w:p>
    <w:p w14:paraId="093387FA">
      <w:pPr>
        <w:shd w:val="clear" w:color="auto"/>
        <w:snapToGrid w:val="0"/>
        <w:spacing w:before="120" w:beforeLines="50" w:after="50"/>
        <w:ind w:firstLine="480" w:firstLineChars="150"/>
        <w:jc w:val="center"/>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首次响应文件提交截止时间前不得解密</w:t>
      </w:r>
    </w:p>
    <w:p w14:paraId="2B87EC6A">
      <w:pPr>
        <w:shd w:val="clear" w:color="auto"/>
        <w:snapToGrid w:val="0"/>
        <w:spacing w:before="120" w:beforeLines="50" w:after="50"/>
        <w:ind w:firstLine="5440" w:firstLineChars="1700"/>
        <w:jc w:val="center"/>
        <w:rPr>
          <w:rFonts w:hint="eastAsia" w:ascii="宋体" w:hAnsi="宋体" w:eastAsia="宋体" w:cs="仿宋_GB2312"/>
          <w:bCs/>
          <w:color w:val="auto"/>
          <w:sz w:val="32"/>
          <w:szCs w:val="32"/>
          <w:highlight w:val="none"/>
        </w:rPr>
      </w:pPr>
    </w:p>
    <w:p w14:paraId="7F0B19DD">
      <w:pPr>
        <w:shd w:val="clear" w:color="auto"/>
        <w:snapToGrid w:val="0"/>
        <w:spacing w:before="120" w:beforeLines="50" w:after="50"/>
        <w:ind w:firstLine="645"/>
        <w:jc w:val="center"/>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年    月    日</w:t>
      </w:r>
    </w:p>
    <w:p w14:paraId="62DC45CD">
      <w:pPr>
        <w:shd w:val="clear" w:color="auto"/>
        <w:rPr>
          <w:color w:val="auto"/>
          <w:highlight w:val="none"/>
        </w:rPr>
        <w:sectPr>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p>
    <w:p w14:paraId="32B3B573">
      <w:pPr>
        <w:pStyle w:val="4"/>
        <w:shd w:val="clear" w:color="auto"/>
        <w:jc w:val="center"/>
        <w:rPr>
          <w:rFonts w:hint="eastAsia" w:ascii="宋体" w:hAnsi="宋体" w:eastAsia="宋体" w:cs="Times New Roman"/>
          <w:b/>
          <w:bCs w:val="0"/>
          <w:color w:val="auto"/>
          <w:highlight w:val="none"/>
        </w:rPr>
      </w:pPr>
      <w:bookmarkStart w:id="67" w:name="_Toc80205939"/>
      <w:bookmarkStart w:id="68" w:name="_Toc87898659"/>
      <w:r>
        <w:rPr>
          <w:rFonts w:hint="eastAsia" w:ascii="宋体" w:hAnsi="宋体" w:eastAsia="宋体" w:cs="Times New Roman"/>
          <w:b/>
          <w:bCs w:val="0"/>
          <w:color w:val="auto"/>
          <w:highlight w:val="none"/>
        </w:rPr>
        <w:t>第二节 资格证明文件格式</w:t>
      </w:r>
      <w:bookmarkEnd w:id="67"/>
      <w:bookmarkEnd w:id="68"/>
    </w:p>
    <w:p w14:paraId="4EE09FEE">
      <w:pPr>
        <w:shd w:val="clear" w:color="auto"/>
        <w:snapToGrid w:val="0"/>
        <w:spacing w:before="120" w:beforeLines="50" w:after="5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highlight w:val="none"/>
        </w:rPr>
        <w:t xml:space="preserve">                                                    </w:t>
      </w:r>
      <w:r>
        <w:rPr>
          <w:rFonts w:hint="eastAsia" w:ascii="宋体" w:hAnsi="宋体" w:eastAsia="宋体" w:cs="Times New Roman"/>
          <w:bCs/>
          <w:color w:val="auto"/>
          <w:highlight w:val="none"/>
        </w:rPr>
        <w:t>全流程电子文件</w:t>
      </w:r>
    </w:p>
    <w:p w14:paraId="4E7ADFD1">
      <w:pPr>
        <w:shd w:val="clear" w:color="auto"/>
        <w:snapToGrid w:val="0"/>
        <w:spacing w:before="120" w:beforeLines="50" w:after="50"/>
        <w:rPr>
          <w:rFonts w:hint="eastAsia" w:ascii="宋体" w:hAnsi="宋体" w:eastAsia="宋体" w:cs="Times New Roman"/>
          <w:color w:val="auto"/>
          <w:sz w:val="24"/>
          <w:szCs w:val="20"/>
          <w:highlight w:val="none"/>
        </w:rPr>
      </w:pPr>
    </w:p>
    <w:p w14:paraId="56C067CF">
      <w:pPr>
        <w:shd w:val="clear" w:color="auto"/>
        <w:snapToGrid w:val="0"/>
        <w:spacing w:before="120" w:beforeLines="50" w:after="50"/>
        <w:rPr>
          <w:rFonts w:hint="eastAsia" w:ascii="宋体" w:hAnsi="宋体" w:eastAsia="宋体" w:cs="Times New Roman"/>
          <w:color w:val="auto"/>
          <w:sz w:val="24"/>
          <w:szCs w:val="20"/>
          <w:highlight w:val="none"/>
        </w:rPr>
      </w:pPr>
    </w:p>
    <w:p w14:paraId="36E30619">
      <w:pPr>
        <w:shd w:val="clear" w:color="auto"/>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71287CDD">
      <w:pPr>
        <w:shd w:val="clear" w:color="auto"/>
        <w:snapToGrid w:val="0"/>
        <w:spacing w:before="120" w:beforeLines="50" w:after="50"/>
        <w:rPr>
          <w:rFonts w:hint="eastAsia" w:ascii="宋体" w:hAnsi="宋体" w:eastAsia="宋体" w:cs="Times New Roman"/>
          <w:bCs/>
          <w:color w:val="auto"/>
          <w:sz w:val="24"/>
          <w:szCs w:val="20"/>
          <w:highlight w:val="none"/>
        </w:rPr>
      </w:pPr>
    </w:p>
    <w:p w14:paraId="1473E523">
      <w:pPr>
        <w:shd w:val="clear" w:color="auto"/>
        <w:snapToGrid w:val="0"/>
        <w:spacing w:before="120" w:beforeLines="50" w:after="50"/>
        <w:rPr>
          <w:rFonts w:hint="eastAsia" w:ascii="宋体" w:hAnsi="宋体" w:eastAsia="宋体" w:cs="Times New Roman"/>
          <w:bCs/>
          <w:color w:val="auto"/>
          <w:sz w:val="24"/>
          <w:szCs w:val="20"/>
          <w:highlight w:val="none"/>
        </w:rPr>
      </w:pPr>
    </w:p>
    <w:p w14:paraId="029305AC">
      <w:pPr>
        <w:shd w:val="clear" w:color="auto"/>
        <w:snapToGrid w:val="0"/>
        <w:spacing w:before="120" w:beforeLines="50" w:after="50"/>
        <w:rPr>
          <w:rFonts w:hint="eastAsia" w:ascii="宋体" w:hAnsi="宋体" w:eastAsia="宋体" w:cs="Times New Roman"/>
          <w:bCs/>
          <w:color w:val="auto"/>
          <w:sz w:val="24"/>
          <w:szCs w:val="20"/>
          <w:highlight w:val="none"/>
        </w:rPr>
      </w:pPr>
    </w:p>
    <w:p w14:paraId="11EB9B92">
      <w:pPr>
        <w:shd w:val="clear" w:color="auto"/>
        <w:snapToGrid w:val="0"/>
        <w:spacing w:before="120" w:beforeLines="50" w:after="50"/>
        <w:rPr>
          <w:rFonts w:hint="eastAsia" w:ascii="宋体" w:hAnsi="宋体" w:eastAsia="宋体" w:cs="Times New Roman"/>
          <w:bCs/>
          <w:color w:val="auto"/>
          <w:sz w:val="24"/>
          <w:szCs w:val="20"/>
          <w:highlight w:val="none"/>
        </w:rPr>
      </w:pPr>
    </w:p>
    <w:p w14:paraId="5C55DDC9">
      <w:pPr>
        <w:shd w:val="clear" w:color="auto"/>
        <w:snapToGrid w:val="0"/>
        <w:spacing w:before="120" w:beforeLines="50" w:after="50"/>
        <w:rPr>
          <w:rFonts w:hint="eastAsia" w:ascii="宋体" w:hAnsi="宋体" w:eastAsia="宋体" w:cs="Times New Roman"/>
          <w:bCs/>
          <w:color w:val="auto"/>
          <w:sz w:val="24"/>
          <w:szCs w:val="20"/>
          <w:highlight w:val="none"/>
        </w:rPr>
      </w:pPr>
    </w:p>
    <w:p w14:paraId="482C0BA3">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p>
    <w:p w14:paraId="7C62F4D1">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p>
    <w:p w14:paraId="766792F0">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项目编号：</w:t>
      </w:r>
    </w:p>
    <w:p w14:paraId="5A686FA7">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14:paraId="76F7C074">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5690084F">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p>
    <w:p w14:paraId="1BF06285">
      <w:pPr>
        <w:pStyle w:val="8"/>
        <w:shd w:val="clear" w:color="auto"/>
        <w:snapToGrid w:val="0"/>
        <w:spacing w:before="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0E531281">
      <w:pPr>
        <w:pStyle w:val="8"/>
        <w:shd w:val="clear" w:color="auto"/>
        <w:snapToGrid w:val="0"/>
        <w:spacing w:before="50" w:after="50"/>
        <w:ind w:firstLine="720" w:firstLineChars="225"/>
        <w:rPr>
          <w:rFonts w:hint="eastAsia" w:ascii="宋体" w:hAnsi="宋体" w:eastAsia="宋体" w:cs="仿宋_GB2312"/>
          <w:bCs/>
          <w:color w:val="auto"/>
          <w:sz w:val="32"/>
          <w:szCs w:val="32"/>
          <w:highlight w:val="none"/>
        </w:rPr>
      </w:pPr>
    </w:p>
    <w:p w14:paraId="643022DD">
      <w:pPr>
        <w:pStyle w:val="8"/>
        <w:shd w:val="clear" w:color="auto"/>
        <w:snapToGrid w:val="0"/>
        <w:spacing w:before="50" w:after="50"/>
        <w:ind w:firstLine="720" w:firstLineChars="225"/>
        <w:rPr>
          <w:rFonts w:hint="eastAsia" w:ascii="宋体" w:hAnsi="宋体" w:eastAsia="宋体" w:cs="仿宋_GB2312"/>
          <w:bCs/>
          <w:color w:val="auto"/>
          <w:sz w:val="32"/>
          <w:szCs w:val="32"/>
          <w:highlight w:val="none"/>
        </w:rPr>
      </w:pPr>
    </w:p>
    <w:p w14:paraId="2705B10E">
      <w:pPr>
        <w:pStyle w:val="8"/>
        <w:shd w:val="clear" w:color="auto"/>
        <w:snapToGrid w:val="0"/>
        <w:spacing w:before="50" w:after="50"/>
        <w:ind w:firstLine="720" w:firstLineChars="225"/>
        <w:rPr>
          <w:rFonts w:hint="eastAsia" w:ascii="宋体" w:hAnsi="宋体" w:eastAsia="宋体" w:cs="仿宋_GB2312"/>
          <w:bCs/>
          <w:color w:val="auto"/>
          <w:sz w:val="32"/>
          <w:szCs w:val="32"/>
          <w:highlight w:val="none"/>
        </w:rPr>
      </w:pPr>
    </w:p>
    <w:p w14:paraId="4920E7A7">
      <w:pPr>
        <w:pStyle w:val="8"/>
        <w:shd w:val="clear" w:color="auto"/>
        <w:snapToGrid w:val="0"/>
        <w:spacing w:before="50" w:after="50"/>
        <w:ind w:firstLine="1280" w:firstLineChars="400"/>
        <w:rPr>
          <w:rFonts w:hint="eastAsia" w:ascii="宋体" w:hAnsi="宋体" w:eastAsia="宋体" w:cs="仿宋_GB2312"/>
          <w:bCs/>
          <w:color w:val="auto"/>
          <w:sz w:val="32"/>
          <w:szCs w:val="32"/>
          <w:highlight w:val="none"/>
        </w:rPr>
      </w:pPr>
    </w:p>
    <w:p w14:paraId="5014966E">
      <w:pPr>
        <w:shd w:val="clear" w:color="auto"/>
        <w:snapToGrid w:val="0"/>
        <w:spacing w:before="120"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2B809DCA">
      <w:pPr>
        <w:shd w:val="clear" w:color="auto"/>
        <w:snapToGrid w:val="0"/>
        <w:spacing w:before="120" w:beforeLines="50" w:after="50" w:line="360" w:lineRule="auto"/>
        <w:jc w:val="left"/>
        <w:rPr>
          <w:rFonts w:hint="eastAsia" w:ascii="宋体" w:hAnsi="宋体" w:eastAsia="宋体" w:cs="Times New Roman"/>
          <w:b/>
          <w:bCs/>
          <w:color w:val="auto"/>
          <w:sz w:val="32"/>
          <w:szCs w:val="32"/>
          <w:highlight w:val="none"/>
        </w:rPr>
      </w:pPr>
      <w:r>
        <w:rPr>
          <w:rFonts w:ascii="宋体" w:hAnsi="宋体" w:eastAsia="宋体" w:cs="Times New Roman"/>
          <w:color w:val="auto"/>
          <w:sz w:val="24"/>
          <w:highlight w:val="none"/>
        </w:rPr>
        <w:br w:type="page"/>
      </w:r>
      <w:r>
        <w:rPr>
          <w:rFonts w:hint="eastAsia" w:ascii="宋体" w:hAnsi="宋体" w:eastAsia="宋体" w:cs="Times New Roman"/>
          <w:b/>
          <w:bCs/>
          <w:color w:val="auto"/>
          <w:sz w:val="32"/>
          <w:szCs w:val="32"/>
          <w:highlight w:val="none"/>
        </w:rPr>
        <w:t xml:space="preserve"> </w:t>
      </w:r>
    </w:p>
    <w:p w14:paraId="4F0C96F7">
      <w:pPr>
        <w:shd w:val="clear" w:color="auto"/>
        <w:jc w:val="center"/>
        <w:rPr>
          <w:rFonts w:hint="eastAsia"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资格证明文件目录</w:t>
      </w:r>
    </w:p>
    <w:p w14:paraId="387A7874">
      <w:pPr>
        <w:shd w:val="clear" w:color="auto"/>
        <w:snapToGrid w:val="0"/>
        <w:spacing w:line="360" w:lineRule="auto"/>
        <w:rPr>
          <w:rFonts w:hint="eastAsia" w:ascii="仿宋_GB2312" w:hAnsi="仿宋" w:eastAsia="仿宋_GB2312" w:cs="仿宋_GB2312"/>
          <w:color w:val="auto"/>
          <w:kern w:val="0"/>
          <w:sz w:val="24"/>
          <w:highlight w:val="none"/>
        </w:rPr>
      </w:pPr>
    </w:p>
    <w:p w14:paraId="056227FA">
      <w:pPr>
        <w:shd w:val="clear" w:color="auto"/>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s="Times New Roman"/>
          <w:color w:val="auto"/>
          <w:sz w:val="24"/>
          <w:highlight w:val="none"/>
        </w:rPr>
        <w:t>营业执照(或事业法人登记证或其他工商等登记证明材料)复印件（供应商为自然人的，须提供</w:t>
      </w:r>
      <w:r>
        <w:rPr>
          <w:rFonts w:hint="eastAsia" w:ascii="仿宋_GB2312" w:hAnsi="仿宋" w:eastAsia="仿宋_GB2312" w:cs="Helvetica"/>
          <w:color w:val="auto"/>
          <w:kern w:val="0"/>
          <w:sz w:val="24"/>
          <w:highlight w:val="none"/>
        </w:rPr>
        <w:t>自然人的身份证明</w:t>
      </w:r>
      <w:r>
        <w:rPr>
          <w:rFonts w:hint="eastAsia" w:ascii="仿宋_GB2312" w:hAnsi="仿宋" w:eastAsia="仿宋_GB2312" w:cs="Times New Roman"/>
          <w:color w:val="auto"/>
          <w:sz w:val="24"/>
          <w:highlight w:val="none"/>
        </w:rPr>
        <w:t>）</w:t>
      </w:r>
      <w:r>
        <w:rPr>
          <w:rFonts w:hint="eastAsia" w:ascii="仿宋_GB2312" w:hAnsi="仿宋" w:eastAsia="仿宋_GB2312" w:cs="仿宋_GB2312"/>
          <w:color w:val="auto"/>
          <w:kern w:val="0"/>
          <w:sz w:val="24"/>
          <w:highlight w:val="none"/>
        </w:rPr>
        <w:t>…………………………………………（页码）</w:t>
      </w:r>
    </w:p>
    <w:p w14:paraId="55801527">
      <w:pPr>
        <w:shd w:val="clear" w:color="auto"/>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二、符合参与政府采购活动的资格条件依法缴纳税收、社会保障资金等方面的材料…………………………………………………………………………………（页码）</w:t>
      </w:r>
    </w:p>
    <w:p w14:paraId="13DE6E0F">
      <w:pPr>
        <w:shd w:val="clear" w:color="auto"/>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三、财务状况报告方面的材料…………………………………………………（页码）</w:t>
      </w:r>
    </w:p>
    <w:p w14:paraId="1135A261">
      <w:pPr>
        <w:shd w:val="clear" w:color="auto"/>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四、供应商直接控股股东信息</w:t>
      </w:r>
      <w:r>
        <w:rPr>
          <w:rFonts w:hint="eastAsia" w:ascii="仿宋_GB2312" w:hAnsi="仿宋" w:eastAsia="仿宋_GB2312" w:cs="仿宋_GB2312"/>
          <w:color w:val="auto"/>
          <w:kern w:val="0"/>
          <w:sz w:val="24"/>
          <w:highlight w:val="none"/>
        </w:rPr>
        <w:t>…………………………………………………（页码）</w:t>
      </w:r>
    </w:p>
    <w:p w14:paraId="0079A641">
      <w:pPr>
        <w:shd w:val="clear" w:color="auto"/>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五、供应商直接关联关系信息表</w:t>
      </w:r>
      <w:r>
        <w:rPr>
          <w:rFonts w:hint="eastAsia" w:ascii="仿宋_GB2312" w:hAnsi="仿宋" w:eastAsia="仿宋_GB2312" w:cs="仿宋_GB2312"/>
          <w:color w:val="auto"/>
          <w:kern w:val="0"/>
          <w:sz w:val="24"/>
          <w:highlight w:val="none"/>
        </w:rPr>
        <w:t>………………………………………………（页码）</w:t>
      </w:r>
    </w:p>
    <w:p w14:paraId="016CE408">
      <w:pPr>
        <w:shd w:val="clear" w:color="auto"/>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六、资格声明函…………………………………………………………………（页码）</w:t>
      </w:r>
    </w:p>
    <w:p w14:paraId="6A28E0B2">
      <w:pPr>
        <w:shd w:val="clear" w:color="auto"/>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七、联合体协议书（</w:t>
      </w:r>
      <w:r>
        <w:rPr>
          <w:rFonts w:hint="eastAsia" w:ascii="仿宋_GB2312" w:hAnsi="仿宋" w:eastAsia="仿宋_GB2312" w:cs="仿宋_GB2312"/>
          <w:color w:val="auto"/>
          <w:sz w:val="24"/>
          <w:highlight w:val="none"/>
        </w:rPr>
        <w:t>以联合体形式响应的，提供联合体协议；本项目不接受联合体响应或者供应商不以联合体形式响应的，则不需要提供</w:t>
      </w:r>
      <w:r>
        <w:rPr>
          <w:rFonts w:hint="eastAsia" w:ascii="仿宋_GB2312" w:hAnsi="仿宋" w:eastAsia="仿宋_GB2312" w:cs="仿宋_GB2312"/>
          <w:color w:val="auto"/>
          <w:kern w:val="0"/>
          <w:sz w:val="24"/>
          <w:highlight w:val="none"/>
        </w:rPr>
        <w:t>）…………………（页码）</w:t>
      </w:r>
    </w:p>
    <w:p w14:paraId="4612759E">
      <w:pPr>
        <w:shd w:val="clear" w:color="auto"/>
        <w:snapToGrid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八、符合特定资格条件的有关证明材料（复印件）</w:t>
      </w:r>
      <w:r>
        <w:rPr>
          <w:rFonts w:hint="eastAsia" w:ascii="仿宋_GB2312" w:hAnsi="仿宋" w:eastAsia="仿宋_GB2312" w:cs="仿宋_GB2312"/>
          <w:color w:val="auto"/>
          <w:kern w:val="0"/>
          <w:sz w:val="24"/>
          <w:highlight w:val="none"/>
        </w:rPr>
        <w:t>………………（页码）</w:t>
      </w:r>
    </w:p>
    <w:p w14:paraId="2F2B100E">
      <w:pPr>
        <w:shd w:val="clear" w:color="auto"/>
        <w:spacing w:line="360" w:lineRule="auto"/>
        <w:rPr>
          <w:rFonts w:hint="eastAsia" w:ascii="仿宋_GB2312" w:hAnsi="仿宋_GB2312" w:eastAsia="仿宋_GB2312" w:cs="仿宋_GB2312"/>
          <w:b/>
          <w:bCs/>
          <w:color w:val="auto"/>
          <w:sz w:val="24"/>
          <w:highlight w:val="none"/>
        </w:rPr>
      </w:pPr>
    </w:p>
    <w:p w14:paraId="09609DF8">
      <w:pPr>
        <w:shd w:val="clear" w:color="auto"/>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注：以上目录是编制供应商响应文件的基本格式要求，各供应商可根据自身情况进一步细化。</w:t>
      </w:r>
    </w:p>
    <w:p w14:paraId="03BE1331">
      <w:pPr>
        <w:shd w:val="clear" w:color="auto"/>
        <w:snapToGrid w:val="0"/>
        <w:spacing w:before="120" w:beforeLines="50" w:after="50" w:line="360" w:lineRule="auto"/>
        <w:ind w:left="142" w:firstLine="420" w:firstLineChars="200"/>
        <w:jc w:val="left"/>
        <w:rPr>
          <w:rFonts w:hint="eastAsia" w:ascii="宋体" w:hAnsi="宋体" w:eastAsia="宋体" w:cs="Times New Roman"/>
          <w:color w:val="auto"/>
          <w:szCs w:val="21"/>
          <w:highlight w:val="none"/>
        </w:rPr>
      </w:pPr>
    </w:p>
    <w:p w14:paraId="63B0EE70">
      <w:pPr>
        <w:shd w:val="clear" w:color="auto"/>
        <w:spacing w:line="300" w:lineRule="auto"/>
        <w:rPr>
          <w:rFonts w:hint="eastAsia" w:ascii="宋体" w:hAnsi="宋体" w:eastAsia="宋体" w:cs="Times New Roman"/>
          <w:color w:val="auto"/>
          <w:szCs w:val="21"/>
          <w:highlight w:val="none"/>
        </w:rPr>
      </w:pPr>
    </w:p>
    <w:p w14:paraId="2422C432">
      <w:pPr>
        <w:shd w:val="clear" w:color="auto"/>
        <w:spacing w:line="300" w:lineRule="auto"/>
        <w:rPr>
          <w:rFonts w:hint="eastAsia" w:ascii="宋体" w:hAnsi="宋体" w:eastAsia="宋体" w:cs="Times New Roman"/>
          <w:color w:val="auto"/>
          <w:szCs w:val="21"/>
          <w:highlight w:val="none"/>
        </w:rPr>
      </w:pPr>
    </w:p>
    <w:p w14:paraId="2F1B8A4C">
      <w:pPr>
        <w:shd w:val="clear" w:color="auto"/>
        <w:spacing w:line="300" w:lineRule="auto"/>
        <w:rPr>
          <w:rFonts w:hint="eastAsia" w:ascii="宋体" w:hAnsi="宋体" w:eastAsia="宋体" w:cs="Times New Roman"/>
          <w:color w:val="auto"/>
          <w:szCs w:val="21"/>
          <w:highlight w:val="none"/>
        </w:rPr>
      </w:pPr>
    </w:p>
    <w:p w14:paraId="5FC3058A">
      <w:pPr>
        <w:shd w:val="clear" w:color="auto"/>
        <w:spacing w:line="300" w:lineRule="auto"/>
        <w:rPr>
          <w:rFonts w:hint="eastAsia" w:ascii="宋体" w:hAnsi="宋体" w:eastAsia="宋体" w:cs="Times New Roman"/>
          <w:color w:val="auto"/>
          <w:szCs w:val="21"/>
          <w:highlight w:val="none"/>
        </w:rPr>
      </w:pPr>
    </w:p>
    <w:p w14:paraId="578C83F8">
      <w:pPr>
        <w:shd w:val="clear" w:color="auto"/>
        <w:spacing w:line="300" w:lineRule="auto"/>
        <w:rPr>
          <w:rFonts w:hint="eastAsia" w:ascii="宋体" w:hAnsi="宋体" w:eastAsia="宋体" w:cs="Times New Roman"/>
          <w:color w:val="auto"/>
          <w:szCs w:val="21"/>
          <w:highlight w:val="none"/>
        </w:rPr>
      </w:pPr>
    </w:p>
    <w:p w14:paraId="70287BA5">
      <w:pPr>
        <w:shd w:val="clear" w:color="auto"/>
        <w:spacing w:line="300" w:lineRule="auto"/>
        <w:rPr>
          <w:rFonts w:hint="eastAsia" w:ascii="宋体" w:hAnsi="宋体" w:eastAsia="宋体" w:cs="Times New Roman"/>
          <w:color w:val="auto"/>
          <w:szCs w:val="21"/>
          <w:highlight w:val="none"/>
        </w:rPr>
      </w:pPr>
    </w:p>
    <w:p w14:paraId="728B92F6">
      <w:pPr>
        <w:shd w:val="clear" w:color="auto"/>
        <w:spacing w:line="300" w:lineRule="auto"/>
        <w:rPr>
          <w:rFonts w:hint="eastAsia" w:ascii="宋体" w:hAnsi="宋体" w:eastAsia="宋体" w:cs="Times New Roman"/>
          <w:color w:val="auto"/>
          <w:szCs w:val="21"/>
          <w:highlight w:val="none"/>
        </w:rPr>
      </w:pPr>
    </w:p>
    <w:p w14:paraId="7833CB64">
      <w:pPr>
        <w:shd w:val="clear" w:color="auto"/>
        <w:spacing w:line="300" w:lineRule="auto"/>
        <w:rPr>
          <w:rFonts w:hint="eastAsia" w:ascii="宋体" w:hAnsi="宋体" w:eastAsia="宋体" w:cs="Times New Roman"/>
          <w:color w:val="auto"/>
          <w:szCs w:val="21"/>
          <w:highlight w:val="none"/>
        </w:rPr>
      </w:pPr>
    </w:p>
    <w:p w14:paraId="556530FC">
      <w:pPr>
        <w:shd w:val="clear" w:color="auto"/>
        <w:spacing w:line="300" w:lineRule="auto"/>
        <w:rPr>
          <w:rFonts w:hint="eastAsia" w:ascii="宋体" w:hAnsi="宋体" w:eastAsia="宋体" w:cs="Times New Roman"/>
          <w:color w:val="auto"/>
          <w:szCs w:val="21"/>
          <w:highlight w:val="none"/>
        </w:rPr>
      </w:pPr>
    </w:p>
    <w:p w14:paraId="572252BA">
      <w:pPr>
        <w:widowControl w:val="0"/>
        <w:shd w:val="clear" w:color="auto"/>
        <w:spacing w:line="360" w:lineRule="auto"/>
        <w:jc w:val="both"/>
        <w:rPr>
          <w:rFonts w:ascii="仿宋" w:hAnsi="仿宋" w:eastAsia="仿宋" w:cs="仿宋_GB2312"/>
          <w:b/>
          <w:color w:val="auto"/>
          <w:kern w:val="0"/>
          <w:sz w:val="28"/>
          <w:szCs w:val="28"/>
          <w:highlight w:val="none"/>
          <w:lang w:val="en-US" w:eastAsia="zh-CN" w:bidi="ar-SA"/>
        </w:rPr>
      </w:pPr>
      <w:r>
        <w:rPr>
          <w:rFonts w:ascii="宋体" w:hAnsi="宋体" w:eastAsia="宋体" w:cs="Times New Roman"/>
          <w:color w:val="auto"/>
          <w:kern w:val="0"/>
          <w:sz w:val="20"/>
          <w:szCs w:val="21"/>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一、营业执照(或事业法人登记证或其他工商等登记证明材料)复印件（供应商为自然人的，提供自然人的身份证明）</w:t>
      </w:r>
    </w:p>
    <w:p w14:paraId="12EB48FD">
      <w:pPr>
        <w:widowControl w:val="0"/>
        <w:shd w:val="clear" w:color="auto"/>
        <w:spacing w:line="360" w:lineRule="auto"/>
        <w:ind w:firstLine="600" w:firstLineChars="200"/>
        <w:jc w:val="both"/>
        <w:rPr>
          <w:rFonts w:ascii="仿宋" w:hAnsi="仿宋" w:eastAsia="仿宋" w:cs="仿宋_GB2312"/>
          <w:b/>
          <w:color w:val="auto"/>
          <w:kern w:val="0"/>
          <w:sz w:val="30"/>
          <w:szCs w:val="30"/>
          <w:highlight w:val="none"/>
          <w:lang w:val="en-US" w:eastAsia="zh-CN" w:bidi="ar-SA"/>
        </w:rPr>
      </w:pPr>
    </w:p>
    <w:p w14:paraId="6B8F5C77">
      <w:pPr>
        <w:shd w:val="clear" w:color="auto"/>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4C902BF5">
      <w:pPr>
        <w:shd w:val="clear" w:color="auto"/>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312C2802">
      <w:pPr>
        <w:shd w:val="clear" w:color="auto"/>
        <w:snapToGrid w:val="0"/>
        <w:spacing w:before="120" w:beforeLines="50" w:after="50"/>
        <w:rPr>
          <w:rFonts w:ascii="宋体" w:hAnsi="宋体" w:eastAsia="宋体" w:cs="Times New Roman"/>
          <w:color w:val="auto"/>
          <w:sz w:val="24"/>
          <w:szCs w:val="20"/>
          <w:highlight w:val="none"/>
        </w:rPr>
      </w:pPr>
    </w:p>
    <w:p w14:paraId="391DCA86">
      <w:pPr>
        <w:widowControl w:val="0"/>
        <w:shd w:val="clear" w:color="auto"/>
        <w:spacing w:line="360" w:lineRule="auto"/>
        <w:jc w:val="both"/>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t>二、符合参与政府采购活动的资格条件依法缴纳税收、社会保障资金等方面的材料</w:t>
      </w:r>
    </w:p>
    <w:p w14:paraId="4128B0B0">
      <w:pPr>
        <w:shd w:val="clear" w:color="auto"/>
        <w:spacing w:line="300" w:lineRule="auto"/>
        <w:rPr>
          <w:rFonts w:hint="eastAsia" w:ascii="宋体" w:hAnsi="宋体" w:eastAsia="宋体" w:cs="Times New Roman"/>
          <w:color w:val="auto"/>
          <w:szCs w:val="21"/>
          <w:highlight w:val="none"/>
        </w:rPr>
      </w:pPr>
    </w:p>
    <w:p w14:paraId="5FB8917C">
      <w:pPr>
        <w:shd w:val="clear" w:color="auto"/>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343742E4">
      <w:pPr>
        <w:shd w:val="clear" w:color="auto"/>
        <w:autoSpaceDE w:val="0"/>
        <w:autoSpaceDN w:val="0"/>
        <w:spacing w:line="360" w:lineRule="auto"/>
        <w:ind w:firstLine="6120" w:firstLineChars="2550"/>
        <w:rPr>
          <w:rFonts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6BD7EA05">
      <w:pPr>
        <w:shd w:val="clear" w:color="auto"/>
        <w:spacing w:line="300" w:lineRule="auto"/>
        <w:rPr>
          <w:rFonts w:hint="eastAsia" w:ascii="宋体" w:hAnsi="宋体" w:eastAsia="宋体" w:cs="Times New Roman"/>
          <w:color w:val="auto"/>
          <w:szCs w:val="21"/>
          <w:highlight w:val="none"/>
        </w:rPr>
      </w:pPr>
    </w:p>
    <w:p w14:paraId="5247DEAF">
      <w:pPr>
        <w:widowControl w:val="0"/>
        <w:shd w:val="clear" w:color="auto"/>
        <w:spacing w:line="360" w:lineRule="auto"/>
        <w:jc w:val="both"/>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t>三、财务状况报告方面的材料</w:t>
      </w:r>
    </w:p>
    <w:p w14:paraId="4B118094">
      <w:pPr>
        <w:shd w:val="clear" w:color="auto"/>
        <w:spacing w:line="300" w:lineRule="auto"/>
        <w:rPr>
          <w:rFonts w:hint="eastAsia" w:ascii="宋体" w:hAnsi="宋体" w:eastAsia="宋体" w:cs="Times New Roman"/>
          <w:color w:val="auto"/>
          <w:szCs w:val="21"/>
          <w:highlight w:val="none"/>
        </w:rPr>
      </w:pPr>
    </w:p>
    <w:p w14:paraId="4B241FBA">
      <w:pPr>
        <w:shd w:val="clear" w:color="auto"/>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C5047EF">
      <w:pPr>
        <w:shd w:val="clear" w:color="auto"/>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6D953047">
      <w:pPr>
        <w:shd w:val="clear" w:color="auto"/>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w:t>
      </w:r>
    </w:p>
    <w:p w14:paraId="191BC807">
      <w:pPr>
        <w:shd w:val="clear" w:color="auto"/>
        <w:snapToGrid w:val="0"/>
        <w:spacing w:before="120" w:beforeLines="50" w:after="50" w:line="360" w:lineRule="auto"/>
        <w:jc w:val="center"/>
        <w:rPr>
          <w:rFonts w:hint="eastAsia" w:ascii="宋体" w:hAnsi="宋体" w:eastAsia="宋体" w:cs="Times New Roman"/>
          <w:b/>
          <w:color w:val="auto"/>
          <w:sz w:val="24"/>
          <w:highlight w:val="none"/>
        </w:rPr>
      </w:pPr>
    </w:p>
    <w:p w14:paraId="1CFFB81A">
      <w:pPr>
        <w:widowControl w:val="0"/>
        <w:shd w:val="clear" w:color="auto"/>
        <w:spacing w:line="360" w:lineRule="auto"/>
        <w:jc w:val="both"/>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t>四、供应商直接控股股东信息</w:t>
      </w:r>
    </w:p>
    <w:tbl>
      <w:tblPr>
        <w:tblStyle w:val="27"/>
        <w:tblW w:w="4998" w:type="pct"/>
        <w:jc w:val="center"/>
        <w:shd w:val="clear" w:color="auto" w:fill="FBFBFB"/>
        <w:tblLayout w:type="autofit"/>
        <w:tblCellMar>
          <w:top w:w="0" w:type="dxa"/>
          <w:left w:w="0" w:type="dxa"/>
          <w:bottom w:w="0" w:type="dxa"/>
          <w:right w:w="0" w:type="dxa"/>
        </w:tblCellMar>
      </w:tblPr>
      <w:tblGrid>
        <w:gridCol w:w="855"/>
        <w:gridCol w:w="2584"/>
        <w:gridCol w:w="1415"/>
        <w:gridCol w:w="4173"/>
        <w:gridCol w:w="846"/>
      </w:tblGrid>
      <w:tr w14:paraId="277EDCC1">
        <w:trPr>
          <w:tblHeade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5B48A9">
            <w:pPr>
              <w:widowControl/>
              <w:shd w:val="clear" w:color="auto"/>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0F25D4">
            <w:pPr>
              <w:widowControl/>
              <w:shd w:val="clear" w:color="auto"/>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609E39">
            <w:pPr>
              <w:widowControl/>
              <w:shd w:val="clear" w:color="auto"/>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AA7DFD">
            <w:pPr>
              <w:widowControl/>
              <w:shd w:val="clear" w:color="auto"/>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7AE1D8">
            <w:pPr>
              <w:widowControl/>
              <w:shd w:val="clear" w:color="auto"/>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2AF1042A">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F49092">
            <w:pPr>
              <w:widowControl/>
              <w:shd w:val="clear" w:color="auto"/>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C8AFBA">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F9FD44">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8F2CC5">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07E5F2">
            <w:pPr>
              <w:widowControl/>
              <w:shd w:val="clear" w:color="auto"/>
              <w:spacing w:line="360" w:lineRule="auto"/>
              <w:contextualSpacing/>
              <w:jc w:val="center"/>
              <w:rPr>
                <w:rFonts w:hint="eastAsia" w:ascii="宋体" w:hAnsi="宋体" w:eastAsia="宋体" w:cs="宋体"/>
                <w:color w:val="auto"/>
                <w:kern w:val="0"/>
                <w:sz w:val="24"/>
                <w:highlight w:val="none"/>
              </w:rPr>
            </w:pPr>
          </w:p>
        </w:tc>
      </w:tr>
      <w:tr w14:paraId="30A4346A">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9ABDDE">
            <w:pPr>
              <w:widowControl/>
              <w:shd w:val="clear" w:color="auto"/>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73FC2C">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BABCE4">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23416B">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842A2A">
            <w:pPr>
              <w:widowControl/>
              <w:shd w:val="clear" w:color="auto"/>
              <w:spacing w:line="360" w:lineRule="auto"/>
              <w:contextualSpacing/>
              <w:jc w:val="center"/>
              <w:rPr>
                <w:rFonts w:hint="eastAsia" w:ascii="宋体" w:hAnsi="宋体" w:eastAsia="宋体" w:cs="宋体"/>
                <w:color w:val="auto"/>
                <w:kern w:val="0"/>
                <w:sz w:val="24"/>
                <w:highlight w:val="none"/>
              </w:rPr>
            </w:pPr>
          </w:p>
        </w:tc>
      </w:tr>
      <w:tr w14:paraId="05717CC4">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FA2F25">
            <w:pPr>
              <w:widowControl/>
              <w:shd w:val="clear" w:color="auto"/>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238F55">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EF769C">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8B0FD0">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F88793">
            <w:pPr>
              <w:widowControl/>
              <w:shd w:val="clear" w:color="auto"/>
              <w:spacing w:line="360" w:lineRule="auto"/>
              <w:contextualSpacing/>
              <w:jc w:val="center"/>
              <w:rPr>
                <w:rFonts w:hint="eastAsia" w:ascii="宋体" w:hAnsi="宋体" w:eastAsia="宋体" w:cs="宋体"/>
                <w:color w:val="auto"/>
                <w:kern w:val="0"/>
                <w:sz w:val="24"/>
                <w:highlight w:val="none"/>
              </w:rPr>
            </w:pPr>
          </w:p>
        </w:tc>
      </w:tr>
      <w:tr w14:paraId="52689CA0">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EEE9E7">
            <w:pPr>
              <w:widowControl/>
              <w:shd w:val="clear" w:color="auto"/>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8B398B">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AD0AE9">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EBE74C">
            <w:pPr>
              <w:widowControl/>
              <w:shd w:val="clear" w:color="auto"/>
              <w:spacing w:line="360" w:lineRule="auto"/>
              <w:contextualSpacing/>
              <w:jc w:val="center"/>
              <w:rPr>
                <w:rFonts w:hint="eastAsia" w:ascii="宋体" w:hAnsi="宋体" w:eastAsia="宋体" w:cs="宋体"/>
                <w:color w:val="auto"/>
                <w:kern w:val="0"/>
                <w:sz w:val="24"/>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D8C251">
            <w:pPr>
              <w:widowControl/>
              <w:shd w:val="clear" w:color="auto"/>
              <w:spacing w:line="360" w:lineRule="auto"/>
              <w:contextualSpacing/>
              <w:jc w:val="center"/>
              <w:rPr>
                <w:rFonts w:hint="eastAsia" w:ascii="宋体" w:hAnsi="宋体" w:eastAsia="宋体" w:cs="宋体"/>
                <w:color w:val="auto"/>
                <w:kern w:val="0"/>
                <w:sz w:val="24"/>
                <w:highlight w:val="none"/>
              </w:rPr>
            </w:pPr>
          </w:p>
        </w:tc>
      </w:tr>
    </w:tbl>
    <w:p w14:paraId="28A0B034">
      <w:pPr>
        <w:shd w:val="clear" w:color="auto"/>
        <w:spacing w:line="360" w:lineRule="auto"/>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4ECF8ADF">
      <w:pPr>
        <w:shd w:val="clear" w:color="auto"/>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BC8C8FF">
      <w:pPr>
        <w:shd w:val="clear" w:color="auto"/>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2.本表所指的控股关系仅限于直接控股关系，不包括间接的控股关系。公司实际控制人与公司之间的关系不属于本表所指的直接控股关系。</w:t>
      </w:r>
    </w:p>
    <w:p w14:paraId="0CA93992">
      <w:pPr>
        <w:shd w:val="clear" w:color="auto"/>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3.供应商不存在直接控股股东的，则填“无”。</w:t>
      </w:r>
    </w:p>
    <w:p w14:paraId="510A0634">
      <w:pPr>
        <w:shd w:val="clear" w:color="auto"/>
        <w:snapToGrid w:val="0"/>
        <w:spacing w:line="360" w:lineRule="auto"/>
        <w:jc w:val="left"/>
        <w:rPr>
          <w:rFonts w:hint="eastAsia" w:ascii="宋体" w:hAnsi="宋体" w:eastAsia="宋体" w:cs="宋体"/>
          <w:color w:val="auto"/>
          <w:sz w:val="24"/>
          <w:highlight w:val="none"/>
        </w:rPr>
      </w:pPr>
    </w:p>
    <w:p w14:paraId="2CCDBE6E">
      <w:pPr>
        <w:shd w:val="clear" w:color="auto"/>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71F3613">
      <w:pPr>
        <w:shd w:val="clear" w:color="auto"/>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1C5C45F9">
      <w:pPr>
        <w:shd w:val="clear" w:color="auto"/>
        <w:snapToGrid w:val="0"/>
        <w:rPr>
          <w:rFonts w:hint="eastAsia" w:ascii="仿宋" w:hAnsi="仿宋" w:eastAsia="仿宋" w:cs="仿宋_GB2312"/>
          <w:b/>
          <w:color w:val="auto"/>
          <w:kern w:val="0"/>
          <w:sz w:val="30"/>
          <w:szCs w:val="30"/>
          <w:highlight w:val="none"/>
        </w:rPr>
      </w:pPr>
    </w:p>
    <w:p w14:paraId="776E798A">
      <w:pPr>
        <w:widowControl w:val="0"/>
        <w:shd w:val="clear" w:color="auto"/>
        <w:spacing w:line="360" w:lineRule="auto"/>
        <w:jc w:val="both"/>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t>五、供应商直接管理关系信息表</w:t>
      </w:r>
    </w:p>
    <w:tbl>
      <w:tblPr>
        <w:tblStyle w:val="27"/>
        <w:tblW w:w="4998" w:type="pct"/>
        <w:jc w:val="center"/>
        <w:shd w:val="clear" w:color="auto" w:fill="FBFBFB"/>
        <w:tblLayout w:type="autofit"/>
        <w:tblCellMar>
          <w:top w:w="0" w:type="dxa"/>
          <w:left w:w="0" w:type="dxa"/>
          <w:bottom w:w="0" w:type="dxa"/>
          <w:right w:w="0" w:type="dxa"/>
        </w:tblCellMar>
      </w:tblPr>
      <w:tblGrid>
        <w:gridCol w:w="826"/>
        <w:gridCol w:w="3684"/>
        <w:gridCol w:w="3637"/>
        <w:gridCol w:w="1726"/>
      </w:tblGrid>
      <w:tr w14:paraId="02B6B57E">
        <w:trPr>
          <w:tblHeade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619E32">
            <w:pPr>
              <w:widowControl/>
              <w:shd w:val="clear" w:color="auto"/>
              <w:spacing w:line="360" w:lineRule="auto"/>
              <w:contextualSpacing/>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0319CE">
            <w:pPr>
              <w:widowControl/>
              <w:shd w:val="clear" w:color="auto"/>
              <w:spacing w:line="360" w:lineRule="auto"/>
              <w:contextualSpacing/>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BF1C41">
            <w:pPr>
              <w:widowControl/>
              <w:shd w:val="clear" w:color="auto"/>
              <w:spacing w:line="360" w:lineRule="auto"/>
              <w:contextualSpacing/>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442ABA">
            <w:pPr>
              <w:widowControl/>
              <w:shd w:val="clear" w:color="auto"/>
              <w:spacing w:line="360" w:lineRule="auto"/>
              <w:contextualSpacing/>
              <w:jc w:val="center"/>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678B3703">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5DB8CE">
            <w:pPr>
              <w:widowControl/>
              <w:shd w:val="clear" w:color="auto"/>
              <w:spacing w:line="360" w:lineRule="auto"/>
              <w:contextualSpacing/>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460A45">
            <w:pPr>
              <w:widowControl/>
              <w:shd w:val="clear" w:color="auto"/>
              <w:spacing w:line="360" w:lineRule="auto"/>
              <w:contextualSpacing/>
              <w:jc w:val="center"/>
              <w:rPr>
                <w:rFonts w:ascii="宋体" w:hAnsi="宋体" w:eastAsia="宋体" w:cs="宋体"/>
                <w:color w:val="auto"/>
                <w:kern w:val="0"/>
                <w:sz w:val="24"/>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04EE5B">
            <w:pPr>
              <w:widowControl/>
              <w:shd w:val="clear" w:color="auto"/>
              <w:spacing w:line="360" w:lineRule="auto"/>
              <w:contextualSpacing/>
              <w:jc w:val="center"/>
              <w:rPr>
                <w:rFonts w:ascii="宋体" w:hAnsi="宋体" w:eastAsia="宋体" w:cs="宋体"/>
                <w:color w:val="auto"/>
                <w:kern w:val="0"/>
                <w:sz w:val="24"/>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FA03DE">
            <w:pPr>
              <w:widowControl/>
              <w:shd w:val="clear" w:color="auto"/>
              <w:spacing w:line="360" w:lineRule="auto"/>
              <w:contextualSpacing/>
              <w:jc w:val="center"/>
              <w:rPr>
                <w:rFonts w:ascii="宋体" w:hAnsi="宋体" w:eastAsia="宋体" w:cs="宋体"/>
                <w:color w:val="auto"/>
                <w:kern w:val="0"/>
                <w:sz w:val="24"/>
                <w:highlight w:val="none"/>
              </w:rPr>
            </w:pPr>
          </w:p>
        </w:tc>
      </w:tr>
      <w:tr w14:paraId="25F3F855">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BF44FC">
            <w:pPr>
              <w:widowControl/>
              <w:shd w:val="clear" w:color="auto"/>
              <w:spacing w:line="360" w:lineRule="auto"/>
              <w:contextualSpacing/>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3CC7F2">
            <w:pPr>
              <w:widowControl/>
              <w:shd w:val="clear" w:color="auto"/>
              <w:spacing w:line="360" w:lineRule="auto"/>
              <w:contextualSpacing/>
              <w:jc w:val="center"/>
              <w:rPr>
                <w:rFonts w:ascii="宋体" w:hAnsi="宋体" w:eastAsia="宋体" w:cs="宋体"/>
                <w:color w:val="auto"/>
                <w:kern w:val="0"/>
                <w:sz w:val="24"/>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3C864E">
            <w:pPr>
              <w:widowControl/>
              <w:shd w:val="clear" w:color="auto"/>
              <w:spacing w:line="360" w:lineRule="auto"/>
              <w:contextualSpacing/>
              <w:jc w:val="center"/>
              <w:rPr>
                <w:rFonts w:ascii="宋体" w:hAnsi="宋体" w:eastAsia="宋体" w:cs="宋体"/>
                <w:color w:val="auto"/>
                <w:kern w:val="0"/>
                <w:sz w:val="24"/>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E13CBB">
            <w:pPr>
              <w:widowControl/>
              <w:shd w:val="clear" w:color="auto"/>
              <w:spacing w:line="360" w:lineRule="auto"/>
              <w:contextualSpacing/>
              <w:jc w:val="center"/>
              <w:rPr>
                <w:rFonts w:ascii="宋体" w:hAnsi="宋体" w:eastAsia="宋体" w:cs="宋体"/>
                <w:color w:val="auto"/>
                <w:kern w:val="0"/>
                <w:sz w:val="24"/>
                <w:highlight w:val="none"/>
              </w:rPr>
            </w:pPr>
          </w:p>
        </w:tc>
      </w:tr>
      <w:tr w14:paraId="46ADA576">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2A429B">
            <w:pPr>
              <w:widowControl/>
              <w:shd w:val="clear" w:color="auto"/>
              <w:spacing w:line="360" w:lineRule="auto"/>
              <w:contextualSpacing/>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9E7916">
            <w:pPr>
              <w:widowControl/>
              <w:shd w:val="clear" w:color="auto"/>
              <w:spacing w:line="360" w:lineRule="auto"/>
              <w:contextualSpacing/>
              <w:jc w:val="center"/>
              <w:rPr>
                <w:rFonts w:ascii="宋体" w:hAnsi="宋体" w:eastAsia="宋体" w:cs="宋体"/>
                <w:color w:val="auto"/>
                <w:kern w:val="0"/>
                <w:sz w:val="24"/>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0CA0A9">
            <w:pPr>
              <w:widowControl/>
              <w:shd w:val="clear" w:color="auto"/>
              <w:spacing w:line="360" w:lineRule="auto"/>
              <w:contextualSpacing/>
              <w:jc w:val="center"/>
              <w:rPr>
                <w:rFonts w:ascii="宋体" w:hAnsi="宋体" w:eastAsia="宋体" w:cs="宋体"/>
                <w:color w:val="auto"/>
                <w:kern w:val="0"/>
                <w:sz w:val="24"/>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0ED423">
            <w:pPr>
              <w:widowControl/>
              <w:shd w:val="clear" w:color="auto"/>
              <w:spacing w:line="360" w:lineRule="auto"/>
              <w:contextualSpacing/>
              <w:jc w:val="center"/>
              <w:rPr>
                <w:rFonts w:ascii="宋体" w:hAnsi="宋体" w:eastAsia="宋体" w:cs="宋体"/>
                <w:color w:val="auto"/>
                <w:kern w:val="0"/>
                <w:sz w:val="24"/>
                <w:highlight w:val="none"/>
              </w:rPr>
            </w:pPr>
          </w:p>
        </w:tc>
      </w:tr>
      <w:tr w14:paraId="4D6EF1EE">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32216B">
            <w:pPr>
              <w:widowControl/>
              <w:shd w:val="clear" w:color="auto"/>
              <w:spacing w:line="360" w:lineRule="auto"/>
              <w:contextualSpacing/>
              <w:jc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D96D4E">
            <w:pPr>
              <w:widowControl/>
              <w:shd w:val="clear" w:color="auto"/>
              <w:spacing w:line="360" w:lineRule="auto"/>
              <w:contextualSpacing/>
              <w:jc w:val="center"/>
              <w:rPr>
                <w:rFonts w:ascii="宋体" w:hAnsi="宋体" w:eastAsia="宋体" w:cs="宋体"/>
                <w:color w:val="auto"/>
                <w:kern w:val="0"/>
                <w:sz w:val="24"/>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4CC0E1">
            <w:pPr>
              <w:widowControl/>
              <w:shd w:val="clear" w:color="auto"/>
              <w:spacing w:line="360" w:lineRule="auto"/>
              <w:contextualSpacing/>
              <w:jc w:val="center"/>
              <w:rPr>
                <w:rFonts w:ascii="宋体" w:hAnsi="宋体" w:eastAsia="宋体" w:cs="宋体"/>
                <w:color w:val="auto"/>
                <w:kern w:val="0"/>
                <w:sz w:val="24"/>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BC8E5C">
            <w:pPr>
              <w:widowControl/>
              <w:shd w:val="clear" w:color="auto"/>
              <w:spacing w:line="360" w:lineRule="auto"/>
              <w:contextualSpacing/>
              <w:jc w:val="center"/>
              <w:rPr>
                <w:rFonts w:ascii="宋体" w:hAnsi="宋体" w:eastAsia="宋体" w:cs="宋体"/>
                <w:color w:val="auto"/>
                <w:kern w:val="0"/>
                <w:sz w:val="24"/>
                <w:highlight w:val="none"/>
              </w:rPr>
            </w:pPr>
          </w:p>
        </w:tc>
      </w:tr>
    </w:tbl>
    <w:p w14:paraId="1CB300BA">
      <w:pPr>
        <w:shd w:val="clear" w:color="auto"/>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117B78EC">
      <w:pPr>
        <w:shd w:val="clear" w:color="auto"/>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1.管理关系：是指不具有出资持股关系的其他单位之间存在的管理与被管理关系，如一些上下级关系的事业单位和团体组织。</w:t>
      </w:r>
    </w:p>
    <w:p w14:paraId="1779A03D">
      <w:pPr>
        <w:shd w:val="clear" w:color="auto"/>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2.本表所指的管理关系仅限于直接管理关系，不包括间接的管理关系。</w:t>
      </w:r>
    </w:p>
    <w:p w14:paraId="71AF1F63">
      <w:pPr>
        <w:shd w:val="clear" w:color="auto"/>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3.供应商不存在直接管理关系的，则填“无”。</w:t>
      </w:r>
    </w:p>
    <w:p w14:paraId="5491A263">
      <w:pPr>
        <w:shd w:val="clear" w:color="auto"/>
        <w:spacing w:line="360" w:lineRule="auto"/>
        <w:contextualSpacing/>
        <w:jc w:val="left"/>
        <w:rPr>
          <w:rFonts w:hint="eastAsia" w:ascii="Times New Roman" w:hAnsi="Times New Roman" w:eastAsia="宋体" w:cs="Times New Roman"/>
          <w:color w:val="auto"/>
          <w:sz w:val="24"/>
          <w:highlight w:val="none"/>
        </w:rPr>
      </w:pPr>
    </w:p>
    <w:p w14:paraId="190BDECA">
      <w:pPr>
        <w:shd w:val="clear" w:color="auto"/>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090ADB42">
      <w:pPr>
        <w:shd w:val="clear" w:color="auto"/>
        <w:autoSpaceDE w:val="0"/>
        <w:autoSpaceDN w:val="0"/>
        <w:spacing w:line="360" w:lineRule="auto"/>
        <w:ind w:firstLine="6120" w:firstLineChars="2550"/>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kern w:val="0"/>
          <w:sz w:val="24"/>
          <w:highlight w:val="none"/>
          <w:lang w:val="zh-CN"/>
        </w:rPr>
        <w:t>日期：  年  月   日</w:t>
      </w:r>
    </w:p>
    <w:p w14:paraId="4E90E514">
      <w:pPr>
        <w:shd w:val="clear" w:color="auto"/>
        <w:spacing w:line="360" w:lineRule="auto"/>
        <w:ind w:right="480" w:firstLine="240" w:firstLineChars="100"/>
        <w:contextualSpacing/>
        <w:jc w:val="center"/>
        <w:rPr>
          <w:rFonts w:ascii="宋体" w:hAnsi="宋体" w:eastAsia="宋体" w:cs="Times New Roman"/>
          <w:color w:val="auto"/>
          <w:sz w:val="28"/>
          <w:szCs w:val="28"/>
          <w:highlight w:val="none"/>
        </w:rPr>
      </w:pPr>
      <w:r>
        <w:rPr>
          <w:rFonts w:hint="eastAsia" w:ascii="宋体" w:hAnsi="宋体" w:eastAsia="宋体" w:cs="Times New Roman"/>
          <w:color w:val="auto"/>
          <w:sz w:val="24"/>
          <w:highlight w:val="none"/>
        </w:rPr>
        <w:t xml:space="preserve">                                  </w:t>
      </w:r>
    </w:p>
    <w:p w14:paraId="29506F83">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ascii="宋体" w:hAnsi="宋体" w:eastAsia="宋体" w:cs="Times New Roman"/>
          <w:color w:val="auto"/>
          <w:kern w:val="0"/>
          <w:sz w:val="28"/>
          <w:szCs w:val="28"/>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六、资格声明函</w:t>
      </w:r>
    </w:p>
    <w:p w14:paraId="473C3FC7">
      <w:pPr>
        <w:shd w:val="clear" w:color="auto"/>
        <w:spacing w:line="320" w:lineRule="exact"/>
        <w:jc w:val="center"/>
        <w:rPr>
          <w:rFonts w:hint="eastAsia" w:ascii="宋体" w:hAnsi="宋体" w:eastAsia="宋体" w:cs="Times New Roman"/>
          <w:b/>
          <w:color w:val="auto"/>
          <w:sz w:val="32"/>
          <w:szCs w:val="32"/>
          <w:highlight w:val="none"/>
        </w:rPr>
      </w:pPr>
    </w:p>
    <w:p w14:paraId="380301C5">
      <w:pPr>
        <w:shd w:val="clear" w:color="auto"/>
        <w:spacing w:line="320" w:lineRule="exact"/>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资格声明函</w:t>
      </w:r>
    </w:p>
    <w:p w14:paraId="2826EF42">
      <w:pPr>
        <w:shd w:val="clear" w:color="auto"/>
        <w:spacing w:line="320" w:lineRule="exact"/>
        <w:jc w:val="center"/>
        <w:rPr>
          <w:rFonts w:hint="eastAsia" w:ascii="宋体" w:hAnsi="宋体" w:eastAsia="宋体" w:cs="Times New Roman"/>
          <w:color w:val="auto"/>
          <w:sz w:val="24"/>
          <w:szCs w:val="20"/>
          <w:highlight w:val="none"/>
        </w:rPr>
      </w:pPr>
    </w:p>
    <w:p w14:paraId="26F4281B">
      <w:pPr>
        <w:shd w:val="clear" w:color="auto"/>
        <w:spacing w:line="360" w:lineRule="auto"/>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致：</w:t>
      </w:r>
      <w:r>
        <w:rPr>
          <w:rFonts w:hint="eastAsia" w:ascii="仿宋_GB2312" w:hAnsi="宋体" w:eastAsia="仿宋_GB2312" w:cs="宋体"/>
          <w:color w:val="auto"/>
          <w:sz w:val="24"/>
          <w:highlight w:val="none"/>
          <w:u w:val="single"/>
        </w:rPr>
        <w:t>（采购代理机构名称）</w:t>
      </w:r>
      <w:r>
        <w:rPr>
          <w:rFonts w:hint="eastAsia" w:ascii="仿宋_GB2312" w:hAnsi="宋体" w:eastAsia="仿宋_GB2312" w:cs="宋体"/>
          <w:color w:val="auto"/>
          <w:sz w:val="24"/>
          <w:highlight w:val="none"/>
        </w:rPr>
        <w:t>：</w:t>
      </w:r>
    </w:p>
    <w:p w14:paraId="076741E7">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u w:val="single"/>
        </w:rPr>
        <w:t>（供应商名称）</w:t>
      </w:r>
      <w:r>
        <w:rPr>
          <w:rFonts w:hint="eastAsia" w:ascii="仿宋_GB2312" w:hAnsi="宋体" w:eastAsia="仿宋_GB2312" w:cs="宋体"/>
          <w:color w:val="auto"/>
          <w:sz w:val="24"/>
          <w:highlight w:val="none"/>
        </w:rPr>
        <w:t>系中华人民共和国合法供应商，经营地址</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w:t>
      </w:r>
    </w:p>
    <w:p w14:paraId="3A676A05">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我方愿意参加贵方组织的</w:t>
      </w:r>
      <w:r>
        <w:rPr>
          <w:rFonts w:hint="eastAsia" w:ascii="仿宋_GB2312" w:hAnsi="宋体" w:eastAsia="仿宋_GB2312" w:cs="宋体"/>
          <w:color w:val="auto"/>
          <w:sz w:val="24"/>
          <w:highlight w:val="none"/>
          <w:u w:val="single"/>
        </w:rPr>
        <w:t>（项目名称）</w:t>
      </w:r>
      <w:r>
        <w:rPr>
          <w:rFonts w:hint="eastAsia" w:ascii="仿宋_GB2312" w:hAnsi="宋体" w:eastAsia="仿宋_GB2312" w:cs="宋体"/>
          <w:color w:val="auto"/>
          <w:sz w:val="24"/>
          <w:highlight w:val="none"/>
        </w:rPr>
        <w:t>项目的竞标，为便于贵方公正、择优地确定成交供应商及其竞标产品和服务，我方就本次竞标有关事项郑重声明如下：</w:t>
      </w:r>
    </w:p>
    <w:p w14:paraId="06CC32B4">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1.我方向贵方提交的所有响应文件、资料都是准确的和真实的。</w:t>
      </w:r>
    </w:p>
    <w:p w14:paraId="190C91C7">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BA86141">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3.在此，我方宣布同意如下：</w:t>
      </w:r>
    </w:p>
    <w:p w14:paraId="6D8B8E82">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（1）将按磋商文件的约定履行合同责任和义务；</w:t>
      </w:r>
    </w:p>
    <w:p w14:paraId="3F11D2D0">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（2）已详细审查全部磋商文件，包括澄清或者更正公告（如有）；</w:t>
      </w:r>
    </w:p>
    <w:p w14:paraId="636E01D5">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（3）同意提供按照贵方可能要求的与谈判有关的一切数据或者资料；</w:t>
      </w:r>
    </w:p>
    <w:p w14:paraId="2FEF90CE">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（4）响应磋商文件规定的竞标有效期。</w:t>
      </w:r>
    </w:p>
    <w:p w14:paraId="754859F7">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4.我方承诺符合《中华人民共和国政府采购法》第二十二条规定：</w:t>
      </w:r>
    </w:p>
    <w:p w14:paraId="6C48DFF1">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（1）具有独立承担民事责任的能力；</w:t>
      </w:r>
    </w:p>
    <w:p w14:paraId="62C10B0B">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（2）具有良好的商业信誉和健全的财务会计制度；</w:t>
      </w:r>
    </w:p>
    <w:p w14:paraId="28A73FDC">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（3）具有履行合同所必需的设备和专业技术能力；</w:t>
      </w:r>
    </w:p>
    <w:p w14:paraId="715887F7">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（4）有依法缴纳税收和社会保障资金的良好记录；</w:t>
      </w:r>
    </w:p>
    <w:p w14:paraId="2D4518CF">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（5）参加政府采购活动前三年内，在经营活动中没有重大违法记录；</w:t>
      </w:r>
    </w:p>
    <w:p w14:paraId="187E9FFE">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（6）法律、行政法规规定的其他条件。</w:t>
      </w:r>
    </w:p>
    <w:p w14:paraId="53600C62">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37929B3">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3068F9A">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w:t>
      </w:r>
      <w:r>
        <w:rPr>
          <w:rFonts w:hint="eastAsia" w:ascii="仿宋_GB2312" w:hAnsi="宋体" w:eastAsia="仿宋_GB2312" w:cs="宋体"/>
          <w:color w:val="auto"/>
          <w:kern w:val="0"/>
          <w:sz w:val="24"/>
          <w:highlight w:val="none"/>
        </w:rPr>
        <w:t>内容中</w:t>
      </w:r>
      <w:r>
        <w:rPr>
          <w:rFonts w:hint="eastAsia" w:ascii="仿宋_GB2312" w:hAnsi="宋体" w:eastAsia="仿宋_GB2312" w:cs="宋体"/>
          <w:color w:val="auto"/>
          <w:sz w:val="24"/>
          <w:highlight w:val="none"/>
        </w:rPr>
        <w:t>未</w:t>
      </w:r>
      <w:r>
        <w:rPr>
          <w:rFonts w:hint="eastAsia" w:ascii="仿宋_GB2312" w:hAnsi="宋体" w:eastAsia="仿宋_GB2312" w:cs="宋体"/>
          <w:color w:val="auto"/>
          <w:kern w:val="0"/>
          <w:sz w:val="24"/>
          <w:highlight w:val="none"/>
        </w:rPr>
        <w:t>涉及商业秘密；</w:t>
      </w:r>
    </w:p>
    <w:p w14:paraId="333C9683">
      <w:pPr>
        <w:shd w:val="clear" w:color="auto"/>
        <w:spacing w:line="360" w:lineRule="auto"/>
        <w:ind w:firstLine="480" w:firstLineChars="200"/>
        <w:contextualSpacing/>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w:t>
      </w:r>
      <w:r>
        <w:rPr>
          <w:rFonts w:hint="eastAsia" w:ascii="仿宋_GB2312" w:hAnsi="宋体" w:eastAsia="仿宋_GB2312" w:cs="宋体"/>
          <w:color w:val="auto"/>
          <w:kern w:val="0"/>
          <w:sz w:val="24"/>
          <w:highlight w:val="none"/>
        </w:rPr>
        <w:t>涉及商业秘密的内容有：</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w:t>
      </w:r>
    </w:p>
    <w:p w14:paraId="7ECE6C0D">
      <w:pPr>
        <w:widowControl w:val="0"/>
        <w:shd w:val="clear" w:color="auto"/>
        <w:spacing w:line="360" w:lineRule="auto"/>
        <w:ind w:firstLine="480" w:firstLineChars="200"/>
        <w:contextualSpacing/>
        <w:jc w:val="both"/>
        <w:rPr>
          <w:rFonts w:hint="eastAsia" w:ascii="仿宋_GB2312" w:hAnsi="宋体" w:eastAsia="仿宋_GB2312" w:cs="宋体"/>
          <w:color w:val="auto"/>
          <w:kern w:val="0"/>
          <w:sz w:val="24"/>
          <w:szCs w:val="24"/>
          <w:highlight w:val="none"/>
          <w:u w:val="single"/>
          <w:lang w:val="en-US" w:eastAsia="zh-CN" w:bidi="ar-SA"/>
        </w:rPr>
      </w:pPr>
      <w:r>
        <w:rPr>
          <w:rFonts w:hint="eastAsia" w:ascii="仿宋_GB2312" w:hAnsi="宋体" w:eastAsia="仿宋_GB2312" w:cs="宋体"/>
          <w:color w:val="auto"/>
          <w:kern w:val="0"/>
          <w:sz w:val="24"/>
          <w:szCs w:val="24"/>
          <w:highlight w:val="none"/>
          <w:lang w:val="en-US" w:eastAsia="zh-CN" w:bidi="ar-SA"/>
        </w:rPr>
        <w:t>7.与本磋商有关的一切正式往来信函请寄：</w:t>
      </w:r>
      <w:r>
        <w:rPr>
          <w:rFonts w:hint="eastAsia" w:ascii="仿宋_GB2312" w:hAnsi="宋体" w:eastAsia="仿宋_GB2312" w:cs="宋体"/>
          <w:color w:val="auto"/>
          <w:kern w:val="0"/>
          <w:sz w:val="24"/>
          <w:szCs w:val="24"/>
          <w:highlight w:val="none"/>
          <w:u w:val="single"/>
          <w:lang w:val="en-US" w:eastAsia="zh-CN" w:bidi="ar-SA"/>
        </w:rPr>
        <w:t xml:space="preserve">                  </w:t>
      </w:r>
      <w:r>
        <w:rPr>
          <w:rFonts w:hint="eastAsia" w:ascii="仿宋_GB2312" w:hAnsi="宋体" w:eastAsia="仿宋_GB2312" w:cs="宋体"/>
          <w:color w:val="auto"/>
          <w:kern w:val="0"/>
          <w:sz w:val="24"/>
          <w:szCs w:val="24"/>
          <w:highlight w:val="none"/>
          <w:lang w:val="en-US" w:eastAsia="zh-CN" w:bidi="ar-SA"/>
        </w:rPr>
        <w:t>邮政编号：</w:t>
      </w:r>
      <w:r>
        <w:rPr>
          <w:rFonts w:hint="eastAsia" w:ascii="仿宋_GB2312" w:hAnsi="宋体" w:eastAsia="仿宋_GB2312" w:cs="宋体"/>
          <w:color w:val="auto"/>
          <w:kern w:val="0"/>
          <w:sz w:val="24"/>
          <w:szCs w:val="24"/>
          <w:highlight w:val="none"/>
          <w:u w:val="single"/>
          <w:lang w:val="en-US" w:eastAsia="zh-CN" w:bidi="ar-SA"/>
        </w:rPr>
        <w:t xml:space="preserve">        </w:t>
      </w:r>
    </w:p>
    <w:p w14:paraId="15724AEA">
      <w:pPr>
        <w:widowControl w:val="0"/>
        <w:shd w:val="clear" w:color="auto"/>
        <w:spacing w:line="360" w:lineRule="auto"/>
        <w:ind w:firstLine="480" w:firstLineChars="200"/>
        <w:contextualSpacing/>
        <w:jc w:val="both"/>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电话/传真：</w:t>
      </w:r>
      <w:r>
        <w:rPr>
          <w:rFonts w:hint="eastAsia" w:ascii="仿宋_GB2312" w:hAnsi="宋体" w:eastAsia="仿宋_GB2312" w:cs="宋体"/>
          <w:color w:val="auto"/>
          <w:kern w:val="0"/>
          <w:sz w:val="24"/>
          <w:szCs w:val="24"/>
          <w:highlight w:val="none"/>
          <w:u w:val="single"/>
          <w:lang w:val="en-US" w:eastAsia="zh-CN" w:bidi="ar-SA"/>
        </w:rPr>
        <w:t xml:space="preserve">                        </w:t>
      </w:r>
      <w:r>
        <w:rPr>
          <w:rFonts w:hint="eastAsia" w:ascii="仿宋_GB2312" w:hAnsi="宋体" w:eastAsia="仿宋_GB2312" w:cs="宋体"/>
          <w:color w:val="auto"/>
          <w:kern w:val="0"/>
          <w:sz w:val="24"/>
          <w:szCs w:val="24"/>
          <w:highlight w:val="none"/>
          <w:lang w:val="en-US" w:eastAsia="zh-CN" w:bidi="ar-SA"/>
        </w:rPr>
        <w:t xml:space="preserve"> 电子函件：</w:t>
      </w:r>
      <w:r>
        <w:rPr>
          <w:rFonts w:hint="eastAsia" w:ascii="仿宋_GB2312" w:hAnsi="宋体" w:eastAsia="仿宋_GB2312" w:cs="宋体"/>
          <w:color w:val="auto"/>
          <w:kern w:val="0"/>
          <w:sz w:val="24"/>
          <w:szCs w:val="24"/>
          <w:highlight w:val="none"/>
          <w:u w:val="single"/>
          <w:lang w:val="en-US" w:eastAsia="zh-CN" w:bidi="ar-SA"/>
        </w:rPr>
        <w:t xml:space="preserve">                            </w:t>
      </w:r>
      <w:r>
        <w:rPr>
          <w:rFonts w:hint="eastAsia" w:ascii="仿宋_GB2312" w:hAnsi="宋体" w:eastAsia="仿宋_GB2312" w:cs="宋体"/>
          <w:color w:val="auto"/>
          <w:kern w:val="0"/>
          <w:sz w:val="24"/>
          <w:szCs w:val="24"/>
          <w:highlight w:val="none"/>
          <w:lang w:val="en-US" w:eastAsia="zh-CN" w:bidi="ar-SA"/>
        </w:rPr>
        <w:t xml:space="preserve">    </w:t>
      </w:r>
    </w:p>
    <w:p w14:paraId="6AD8A9BB">
      <w:pPr>
        <w:pStyle w:val="15"/>
        <w:shd w:val="clear" w:color="auto"/>
        <w:tabs>
          <w:tab w:val="left" w:pos="939"/>
        </w:tabs>
        <w:spacing w:line="360" w:lineRule="auto"/>
        <w:ind w:left="140" w:leftChars="67" w:firstLine="360" w:firstLineChars="15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开户银行：</w:t>
      </w:r>
      <w:r>
        <w:rPr>
          <w:rFonts w:hint="eastAsia" w:ascii="仿宋_GB2312" w:hAnsi="宋体" w:eastAsia="仿宋_GB2312" w:cs="宋体"/>
          <w:color w:val="auto"/>
          <w:sz w:val="24"/>
          <w:highlight w:val="none"/>
          <w:u w:val="single"/>
        </w:rPr>
        <w:t xml:space="preserve">                         </w:t>
      </w:r>
      <w:r>
        <w:rPr>
          <w:rFonts w:hint="eastAsia" w:ascii="仿宋_GB2312" w:hAnsi="宋体" w:eastAsia="仿宋_GB2312" w:cs="宋体"/>
          <w:color w:val="auto"/>
          <w:sz w:val="24"/>
          <w:highlight w:val="none"/>
        </w:rPr>
        <w:t xml:space="preserve">  帐号：</w:t>
      </w:r>
      <w:r>
        <w:rPr>
          <w:rFonts w:hint="eastAsia" w:ascii="仿宋_GB2312" w:hAnsi="宋体" w:eastAsia="仿宋_GB2312" w:cs="宋体"/>
          <w:color w:val="auto"/>
          <w:sz w:val="24"/>
          <w:highlight w:val="none"/>
          <w:u w:val="single"/>
        </w:rPr>
        <w:t xml:space="preserve">                               </w:t>
      </w:r>
    </w:p>
    <w:p w14:paraId="153F2627">
      <w:pPr>
        <w:pStyle w:val="15"/>
        <w:shd w:val="clear" w:color="auto"/>
        <w:tabs>
          <w:tab w:val="left" w:pos="939"/>
        </w:tabs>
        <w:spacing w:line="360" w:lineRule="auto"/>
        <w:ind w:left="0" w:leftChars="0" w:firstLine="480" w:firstLineChars="20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8.以上事项如有虚假或者隐瞒，我方愿意承担一切后果，并不再寻求任何旨在减轻或者免除法律责任的辩解。</w:t>
      </w:r>
    </w:p>
    <w:p w14:paraId="5FDC8DAD">
      <w:pPr>
        <w:pStyle w:val="15"/>
        <w:shd w:val="clear" w:color="auto"/>
        <w:tabs>
          <w:tab w:val="left" w:pos="939"/>
        </w:tabs>
        <w:spacing w:line="360" w:lineRule="auto"/>
        <w:ind w:left="140" w:leftChars="67" w:firstLine="360" w:firstLineChars="150"/>
        <w:rPr>
          <w:rFonts w:hint="eastAsia" w:ascii="仿宋_GB2312" w:hAnsi="宋体" w:eastAsia="仿宋_GB2312" w:cs="宋体"/>
          <w:color w:val="auto"/>
          <w:sz w:val="24"/>
          <w:highlight w:val="none"/>
        </w:rPr>
      </w:pPr>
      <w:r>
        <w:rPr>
          <w:rFonts w:hint="eastAsia" w:ascii="仿宋_GB2312" w:hAnsi="宋体" w:eastAsia="仿宋_GB2312" w:cs="宋体"/>
          <w:color w:val="auto"/>
          <w:sz w:val="24"/>
          <w:highlight w:val="none"/>
        </w:rPr>
        <w:t>特此承诺。</w:t>
      </w:r>
    </w:p>
    <w:p w14:paraId="6AFD02A1">
      <w:pPr>
        <w:pStyle w:val="15"/>
        <w:shd w:val="clear" w:color="auto"/>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仿宋_GB2312" w:hAnsi="宋体" w:eastAsia="仿宋_GB2312" w:cs="宋体"/>
          <w:color w:val="auto"/>
          <w:sz w:val="24"/>
          <w:highlight w:val="none"/>
        </w:rPr>
        <w:t>注：如为联合体竞标，盖章处须加盖联合体各方公章并由联合体各方法定代表人签署，否则其响应文件按无效响应处理。</w:t>
      </w:r>
    </w:p>
    <w:p w14:paraId="09CE319D">
      <w:pPr>
        <w:pStyle w:val="15"/>
        <w:shd w:val="clear" w:color="auto"/>
        <w:tabs>
          <w:tab w:val="left" w:pos="939"/>
        </w:tabs>
        <w:spacing w:line="360" w:lineRule="auto"/>
        <w:ind w:left="0" w:leftChars="0" w:firstLine="480" w:firstLineChars="200"/>
        <w:rPr>
          <w:rFonts w:hint="eastAsia" w:ascii="宋体" w:hAnsi="宋体" w:eastAsia="宋体" w:cs="宋体"/>
          <w:color w:val="auto"/>
          <w:sz w:val="24"/>
          <w:highlight w:val="none"/>
        </w:rPr>
      </w:pPr>
    </w:p>
    <w:p w14:paraId="2EB78CCC">
      <w:pPr>
        <w:shd w:val="clear" w:color="auto"/>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2A5B643C">
      <w:pPr>
        <w:shd w:val="clear" w:color="auto"/>
        <w:autoSpaceDE w:val="0"/>
        <w:autoSpaceDN w:val="0"/>
        <w:spacing w:line="360" w:lineRule="auto"/>
        <w:ind w:firstLine="6120" w:firstLineChars="2550"/>
        <w:rPr>
          <w:rFonts w:ascii="仿宋_GB2312" w:hAnsi="仿宋" w:eastAsia="仿宋_GB2312" w:cs="仿宋_GB2312"/>
          <w:color w:val="auto"/>
          <w:kern w:val="0"/>
          <w:sz w:val="24"/>
          <w:highlight w:val="none"/>
          <w:lang w:val="zh-CN"/>
        </w:rPr>
        <w:sectPr>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r>
        <w:rPr>
          <w:rFonts w:hint="eastAsia" w:ascii="仿宋_GB2312" w:hAnsi="仿宋" w:eastAsia="仿宋_GB2312" w:cs="仿宋_GB2312"/>
          <w:color w:val="auto"/>
          <w:kern w:val="0"/>
          <w:sz w:val="24"/>
          <w:highlight w:val="none"/>
          <w:lang w:val="zh-CN"/>
        </w:rPr>
        <w:t>日期：  年  月   日</w:t>
      </w:r>
    </w:p>
    <w:p w14:paraId="3AD79C55">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t>七、联合体协议书（如有）</w:t>
      </w:r>
    </w:p>
    <w:p w14:paraId="7084737C">
      <w:pPr>
        <w:widowControl w:val="0"/>
        <w:shd w:val="clear" w:color="auto"/>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bidi="ar-SA"/>
        </w:rPr>
      </w:pPr>
    </w:p>
    <w:p w14:paraId="1841FA97">
      <w:pPr>
        <w:widowControl w:val="0"/>
        <w:shd w:val="clear" w:color="auto"/>
        <w:spacing w:line="600" w:lineRule="exact"/>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联合体竞标协议书（格式）</w:t>
      </w:r>
    </w:p>
    <w:p w14:paraId="7B6C11D5">
      <w:pPr>
        <w:shd w:val="clear" w:color="auto"/>
        <w:autoSpaceDE w:val="0"/>
        <w:autoSpaceDN w:val="0"/>
        <w:adjustRightInd w:val="0"/>
        <w:spacing w:line="360" w:lineRule="auto"/>
        <w:jc w:val="left"/>
        <w:rPr>
          <w:rFonts w:ascii="宋体" w:hAnsi="Times New Roman" w:eastAsia="宋体" w:cs="宋体"/>
          <w:color w:val="auto"/>
          <w:kern w:val="0"/>
          <w:szCs w:val="21"/>
          <w:highlight w:val="none"/>
          <w:u w:val="single"/>
        </w:rPr>
      </w:pPr>
    </w:p>
    <w:p w14:paraId="6A2AC49F">
      <w:pPr>
        <w:shd w:val="clear" w:color="auto"/>
        <w:autoSpaceDE w:val="0"/>
        <w:autoSpaceDN w:val="0"/>
        <w:adjustRightInd w:val="0"/>
        <w:spacing w:line="360" w:lineRule="auto"/>
        <w:jc w:val="left"/>
        <w:rPr>
          <w:rFonts w:hint="eastAsia" w:ascii="仿宋_GB2312" w:hAnsi="Times New Roman" w:eastAsia="仿宋_GB2312" w:cs="宋体"/>
          <w:color w:val="auto"/>
          <w:kern w:val="0"/>
          <w:sz w:val="24"/>
          <w:highlight w:val="none"/>
        </w:rPr>
      </w:pPr>
      <w:r>
        <w:rPr>
          <w:rFonts w:hint="eastAsia" w:ascii="仿宋_GB2312" w:hAnsi="Times New Roman" w:eastAsia="仿宋_GB2312" w:cs="宋体"/>
          <w:color w:val="auto"/>
          <w:kern w:val="0"/>
          <w:sz w:val="24"/>
          <w:highlight w:val="none"/>
          <w:u w:val="single"/>
        </w:rPr>
        <w:t xml:space="preserve">                                                  </w:t>
      </w:r>
      <w:r>
        <w:rPr>
          <w:rFonts w:hint="eastAsia" w:ascii="仿宋_GB2312" w:hAnsi="Times New Roman" w:eastAsia="仿宋_GB2312" w:cs="宋体"/>
          <w:color w:val="auto"/>
          <w:kern w:val="0"/>
          <w:sz w:val="24"/>
          <w:highlight w:val="none"/>
        </w:rPr>
        <w:t>（所有成员单位名称）自愿组成联合体，共同参加</w:t>
      </w:r>
      <w:r>
        <w:rPr>
          <w:rFonts w:hint="eastAsia" w:ascii="仿宋_GB2312" w:hAnsi="Times New Roman" w:eastAsia="仿宋_GB2312" w:cs="宋体"/>
          <w:color w:val="auto"/>
          <w:kern w:val="0"/>
          <w:sz w:val="24"/>
          <w:highlight w:val="none"/>
          <w:u w:val="single"/>
        </w:rPr>
        <w:t xml:space="preserve">     （采购代理机构名称）    </w:t>
      </w:r>
      <w:r>
        <w:rPr>
          <w:rFonts w:hint="eastAsia" w:ascii="仿宋_GB2312" w:hAnsi="Times New Roman" w:eastAsia="仿宋_GB2312" w:cs="宋体"/>
          <w:color w:val="auto"/>
          <w:kern w:val="0"/>
          <w:sz w:val="24"/>
          <w:highlight w:val="none"/>
        </w:rPr>
        <w:t>组织的</w:t>
      </w:r>
      <w:r>
        <w:rPr>
          <w:rFonts w:hint="eastAsia" w:ascii="仿宋_GB2312" w:hAnsi="Times New Roman" w:eastAsia="仿宋_GB2312" w:cs="宋体"/>
          <w:color w:val="auto"/>
          <w:kern w:val="0"/>
          <w:sz w:val="24"/>
          <w:highlight w:val="none"/>
          <w:u w:val="single"/>
        </w:rPr>
        <w:t xml:space="preserve">         （项目名称）         </w:t>
      </w:r>
      <w:r>
        <w:rPr>
          <w:rFonts w:hint="eastAsia" w:ascii="仿宋_GB2312" w:hAnsi="Times New Roman" w:eastAsia="仿宋_GB2312" w:cs="宋体"/>
          <w:color w:val="auto"/>
          <w:kern w:val="0"/>
          <w:sz w:val="24"/>
          <w:highlight w:val="none"/>
        </w:rPr>
        <w:t>（项目编号：</w:t>
      </w:r>
      <w:r>
        <w:rPr>
          <w:rFonts w:hint="eastAsia" w:ascii="仿宋_GB2312" w:hAnsi="Times New Roman" w:eastAsia="仿宋_GB2312" w:cs="宋体"/>
          <w:color w:val="auto"/>
          <w:kern w:val="0"/>
          <w:sz w:val="24"/>
          <w:highlight w:val="none"/>
          <w:u w:val="single"/>
        </w:rPr>
        <w:t xml:space="preserve">          </w:t>
      </w:r>
      <w:r>
        <w:rPr>
          <w:rFonts w:hint="eastAsia" w:ascii="仿宋_GB2312" w:hAnsi="Times New Roman" w:eastAsia="仿宋_GB2312" w:cs="宋体"/>
          <w:color w:val="auto"/>
          <w:kern w:val="0"/>
          <w:sz w:val="24"/>
          <w:highlight w:val="none"/>
        </w:rPr>
        <w:t>）竞争性磋商采购。现就联合体竞标事宜订立如下协议：</w:t>
      </w:r>
    </w:p>
    <w:p w14:paraId="5870C7B8">
      <w:pPr>
        <w:shd w:val="clear" w:color="auto"/>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1</w:t>
      </w:r>
      <w:r>
        <w:rPr>
          <w:rFonts w:hint="eastAsia" w:ascii="仿宋_GB2312" w:hAnsi="宋体" w:eastAsia="仿宋_GB2312" w:cs="宋体"/>
          <w:color w:val="auto"/>
          <w:kern w:val="0"/>
          <w:sz w:val="24"/>
          <w:highlight w:val="none"/>
        </w:rPr>
        <w:t>、</w:t>
      </w:r>
      <w:r>
        <w:rPr>
          <w:rFonts w:hint="eastAsia" w:ascii="仿宋_GB2312" w:hAnsi="Times New Roman" w:eastAsia="仿宋_GB2312" w:cs="Times New Roman"/>
          <w:color w:val="auto"/>
          <w:sz w:val="24"/>
          <w:highlight w:val="none"/>
        </w:rPr>
        <w:t>________________________</w:t>
      </w:r>
      <w:r>
        <w:rPr>
          <w:rFonts w:hint="eastAsia" w:ascii="仿宋_GB2312" w:hAnsi="宋体" w:eastAsia="仿宋_GB2312" w:cs="宋体"/>
          <w:color w:val="auto"/>
          <w:kern w:val="0"/>
          <w:sz w:val="24"/>
          <w:highlight w:val="none"/>
        </w:rPr>
        <w:t>（某成员单位名称）为联合体名称牵头人。</w:t>
      </w:r>
    </w:p>
    <w:p w14:paraId="52A3D35B">
      <w:pPr>
        <w:shd w:val="clear" w:color="auto"/>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2</w:t>
      </w:r>
      <w:r>
        <w:rPr>
          <w:rFonts w:hint="eastAsia" w:ascii="仿宋_GB2312" w:hAnsi="宋体" w:eastAsia="仿宋_GB2312" w:cs="宋体"/>
          <w:color w:val="auto"/>
          <w:kern w:val="0"/>
          <w:sz w:val="24"/>
          <w:highlight w:val="none"/>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203BE9EF">
      <w:pPr>
        <w:shd w:val="clear" w:color="auto"/>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5E1F45BA">
      <w:pPr>
        <w:shd w:val="clear" w:color="auto"/>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4</w:t>
      </w:r>
      <w:r>
        <w:rPr>
          <w:rFonts w:hint="eastAsia" w:ascii="仿宋_GB2312" w:hAnsi="宋体" w:eastAsia="仿宋_GB2312" w:cs="宋体"/>
          <w:color w:val="auto"/>
          <w:kern w:val="0"/>
          <w:sz w:val="24"/>
          <w:highlight w:val="none"/>
        </w:rPr>
        <w:t>、联合体各成员单位内部的职责分工如下</w:t>
      </w:r>
      <w:r>
        <w:rPr>
          <w:rFonts w:hint="eastAsia" w:ascii="仿宋_GB2312" w:hAnsi="宋体" w:eastAsia="仿宋_GB2312" w:cs="宋体"/>
          <w:color w:val="auto"/>
          <w:kern w:val="0"/>
          <w:sz w:val="24"/>
          <w:highlight w:val="none"/>
          <w:u w:val="single"/>
        </w:rPr>
        <w:t>：</w:t>
      </w:r>
      <w:r>
        <w:rPr>
          <w:rFonts w:hint="eastAsia" w:ascii="仿宋_GB2312" w:hAnsi="Times New Roman" w:eastAsia="仿宋_GB2312" w:cs="Times New Roman"/>
          <w:color w:val="auto"/>
          <w:sz w:val="24"/>
          <w:highlight w:val="none"/>
          <w:u w:val="single"/>
        </w:rPr>
        <w:t>________________________________________________</w:t>
      </w:r>
      <w:r>
        <w:rPr>
          <w:rFonts w:hint="eastAsia" w:ascii="仿宋_GB2312" w:hAnsi="宋体" w:eastAsia="仿宋_GB2312" w:cs="宋体"/>
          <w:color w:val="auto"/>
          <w:kern w:val="0"/>
          <w:sz w:val="24"/>
          <w:highlight w:val="none"/>
        </w:rPr>
        <w:t>。</w:t>
      </w:r>
    </w:p>
    <w:p w14:paraId="018A03FE">
      <w:pPr>
        <w:widowControl w:val="0"/>
        <w:shd w:val="clear" w:color="auto"/>
        <w:spacing w:line="360" w:lineRule="auto"/>
        <w:ind w:firstLine="480" w:firstLineChars="200"/>
        <w:jc w:val="both"/>
        <w:rPr>
          <w:rFonts w:hint="eastAsia" w:ascii="仿宋_GB2312" w:hAnsi="Times New Roman" w:eastAsia="仿宋_GB2312" w:cs="Times New Roman"/>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5、本联合体中</w:t>
      </w:r>
      <w:r>
        <w:rPr>
          <w:rFonts w:hint="eastAsia" w:ascii="仿宋_GB2312" w:hAnsi="宋体" w:eastAsia="仿宋_GB2312" w:cs="宋体"/>
          <w:color w:val="auto"/>
          <w:kern w:val="0"/>
          <w:sz w:val="24"/>
          <w:szCs w:val="24"/>
          <w:highlight w:val="none"/>
          <w:u w:val="single"/>
          <w:lang w:val="en-US" w:eastAsia="zh-CN" w:bidi="ar-SA"/>
        </w:rPr>
        <w:t>，</w:t>
      </w:r>
      <w:r>
        <w:rPr>
          <w:rFonts w:hint="eastAsia" w:ascii="仿宋_GB2312" w:hAnsi="Courier New" w:eastAsia="仿宋_GB2312" w:cs="Times New Roman"/>
          <w:color w:val="auto"/>
          <w:kern w:val="0"/>
          <w:sz w:val="24"/>
          <w:szCs w:val="24"/>
          <w:highlight w:val="none"/>
          <w:u w:val="single"/>
          <w:lang w:val="en-US" w:eastAsia="zh-CN" w:bidi="ar-SA"/>
        </w:rPr>
        <w:t>________________________</w:t>
      </w:r>
      <w:r>
        <w:rPr>
          <w:rFonts w:hint="eastAsia" w:ascii="仿宋_GB2312" w:hAnsi="宋体" w:eastAsia="仿宋_GB2312" w:cs="宋体"/>
          <w:color w:val="auto"/>
          <w:kern w:val="0"/>
          <w:sz w:val="24"/>
          <w:szCs w:val="24"/>
          <w:highlight w:val="none"/>
          <w:u w:val="single"/>
          <w:lang w:val="en-US" w:eastAsia="zh-CN" w:bidi="ar-SA"/>
        </w:rPr>
        <w:t>（某成员单位名称）为</w:t>
      </w:r>
      <w:r>
        <w:rPr>
          <w:rFonts w:hint="eastAsia" w:ascii="仿宋_GB2312" w:hAnsi="Courier New" w:eastAsia="仿宋_GB2312" w:cs="Times New Roman"/>
          <w:color w:val="auto"/>
          <w:kern w:val="0"/>
          <w:sz w:val="24"/>
          <w:szCs w:val="24"/>
          <w:highlight w:val="none"/>
          <w:u w:val="single"/>
          <w:lang w:val="en-US" w:eastAsia="zh-CN" w:bidi="ar-SA"/>
        </w:rPr>
        <w:t>______</w:t>
      </w:r>
      <w:r>
        <w:rPr>
          <w:rFonts w:hint="eastAsia" w:ascii="仿宋_GB2312" w:hAnsi="Courier New" w:eastAsia="仿宋_GB2312" w:cs="Times New Roman"/>
          <w:color w:val="auto"/>
          <w:kern w:val="0"/>
          <w:sz w:val="24"/>
          <w:szCs w:val="24"/>
          <w:highlight w:val="none"/>
          <w:lang w:val="en-US" w:eastAsia="zh-CN" w:bidi="ar-SA"/>
        </w:rPr>
        <w:t>（请填写：中型、小型、微型）企业，其协议合同金额占联合体协议合同总金额的</w:t>
      </w:r>
      <w:r>
        <w:rPr>
          <w:rFonts w:hint="eastAsia" w:ascii="仿宋_GB2312" w:hAnsi="Courier New" w:eastAsia="仿宋_GB2312" w:cs="Times New Roman"/>
          <w:color w:val="auto"/>
          <w:kern w:val="0"/>
          <w:sz w:val="24"/>
          <w:szCs w:val="24"/>
          <w:highlight w:val="none"/>
          <w:u w:val="single"/>
          <w:lang w:val="en-US" w:eastAsia="zh-CN" w:bidi="ar-SA"/>
        </w:rPr>
        <w:t>______</w:t>
      </w:r>
      <w:r>
        <w:rPr>
          <w:rFonts w:hint="eastAsia" w:ascii="仿宋_GB2312" w:hAnsi="Courier New" w:eastAsia="仿宋_GB2312" w:cs="Times New Roman"/>
          <w:color w:val="auto"/>
          <w:kern w:val="0"/>
          <w:sz w:val="24"/>
          <w:szCs w:val="24"/>
          <w:highlight w:val="none"/>
          <w:lang w:val="en-US" w:eastAsia="zh-CN" w:bidi="ar-SA"/>
        </w:rPr>
        <w:t>%。【如联合体成员中有小型、微型企业的，请填写此条，否则无需填写；如联合体成员中有多个小型、微型企业的，请逐一列出。】</w:t>
      </w:r>
    </w:p>
    <w:p w14:paraId="56A64E93">
      <w:pPr>
        <w:shd w:val="clear" w:color="auto"/>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6</w:t>
      </w:r>
      <w:r>
        <w:rPr>
          <w:rFonts w:hint="eastAsia" w:ascii="仿宋_GB2312" w:hAnsi="宋体" w:eastAsia="仿宋_GB2312" w:cs="宋体"/>
          <w:color w:val="auto"/>
          <w:kern w:val="0"/>
          <w:sz w:val="24"/>
          <w:highlight w:val="none"/>
        </w:rPr>
        <w:t>、本协议书自签署之日起生效，合同履行完毕后自动失效。</w:t>
      </w:r>
    </w:p>
    <w:p w14:paraId="0A668B76">
      <w:pPr>
        <w:shd w:val="clear" w:color="auto"/>
        <w:autoSpaceDE w:val="0"/>
        <w:autoSpaceDN w:val="0"/>
        <w:adjustRightInd w:val="0"/>
        <w:spacing w:line="360" w:lineRule="auto"/>
        <w:ind w:firstLine="420"/>
        <w:jc w:val="left"/>
        <w:rPr>
          <w:rFonts w:hint="eastAsia" w:ascii="仿宋_GB2312" w:hAnsi="宋体" w:eastAsia="仿宋_GB2312" w:cs="宋体"/>
          <w:color w:val="auto"/>
          <w:kern w:val="0"/>
          <w:sz w:val="24"/>
          <w:highlight w:val="none"/>
        </w:rPr>
      </w:pPr>
      <w:r>
        <w:rPr>
          <w:rFonts w:hint="eastAsia" w:ascii="仿宋_GB2312" w:hAnsi="宋体" w:eastAsia="仿宋_GB2312" w:cs="TimesNewRomanPSMT"/>
          <w:color w:val="auto"/>
          <w:kern w:val="0"/>
          <w:sz w:val="24"/>
          <w:highlight w:val="none"/>
        </w:rPr>
        <w:t>7</w:t>
      </w:r>
      <w:r>
        <w:rPr>
          <w:rFonts w:hint="eastAsia" w:ascii="仿宋_GB2312" w:hAnsi="宋体" w:eastAsia="仿宋_GB2312" w:cs="宋体"/>
          <w:color w:val="auto"/>
          <w:kern w:val="0"/>
          <w:sz w:val="24"/>
          <w:highlight w:val="none"/>
        </w:rPr>
        <w:t>、本协议书一式</w:t>
      </w:r>
      <w:r>
        <w:rPr>
          <w:rFonts w:hint="eastAsia" w:ascii="仿宋_GB2312" w:hAnsi="宋体" w:eastAsia="仿宋_GB2312" w:cs="宋体"/>
          <w:color w:val="auto"/>
          <w:kern w:val="0"/>
          <w:sz w:val="24"/>
          <w:highlight w:val="none"/>
          <w:u w:val="single"/>
        </w:rPr>
        <w:t xml:space="preserve">    </w:t>
      </w:r>
      <w:r>
        <w:rPr>
          <w:rFonts w:hint="eastAsia" w:ascii="仿宋_GB2312" w:hAnsi="宋体" w:eastAsia="仿宋_GB2312" w:cs="宋体"/>
          <w:color w:val="auto"/>
          <w:kern w:val="0"/>
          <w:sz w:val="24"/>
          <w:highlight w:val="none"/>
        </w:rPr>
        <w:t>份，联合体成员和采购代理机构各执一份。</w:t>
      </w:r>
    </w:p>
    <w:p w14:paraId="18181197">
      <w:pPr>
        <w:shd w:val="clear" w:color="auto"/>
        <w:autoSpaceDE w:val="0"/>
        <w:autoSpaceDN w:val="0"/>
        <w:adjustRightInd w:val="0"/>
        <w:spacing w:line="360" w:lineRule="auto"/>
        <w:ind w:firstLine="420"/>
        <w:jc w:val="left"/>
        <w:rPr>
          <w:rFonts w:hint="eastAsia" w:ascii="仿宋_GB2312" w:hAnsi="Times New Roman" w:eastAsia="仿宋_GB2312" w:cs="宋体"/>
          <w:color w:val="auto"/>
          <w:kern w:val="0"/>
          <w:sz w:val="24"/>
          <w:highlight w:val="none"/>
        </w:rPr>
      </w:pPr>
      <w:r>
        <w:rPr>
          <w:rFonts w:hint="eastAsia" w:ascii="仿宋_GB2312" w:hAnsi="Times New Roman" w:eastAsia="仿宋_GB2312" w:cs="宋体"/>
          <w:color w:val="auto"/>
          <w:kern w:val="0"/>
          <w:sz w:val="24"/>
          <w:highlight w:val="none"/>
        </w:rPr>
        <w:t>注：本协议书由法定代表人签字的，应附法定代表人身份证明；本协议书由委托代理人签字的，应附法定代表人授权委托书。</w:t>
      </w:r>
    </w:p>
    <w:p w14:paraId="0F85DD95">
      <w:pPr>
        <w:shd w:val="clear" w:color="auto"/>
        <w:autoSpaceDE w:val="0"/>
        <w:autoSpaceDN w:val="0"/>
        <w:adjustRightInd w:val="0"/>
        <w:spacing w:line="360" w:lineRule="auto"/>
        <w:jc w:val="left"/>
        <w:rPr>
          <w:rFonts w:hint="eastAsia" w:ascii="仿宋_GB2312" w:hAnsi="Times New Roman" w:eastAsia="仿宋_GB2312" w:cs="宋体"/>
          <w:color w:val="auto"/>
          <w:kern w:val="0"/>
          <w:sz w:val="24"/>
          <w:highlight w:val="none"/>
        </w:rPr>
      </w:pPr>
      <w:r>
        <w:rPr>
          <w:rFonts w:hint="eastAsia" w:ascii="仿宋_GB2312" w:hAnsi="Times New Roman" w:eastAsia="仿宋_GB2312" w:cs="宋体"/>
          <w:color w:val="auto"/>
          <w:kern w:val="0"/>
          <w:sz w:val="24"/>
          <w:highlight w:val="none"/>
        </w:rPr>
        <w:t>牵头人名称：</w:t>
      </w:r>
      <w:r>
        <w:rPr>
          <w:rFonts w:hint="eastAsia" w:ascii="仿宋_GB2312" w:hAnsi="Times New Roman" w:eastAsia="仿宋_GB2312" w:cs="宋体"/>
          <w:color w:val="auto"/>
          <w:kern w:val="0"/>
          <w:sz w:val="24"/>
          <w:highlight w:val="none"/>
          <w:u w:val="single"/>
        </w:rPr>
        <w:t xml:space="preserve">                                       </w:t>
      </w:r>
      <w:r>
        <w:rPr>
          <w:rFonts w:hint="eastAsia" w:ascii="仿宋_GB2312" w:hAnsi="Times New Roman" w:eastAsia="仿宋_GB2312" w:cs="宋体"/>
          <w:color w:val="auto"/>
          <w:kern w:val="0"/>
          <w:sz w:val="24"/>
          <w:highlight w:val="none"/>
        </w:rPr>
        <w:t>（盖单位公章）</w:t>
      </w:r>
    </w:p>
    <w:p w14:paraId="27FD77E2">
      <w:pPr>
        <w:shd w:val="clear" w:color="auto"/>
        <w:autoSpaceDE w:val="0"/>
        <w:autoSpaceDN w:val="0"/>
        <w:adjustRightInd w:val="0"/>
        <w:spacing w:line="360" w:lineRule="auto"/>
        <w:jc w:val="left"/>
        <w:rPr>
          <w:rFonts w:hint="eastAsia" w:ascii="仿宋_GB2312" w:hAnsi="Times New Roman" w:eastAsia="仿宋_GB2312" w:cs="宋体"/>
          <w:color w:val="auto"/>
          <w:kern w:val="0"/>
          <w:sz w:val="24"/>
          <w:highlight w:val="none"/>
        </w:rPr>
      </w:pPr>
      <w:r>
        <w:rPr>
          <w:rFonts w:hint="eastAsia" w:ascii="仿宋_GB2312" w:hAnsi="Times New Roman" w:eastAsia="仿宋_GB2312" w:cs="宋体"/>
          <w:color w:val="auto"/>
          <w:kern w:val="0"/>
          <w:sz w:val="24"/>
          <w:highlight w:val="none"/>
        </w:rPr>
        <w:t>法定代表人或其委托代理人：</w:t>
      </w:r>
      <w:r>
        <w:rPr>
          <w:rFonts w:hint="eastAsia" w:ascii="仿宋_GB2312" w:hAnsi="Times New Roman" w:eastAsia="仿宋_GB2312" w:cs="宋体"/>
          <w:color w:val="auto"/>
          <w:kern w:val="0"/>
          <w:sz w:val="24"/>
          <w:highlight w:val="none"/>
          <w:u w:val="single"/>
        </w:rPr>
        <w:t xml:space="preserve">                         </w:t>
      </w:r>
      <w:r>
        <w:rPr>
          <w:rFonts w:hint="eastAsia" w:ascii="仿宋_GB2312" w:hAnsi="Times New Roman" w:eastAsia="仿宋_GB2312" w:cs="宋体"/>
          <w:color w:val="auto"/>
          <w:kern w:val="0"/>
          <w:sz w:val="24"/>
          <w:highlight w:val="none"/>
        </w:rPr>
        <w:t>（签字或盖章）</w:t>
      </w:r>
    </w:p>
    <w:p w14:paraId="2FBA3D42">
      <w:pPr>
        <w:shd w:val="clear" w:color="auto"/>
        <w:autoSpaceDE w:val="0"/>
        <w:autoSpaceDN w:val="0"/>
        <w:adjustRightInd w:val="0"/>
        <w:spacing w:line="360" w:lineRule="auto"/>
        <w:jc w:val="left"/>
        <w:rPr>
          <w:rFonts w:hint="eastAsia" w:ascii="仿宋_GB2312" w:hAnsi="Times New Roman" w:eastAsia="仿宋_GB2312" w:cs="宋体"/>
          <w:color w:val="auto"/>
          <w:kern w:val="0"/>
          <w:sz w:val="24"/>
          <w:highlight w:val="none"/>
        </w:rPr>
      </w:pPr>
    </w:p>
    <w:p w14:paraId="7654217C">
      <w:pPr>
        <w:shd w:val="clear" w:color="auto"/>
        <w:autoSpaceDE w:val="0"/>
        <w:autoSpaceDN w:val="0"/>
        <w:adjustRightInd w:val="0"/>
        <w:spacing w:line="360" w:lineRule="auto"/>
        <w:jc w:val="left"/>
        <w:rPr>
          <w:rFonts w:hint="eastAsia" w:ascii="仿宋_GB2312" w:hAnsi="Times New Roman" w:eastAsia="仿宋_GB2312" w:cs="宋体"/>
          <w:color w:val="auto"/>
          <w:kern w:val="0"/>
          <w:sz w:val="24"/>
          <w:highlight w:val="none"/>
        </w:rPr>
      </w:pPr>
      <w:r>
        <w:rPr>
          <w:rFonts w:hint="eastAsia" w:ascii="仿宋_GB2312" w:hAnsi="Times New Roman" w:eastAsia="仿宋_GB2312" w:cs="宋体"/>
          <w:color w:val="auto"/>
          <w:kern w:val="0"/>
          <w:sz w:val="24"/>
          <w:highlight w:val="none"/>
        </w:rPr>
        <w:t>成员一名称：</w:t>
      </w:r>
      <w:r>
        <w:rPr>
          <w:rFonts w:hint="eastAsia" w:ascii="仿宋_GB2312" w:hAnsi="Times New Roman" w:eastAsia="仿宋_GB2312" w:cs="宋体"/>
          <w:color w:val="auto"/>
          <w:kern w:val="0"/>
          <w:sz w:val="24"/>
          <w:highlight w:val="none"/>
          <w:u w:val="single"/>
        </w:rPr>
        <w:t xml:space="preserve">                                       </w:t>
      </w:r>
      <w:r>
        <w:rPr>
          <w:rFonts w:hint="eastAsia" w:ascii="仿宋_GB2312" w:hAnsi="Times New Roman" w:eastAsia="仿宋_GB2312" w:cs="宋体"/>
          <w:color w:val="auto"/>
          <w:kern w:val="0"/>
          <w:sz w:val="24"/>
          <w:highlight w:val="none"/>
        </w:rPr>
        <w:t>（盖单位公章）</w:t>
      </w:r>
    </w:p>
    <w:p w14:paraId="36A76855">
      <w:pPr>
        <w:shd w:val="clear" w:color="auto"/>
        <w:autoSpaceDE w:val="0"/>
        <w:autoSpaceDN w:val="0"/>
        <w:adjustRightInd w:val="0"/>
        <w:spacing w:line="360" w:lineRule="auto"/>
        <w:jc w:val="left"/>
        <w:rPr>
          <w:rFonts w:hint="eastAsia" w:ascii="仿宋_GB2312" w:hAnsi="Times New Roman" w:eastAsia="仿宋_GB2312" w:cs="宋体"/>
          <w:color w:val="auto"/>
          <w:kern w:val="0"/>
          <w:sz w:val="24"/>
          <w:highlight w:val="none"/>
        </w:rPr>
      </w:pPr>
      <w:r>
        <w:rPr>
          <w:rFonts w:hint="eastAsia" w:ascii="仿宋_GB2312" w:hAnsi="Times New Roman" w:eastAsia="仿宋_GB2312" w:cs="宋体"/>
          <w:color w:val="auto"/>
          <w:kern w:val="0"/>
          <w:sz w:val="24"/>
          <w:highlight w:val="none"/>
        </w:rPr>
        <w:t>法定代表人或其委托代理人：</w:t>
      </w:r>
      <w:r>
        <w:rPr>
          <w:rFonts w:hint="eastAsia" w:ascii="仿宋_GB2312" w:hAnsi="Times New Roman" w:eastAsia="仿宋_GB2312" w:cs="宋体"/>
          <w:color w:val="auto"/>
          <w:kern w:val="0"/>
          <w:sz w:val="24"/>
          <w:highlight w:val="none"/>
          <w:u w:val="single"/>
        </w:rPr>
        <w:t xml:space="preserve">                         </w:t>
      </w:r>
      <w:r>
        <w:rPr>
          <w:rFonts w:hint="eastAsia" w:ascii="仿宋_GB2312" w:hAnsi="Times New Roman" w:eastAsia="仿宋_GB2312" w:cs="宋体"/>
          <w:color w:val="auto"/>
          <w:kern w:val="0"/>
          <w:sz w:val="24"/>
          <w:highlight w:val="none"/>
        </w:rPr>
        <w:t>（签字或盖章）</w:t>
      </w:r>
    </w:p>
    <w:p w14:paraId="409BA013">
      <w:pPr>
        <w:shd w:val="clear" w:color="auto"/>
        <w:autoSpaceDE w:val="0"/>
        <w:autoSpaceDN w:val="0"/>
        <w:adjustRightInd w:val="0"/>
        <w:spacing w:line="360" w:lineRule="auto"/>
        <w:jc w:val="left"/>
        <w:rPr>
          <w:rFonts w:hint="eastAsia" w:ascii="宋体" w:hAnsi="Times New Roman" w:eastAsia="宋体" w:cs="宋体"/>
          <w:color w:val="auto"/>
          <w:kern w:val="0"/>
          <w:szCs w:val="21"/>
          <w:highlight w:val="none"/>
        </w:rPr>
      </w:pPr>
    </w:p>
    <w:p w14:paraId="5657BADB">
      <w:pPr>
        <w:shd w:val="clear" w:color="auto"/>
        <w:autoSpaceDE w:val="0"/>
        <w:autoSpaceDN w:val="0"/>
        <w:adjustRightInd w:val="0"/>
        <w:spacing w:line="360" w:lineRule="auto"/>
        <w:jc w:val="left"/>
        <w:rPr>
          <w:rFonts w:hint="eastAsia" w:ascii="仿宋_GB2312" w:hAnsi="Times New Roman" w:eastAsia="仿宋_GB2312" w:cs="宋体"/>
          <w:color w:val="auto"/>
          <w:kern w:val="0"/>
          <w:sz w:val="24"/>
          <w:highlight w:val="none"/>
        </w:rPr>
      </w:pPr>
      <w:r>
        <w:rPr>
          <w:rFonts w:hint="eastAsia" w:ascii="仿宋_GB2312" w:hAnsi="Times New Roman" w:eastAsia="仿宋_GB2312" w:cs="宋体"/>
          <w:color w:val="auto"/>
          <w:kern w:val="0"/>
          <w:sz w:val="24"/>
          <w:highlight w:val="none"/>
        </w:rPr>
        <w:t>成员二名称：</w:t>
      </w:r>
      <w:r>
        <w:rPr>
          <w:rFonts w:hint="eastAsia" w:ascii="仿宋_GB2312" w:hAnsi="Times New Roman" w:eastAsia="仿宋_GB2312" w:cs="宋体"/>
          <w:color w:val="auto"/>
          <w:kern w:val="0"/>
          <w:sz w:val="24"/>
          <w:highlight w:val="none"/>
          <w:u w:val="single"/>
        </w:rPr>
        <w:t xml:space="preserve">                                       </w:t>
      </w:r>
      <w:r>
        <w:rPr>
          <w:rFonts w:hint="eastAsia" w:ascii="仿宋_GB2312" w:hAnsi="Times New Roman" w:eastAsia="仿宋_GB2312" w:cs="宋体"/>
          <w:color w:val="auto"/>
          <w:kern w:val="0"/>
          <w:sz w:val="24"/>
          <w:highlight w:val="none"/>
        </w:rPr>
        <w:t>（盖单位公章）</w:t>
      </w:r>
    </w:p>
    <w:p w14:paraId="404A08C5">
      <w:pPr>
        <w:shd w:val="clear" w:color="auto"/>
        <w:autoSpaceDE w:val="0"/>
        <w:autoSpaceDN w:val="0"/>
        <w:adjustRightInd w:val="0"/>
        <w:spacing w:line="360" w:lineRule="auto"/>
        <w:jc w:val="left"/>
        <w:rPr>
          <w:rFonts w:hint="eastAsia" w:ascii="仿宋_GB2312" w:hAnsi="Times New Roman" w:eastAsia="仿宋_GB2312" w:cs="宋体"/>
          <w:color w:val="auto"/>
          <w:kern w:val="0"/>
          <w:sz w:val="24"/>
          <w:highlight w:val="none"/>
        </w:rPr>
      </w:pPr>
      <w:r>
        <w:rPr>
          <w:rFonts w:hint="eastAsia" w:ascii="仿宋_GB2312" w:hAnsi="Times New Roman" w:eastAsia="仿宋_GB2312" w:cs="宋体"/>
          <w:color w:val="auto"/>
          <w:kern w:val="0"/>
          <w:sz w:val="24"/>
          <w:highlight w:val="none"/>
        </w:rPr>
        <w:t>法定代表人或其委托代理人：                         （签字或盖章）</w:t>
      </w:r>
    </w:p>
    <w:p w14:paraId="29194E3B">
      <w:pPr>
        <w:shd w:val="clear" w:color="auto"/>
        <w:autoSpaceDE w:val="0"/>
        <w:autoSpaceDN w:val="0"/>
        <w:adjustRightInd w:val="0"/>
        <w:spacing w:line="360" w:lineRule="auto"/>
        <w:jc w:val="left"/>
        <w:rPr>
          <w:rFonts w:hint="eastAsia" w:ascii="仿宋_GB2312" w:hAnsi="Times New Roman" w:eastAsia="仿宋_GB2312" w:cs="宋体"/>
          <w:color w:val="auto"/>
          <w:kern w:val="0"/>
          <w:sz w:val="24"/>
          <w:highlight w:val="none"/>
        </w:rPr>
      </w:pPr>
    </w:p>
    <w:p w14:paraId="7F0A13E4">
      <w:pPr>
        <w:shd w:val="clear" w:color="auto"/>
        <w:autoSpaceDE w:val="0"/>
        <w:autoSpaceDN w:val="0"/>
        <w:adjustRightInd w:val="0"/>
        <w:spacing w:line="360" w:lineRule="auto"/>
        <w:jc w:val="left"/>
        <w:rPr>
          <w:rFonts w:hint="eastAsia" w:ascii="仿宋_GB2312" w:hAnsi="Times New Roman" w:eastAsia="仿宋_GB2312" w:cs="宋体"/>
          <w:color w:val="auto"/>
          <w:kern w:val="0"/>
          <w:sz w:val="24"/>
          <w:highlight w:val="none"/>
        </w:rPr>
      </w:pPr>
    </w:p>
    <w:p w14:paraId="0F491579">
      <w:pPr>
        <w:shd w:val="clear" w:color="auto"/>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17A32006">
      <w:pPr>
        <w:shd w:val="clear" w:color="auto"/>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14:paraId="2905DE43">
      <w:pPr>
        <w:shd w:val="clear" w:color="auto"/>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66244F40">
      <w:pPr>
        <w:shd w:val="clear" w:color="auto"/>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630176A2">
      <w:pPr>
        <w:shd w:val="clear" w:color="auto"/>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pPr>
    </w:p>
    <w:p w14:paraId="05D872D1">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t>八、符合特定资格条件（如果项目要求）的有关证明材料（复印件）</w:t>
      </w:r>
    </w:p>
    <w:p w14:paraId="6C0683AC">
      <w:pPr>
        <w:shd w:val="clear" w:color="auto"/>
        <w:snapToGrid w:val="0"/>
        <w:spacing w:line="360" w:lineRule="auto"/>
        <w:ind w:firstLine="600" w:firstLineChars="200"/>
        <w:rPr>
          <w:rFonts w:ascii="仿宋" w:hAnsi="仿宋" w:eastAsia="仿宋" w:cs="仿宋_GB2312"/>
          <w:b/>
          <w:color w:val="auto"/>
          <w:sz w:val="30"/>
          <w:szCs w:val="30"/>
          <w:highlight w:val="none"/>
        </w:rPr>
      </w:pPr>
    </w:p>
    <w:p w14:paraId="7D34E45F">
      <w:pPr>
        <w:shd w:val="clear" w:color="auto"/>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14:paraId="4540D08E">
      <w:pPr>
        <w:shd w:val="clear" w:color="auto"/>
        <w:autoSpaceDE w:val="0"/>
        <w:autoSpaceDN w:val="0"/>
        <w:spacing w:line="360" w:lineRule="auto"/>
        <w:ind w:firstLine="6480" w:firstLineChars="2700"/>
        <w:rPr>
          <w:rFonts w:ascii="仿宋_GB2312" w:hAnsi="仿宋" w:eastAsia="仿宋_GB2312" w:cs="仿宋_GB2312"/>
          <w:color w:val="auto"/>
          <w:kern w:val="0"/>
          <w:sz w:val="24"/>
          <w:highlight w:val="none"/>
          <w:lang w:val="zh-CN"/>
        </w:rPr>
        <w:sectPr>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r>
        <w:rPr>
          <w:rFonts w:hint="eastAsia" w:ascii="仿宋_GB2312" w:hAnsi="仿宋" w:eastAsia="仿宋_GB2312" w:cs="仿宋_GB2312"/>
          <w:color w:val="auto"/>
          <w:kern w:val="0"/>
          <w:sz w:val="24"/>
          <w:highlight w:val="none"/>
          <w:lang w:val="zh-CN"/>
        </w:rPr>
        <w:t>日期：  年  月   日</w:t>
      </w:r>
    </w:p>
    <w:p w14:paraId="2530E942">
      <w:pPr>
        <w:pStyle w:val="4"/>
        <w:shd w:val="clear" w:color="auto"/>
        <w:jc w:val="center"/>
        <w:rPr>
          <w:rFonts w:hint="eastAsia" w:ascii="宋体" w:hAnsi="宋体" w:eastAsia="宋体" w:cs="Times New Roman"/>
          <w:b w:val="0"/>
          <w:bCs/>
          <w:color w:val="auto"/>
          <w:highlight w:val="none"/>
        </w:rPr>
      </w:pPr>
      <w:bookmarkStart w:id="69" w:name="_Toc87898660"/>
      <w:bookmarkStart w:id="70" w:name="_Toc80205940"/>
      <w:r>
        <w:rPr>
          <w:rFonts w:hint="eastAsia" w:ascii="宋体" w:hAnsi="宋体" w:eastAsia="宋体" w:cs="Times New Roman"/>
          <w:b w:val="0"/>
          <w:bCs w:val="0"/>
          <w:color w:val="auto"/>
          <w:highlight w:val="none"/>
        </w:rPr>
        <w:t xml:space="preserve">第三节 </w:t>
      </w:r>
      <w:r>
        <w:rPr>
          <w:rFonts w:hint="eastAsia" w:ascii="宋体" w:hAnsi="宋体" w:eastAsia="宋体" w:cs="Times New Roman"/>
          <w:b w:val="0"/>
          <w:bCs/>
          <w:color w:val="auto"/>
          <w:highlight w:val="none"/>
        </w:rPr>
        <w:t>商务技术文件格式</w:t>
      </w:r>
      <w:bookmarkEnd w:id="69"/>
      <w:bookmarkEnd w:id="70"/>
    </w:p>
    <w:p w14:paraId="4E802A87">
      <w:pPr>
        <w:shd w:val="clear" w:color="auto"/>
        <w:snapToGrid w:val="0"/>
        <w:spacing w:before="120" w:beforeLines="50" w:after="5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highlight w:val="none"/>
        </w:rPr>
        <w:t xml:space="preserve">                                                    </w:t>
      </w:r>
      <w:r>
        <w:rPr>
          <w:rFonts w:hint="eastAsia" w:ascii="宋体" w:hAnsi="宋体" w:eastAsia="宋体" w:cs="Times New Roman"/>
          <w:bCs/>
          <w:color w:val="auto"/>
          <w:highlight w:val="none"/>
        </w:rPr>
        <w:t>全流程电子文件</w:t>
      </w:r>
    </w:p>
    <w:p w14:paraId="11C6C067">
      <w:pPr>
        <w:shd w:val="clear" w:color="auto"/>
        <w:snapToGrid w:val="0"/>
        <w:spacing w:before="120" w:beforeLines="50" w:after="50"/>
        <w:rPr>
          <w:rFonts w:hint="eastAsia" w:ascii="宋体" w:hAnsi="宋体" w:eastAsia="宋体" w:cs="Times New Roman"/>
          <w:color w:val="auto"/>
          <w:sz w:val="24"/>
          <w:szCs w:val="20"/>
          <w:highlight w:val="none"/>
        </w:rPr>
      </w:pPr>
    </w:p>
    <w:p w14:paraId="55FB3D84">
      <w:pPr>
        <w:shd w:val="clear" w:color="auto"/>
        <w:snapToGrid w:val="0"/>
        <w:spacing w:before="120" w:beforeLines="50" w:after="50"/>
        <w:rPr>
          <w:rFonts w:hint="eastAsia" w:ascii="宋体" w:hAnsi="宋体" w:eastAsia="宋体" w:cs="Times New Roman"/>
          <w:color w:val="auto"/>
          <w:sz w:val="24"/>
          <w:szCs w:val="20"/>
          <w:highlight w:val="none"/>
        </w:rPr>
      </w:pPr>
    </w:p>
    <w:p w14:paraId="073F88FC">
      <w:pPr>
        <w:shd w:val="clear" w:color="auto"/>
        <w:snapToGrid w:val="0"/>
        <w:spacing w:before="120" w:beforeLines="50" w:after="50"/>
        <w:rPr>
          <w:rFonts w:hint="eastAsia" w:ascii="宋体" w:hAnsi="宋体" w:eastAsia="宋体" w:cs="Times New Roman"/>
          <w:color w:val="auto"/>
          <w:sz w:val="24"/>
          <w:szCs w:val="20"/>
          <w:highlight w:val="none"/>
        </w:rPr>
      </w:pPr>
    </w:p>
    <w:p w14:paraId="480E2FB0">
      <w:pPr>
        <w:shd w:val="clear" w:color="auto"/>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件（封面）</w:t>
      </w:r>
    </w:p>
    <w:p w14:paraId="2628F091">
      <w:pPr>
        <w:shd w:val="clear" w:color="auto"/>
        <w:snapToGrid w:val="0"/>
        <w:spacing w:before="120" w:beforeLines="50" w:after="50"/>
        <w:rPr>
          <w:rFonts w:hint="eastAsia" w:ascii="宋体" w:hAnsi="宋体" w:eastAsia="宋体" w:cs="Times New Roman"/>
          <w:bCs/>
          <w:color w:val="auto"/>
          <w:sz w:val="24"/>
          <w:szCs w:val="20"/>
          <w:highlight w:val="none"/>
        </w:rPr>
      </w:pPr>
    </w:p>
    <w:p w14:paraId="5DBEFD1A">
      <w:pPr>
        <w:shd w:val="clear" w:color="auto"/>
        <w:snapToGrid w:val="0"/>
        <w:spacing w:before="120" w:beforeLines="50" w:after="50"/>
        <w:rPr>
          <w:rFonts w:hint="eastAsia" w:ascii="宋体" w:hAnsi="宋体" w:eastAsia="宋体" w:cs="Times New Roman"/>
          <w:bCs/>
          <w:color w:val="auto"/>
          <w:sz w:val="24"/>
          <w:szCs w:val="20"/>
          <w:highlight w:val="none"/>
        </w:rPr>
      </w:pPr>
    </w:p>
    <w:p w14:paraId="570D4202">
      <w:pPr>
        <w:shd w:val="clear" w:color="auto"/>
        <w:snapToGrid w:val="0"/>
        <w:spacing w:before="120" w:beforeLines="50" w:after="50"/>
        <w:rPr>
          <w:rFonts w:hint="eastAsia" w:ascii="宋体" w:hAnsi="宋体" w:eastAsia="宋体" w:cs="Times New Roman"/>
          <w:bCs/>
          <w:color w:val="auto"/>
          <w:sz w:val="24"/>
          <w:szCs w:val="20"/>
          <w:highlight w:val="none"/>
        </w:rPr>
      </w:pPr>
    </w:p>
    <w:p w14:paraId="23873BDD">
      <w:pPr>
        <w:shd w:val="clear" w:color="auto"/>
        <w:snapToGrid w:val="0"/>
        <w:spacing w:before="120" w:beforeLines="50" w:after="50"/>
        <w:rPr>
          <w:rFonts w:hint="eastAsia" w:ascii="宋体" w:hAnsi="宋体" w:eastAsia="宋体" w:cs="Times New Roman"/>
          <w:bCs/>
          <w:color w:val="auto"/>
          <w:sz w:val="24"/>
          <w:szCs w:val="20"/>
          <w:highlight w:val="none"/>
        </w:rPr>
      </w:pPr>
    </w:p>
    <w:p w14:paraId="28A71210">
      <w:pPr>
        <w:shd w:val="clear" w:color="auto"/>
        <w:snapToGrid w:val="0"/>
        <w:spacing w:before="120" w:beforeLines="50" w:after="50"/>
        <w:rPr>
          <w:rFonts w:hint="eastAsia" w:ascii="宋体" w:hAnsi="宋体" w:eastAsia="宋体" w:cs="Times New Roman"/>
          <w:bCs/>
          <w:color w:val="auto"/>
          <w:sz w:val="24"/>
          <w:szCs w:val="20"/>
          <w:highlight w:val="none"/>
        </w:rPr>
      </w:pPr>
    </w:p>
    <w:p w14:paraId="4F0A6EAE">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p>
    <w:p w14:paraId="1D3E61FD">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p>
    <w:p w14:paraId="2F55671B">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项目编号：</w:t>
      </w:r>
    </w:p>
    <w:p w14:paraId="34CAD637">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14:paraId="38D07E56">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55285286">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p>
    <w:p w14:paraId="0E90CF4F">
      <w:pPr>
        <w:pStyle w:val="8"/>
        <w:shd w:val="clear" w:color="auto"/>
        <w:snapToGrid w:val="0"/>
        <w:spacing w:before="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7CEB4B18">
      <w:pPr>
        <w:pStyle w:val="8"/>
        <w:shd w:val="clear" w:color="auto"/>
        <w:snapToGrid w:val="0"/>
        <w:spacing w:before="50" w:after="50"/>
        <w:ind w:firstLine="720" w:firstLineChars="225"/>
        <w:rPr>
          <w:rFonts w:hint="eastAsia" w:ascii="宋体" w:hAnsi="宋体" w:eastAsia="宋体" w:cs="仿宋_GB2312"/>
          <w:bCs/>
          <w:color w:val="auto"/>
          <w:sz w:val="32"/>
          <w:szCs w:val="32"/>
          <w:highlight w:val="none"/>
        </w:rPr>
      </w:pPr>
    </w:p>
    <w:p w14:paraId="4CD68969">
      <w:pPr>
        <w:pStyle w:val="8"/>
        <w:shd w:val="clear" w:color="auto"/>
        <w:snapToGrid w:val="0"/>
        <w:spacing w:before="50" w:after="50"/>
        <w:ind w:firstLine="720" w:firstLineChars="225"/>
        <w:rPr>
          <w:rFonts w:hint="eastAsia" w:ascii="宋体" w:hAnsi="宋体" w:eastAsia="宋体" w:cs="仿宋_GB2312"/>
          <w:bCs/>
          <w:color w:val="auto"/>
          <w:sz w:val="32"/>
          <w:szCs w:val="32"/>
          <w:highlight w:val="none"/>
        </w:rPr>
      </w:pPr>
    </w:p>
    <w:p w14:paraId="6EAD4FF8">
      <w:pPr>
        <w:pStyle w:val="8"/>
        <w:shd w:val="clear" w:color="auto"/>
        <w:snapToGrid w:val="0"/>
        <w:spacing w:before="50" w:after="50"/>
        <w:ind w:firstLine="1280" w:firstLineChars="400"/>
        <w:rPr>
          <w:rFonts w:hint="eastAsia" w:ascii="宋体" w:hAnsi="宋体" w:eastAsia="宋体" w:cs="仿宋_GB2312"/>
          <w:bCs/>
          <w:color w:val="auto"/>
          <w:sz w:val="32"/>
          <w:szCs w:val="32"/>
          <w:highlight w:val="none"/>
        </w:rPr>
      </w:pPr>
    </w:p>
    <w:p w14:paraId="352C3F51">
      <w:pPr>
        <w:shd w:val="clear" w:color="auto"/>
        <w:snapToGrid w:val="0"/>
        <w:spacing w:before="120"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222C60DC">
      <w:pPr>
        <w:shd w:val="clear" w:color="auto"/>
        <w:snapToGrid w:val="0"/>
        <w:spacing w:before="120" w:beforeLines="50" w:after="50" w:line="360" w:lineRule="auto"/>
        <w:ind w:left="142" w:firstLine="640" w:firstLineChars="200"/>
        <w:jc w:val="left"/>
        <w:rPr>
          <w:rFonts w:ascii="宋体" w:hAnsi="宋体"/>
          <w:b/>
          <w:bCs/>
          <w:color w:val="auto"/>
          <w:sz w:val="32"/>
          <w:szCs w:val="32"/>
          <w:highlight w:val="none"/>
        </w:rPr>
        <w:sectPr>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p>
    <w:p w14:paraId="0C4ED348">
      <w:pPr>
        <w:shd w:val="clear" w:color="auto"/>
        <w:jc w:val="center"/>
        <w:rPr>
          <w:rFonts w:hint="eastAsia" w:ascii="仿宋_GB2312" w:hAnsi="仿宋" w:eastAsia="仿宋_GB2312" w:cs="仿宋_GB2312"/>
          <w:b/>
          <w:color w:val="auto"/>
          <w:kern w:val="0"/>
          <w:sz w:val="28"/>
          <w:szCs w:val="28"/>
          <w:highlight w:val="none"/>
        </w:rPr>
      </w:pPr>
      <w:r>
        <w:rPr>
          <w:rFonts w:hint="eastAsia" w:ascii="仿宋_GB2312" w:hAnsi="仿宋" w:eastAsia="仿宋_GB2312" w:cs="仿宋_GB2312"/>
          <w:b/>
          <w:color w:val="auto"/>
          <w:kern w:val="0"/>
          <w:sz w:val="28"/>
          <w:szCs w:val="28"/>
          <w:highlight w:val="none"/>
        </w:rPr>
        <w:t>商务技术文件目录</w:t>
      </w:r>
    </w:p>
    <w:p w14:paraId="5B708EEC">
      <w:pPr>
        <w:shd w:val="clear" w:color="auto"/>
        <w:jc w:val="center"/>
        <w:rPr>
          <w:rFonts w:hint="eastAsia" w:ascii="仿宋_GB2312" w:hAnsi="仿宋" w:eastAsia="仿宋_GB2312" w:cs="仿宋_GB2312"/>
          <w:b/>
          <w:color w:val="auto"/>
          <w:kern w:val="0"/>
          <w:sz w:val="28"/>
          <w:szCs w:val="28"/>
          <w:highlight w:val="none"/>
        </w:rPr>
      </w:pPr>
    </w:p>
    <w:p w14:paraId="7F36C553">
      <w:pPr>
        <w:pStyle w:val="74"/>
        <w:shd w:val="clear" w:color="auto"/>
        <w:spacing w:line="360" w:lineRule="auto"/>
        <w:rPr>
          <w:rFonts w:hint="eastAsia" w:cs="仿宋_GB2312"/>
          <w:color w:val="auto"/>
          <w:highlight w:val="none"/>
        </w:rPr>
      </w:pPr>
      <w:r>
        <w:rPr>
          <w:rFonts w:hint="eastAsia" w:cs="仿宋_GB2312"/>
          <w:color w:val="auto"/>
          <w:highlight w:val="none"/>
        </w:rPr>
        <w:t>一、无串标行为承诺函………………………………………………………（页码）</w:t>
      </w:r>
    </w:p>
    <w:p w14:paraId="33275FAF">
      <w:pPr>
        <w:pStyle w:val="74"/>
        <w:shd w:val="clear" w:color="auto"/>
        <w:spacing w:line="360" w:lineRule="auto"/>
        <w:rPr>
          <w:rFonts w:hint="eastAsia" w:cs="仿宋_GB2312"/>
          <w:color w:val="auto"/>
          <w:highlight w:val="none"/>
        </w:rPr>
      </w:pPr>
      <w:r>
        <w:rPr>
          <w:rFonts w:hint="eastAsia" w:cs="仿宋_GB2312"/>
          <w:color w:val="auto"/>
          <w:highlight w:val="none"/>
        </w:rPr>
        <w:t>二、法定代表人身份证明及法定代表人有效身份证正反面复印件………（页码）</w:t>
      </w:r>
    </w:p>
    <w:p w14:paraId="487F6568">
      <w:pPr>
        <w:pStyle w:val="74"/>
        <w:shd w:val="clear" w:color="auto"/>
        <w:spacing w:line="360" w:lineRule="auto"/>
        <w:rPr>
          <w:rFonts w:cs="仿宋_GB2312"/>
          <w:color w:val="auto"/>
          <w:highlight w:val="none"/>
        </w:rPr>
      </w:pPr>
      <w:r>
        <w:rPr>
          <w:rFonts w:hint="eastAsia" w:cs="仿宋_GB2312"/>
          <w:color w:val="auto"/>
          <w:highlight w:val="none"/>
        </w:rPr>
        <w:t>三、法定代表人授权委托书（如有委托时）………………………………（页码）</w:t>
      </w:r>
    </w:p>
    <w:p w14:paraId="3ECE6339">
      <w:pPr>
        <w:pStyle w:val="74"/>
        <w:shd w:val="clear" w:color="auto"/>
        <w:spacing w:line="360" w:lineRule="auto"/>
        <w:rPr>
          <w:rFonts w:cs="仿宋_GB2312"/>
          <w:color w:val="auto"/>
          <w:highlight w:val="none"/>
        </w:rPr>
      </w:pPr>
      <w:r>
        <w:rPr>
          <w:rFonts w:hint="eastAsia" w:cs="仿宋_GB2312"/>
          <w:color w:val="auto"/>
          <w:highlight w:val="none"/>
        </w:rPr>
        <w:t>四、商务条款偏离表…………………………………………………………（页码）</w:t>
      </w:r>
    </w:p>
    <w:p w14:paraId="1ED6CA25">
      <w:pPr>
        <w:pStyle w:val="74"/>
        <w:shd w:val="clear" w:color="auto"/>
        <w:spacing w:line="360" w:lineRule="auto"/>
        <w:rPr>
          <w:rFonts w:hint="eastAsia" w:cs="仿宋_GB2312"/>
          <w:color w:val="auto"/>
          <w:highlight w:val="none"/>
        </w:rPr>
      </w:pPr>
      <w:r>
        <w:rPr>
          <w:rFonts w:hint="eastAsia" w:cs="仿宋_GB2312"/>
          <w:color w:val="auto"/>
          <w:highlight w:val="none"/>
        </w:rPr>
        <w:t>五、</w:t>
      </w:r>
      <w:r>
        <w:rPr>
          <w:rFonts w:hint="eastAsia" w:cs="仿宋_GB2312"/>
          <w:color w:val="auto"/>
          <w:highlight w:val="none"/>
          <w:lang w:val="en-US" w:eastAsia="zh-CN"/>
        </w:rPr>
        <w:t>技术需求</w:t>
      </w:r>
      <w:r>
        <w:rPr>
          <w:rFonts w:hint="eastAsia" w:cs="仿宋_GB2312"/>
          <w:color w:val="auto"/>
          <w:highlight w:val="none"/>
        </w:rPr>
        <w:t>偏离表…………………………………………………………（页码）</w:t>
      </w:r>
    </w:p>
    <w:p w14:paraId="4B8877E9">
      <w:pPr>
        <w:pStyle w:val="74"/>
        <w:shd w:val="clear" w:color="auto"/>
        <w:spacing w:line="360" w:lineRule="auto"/>
        <w:rPr>
          <w:rFonts w:hint="eastAsia" w:cs="仿宋_GB2312"/>
          <w:color w:val="auto"/>
          <w:highlight w:val="none"/>
        </w:rPr>
      </w:pPr>
      <w:r>
        <w:rPr>
          <w:rFonts w:hint="eastAsia" w:cs="仿宋_GB2312"/>
          <w:color w:val="auto"/>
          <w:highlight w:val="none"/>
          <w:lang w:val="en-US" w:eastAsia="zh-CN"/>
        </w:rPr>
        <w:t>六、</w:t>
      </w:r>
      <w:r>
        <w:rPr>
          <w:rFonts w:hint="eastAsia" w:cs="仿宋_GB2312"/>
          <w:color w:val="auto"/>
          <w:highlight w:val="none"/>
        </w:rPr>
        <w:t>企业概况表………………………………………………………………（页码）</w:t>
      </w:r>
    </w:p>
    <w:p w14:paraId="18FBBA07">
      <w:pPr>
        <w:pStyle w:val="74"/>
        <w:shd w:val="clear" w:color="auto"/>
        <w:spacing w:line="360" w:lineRule="auto"/>
        <w:rPr>
          <w:rFonts w:hint="eastAsia" w:cs="仿宋_GB2312"/>
          <w:color w:val="auto"/>
          <w:highlight w:val="none"/>
        </w:rPr>
      </w:pPr>
      <w:r>
        <w:rPr>
          <w:rFonts w:hint="eastAsia" w:cs="仿宋_GB2312"/>
          <w:color w:val="auto"/>
          <w:highlight w:val="none"/>
          <w:lang w:val="en-US" w:eastAsia="zh-CN"/>
        </w:rPr>
        <w:t>七</w:t>
      </w:r>
      <w:r>
        <w:rPr>
          <w:rFonts w:hint="eastAsia" w:cs="仿宋_GB2312"/>
          <w:color w:val="auto"/>
          <w:highlight w:val="none"/>
        </w:rPr>
        <w:t>、近三年来施工企业承建的项目竣工工程情况表………………………（页码）</w:t>
      </w:r>
    </w:p>
    <w:p w14:paraId="54C99C6B">
      <w:pPr>
        <w:pStyle w:val="74"/>
        <w:shd w:val="clear" w:color="auto"/>
        <w:spacing w:line="360" w:lineRule="auto"/>
        <w:rPr>
          <w:rFonts w:hint="eastAsia" w:cs="仿宋_GB2312"/>
          <w:color w:val="auto"/>
          <w:highlight w:val="none"/>
        </w:rPr>
      </w:pPr>
      <w:r>
        <w:rPr>
          <w:rFonts w:hint="eastAsia" w:cs="仿宋_GB2312"/>
          <w:color w:val="auto"/>
          <w:highlight w:val="none"/>
          <w:lang w:val="en-US" w:eastAsia="zh-CN"/>
        </w:rPr>
        <w:t>八</w:t>
      </w:r>
      <w:r>
        <w:rPr>
          <w:rFonts w:hint="eastAsia" w:cs="仿宋_GB2312"/>
          <w:color w:val="auto"/>
          <w:highlight w:val="none"/>
        </w:rPr>
        <w:t>、项目经理（或建造师）简历表…………………………………………（页码）</w:t>
      </w:r>
    </w:p>
    <w:p w14:paraId="76D80A32">
      <w:pPr>
        <w:pStyle w:val="74"/>
        <w:shd w:val="clear" w:color="auto"/>
        <w:spacing w:line="360" w:lineRule="auto"/>
        <w:rPr>
          <w:rFonts w:hint="eastAsia" w:cs="仿宋_GB2312"/>
          <w:color w:val="auto"/>
          <w:highlight w:val="none"/>
        </w:rPr>
      </w:pPr>
      <w:r>
        <w:rPr>
          <w:rFonts w:hint="eastAsia" w:cs="仿宋_GB2312"/>
          <w:color w:val="auto"/>
          <w:highlight w:val="none"/>
          <w:lang w:val="en-US" w:eastAsia="zh-CN"/>
        </w:rPr>
        <w:t>九</w:t>
      </w:r>
      <w:r>
        <w:rPr>
          <w:rFonts w:hint="eastAsia" w:cs="仿宋_GB2312"/>
          <w:color w:val="auto"/>
          <w:highlight w:val="none"/>
        </w:rPr>
        <w:t>、主要施工管理人员表……………………………………………………（页码）</w:t>
      </w:r>
    </w:p>
    <w:p w14:paraId="77674A15">
      <w:pPr>
        <w:pStyle w:val="74"/>
        <w:shd w:val="clear" w:color="auto"/>
        <w:spacing w:line="360" w:lineRule="auto"/>
        <w:rPr>
          <w:rFonts w:hint="eastAsia" w:cs="仿宋_GB2312"/>
          <w:color w:val="auto"/>
          <w:highlight w:val="none"/>
        </w:rPr>
      </w:pPr>
      <w:r>
        <w:rPr>
          <w:rFonts w:hint="eastAsia" w:cs="仿宋_GB2312"/>
          <w:color w:val="auto"/>
          <w:highlight w:val="none"/>
          <w:lang w:val="en-US" w:eastAsia="zh-CN"/>
        </w:rPr>
        <w:t>十</w:t>
      </w:r>
      <w:r>
        <w:rPr>
          <w:rFonts w:hint="eastAsia" w:cs="仿宋_GB2312"/>
          <w:color w:val="auto"/>
          <w:highlight w:val="none"/>
        </w:rPr>
        <w:t>、施工组织设计……………………………………………………………（页码）</w:t>
      </w:r>
    </w:p>
    <w:p w14:paraId="2D732D73">
      <w:pPr>
        <w:pStyle w:val="74"/>
        <w:shd w:val="clear" w:color="auto"/>
        <w:spacing w:line="360" w:lineRule="auto"/>
        <w:rPr>
          <w:rFonts w:hint="eastAsia" w:cs="仿宋_GB2312"/>
          <w:color w:val="auto"/>
          <w:highlight w:val="none"/>
        </w:rPr>
      </w:pPr>
      <w:r>
        <w:rPr>
          <w:rFonts w:hint="eastAsia" w:cs="仿宋_GB2312"/>
          <w:color w:val="auto"/>
          <w:highlight w:val="none"/>
        </w:rPr>
        <w:t>十</w:t>
      </w:r>
      <w:r>
        <w:rPr>
          <w:rFonts w:hint="eastAsia" w:cs="仿宋_GB2312"/>
          <w:color w:val="auto"/>
          <w:highlight w:val="none"/>
          <w:lang w:val="en-US" w:eastAsia="zh-CN"/>
        </w:rPr>
        <w:t>一</w:t>
      </w:r>
      <w:r>
        <w:rPr>
          <w:rFonts w:hint="eastAsia" w:cs="仿宋_GB2312"/>
          <w:color w:val="auto"/>
          <w:highlight w:val="none"/>
        </w:rPr>
        <w:t>、按本竞争性磋商文件规定提交的其它资料</w:t>
      </w:r>
      <w:r>
        <w:rPr>
          <w:rFonts w:hint="eastAsia" w:cs="仿宋_GB2312"/>
          <w:color w:val="auto"/>
          <w:highlight w:val="none"/>
          <w:lang w:val="zh-CN"/>
        </w:rPr>
        <w:t>…………………</w:t>
      </w:r>
      <w:r>
        <w:rPr>
          <w:rFonts w:hint="eastAsia" w:cs="仿宋_GB2312"/>
          <w:color w:val="auto"/>
          <w:highlight w:val="none"/>
        </w:rPr>
        <w:t>………（页码）</w:t>
      </w:r>
    </w:p>
    <w:p w14:paraId="5551345B">
      <w:pPr>
        <w:shd w:val="clear" w:color="auto"/>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注：以上目录是基本格式要求，各供应商可根据自身情况进一步向下增加内容或细化。</w:t>
      </w:r>
    </w:p>
    <w:p w14:paraId="3E990FEF">
      <w:pPr>
        <w:shd w:val="clear" w:color="auto"/>
        <w:spacing w:line="400" w:lineRule="exact"/>
        <w:rPr>
          <w:rFonts w:hint="eastAsia" w:ascii="仿宋_GB2312" w:hAnsi="仿宋_GB2312" w:eastAsia="仿宋_GB2312" w:cs="仿宋_GB2312"/>
          <w:color w:val="auto"/>
          <w:sz w:val="32"/>
          <w:szCs w:val="32"/>
          <w:highlight w:val="none"/>
        </w:rPr>
      </w:pPr>
    </w:p>
    <w:p w14:paraId="47EA14E4">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方正小标宋简体" w:hAnsi="方正小标宋简体" w:eastAsia="方正小标宋简体" w:cs="方正小标宋简体"/>
          <w:color w:val="auto"/>
          <w:kern w:val="0"/>
          <w:sz w:val="44"/>
          <w:szCs w:val="44"/>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一、无串标行为承诺函</w:t>
      </w:r>
    </w:p>
    <w:p w14:paraId="14B9A634">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520" w:lineRule="exact"/>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无串通竞标行为的承诺函</w:t>
      </w:r>
    </w:p>
    <w:p w14:paraId="749D491C">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b/>
          <w:bCs/>
          <w:color w:val="auto"/>
          <w:sz w:val="24"/>
          <w:highlight w:val="none"/>
        </w:rPr>
      </w:pPr>
      <w:r>
        <w:rPr>
          <w:rFonts w:hint="eastAsia" w:ascii="宋体" w:hAnsi="宋体" w:eastAsia="宋体" w:cs="仿宋_GB2312"/>
          <w:b/>
          <w:bCs/>
          <w:color w:val="auto"/>
          <w:sz w:val="24"/>
          <w:highlight w:val="none"/>
        </w:rPr>
        <w:t>一、我方承诺无下列相互串通竞标的情形：</w:t>
      </w:r>
    </w:p>
    <w:p w14:paraId="1F858E3B">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 xml:space="preserve">1.不同供应商的响应文件由同一单位或者个人编制； </w:t>
      </w:r>
    </w:p>
    <w:p w14:paraId="1E095678">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2.不同供应商委托同一单位或者个人办理竞标事宜；</w:t>
      </w:r>
    </w:p>
    <w:p w14:paraId="553BFB7B">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3.不同供应商的响应文件载明的项目管理员为同一个人；</w:t>
      </w:r>
    </w:p>
    <w:p w14:paraId="77EA5E74">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4.不</w:t>
      </w:r>
      <w:r>
        <w:rPr>
          <w:rFonts w:hint="eastAsia" w:ascii="宋体" w:hAnsi="宋体" w:eastAsia="宋体" w:cs="仿宋_GB2312"/>
          <w:color w:val="auto"/>
          <w:spacing w:val="-6"/>
          <w:sz w:val="24"/>
          <w:highlight w:val="none"/>
        </w:rPr>
        <w:t>同供应商的响应文件异常一致或者响应报价呈规律性差异；</w:t>
      </w:r>
    </w:p>
    <w:p w14:paraId="7F0A6857">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5.不同供应商的响应文件相互混装；</w:t>
      </w:r>
    </w:p>
    <w:p w14:paraId="02E46438">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6.不同供应商的磋商保证金从同一单位或者个人账户转出。</w:t>
      </w:r>
    </w:p>
    <w:p w14:paraId="764815B8">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b/>
          <w:bCs/>
          <w:color w:val="auto"/>
          <w:sz w:val="24"/>
          <w:highlight w:val="none"/>
        </w:rPr>
      </w:pPr>
      <w:r>
        <w:rPr>
          <w:rFonts w:hint="eastAsia" w:ascii="宋体" w:hAnsi="宋体" w:eastAsia="宋体" w:cs="仿宋_GB2312"/>
          <w:b/>
          <w:bCs/>
          <w:color w:val="auto"/>
          <w:sz w:val="24"/>
          <w:highlight w:val="none"/>
        </w:rPr>
        <w:t>二、我方承诺无下列恶意串通的情形：</w:t>
      </w:r>
    </w:p>
    <w:p w14:paraId="7066B7D3">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1.供应商直接或者间接从采购人或者采购代理机构处获得其他供应商的相关信息并修改其响应文件；</w:t>
      </w:r>
    </w:p>
    <w:p w14:paraId="2711F8E0">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2.供应商按照采购人或者采购代理机构的授意撤换、修改响应文件；</w:t>
      </w:r>
    </w:p>
    <w:p w14:paraId="5B4FC93A">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3.供</w:t>
      </w:r>
      <w:r>
        <w:rPr>
          <w:rFonts w:hint="eastAsia" w:ascii="宋体" w:hAnsi="宋体" w:eastAsia="宋体" w:cs="仿宋_GB2312"/>
          <w:color w:val="auto"/>
          <w:spacing w:val="-6"/>
          <w:sz w:val="24"/>
          <w:highlight w:val="none"/>
        </w:rPr>
        <w:t>应商之间协商报价、技术方案等响应文件的实质性内容；</w:t>
      </w:r>
    </w:p>
    <w:p w14:paraId="119CAED5">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4.属于同一集团、协会、商会等组织成员的供应商按照该组织要求协同参加政府采购活动；</w:t>
      </w:r>
    </w:p>
    <w:p w14:paraId="3AE7F66C">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79E048FA">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6.供应商之间商定部分供应商放弃参加政府采购活动或者放弃成交；</w:t>
      </w:r>
    </w:p>
    <w:p w14:paraId="114EC26D">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7.供应商与采购人或者采购代理机构之间、供应商相互之间，为</w:t>
      </w:r>
      <w:r>
        <w:rPr>
          <w:rFonts w:hint="eastAsia" w:ascii="宋体" w:hAnsi="宋体" w:eastAsia="宋体" w:cs="仿宋_GB2312"/>
          <w:color w:val="auto"/>
          <w:spacing w:val="-6"/>
          <w:sz w:val="24"/>
          <w:highlight w:val="none"/>
        </w:rPr>
        <w:t>谋求特定供应商成交或者排斥其他供应商的其他串通行为。</w:t>
      </w:r>
    </w:p>
    <w:p w14:paraId="336BC0C4">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b/>
          <w:bCs/>
          <w:color w:val="auto"/>
          <w:sz w:val="24"/>
          <w:highlight w:val="none"/>
        </w:rPr>
      </w:pPr>
    </w:p>
    <w:p w14:paraId="3A290CDF">
      <w:pPr>
        <w:keepNext w:val="0"/>
        <w:keepLines w:val="0"/>
        <w:pageBreakBefore w:val="0"/>
        <w:widowControl w:val="0"/>
        <w:shd w:val="clear" w:color="auto"/>
        <w:kinsoku/>
        <w:wordWrap/>
        <w:overflowPunct/>
        <w:topLinePunct w:val="0"/>
        <w:autoSpaceDE/>
        <w:autoSpaceDN/>
        <w:bidi w:val="0"/>
        <w:adjustRightInd/>
        <w:snapToGrid/>
        <w:spacing w:line="400" w:lineRule="exact"/>
        <w:ind w:firstLine="480" w:firstLineChars="200"/>
        <w:contextualSpacing/>
        <w:textAlignment w:val="auto"/>
        <w:rPr>
          <w:rFonts w:hint="eastAsia" w:ascii="宋体" w:hAnsi="宋体" w:eastAsia="宋体" w:cs="仿宋_GB2312"/>
          <w:b/>
          <w:bCs/>
          <w:color w:val="auto"/>
          <w:sz w:val="24"/>
          <w:highlight w:val="none"/>
        </w:rPr>
      </w:pPr>
      <w:r>
        <w:rPr>
          <w:rFonts w:hint="eastAsia" w:ascii="宋体" w:hAnsi="宋体" w:eastAsia="宋体" w:cs="仿宋_GB2312"/>
          <w:b/>
          <w:bCs/>
          <w:color w:val="auto"/>
          <w:sz w:val="24"/>
          <w:highlight w:val="none"/>
        </w:rPr>
        <w:t>以上情形一经核查属实，我方愿意承担一切后果，并不再寻求任何旨在减轻或者免除法律责任的辩解。</w:t>
      </w:r>
    </w:p>
    <w:p w14:paraId="7B2098CD">
      <w:pPr>
        <w:pStyle w:val="94"/>
        <w:shd w:val="clear" w:color="auto"/>
        <w:rPr>
          <w:rFonts w:hint="eastAsia"/>
          <w:color w:val="auto"/>
          <w:highlight w:val="none"/>
        </w:rPr>
      </w:pPr>
    </w:p>
    <w:p w14:paraId="4420C494">
      <w:pPr>
        <w:pStyle w:val="94"/>
        <w:shd w:val="clear" w:color="auto"/>
        <w:rPr>
          <w:rFonts w:hint="eastAsia"/>
          <w:color w:val="auto"/>
          <w:highlight w:val="none"/>
        </w:rPr>
      </w:pPr>
    </w:p>
    <w:p w14:paraId="2A82E97F">
      <w:pPr>
        <w:keepNext w:val="0"/>
        <w:keepLines w:val="0"/>
        <w:pageBreakBefore w:val="0"/>
        <w:widowControl w:val="0"/>
        <w:shd w:val="clear" w:color="auto"/>
        <w:kinsoku/>
        <w:wordWrap w:val="0"/>
        <w:overflowPunct/>
        <w:topLinePunct w:val="0"/>
        <w:autoSpaceDE w:val="0"/>
        <w:autoSpaceDN w:val="0"/>
        <w:bidi w:val="0"/>
        <w:adjustRightInd/>
        <w:snapToGrid/>
        <w:spacing w:line="400" w:lineRule="exact"/>
        <w:ind w:left="0" w:leftChars="0" w:firstLine="0" w:firstLineChars="0"/>
        <w:jc w:val="righ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供应商名称（电子签章）：</w:t>
      </w:r>
      <w:r>
        <w:rPr>
          <w:rFonts w:hint="eastAsia" w:ascii="宋体" w:hAnsi="宋体" w:eastAsia="宋体" w:cs="宋体"/>
          <w:color w:val="auto"/>
          <w:kern w:val="0"/>
          <w:sz w:val="24"/>
          <w:szCs w:val="24"/>
          <w:highlight w:val="none"/>
          <w:lang w:val="en-US" w:eastAsia="zh-CN"/>
        </w:rPr>
        <w:t xml:space="preserve">            </w:t>
      </w:r>
    </w:p>
    <w:p w14:paraId="31E4BAAC">
      <w:pPr>
        <w:pStyle w:val="94"/>
        <w:shd w:val="clear" w:color="auto"/>
        <w:wordWrap/>
        <w:rPr>
          <w:rFonts w:hint="eastAsia"/>
          <w:color w:val="auto"/>
          <w:highlight w:val="none"/>
          <w:lang w:val="en-US" w:eastAsia="zh-CN"/>
        </w:rPr>
      </w:pPr>
    </w:p>
    <w:p w14:paraId="240C2534">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right"/>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日期：  年  月   日</w:t>
      </w:r>
    </w:p>
    <w:p w14:paraId="42F7D305">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right"/>
        <w:textAlignment w:val="auto"/>
        <w:rPr>
          <w:rFonts w:hint="eastAsia" w:ascii="宋体" w:hAnsi="宋体" w:eastAsia="宋体" w:cs="宋体"/>
          <w:color w:val="auto"/>
          <w:kern w:val="0"/>
          <w:sz w:val="24"/>
          <w:szCs w:val="24"/>
          <w:highlight w:val="none"/>
          <w:lang w:val="zh-CN" w:eastAsia="zh-CN" w:bidi="ar-SA"/>
        </w:rPr>
      </w:pPr>
    </w:p>
    <w:p w14:paraId="3CEBC031">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宋体" w:hAnsi="宋体" w:eastAsia="宋体" w:cs="宋体"/>
          <w:color w:val="auto"/>
          <w:kern w:val="0"/>
          <w:sz w:val="24"/>
          <w:szCs w:val="24"/>
          <w:highlight w:val="none"/>
          <w:lang w:val="zh-CN" w:eastAsia="zh-CN" w:bidi="ar-SA"/>
        </w:rPr>
        <w:br w:type="page"/>
      </w:r>
      <w:r>
        <w:rPr>
          <w:rFonts w:hint="eastAsia" w:ascii="仿宋" w:hAnsi="仿宋" w:eastAsia="仿宋" w:cs="仿宋_GB2312"/>
          <w:b/>
          <w:color w:val="auto"/>
          <w:kern w:val="0"/>
          <w:sz w:val="28"/>
          <w:szCs w:val="28"/>
          <w:highlight w:val="none"/>
          <w:lang w:val="en-US" w:eastAsia="zh-CN" w:bidi="ar-SA"/>
        </w:rPr>
        <w:t>二、法定代表人身份证明及法定代表人有效身份证正反面复印件</w:t>
      </w:r>
    </w:p>
    <w:p w14:paraId="0E8A0565">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520" w:lineRule="exact"/>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法定代表人证明书</w:t>
      </w:r>
    </w:p>
    <w:p w14:paraId="4176270A">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供应商名称：</w:t>
      </w:r>
      <w:r>
        <w:rPr>
          <w:rFonts w:hint="eastAsia" w:ascii="宋体" w:hAnsi="宋体" w:eastAsia="宋体" w:cs="仿宋_GB2312"/>
          <w:color w:val="auto"/>
          <w:sz w:val="24"/>
          <w:highlight w:val="none"/>
          <w:u w:val="single"/>
        </w:rPr>
        <w:t xml:space="preserve">                                         </w:t>
      </w:r>
    </w:p>
    <w:p w14:paraId="0AA2D96F">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地    址：</w:t>
      </w:r>
      <w:r>
        <w:rPr>
          <w:rFonts w:hint="eastAsia" w:ascii="宋体" w:hAnsi="宋体" w:eastAsia="宋体" w:cs="仿宋_GB2312"/>
          <w:color w:val="auto"/>
          <w:sz w:val="24"/>
          <w:highlight w:val="none"/>
          <w:u w:val="single"/>
        </w:rPr>
        <w:t xml:space="preserve">                                           </w:t>
      </w:r>
    </w:p>
    <w:p w14:paraId="1433E281">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姓    名：</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性     别：</w:t>
      </w:r>
      <w:r>
        <w:rPr>
          <w:rFonts w:hint="eastAsia" w:ascii="宋体" w:hAnsi="宋体" w:eastAsia="宋体" w:cs="仿宋_GB2312"/>
          <w:color w:val="auto"/>
          <w:sz w:val="24"/>
          <w:highlight w:val="none"/>
          <w:u w:val="single"/>
        </w:rPr>
        <w:t xml:space="preserve">                </w:t>
      </w:r>
    </w:p>
    <w:p w14:paraId="2A630FC8">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仿宋_GB2312"/>
          <w:color w:val="auto"/>
          <w:sz w:val="24"/>
          <w:highlight w:val="none"/>
          <w:u w:val="single"/>
        </w:rPr>
      </w:pPr>
      <w:r>
        <w:rPr>
          <w:rFonts w:hint="eastAsia" w:ascii="宋体" w:hAnsi="宋体" w:eastAsia="宋体" w:cs="仿宋_GB2312"/>
          <w:color w:val="auto"/>
          <w:sz w:val="24"/>
          <w:highlight w:val="none"/>
        </w:rPr>
        <w:t>年    龄：</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职     务：</w:t>
      </w:r>
      <w:r>
        <w:rPr>
          <w:rFonts w:hint="eastAsia" w:ascii="宋体" w:hAnsi="宋体" w:eastAsia="宋体" w:cs="仿宋_GB2312"/>
          <w:color w:val="auto"/>
          <w:sz w:val="24"/>
          <w:highlight w:val="none"/>
          <w:u w:val="single"/>
        </w:rPr>
        <w:t xml:space="preserve">                </w:t>
      </w:r>
    </w:p>
    <w:p w14:paraId="78E6D95C">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身份证号码：</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u w:val="single"/>
          <w:lang w:val="en-US" w:eastAsia="zh-CN"/>
        </w:rPr>
        <w:t xml:space="preserve"> </w:t>
      </w:r>
      <w:r>
        <w:rPr>
          <w:rFonts w:hint="eastAsia" w:ascii="宋体" w:hAnsi="宋体" w:eastAsia="宋体" w:cs="仿宋_GB2312"/>
          <w:color w:val="auto"/>
          <w:sz w:val="24"/>
          <w:highlight w:val="none"/>
          <w:u w:val="single"/>
        </w:rPr>
        <w:t xml:space="preserve">           </w:t>
      </w:r>
    </w:p>
    <w:p w14:paraId="61488EDB">
      <w:pPr>
        <w:keepNext w:val="0"/>
        <w:keepLines w:val="0"/>
        <w:pageBreakBefore w:val="0"/>
        <w:widowControl w:val="0"/>
        <w:shd w:val="clear" w:color="auto"/>
        <w:kinsoku/>
        <w:wordWrap/>
        <w:overflowPunct/>
        <w:topLinePunct w:val="0"/>
        <w:bidi w:val="0"/>
        <w:adjustRightInd/>
        <w:snapToGrid/>
        <w:spacing w:line="440" w:lineRule="exact"/>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系</w:t>
      </w:r>
      <w:r>
        <w:rPr>
          <w:rFonts w:hint="eastAsia" w:ascii="宋体" w:hAnsi="宋体" w:eastAsia="宋体" w:cs="仿宋_GB2312"/>
          <w:color w:val="auto"/>
          <w:sz w:val="24"/>
          <w:highlight w:val="none"/>
          <w:u w:val="single"/>
        </w:rPr>
        <w:t>（供应商名称）</w:t>
      </w:r>
      <w:r>
        <w:rPr>
          <w:rFonts w:hint="eastAsia" w:ascii="宋体" w:hAnsi="宋体" w:eastAsia="宋体" w:cs="仿宋_GB2312"/>
          <w:color w:val="auto"/>
          <w:sz w:val="24"/>
          <w:highlight w:val="none"/>
        </w:rPr>
        <w:t>的法定代表人。</w:t>
      </w:r>
    </w:p>
    <w:p w14:paraId="417D6445">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特此证明。</w:t>
      </w:r>
    </w:p>
    <w:p w14:paraId="7A58688A">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仿宋_GB2312"/>
          <w:color w:val="auto"/>
          <w:sz w:val="24"/>
          <w:highlight w:val="none"/>
        </w:rPr>
      </w:pPr>
    </w:p>
    <w:p w14:paraId="1A3D9D8C">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仿宋_GB2312"/>
          <w:color w:val="auto"/>
          <w:sz w:val="24"/>
          <w:highlight w:val="none"/>
        </w:rPr>
      </w:pPr>
    </w:p>
    <w:p w14:paraId="26A8576B">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仿宋_GB2312"/>
          <w:color w:val="auto"/>
          <w:sz w:val="24"/>
          <w:highlight w:val="none"/>
        </w:rPr>
      </w:pPr>
    </w:p>
    <w:p w14:paraId="3E663326">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附件：法定代表人有效身份证正反面复印件</w:t>
      </w:r>
    </w:p>
    <w:p w14:paraId="0954E73C">
      <w:pPr>
        <w:keepNext w:val="0"/>
        <w:keepLines w:val="0"/>
        <w:pageBreakBefore w:val="0"/>
        <w:widowControl w:val="0"/>
        <w:shd w:val="clear" w:color="auto"/>
        <w:kinsoku/>
        <w:wordWrap/>
        <w:overflowPunct/>
        <w:topLinePunct w:val="0"/>
        <w:bidi w:val="0"/>
        <w:adjustRightInd/>
        <w:snapToGrid/>
        <w:spacing w:line="440" w:lineRule="exact"/>
        <w:ind w:left="540"/>
        <w:contextualSpacing/>
        <w:textAlignment w:val="auto"/>
        <w:rPr>
          <w:rFonts w:hint="eastAsia" w:ascii="宋体" w:hAnsi="宋体" w:eastAsia="宋体" w:cs="宋体"/>
          <w:color w:val="auto"/>
          <w:sz w:val="24"/>
          <w:highlight w:val="none"/>
        </w:rPr>
      </w:pPr>
    </w:p>
    <w:p w14:paraId="1370DD68">
      <w:pPr>
        <w:keepNext w:val="0"/>
        <w:keepLines w:val="0"/>
        <w:pageBreakBefore w:val="0"/>
        <w:widowControl w:val="0"/>
        <w:shd w:val="clear" w:color="auto"/>
        <w:kinsoku/>
        <w:wordWrap/>
        <w:overflowPunct/>
        <w:topLinePunct w:val="0"/>
        <w:autoSpaceDE w:val="0"/>
        <w:autoSpaceDN w:val="0"/>
        <w:bidi w:val="0"/>
        <w:adjustRightInd/>
        <w:snapToGrid/>
        <w:spacing w:line="440" w:lineRule="exact"/>
        <w:ind w:left="4335" w:leftChars="1950" w:hanging="240" w:hangingChars="1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62B5906">
      <w:pPr>
        <w:keepNext w:val="0"/>
        <w:keepLines w:val="0"/>
        <w:pageBreakBefore w:val="0"/>
        <w:widowControl w:val="0"/>
        <w:shd w:val="clear" w:color="auto"/>
        <w:kinsoku/>
        <w:wordWrap/>
        <w:overflowPunct/>
        <w:topLinePunct w:val="0"/>
        <w:bidi w:val="0"/>
        <w:adjustRightInd/>
        <w:snapToGrid/>
        <w:spacing w:line="440" w:lineRule="exact"/>
        <w:contextualSpacing/>
        <w:jc w:val="center"/>
        <w:textAlignment w:val="auto"/>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316A550D">
      <w:pPr>
        <w:shd w:val="clear" w:color="auto"/>
        <w:spacing w:line="360" w:lineRule="auto"/>
        <w:contextualSpacing/>
        <w:jc w:val="left"/>
        <w:rPr>
          <w:rFonts w:hint="eastAsia" w:ascii="宋体" w:hAnsi="宋体" w:eastAsia="宋体" w:cs="仿宋_GB2312"/>
          <w:color w:val="auto"/>
          <w:sz w:val="24"/>
          <w:highlight w:val="none"/>
        </w:rPr>
      </w:pPr>
    </w:p>
    <w:p w14:paraId="08C4F8A0">
      <w:pPr>
        <w:shd w:val="clear" w:color="auto"/>
        <w:spacing w:line="360" w:lineRule="auto"/>
        <w:contextualSpacing/>
        <w:jc w:val="left"/>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注：1</w:t>
      </w:r>
      <w:r>
        <w:rPr>
          <w:rFonts w:ascii="宋体" w:hAnsi="宋体" w:eastAsia="宋体" w:cs="仿宋_GB2312"/>
          <w:color w:val="auto"/>
          <w:sz w:val="21"/>
          <w:szCs w:val="21"/>
          <w:highlight w:val="none"/>
        </w:rPr>
        <w:t>.</w:t>
      </w:r>
      <w:r>
        <w:rPr>
          <w:rFonts w:hint="eastAsia" w:ascii="宋体" w:hAnsi="宋体" w:eastAsia="宋体" w:cs="仿宋_GB2312"/>
          <w:color w:val="auto"/>
          <w:sz w:val="21"/>
          <w:szCs w:val="21"/>
          <w:highlight w:val="none"/>
        </w:rPr>
        <w:t>自然人竞标的无需提供，联合体竞标的只需牵头人出具。</w:t>
      </w:r>
    </w:p>
    <w:p w14:paraId="47D04B6B">
      <w:pPr>
        <w:shd w:val="clear" w:color="auto"/>
        <w:spacing w:line="360" w:lineRule="auto"/>
        <w:ind w:firstLine="420" w:firstLineChars="200"/>
        <w:contextualSpacing/>
        <w:jc w:val="left"/>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w:t>
      </w:r>
      <w:r>
        <w:rPr>
          <w:rFonts w:ascii="宋体" w:hAnsi="宋体" w:eastAsia="宋体" w:cs="仿宋_GB2312"/>
          <w:color w:val="auto"/>
          <w:sz w:val="21"/>
          <w:szCs w:val="21"/>
          <w:highlight w:val="none"/>
        </w:rPr>
        <w:t>.</w:t>
      </w:r>
      <w:r>
        <w:rPr>
          <w:rFonts w:hint="eastAsia" w:ascii="宋体" w:hAnsi="宋体" w:eastAsia="宋体" w:cs="仿宋_GB2312"/>
          <w:color w:val="auto"/>
          <w:sz w:val="21"/>
          <w:szCs w:val="21"/>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403BA2A">
      <w:pPr>
        <w:pStyle w:val="94"/>
        <w:shd w:val="clear" w:color="auto"/>
        <w:rPr>
          <w:rFonts w:hint="eastAsia"/>
          <w:color w:val="auto"/>
          <w:highlight w:val="none"/>
        </w:rPr>
      </w:pPr>
    </w:p>
    <w:p w14:paraId="0550A933">
      <w:pPr>
        <w:pStyle w:val="94"/>
        <w:shd w:val="clear" w:color="auto"/>
        <w:rPr>
          <w:color w:val="auto"/>
          <w:highlight w:val="none"/>
        </w:rPr>
        <w:sectPr>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p>
    <w:p w14:paraId="38CB30AC">
      <w:pPr>
        <w:shd w:val="clear" w:color="auto"/>
        <w:spacing w:line="360" w:lineRule="auto"/>
        <w:contextualSpacing/>
        <w:jc w:val="left"/>
        <w:rPr>
          <w:rFonts w:hint="eastAsia" w:ascii="Times New Roman" w:hAnsi="宋体" w:eastAsia="宋体" w:cs="Times New Roman"/>
          <w:b/>
          <w:color w:val="auto"/>
          <w:sz w:val="24"/>
          <w:highlight w:val="none"/>
        </w:rPr>
      </w:pPr>
      <w:r>
        <w:rPr>
          <w:rFonts w:hint="eastAsia" w:ascii="Times New Roman" w:hAnsi="宋体" w:eastAsia="宋体" w:cs="Times New Roman"/>
          <w:b/>
          <w:color w:val="auto"/>
          <w:sz w:val="24"/>
          <w:highlight w:val="none"/>
        </w:rPr>
        <w:t>附件：</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72AEE50C">
        <w:trPr>
          <w:trHeight w:val="8702" w:hRule="atLeast"/>
          <w:jc w:val="center"/>
        </w:trPr>
        <w:tc>
          <w:tcPr>
            <w:tcW w:w="8461" w:type="dxa"/>
            <w:noWrap w:val="0"/>
            <w:vAlign w:val="top"/>
          </w:tcPr>
          <w:p w14:paraId="3CCBE406">
            <w:pPr>
              <w:shd w:val="clear" w:color="auto"/>
              <w:spacing w:line="360" w:lineRule="auto"/>
              <w:rPr>
                <w:rFonts w:ascii="宋体" w:hAnsi="Times New Roman" w:eastAsia="宋体" w:cs="Times New Roman"/>
                <w:b/>
                <w:color w:val="auto"/>
                <w:sz w:val="24"/>
                <w:highlight w:val="none"/>
              </w:rPr>
            </w:pPr>
          </w:p>
          <w:p w14:paraId="310FCE9C">
            <w:pPr>
              <w:shd w:val="clear" w:color="auto"/>
              <w:spacing w:line="360" w:lineRule="auto"/>
              <w:rPr>
                <w:rFonts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rPr>
              <w:t>法定代表身份证复印件粘帖处（正、反面）</w:t>
            </w:r>
          </w:p>
        </w:tc>
      </w:tr>
    </w:tbl>
    <w:p w14:paraId="5ED2F29E">
      <w:pPr>
        <w:pStyle w:val="94"/>
        <w:shd w:val="clear" w:color="auto"/>
        <w:rPr>
          <w:rFonts w:hint="eastAsia"/>
          <w:color w:val="auto"/>
          <w:highlight w:val="none"/>
        </w:rPr>
      </w:pPr>
    </w:p>
    <w:p w14:paraId="24DFCC1A">
      <w:pPr>
        <w:pStyle w:val="94"/>
        <w:shd w:val="clear" w:color="auto"/>
        <w:rPr>
          <w:rFonts w:hint="eastAsia" w:hAnsi="宋体"/>
          <w:b/>
          <w:color w:val="auto"/>
          <w:sz w:val="24"/>
          <w:highlight w:val="none"/>
        </w:rPr>
      </w:pPr>
    </w:p>
    <w:p w14:paraId="3D656277">
      <w:pPr>
        <w:pStyle w:val="94"/>
        <w:shd w:val="clear" w:color="auto"/>
        <w:rPr>
          <w:rFonts w:hint="eastAsia" w:hAnsi="宋体"/>
          <w:b/>
          <w:color w:val="auto"/>
          <w:sz w:val="24"/>
          <w:highlight w:val="none"/>
        </w:rPr>
      </w:pPr>
    </w:p>
    <w:p w14:paraId="602635BF">
      <w:pPr>
        <w:pStyle w:val="94"/>
        <w:shd w:val="clear" w:color="auto"/>
        <w:rPr>
          <w:rFonts w:hint="eastAsia" w:hAnsi="宋体"/>
          <w:b/>
          <w:color w:val="auto"/>
          <w:sz w:val="24"/>
          <w:highlight w:val="none"/>
        </w:rPr>
      </w:pPr>
    </w:p>
    <w:p w14:paraId="7A1381A9">
      <w:pPr>
        <w:shd w:val="clear" w:color="auto"/>
        <w:adjustRightInd w:val="0"/>
        <w:snapToGrid w:val="0"/>
        <w:spacing w:line="300" w:lineRule="auto"/>
        <w:jc w:val="left"/>
        <w:rPr>
          <w:rFonts w:hint="eastAsia" w:ascii="宋体" w:hAnsi="宋体" w:eastAsia="宋体" w:cs="Times New Roman"/>
          <w:b/>
          <w:color w:val="auto"/>
          <w:szCs w:val="21"/>
          <w:highlight w:val="none"/>
        </w:rPr>
      </w:pPr>
    </w:p>
    <w:p w14:paraId="67D3EFDB">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方正小标宋简体" w:hAnsi="方正小标宋简体" w:eastAsia="方正小标宋简体" w:cs="方正小标宋简体"/>
          <w:color w:val="auto"/>
          <w:kern w:val="0"/>
          <w:sz w:val="44"/>
          <w:szCs w:val="44"/>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三、法定代表人授权委托书</w:t>
      </w:r>
    </w:p>
    <w:p w14:paraId="4404AB85">
      <w:pPr>
        <w:keepNext w:val="0"/>
        <w:keepLines w:val="0"/>
        <w:pageBreakBefore w:val="0"/>
        <w:widowControl w:val="0"/>
        <w:shd w:val="clear" w:color="auto"/>
        <w:kinsoku/>
        <w:wordWrap/>
        <w:overflowPunct/>
        <w:topLinePunct w:val="0"/>
        <w:autoSpaceDE/>
        <w:autoSpaceDN/>
        <w:bidi w:val="0"/>
        <w:adjustRightInd/>
        <w:snapToGrid/>
        <w:spacing w:before="0" w:after="0" w:line="520" w:lineRule="exact"/>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授权委托书（非联合体竞标格式）</w:t>
      </w:r>
    </w:p>
    <w:p w14:paraId="2CA1AFF0">
      <w:pPr>
        <w:keepNext w:val="0"/>
        <w:keepLines w:val="0"/>
        <w:pageBreakBefore w:val="0"/>
        <w:widowControl w:val="0"/>
        <w:shd w:val="clear" w:color="auto"/>
        <w:kinsoku/>
        <w:wordWrap/>
        <w:overflowPunct/>
        <w:topLinePunct w:val="0"/>
        <w:autoSpaceDE/>
        <w:autoSpaceDN/>
        <w:bidi w:val="0"/>
        <w:adjustRightInd/>
        <w:snapToGrid/>
        <w:spacing w:before="0" w:after="0" w:line="520" w:lineRule="exact"/>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47A4B721">
      <w:pPr>
        <w:keepNext w:val="0"/>
        <w:keepLines w:val="0"/>
        <w:pageBreakBefore w:val="0"/>
        <w:widowControl w:val="0"/>
        <w:shd w:val="clear" w:color="auto"/>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p>
    <w:p w14:paraId="1AD5D4DE">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5724B7FE">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74918184">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25205E8C">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2952AA4B">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7ECB22FF">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p>
    <w:p w14:paraId="0D4F00E5">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法定代表人（签字或盖章）：                    </w:t>
      </w:r>
    </w:p>
    <w:p w14:paraId="7754068F">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09386634">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6C8AE4E">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rPr>
        <w:t>供应商名称（电子签章）：</w:t>
      </w:r>
    </w:p>
    <w:p w14:paraId="58EE2BF0">
      <w:pPr>
        <w:keepNext w:val="0"/>
        <w:keepLines w:val="0"/>
        <w:pageBreakBefore w:val="0"/>
        <w:widowControl w:val="0"/>
        <w:shd w:val="clear" w:color="auto"/>
        <w:kinsoku/>
        <w:wordWrap/>
        <w:overflowPunct/>
        <w:topLinePunct w:val="0"/>
        <w:autoSpaceDE/>
        <w:autoSpaceDN/>
        <w:bidi w:val="0"/>
        <w:adjustRightInd/>
        <w:snapToGrid/>
        <w:spacing w:line="440" w:lineRule="exact"/>
        <w:ind w:firstLine="480" w:firstLineChars="200"/>
        <w:contextualSpacing/>
        <w:jc w:val="center"/>
        <w:textAlignment w:val="auto"/>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157EF0F3">
      <w:pPr>
        <w:shd w:val="clear" w:color="auto"/>
        <w:spacing w:line="360" w:lineRule="auto"/>
        <w:rPr>
          <w:rFonts w:hint="eastAsia" w:ascii="宋体" w:hAnsi="宋体" w:eastAsia="宋体" w:cs="仿宋_GB2312"/>
          <w:color w:val="auto"/>
          <w:sz w:val="24"/>
          <w:highlight w:val="none"/>
        </w:rPr>
      </w:pPr>
    </w:p>
    <w:p w14:paraId="1933DE44">
      <w:pPr>
        <w:keepNext w:val="0"/>
        <w:keepLines w:val="0"/>
        <w:pageBreakBefore w:val="0"/>
        <w:widowControl w:val="0"/>
        <w:shd w:val="clear" w:color="auto"/>
        <w:kinsoku/>
        <w:wordWrap/>
        <w:overflowPunct/>
        <w:topLinePunct w:val="0"/>
        <w:autoSpaceDE/>
        <w:autoSpaceDN/>
        <w:bidi w:val="0"/>
        <w:adjustRightInd/>
        <w:snapToGrid/>
        <w:spacing w:line="360" w:lineRule="exact"/>
        <w:textAlignment w:val="auto"/>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注：1. 法定代表人必须在授权委托书上亲笔签字或盖章，委托代理人必须在授权委托书上亲笔签字，</w:t>
      </w:r>
      <w:r>
        <w:rPr>
          <w:rFonts w:hint="eastAsia" w:ascii="宋体" w:hAnsi="宋体" w:eastAsia="宋体" w:cs="仿宋_GB2312"/>
          <w:b/>
          <w:color w:val="auto"/>
          <w:sz w:val="21"/>
          <w:szCs w:val="21"/>
          <w:highlight w:val="none"/>
        </w:rPr>
        <w:t>否则其响应文件按无效响应处理。</w:t>
      </w:r>
    </w:p>
    <w:p w14:paraId="164C81C5">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left"/>
        <w:textAlignment w:val="auto"/>
        <w:rPr>
          <w:rFonts w:ascii="宋体" w:hAnsi="宋体" w:eastAsia="宋体" w:cs="仿宋_GB2312"/>
          <w:color w:val="auto"/>
          <w:sz w:val="21"/>
          <w:szCs w:val="21"/>
          <w:highlight w:val="none"/>
        </w:rPr>
      </w:pPr>
      <w:r>
        <w:rPr>
          <w:rFonts w:ascii="宋体" w:hAnsi="宋体" w:eastAsia="宋体" w:cs="仿宋_GB2312"/>
          <w:color w:val="auto"/>
          <w:sz w:val="21"/>
          <w:szCs w:val="21"/>
          <w:highlight w:val="none"/>
        </w:rPr>
        <w:t>2.</w:t>
      </w:r>
      <w:r>
        <w:rPr>
          <w:rFonts w:hint="eastAsia" w:ascii="宋体" w:hAnsi="宋体" w:eastAsia="宋体" w:cs="仿宋_GB2312"/>
          <w:color w:val="auto"/>
          <w:sz w:val="21"/>
          <w:szCs w:val="21"/>
          <w:highlight w:val="none"/>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4291B5A">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left"/>
        <w:textAlignment w:val="auto"/>
        <w:rPr>
          <w:rFonts w:hint="eastAsia" w:ascii="仿宋_GB2312" w:hAnsi="仿宋_GB2312" w:eastAsia="仿宋_GB2312" w:cs="仿宋_GB2312"/>
          <w:color w:val="auto"/>
          <w:sz w:val="21"/>
          <w:szCs w:val="21"/>
          <w:highlight w:val="none"/>
        </w:rPr>
      </w:pPr>
      <w:r>
        <w:rPr>
          <w:rFonts w:hint="eastAsia" w:ascii="宋体" w:hAnsi="宋体" w:eastAsia="宋体" w:cs="仿宋_GB2312"/>
          <w:color w:val="auto"/>
          <w:sz w:val="21"/>
          <w:szCs w:val="21"/>
          <w:highlight w:val="none"/>
        </w:rPr>
        <w:t>3</w:t>
      </w:r>
      <w:r>
        <w:rPr>
          <w:rFonts w:ascii="宋体" w:hAnsi="宋体" w:eastAsia="宋体" w:cs="仿宋_GB2312"/>
          <w:color w:val="auto"/>
          <w:sz w:val="21"/>
          <w:szCs w:val="21"/>
          <w:highlight w:val="none"/>
        </w:rPr>
        <w:t>.</w:t>
      </w:r>
      <w:r>
        <w:rPr>
          <w:rFonts w:hint="eastAsia" w:ascii="宋体" w:hAnsi="宋体" w:eastAsia="宋体" w:cs="仿宋_GB2312"/>
          <w:color w:val="auto"/>
          <w:sz w:val="21"/>
          <w:szCs w:val="21"/>
          <w:highlight w:val="none"/>
        </w:rPr>
        <w:t xml:space="preserve"> 法人、其他组织竞标时“我方”是指“我单位”，自然人竞标时“我方”是指“本人”。</w:t>
      </w:r>
    </w:p>
    <w:p w14:paraId="1216D81F">
      <w:pPr>
        <w:keepNext w:val="0"/>
        <w:keepLines w:val="0"/>
        <w:pageBreakBefore w:val="0"/>
        <w:widowControl w:val="0"/>
        <w:shd w:val="clear" w:color="auto"/>
        <w:kinsoku/>
        <w:wordWrap/>
        <w:overflowPunct/>
        <w:topLinePunct w:val="0"/>
        <w:autoSpaceDE/>
        <w:autoSpaceDN/>
        <w:bidi w:val="0"/>
        <w:adjustRightInd/>
        <w:snapToGrid/>
        <w:spacing w:before="0" w:after="0" w:line="520" w:lineRule="exact"/>
        <w:jc w:val="center"/>
        <w:textAlignment w:val="auto"/>
        <w:rPr>
          <w:rFonts w:hint="eastAsia" w:ascii="宋体" w:hAnsi="宋体" w:eastAsia="宋体" w:cs="宋体"/>
          <w:b/>
          <w:bCs/>
          <w:color w:val="auto"/>
          <w:sz w:val="32"/>
          <w:szCs w:val="32"/>
          <w:highlight w:val="none"/>
          <w:lang w:val="en-US" w:eastAsia="zh-CN"/>
        </w:rPr>
      </w:pPr>
      <w:r>
        <w:rPr>
          <w:rFonts w:ascii="仿宋_GB2312" w:hAnsi="仿宋_GB2312" w:eastAsia="仿宋_GB2312" w:cs="仿宋_GB2312"/>
          <w:color w:val="auto"/>
          <w:szCs w:val="21"/>
          <w:highlight w:val="none"/>
        </w:rPr>
        <w:br w:type="page"/>
      </w:r>
      <w:r>
        <w:rPr>
          <w:rFonts w:hint="eastAsia" w:ascii="宋体" w:hAnsi="宋体" w:eastAsia="宋体" w:cs="宋体"/>
          <w:b/>
          <w:bCs/>
          <w:color w:val="auto"/>
          <w:sz w:val="32"/>
          <w:szCs w:val="32"/>
          <w:highlight w:val="none"/>
          <w:lang w:val="en-US" w:eastAsia="zh-CN"/>
        </w:rPr>
        <w:t>授权委托书（联合体竞标格式）</w:t>
      </w:r>
    </w:p>
    <w:p w14:paraId="7EF0502D">
      <w:pPr>
        <w:keepNext w:val="0"/>
        <w:keepLines w:val="0"/>
        <w:pageBreakBefore w:val="0"/>
        <w:widowControl w:val="0"/>
        <w:shd w:val="clear" w:color="auto"/>
        <w:kinsoku/>
        <w:wordWrap/>
        <w:overflowPunct/>
        <w:topLinePunct w:val="0"/>
        <w:autoSpaceDE/>
        <w:autoSpaceDN/>
        <w:bidi w:val="0"/>
        <w:adjustRightInd/>
        <w:snapToGrid/>
        <w:spacing w:before="0" w:after="0" w:line="520" w:lineRule="exact"/>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4A1FE59D">
      <w:pPr>
        <w:shd w:val="clear" w:color="auto"/>
        <w:spacing w:line="500" w:lineRule="exact"/>
        <w:jc w:val="center"/>
        <w:rPr>
          <w:rFonts w:hint="eastAsia" w:ascii="仿宋_GB2312" w:hAnsi="仿宋_GB2312" w:eastAsia="仿宋_GB2312" w:cs="仿宋_GB2312"/>
          <w:color w:val="auto"/>
          <w:sz w:val="32"/>
          <w:szCs w:val="32"/>
          <w:highlight w:val="none"/>
        </w:rPr>
      </w:pPr>
    </w:p>
    <w:p w14:paraId="7EA6A859">
      <w:pPr>
        <w:shd w:val="clear" w:color="auto"/>
        <w:spacing w:line="360" w:lineRule="auto"/>
        <w:ind w:firstLine="480" w:firstLineChars="200"/>
        <w:jc w:val="left"/>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本授权委托书声明：根据</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（牵头人名称）与</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（联合体其他成员名称）签订的《联合体竞标协议书》的内容，</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（牵头人名称）的法定代表人</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（姓名）现授权</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（姓名）为联合委托代理人，并代表我方全权办理针对上述项目的所有采购程序和环节的具体事务和签署相关文件。</w:t>
      </w:r>
    </w:p>
    <w:p w14:paraId="053C6991">
      <w:pPr>
        <w:shd w:val="clear" w:color="auto"/>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我方对委托代理人的签字事项负全部责任。</w:t>
      </w:r>
    </w:p>
    <w:p w14:paraId="2A8F223A">
      <w:pPr>
        <w:shd w:val="clear" w:color="auto"/>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BF27555">
      <w:pPr>
        <w:shd w:val="clear" w:color="auto"/>
        <w:spacing w:line="360" w:lineRule="auto"/>
        <w:ind w:firstLine="480" w:firstLineChars="2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委托代理人无转委托权，特此委托。</w:t>
      </w:r>
    </w:p>
    <w:p w14:paraId="1F6F035E">
      <w:pPr>
        <w:shd w:val="clear" w:color="auto"/>
        <w:spacing w:line="360" w:lineRule="auto"/>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 xml:space="preserve">    </w:t>
      </w:r>
    </w:p>
    <w:p w14:paraId="7A753B14">
      <w:pPr>
        <w:shd w:val="clear" w:color="auto"/>
        <w:spacing w:line="360" w:lineRule="auto"/>
        <w:ind w:firstLine="1560" w:firstLineChars="65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牵头人法定代表人（签字或盖章）：</w:t>
      </w:r>
    </w:p>
    <w:p w14:paraId="6D33E80C">
      <w:pPr>
        <w:shd w:val="clear" w:color="auto"/>
        <w:spacing w:line="360" w:lineRule="auto"/>
        <w:ind w:firstLine="3120" w:firstLineChars="13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牵头人（电子签章）：</w:t>
      </w:r>
    </w:p>
    <w:p w14:paraId="4059AA01">
      <w:pPr>
        <w:shd w:val="clear" w:color="auto"/>
        <w:spacing w:line="360" w:lineRule="auto"/>
        <w:ind w:firstLine="3840" w:firstLineChars="16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日期：    年   月   日</w:t>
      </w:r>
    </w:p>
    <w:p w14:paraId="3F55CD66">
      <w:pPr>
        <w:shd w:val="clear" w:color="auto"/>
        <w:spacing w:line="360" w:lineRule="auto"/>
        <w:rPr>
          <w:rFonts w:hint="eastAsia" w:ascii="宋体" w:hAnsi="宋体" w:eastAsia="宋体" w:cs="仿宋_GB2312"/>
          <w:color w:val="auto"/>
          <w:sz w:val="24"/>
          <w:highlight w:val="none"/>
        </w:rPr>
      </w:pPr>
    </w:p>
    <w:p w14:paraId="06845E6B">
      <w:pPr>
        <w:shd w:val="clear" w:color="auto"/>
        <w:spacing w:line="360" w:lineRule="auto"/>
        <w:ind w:firstLine="3120" w:firstLineChars="13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被授权人（签字）：</w:t>
      </w:r>
    </w:p>
    <w:p w14:paraId="2094990D">
      <w:pPr>
        <w:shd w:val="clear" w:color="auto"/>
        <w:spacing w:line="360" w:lineRule="auto"/>
        <w:ind w:firstLine="3840" w:firstLineChars="1600"/>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日期：    年   月   日</w:t>
      </w:r>
    </w:p>
    <w:p w14:paraId="78CC6A6A">
      <w:pPr>
        <w:shd w:val="clear" w:color="auto"/>
        <w:spacing w:line="360" w:lineRule="auto"/>
        <w:rPr>
          <w:rFonts w:hint="eastAsia" w:ascii="宋体" w:hAnsi="宋体" w:eastAsia="宋体" w:cs="仿宋_GB2312"/>
          <w:color w:val="auto"/>
          <w:sz w:val="24"/>
          <w:highlight w:val="none"/>
        </w:rPr>
      </w:pPr>
    </w:p>
    <w:p w14:paraId="7181A97F">
      <w:pPr>
        <w:keepNext w:val="0"/>
        <w:keepLines w:val="0"/>
        <w:pageBreakBefore w:val="0"/>
        <w:widowControl w:val="0"/>
        <w:shd w:val="clear" w:color="auto"/>
        <w:kinsoku/>
        <w:wordWrap/>
        <w:overflowPunct/>
        <w:topLinePunct w:val="0"/>
        <w:autoSpaceDE/>
        <w:autoSpaceDN/>
        <w:bidi w:val="0"/>
        <w:adjustRightInd/>
        <w:snapToGrid/>
        <w:spacing w:line="360" w:lineRule="exact"/>
        <w:textAlignment w:val="auto"/>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注：1.法定代表人必须在授权委托书上亲笔签字或盖章，委托代理人必须在授权委托书上亲笔签字，</w:t>
      </w:r>
      <w:r>
        <w:rPr>
          <w:rFonts w:hint="eastAsia" w:ascii="宋体" w:hAnsi="宋体" w:eastAsia="宋体" w:cs="仿宋_GB2312"/>
          <w:b/>
          <w:color w:val="auto"/>
          <w:sz w:val="21"/>
          <w:szCs w:val="21"/>
          <w:highlight w:val="none"/>
        </w:rPr>
        <w:t>否则其响应文件按无效响应处理。</w:t>
      </w:r>
    </w:p>
    <w:p w14:paraId="044C461B">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2.本授权委托书应由联合体牵头人的法定代表人按上述规定签署。</w:t>
      </w:r>
    </w:p>
    <w:p w14:paraId="546CAA1B">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A4158FE">
      <w:pPr>
        <w:keepNext w:val="0"/>
        <w:keepLines w:val="0"/>
        <w:pageBreakBefore w:val="0"/>
        <w:widowControl w:val="0"/>
        <w:shd w:val="clear" w:color="auto"/>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4.法人、其他组织竞标时“我方”是指“我单位”，自然人竞标时“我方”是指“本人”。</w:t>
      </w:r>
    </w:p>
    <w:p w14:paraId="68F8168C">
      <w:pPr>
        <w:shd w:val="clear" w:color="auto"/>
        <w:spacing w:line="360" w:lineRule="auto"/>
        <w:ind w:firstLine="420" w:firstLineChars="200"/>
        <w:jc w:val="left"/>
        <w:rPr>
          <w:rFonts w:hint="eastAsia" w:ascii="仿宋_GB2312" w:hAnsi="仿宋_GB2312" w:eastAsia="仿宋_GB2312" w:cs="仿宋_GB2312"/>
          <w:color w:val="auto"/>
          <w:szCs w:val="21"/>
          <w:highlight w:val="none"/>
        </w:rPr>
      </w:pPr>
    </w:p>
    <w:p w14:paraId="32073C9A">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四、商务条款偏离表</w:t>
      </w:r>
    </w:p>
    <w:p w14:paraId="43CE1A83">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商务条款偏离表</w:t>
      </w:r>
    </w:p>
    <w:p w14:paraId="5858BB19">
      <w:pPr>
        <w:shd w:val="clear" w:color="auto"/>
        <w:spacing w:line="360" w:lineRule="auto"/>
        <w:rPr>
          <w:rFonts w:hint="eastAsia" w:ascii="宋体" w:hAnsi="宋体" w:eastAsia="宋体" w:cs="仿宋_GB2312"/>
          <w:color w:val="auto"/>
          <w:sz w:val="24"/>
          <w:szCs w:val="24"/>
          <w:highlight w:val="none"/>
          <w:u w:val="single"/>
        </w:rPr>
      </w:pPr>
      <w:r>
        <w:rPr>
          <w:rFonts w:hint="eastAsia" w:ascii="宋体" w:hAnsi="宋体" w:eastAsia="宋体" w:cs="仿宋_GB2312"/>
          <w:color w:val="auto"/>
          <w:sz w:val="24"/>
          <w:szCs w:val="24"/>
          <w:highlight w:val="none"/>
        </w:rPr>
        <w:t>采购项目编号：</w:t>
      </w:r>
    </w:p>
    <w:p w14:paraId="46C1CBA0">
      <w:pPr>
        <w:shd w:val="clear" w:color="auto"/>
        <w:spacing w:line="360" w:lineRule="auto"/>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采购项目名称：</w:t>
      </w:r>
    </w:p>
    <w:p w14:paraId="34FE7B26">
      <w:pPr>
        <w:shd w:val="clear" w:color="auto"/>
        <w:spacing w:line="360" w:lineRule="auto"/>
        <w:rPr>
          <w:rFonts w:hint="eastAsia" w:ascii="宋体" w:hAnsi="宋体" w:eastAsia="宋体" w:cs="仿宋_GB2312"/>
          <w:color w:val="auto"/>
          <w:sz w:val="24"/>
          <w:szCs w:val="24"/>
          <w:highlight w:val="none"/>
          <w:u w:val="single"/>
        </w:rPr>
      </w:pPr>
      <w:r>
        <w:rPr>
          <w:rFonts w:hint="eastAsia" w:ascii="宋体" w:hAnsi="宋体" w:eastAsia="宋体" w:cs="仿宋_GB2312"/>
          <w:color w:val="auto"/>
          <w:sz w:val="24"/>
          <w:szCs w:val="24"/>
          <w:highlight w:val="none"/>
        </w:rPr>
        <w:t>分标号</w:t>
      </w:r>
      <w:r>
        <w:rPr>
          <w:rFonts w:hint="eastAsia" w:ascii="宋体" w:hAnsi="宋体" w:eastAsia="宋体" w:cs="Times New Roman"/>
          <w:color w:val="auto"/>
          <w:sz w:val="24"/>
          <w:szCs w:val="24"/>
          <w:highlight w:val="none"/>
        </w:rPr>
        <w:t>（此处有分标时填写具体分标号，无分标时填写“无”）</w:t>
      </w:r>
      <w:r>
        <w:rPr>
          <w:rFonts w:hint="eastAsia" w:ascii="宋体" w:hAnsi="宋体" w:eastAsia="宋体" w:cs="仿宋_GB2312"/>
          <w:color w:val="auto"/>
          <w:sz w:val="24"/>
          <w:szCs w:val="24"/>
          <w:highlight w:val="none"/>
        </w:rPr>
        <w:t>：</w:t>
      </w:r>
      <w:r>
        <w:rPr>
          <w:rFonts w:hint="eastAsia" w:ascii="宋体" w:hAnsi="宋体" w:eastAsia="宋体" w:cs="仿宋_GB2312"/>
          <w:color w:val="auto"/>
          <w:sz w:val="24"/>
          <w:szCs w:val="24"/>
          <w:highlight w:val="none"/>
          <w:u w:val="single"/>
        </w:rPr>
        <w:t xml:space="preserve">                       </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4080"/>
        <w:gridCol w:w="3729"/>
        <w:gridCol w:w="1323"/>
      </w:tblGrid>
      <w:tr w14:paraId="5BBC2629">
        <w:trPr>
          <w:trHeight w:val="327" w:hRule="atLeast"/>
          <w:jc w:val="center"/>
        </w:trPr>
        <w:tc>
          <w:tcPr>
            <w:tcW w:w="364" w:type="pct"/>
            <w:tcBorders>
              <w:top w:val="single" w:color="auto" w:sz="4" w:space="0"/>
              <w:left w:val="single" w:color="auto" w:sz="4" w:space="0"/>
              <w:bottom w:val="single" w:color="auto" w:sz="4" w:space="0"/>
              <w:right w:val="single" w:color="auto" w:sz="4" w:space="0"/>
            </w:tcBorders>
            <w:noWrap w:val="0"/>
            <w:vAlign w:val="center"/>
          </w:tcPr>
          <w:p w14:paraId="7CD8129D">
            <w:pPr>
              <w:shd w:val="clear" w:color="auto"/>
              <w:spacing w:line="34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项号</w:t>
            </w:r>
          </w:p>
        </w:tc>
        <w:tc>
          <w:tcPr>
            <w:tcW w:w="2070" w:type="pct"/>
            <w:tcBorders>
              <w:top w:val="single" w:color="auto" w:sz="4" w:space="0"/>
              <w:left w:val="single" w:color="auto" w:sz="4" w:space="0"/>
              <w:bottom w:val="single" w:color="auto" w:sz="4" w:space="0"/>
              <w:right w:val="single" w:color="auto" w:sz="4" w:space="0"/>
            </w:tcBorders>
            <w:noWrap w:val="0"/>
            <w:vAlign w:val="center"/>
          </w:tcPr>
          <w:p w14:paraId="074490FE">
            <w:pPr>
              <w:shd w:val="clear" w:color="auto"/>
              <w:spacing w:line="34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竞争性磋商采购文件的商务需求</w:t>
            </w:r>
          </w:p>
        </w:tc>
        <w:tc>
          <w:tcPr>
            <w:tcW w:w="1892" w:type="pct"/>
            <w:tcBorders>
              <w:top w:val="single" w:color="auto" w:sz="4" w:space="0"/>
              <w:left w:val="single" w:color="auto" w:sz="4" w:space="0"/>
              <w:bottom w:val="single" w:color="auto" w:sz="4" w:space="0"/>
              <w:right w:val="single" w:color="auto" w:sz="4" w:space="0"/>
            </w:tcBorders>
            <w:noWrap w:val="0"/>
            <w:vAlign w:val="center"/>
          </w:tcPr>
          <w:p w14:paraId="08418140">
            <w:pPr>
              <w:shd w:val="clear" w:color="auto"/>
              <w:spacing w:line="34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响应文件承诺的商务条款</w:t>
            </w:r>
          </w:p>
        </w:tc>
        <w:tc>
          <w:tcPr>
            <w:tcW w:w="671" w:type="pct"/>
            <w:tcBorders>
              <w:top w:val="single" w:color="auto" w:sz="4" w:space="0"/>
              <w:left w:val="single" w:color="auto" w:sz="4" w:space="0"/>
              <w:bottom w:val="single" w:color="auto" w:sz="4" w:space="0"/>
              <w:right w:val="single" w:color="auto" w:sz="4" w:space="0"/>
            </w:tcBorders>
            <w:noWrap w:val="0"/>
            <w:vAlign w:val="center"/>
          </w:tcPr>
          <w:p w14:paraId="1D62CCA8">
            <w:pPr>
              <w:shd w:val="clear" w:color="auto"/>
              <w:spacing w:line="34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偏离说明</w:t>
            </w:r>
          </w:p>
        </w:tc>
      </w:tr>
      <w:tr w14:paraId="3827B006">
        <w:trPr>
          <w:trHeight w:val="1320" w:hRule="atLeast"/>
          <w:jc w:val="center"/>
        </w:trPr>
        <w:tc>
          <w:tcPr>
            <w:tcW w:w="364" w:type="pct"/>
            <w:tcBorders>
              <w:top w:val="single" w:color="auto" w:sz="4" w:space="0"/>
              <w:left w:val="single" w:color="auto" w:sz="4" w:space="0"/>
              <w:bottom w:val="single" w:color="auto" w:sz="4" w:space="0"/>
              <w:right w:val="single" w:color="auto" w:sz="4" w:space="0"/>
            </w:tcBorders>
            <w:noWrap w:val="0"/>
            <w:vAlign w:val="top"/>
          </w:tcPr>
          <w:p w14:paraId="101FFCBF">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一</w:t>
            </w:r>
          </w:p>
        </w:tc>
        <w:tc>
          <w:tcPr>
            <w:tcW w:w="2070" w:type="pct"/>
            <w:tcBorders>
              <w:top w:val="single" w:color="auto" w:sz="4" w:space="0"/>
              <w:left w:val="single" w:color="auto" w:sz="4" w:space="0"/>
              <w:bottom w:val="single" w:color="auto" w:sz="4" w:space="0"/>
              <w:right w:val="single" w:color="auto" w:sz="4" w:space="0"/>
            </w:tcBorders>
            <w:noWrap w:val="0"/>
            <w:vAlign w:val="top"/>
          </w:tcPr>
          <w:p w14:paraId="1F97AE80">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35FC38A7">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659FD4DD">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02E3B2C7">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892" w:type="pct"/>
            <w:tcBorders>
              <w:top w:val="single" w:color="auto" w:sz="4" w:space="0"/>
              <w:left w:val="single" w:color="auto" w:sz="4" w:space="0"/>
              <w:bottom w:val="single" w:color="auto" w:sz="4" w:space="0"/>
              <w:right w:val="single" w:color="auto" w:sz="4" w:space="0"/>
            </w:tcBorders>
            <w:noWrap w:val="0"/>
            <w:vAlign w:val="top"/>
          </w:tcPr>
          <w:p w14:paraId="198F104E">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619FFCD8">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047F8148">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46673714">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671" w:type="pct"/>
            <w:tcBorders>
              <w:top w:val="single" w:color="auto" w:sz="4" w:space="0"/>
              <w:left w:val="single" w:color="auto" w:sz="4" w:space="0"/>
              <w:bottom w:val="single" w:color="auto" w:sz="4" w:space="0"/>
              <w:right w:val="single" w:color="auto" w:sz="4" w:space="0"/>
            </w:tcBorders>
            <w:noWrap w:val="0"/>
            <w:vAlign w:val="top"/>
          </w:tcPr>
          <w:p w14:paraId="0EF3617A">
            <w:pPr>
              <w:shd w:val="clear" w:color="auto"/>
              <w:spacing w:line="300" w:lineRule="exact"/>
              <w:rPr>
                <w:rFonts w:hint="eastAsia" w:ascii="宋体" w:hAnsi="宋体" w:eastAsia="宋体" w:cs="Times New Roman"/>
                <w:color w:val="auto"/>
                <w:szCs w:val="21"/>
                <w:highlight w:val="none"/>
              </w:rPr>
            </w:pPr>
          </w:p>
        </w:tc>
      </w:tr>
      <w:tr w14:paraId="37B17F3B">
        <w:trPr>
          <w:trHeight w:val="1320" w:hRule="atLeast"/>
          <w:jc w:val="center"/>
        </w:trPr>
        <w:tc>
          <w:tcPr>
            <w:tcW w:w="364" w:type="pct"/>
            <w:tcBorders>
              <w:top w:val="single" w:color="auto" w:sz="4" w:space="0"/>
              <w:left w:val="single" w:color="auto" w:sz="4" w:space="0"/>
              <w:bottom w:val="single" w:color="auto" w:sz="4" w:space="0"/>
              <w:right w:val="single" w:color="auto" w:sz="4" w:space="0"/>
            </w:tcBorders>
            <w:noWrap w:val="0"/>
            <w:vAlign w:val="top"/>
          </w:tcPr>
          <w:p w14:paraId="72E396BE">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w:t>
            </w:r>
          </w:p>
        </w:tc>
        <w:tc>
          <w:tcPr>
            <w:tcW w:w="2070" w:type="pct"/>
            <w:tcBorders>
              <w:top w:val="single" w:color="auto" w:sz="4" w:space="0"/>
              <w:left w:val="single" w:color="auto" w:sz="4" w:space="0"/>
              <w:bottom w:val="single" w:color="auto" w:sz="4" w:space="0"/>
              <w:right w:val="single" w:color="auto" w:sz="4" w:space="0"/>
            </w:tcBorders>
            <w:noWrap w:val="0"/>
            <w:vAlign w:val="top"/>
          </w:tcPr>
          <w:p w14:paraId="321C0D44">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57336DF5">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55168DB3">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376FE398">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892" w:type="pct"/>
            <w:tcBorders>
              <w:top w:val="single" w:color="auto" w:sz="4" w:space="0"/>
              <w:left w:val="single" w:color="auto" w:sz="4" w:space="0"/>
              <w:bottom w:val="single" w:color="auto" w:sz="4" w:space="0"/>
              <w:right w:val="single" w:color="auto" w:sz="4" w:space="0"/>
            </w:tcBorders>
            <w:noWrap w:val="0"/>
            <w:vAlign w:val="top"/>
          </w:tcPr>
          <w:p w14:paraId="39F8569C">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1076F07F">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1DFD56A8">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793565A2">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671" w:type="pct"/>
            <w:tcBorders>
              <w:top w:val="single" w:color="auto" w:sz="4" w:space="0"/>
              <w:left w:val="single" w:color="auto" w:sz="4" w:space="0"/>
              <w:bottom w:val="single" w:color="auto" w:sz="4" w:space="0"/>
              <w:right w:val="single" w:color="auto" w:sz="4" w:space="0"/>
            </w:tcBorders>
            <w:noWrap w:val="0"/>
            <w:vAlign w:val="top"/>
          </w:tcPr>
          <w:p w14:paraId="282D42A1">
            <w:pPr>
              <w:shd w:val="clear" w:color="auto"/>
              <w:spacing w:line="300" w:lineRule="exact"/>
              <w:rPr>
                <w:rFonts w:hint="eastAsia" w:ascii="宋体" w:hAnsi="宋体" w:eastAsia="宋体" w:cs="Times New Roman"/>
                <w:color w:val="auto"/>
                <w:szCs w:val="21"/>
                <w:highlight w:val="none"/>
              </w:rPr>
            </w:pPr>
          </w:p>
        </w:tc>
      </w:tr>
      <w:tr w14:paraId="751EB3A8">
        <w:trPr>
          <w:trHeight w:val="1659" w:hRule="atLeast"/>
          <w:jc w:val="center"/>
        </w:trPr>
        <w:tc>
          <w:tcPr>
            <w:tcW w:w="364" w:type="pct"/>
            <w:tcBorders>
              <w:top w:val="single" w:color="auto" w:sz="4" w:space="0"/>
              <w:left w:val="single" w:color="auto" w:sz="4" w:space="0"/>
              <w:bottom w:val="single" w:color="auto" w:sz="4" w:space="0"/>
              <w:right w:val="single" w:color="auto" w:sz="4" w:space="0"/>
            </w:tcBorders>
            <w:noWrap w:val="0"/>
            <w:vAlign w:val="top"/>
          </w:tcPr>
          <w:p w14:paraId="66B225FC">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2070" w:type="pct"/>
            <w:tcBorders>
              <w:top w:val="single" w:color="auto" w:sz="4" w:space="0"/>
              <w:left w:val="single" w:color="auto" w:sz="4" w:space="0"/>
              <w:bottom w:val="single" w:color="auto" w:sz="4" w:space="0"/>
              <w:right w:val="single" w:color="auto" w:sz="4" w:space="0"/>
            </w:tcBorders>
            <w:noWrap w:val="0"/>
            <w:vAlign w:val="top"/>
          </w:tcPr>
          <w:p w14:paraId="70F184A5">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10AC8FA9">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52EEC0EC">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62D9EC4E">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892" w:type="pct"/>
            <w:tcBorders>
              <w:top w:val="single" w:color="auto" w:sz="4" w:space="0"/>
              <w:left w:val="single" w:color="auto" w:sz="4" w:space="0"/>
              <w:bottom w:val="single" w:color="auto" w:sz="4" w:space="0"/>
              <w:right w:val="single" w:color="auto" w:sz="4" w:space="0"/>
            </w:tcBorders>
            <w:noWrap w:val="0"/>
            <w:vAlign w:val="top"/>
          </w:tcPr>
          <w:p w14:paraId="0D7B67BC">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03C677EE">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46E69FE5">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4F04BE50">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671" w:type="pct"/>
            <w:tcBorders>
              <w:top w:val="single" w:color="auto" w:sz="4" w:space="0"/>
              <w:left w:val="single" w:color="auto" w:sz="4" w:space="0"/>
              <w:bottom w:val="single" w:color="auto" w:sz="4" w:space="0"/>
              <w:right w:val="single" w:color="auto" w:sz="4" w:space="0"/>
            </w:tcBorders>
            <w:noWrap w:val="0"/>
            <w:vAlign w:val="top"/>
          </w:tcPr>
          <w:p w14:paraId="77EA403B">
            <w:pPr>
              <w:shd w:val="clear" w:color="auto"/>
              <w:spacing w:line="300" w:lineRule="exact"/>
              <w:rPr>
                <w:rFonts w:hint="eastAsia" w:ascii="宋体" w:hAnsi="宋体" w:eastAsia="宋体" w:cs="Times New Roman"/>
                <w:color w:val="auto"/>
                <w:szCs w:val="21"/>
                <w:highlight w:val="none"/>
              </w:rPr>
            </w:pPr>
          </w:p>
        </w:tc>
      </w:tr>
    </w:tbl>
    <w:p w14:paraId="464FC0D7">
      <w:pPr>
        <w:pStyle w:val="14"/>
        <w:shd w:val="clear" w:color="auto"/>
        <w:spacing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9D5312D">
      <w:pPr>
        <w:pStyle w:val="14"/>
        <w:shd w:val="clear" w:color="auto"/>
        <w:spacing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1.说明：应对照磋商文件“第二章 采购需求”中的商务条款逐条作出明确响应，并作出偏离说明。</w:t>
      </w:r>
    </w:p>
    <w:p w14:paraId="128FAAD8">
      <w:pPr>
        <w:pStyle w:val="14"/>
        <w:shd w:val="clear" w:color="auto"/>
        <w:spacing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3AECB329">
      <w:pPr>
        <w:shd w:val="clear" w:color="auto"/>
        <w:spacing w:line="40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3.表格内容均需按要求填写，不得留空，否则按竞标无效处理。</w:t>
      </w:r>
    </w:p>
    <w:p w14:paraId="54FAD167">
      <w:pPr>
        <w:shd w:val="clear" w:color="auto"/>
        <w:spacing w:line="360" w:lineRule="auto"/>
        <w:ind w:firstLine="3840" w:firstLineChars="1600"/>
        <w:rPr>
          <w:rFonts w:ascii="仿宋_GB2312" w:hAnsi="仿宋" w:eastAsia="仿宋_GB2312" w:cs="仿宋_GB2312"/>
          <w:color w:val="auto"/>
          <w:kern w:val="0"/>
          <w:sz w:val="24"/>
          <w:highlight w:val="none"/>
        </w:rPr>
      </w:pPr>
    </w:p>
    <w:p w14:paraId="75B51221">
      <w:pPr>
        <w:shd w:val="clear" w:color="auto"/>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0DC44D3A">
      <w:pPr>
        <w:shd w:val="clear" w:color="auto"/>
        <w:spacing w:line="360" w:lineRule="auto"/>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5168C727">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ascii="仿宋_GB2312" w:hAnsi="仿宋_GB2312" w:eastAsia="仿宋_GB2312" w:cs="仿宋_GB2312"/>
          <w:color w:val="auto"/>
          <w:kern w:val="0"/>
          <w:sz w:val="32"/>
          <w:szCs w:val="32"/>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五、技术需求偏离表</w:t>
      </w:r>
    </w:p>
    <w:p w14:paraId="531D6560">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技术需求</w:t>
      </w:r>
      <w:r>
        <w:rPr>
          <w:rFonts w:hint="eastAsia" w:ascii="宋体" w:hAnsi="宋体" w:eastAsia="宋体" w:cs="宋体"/>
          <w:b/>
          <w:bCs/>
          <w:color w:val="auto"/>
          <w:sz w:val="32"/>
          <w:szCs w:val="32"/>
          <w:highlight w:val="none"/>
        </w:rPr>
        <w:t>偏离表</w:t>
      </w:r>
    </w:p>
    <w:p w14:paraId="6C6DAA97">
      <w:pPr>
        <w:pageBreakBefore w:val="0"/>
        <w:widowControl w:val="0"/>
        <w:shd w:val="clear" w:color="auto"/>
        <w:kinsoku/>
        <w:overflowPunct/>
        <w:topLinePunct w:val="0"/>
        <w:bidi w:val="0"/>
        <w:spacing w:after="0" w:line="360" w:lineRule="auto"/>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采购项目编号：  </w:t>
      </w:r>
    </w:p>
    <w:p w14:paraId="79131541">
      <w:pPr>
        <w:pageBreakBefore w:val="0"/>
        <w:widowControl w:val="0"/>
        <w:shd w:val="clear" w:color="auto"/>
        <w:kinsoku/>
        <w:overflowPunct/>
        <w:topLinePunct w:val="0"/>
        <w:bidi w:val="0"/>
        <w:spacing w:after="0" w:line="360" w:lineRule="auto"/>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采购项目名称： </w:t>
      </w:r>
    </w:p>
    <w:p w14:paraId="6034BA71">
      <w:pPr>
        <w:pageBreakBefore w:val="0"/>
        <w:widowControl w:val="0"/>
        <w:shd w:val="clear" w:color="auto"/>
        <w:kinsoku/>
        <w:overflowPunct/>
        <w:topLinePunct w:val="0"/>
        <w:bidi w:val="0"/>
        <w:spacing w:after="0" w:line="360" w:lineRule="auto"/>
        <w:contextualSpacing/>
        <w:jc w:val="both"/>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分标号（此处有分标时填写具体分标号，无分标时填写“无”）：</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u w:val="single"/>
          <w:lang w:val="en-US" w:eastAsia="zh-CN" w:bidi="ar-SA"/>
        </w:rPr>
        <w:t xml:space="preserve"> </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4080"/>
        <w:gridCol w:w="3729"/>
        <w:gridCol w:w="1323"/>
      </w:tblGrid>
      <w:tr w14:paraId="7A829958">
        <w:trPr>
          <w:trHeight w:val="327" w:hRule="atLeast"/>
          <w:jc w:val="center"/>
        </w:trPr>
        <w:tc>
          <w:tcPr>
            <w:tcW w:w="364" w:type="pct"/>
            <w:tcBorders>
              <w:top w:val="single" w:color="auto" w:sz="4" w:space="0"/>
              <w:left w:val="single" w:color="auto" w:sz="4" w:space="0"/>
              <w:bottom w:val="single" w:color="auto" w:sz="4" w:space="0"/>
              <w:right w:val="single" w:color="auto" w:sz="4" w:space="0"/>
            </w:tcBorders>
            <w:noWrap w:val="0"/>
            <w:vAlign w:val="center"/>
          </w:tcPr>
          <w:p w14:paraId="515F4985">
            <w:pPr>
              <w:shd w:val="clear" w:color="auto"/>
              <w:spacing w:line="34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项号</w:t>
            </w:r>
          </w:p>
        </w:tc>
        <w:tc>
          <w:tcPr>
            <w:tcW w:w="2070" w:type="pct"/>
            <w:tcBorders>
              <w:top w:val="single" w:color="auto" w:sz="4" w:space="0"/>
              <w:left w:val="single" w:color="auto" w:sz="4" w:space="0"/>
              <w:bottom w:val="single" w:color="auto" w:sz="4" w:space="0"/>
              <w:right w:val="single" w:color="auto" w:sz="4" w:space="0"/>
            </w:tcBorders>
            <w:noWrap w:val="0"/>
            <w:vAlign w:val="center"/>
          </w:tcPr>
          <w:p w14:paraId="1989FFAE">
            <w:pPr>
              <w:shd w:val="clear" w:color="auto"/>
              <w:spacing w:line="34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竞争性磋商采购文件的</w:t>
            </w:r>
            <w:r>
              <w:rPr>
                <w:rFonts w:hint="eastAsia" w:ascii="宋体" w:hAnsi="宋体" w:eastAsia="宋体" w:cs="Times New Roman"/>
                <w:color w:val="auto"/>
                <w:szCs w:val="21"/>
                <w:highlight w:val="none"/>
                <w:lang w:val="en-US" w:eastAsia="zh-CN"/>
              </w:rPr>
              <w:t>技术</w:t>
            </w:r>
            <w:r>
              <w:rPr>
                <w:rFonts w:hint="eastAsia" w:ascii="宋体" w:hAnsi="宋体" w:eastAsia="宋体" w:cs="Times New Roman"/>
                <w:color w:val="auto"/>
                <w:szCs w:val="21"/>
                <w:highlight w:val="none"/>
              </w:rPr>
              <w:t>需求</w:t>
            </w:r>
          </w:p>
        </w:tc>
        <w:tc>
          <w:tcPr>
            <w:tcW w:w="1892" w:type="pct"/>
            <w:tcBorders>
              <w:top w:val="single" w:color="auto" w:sz="4" w:space="0"/>
              <w:left w:val="single" w:color="auto" w:sz="4" w:space="0"/>
              <w:bottom w:val="single" w:color="auto" w:sz="4" w:space="0"/>
              <w:right w:val="single" w:color="auto" w:sz="4" w:space="0"/>
            </w:tcBorders>
            <w:noWrap w:val="0"/>
            <w:vAlign w:val="center"/>
          </w:tcPr>
          <w:p w14:paraId="6D7292AD">
            <w:pPr>
              <w:shd w:val="clear" w:color="auto"/>
              <w:spacing w:line="34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响应文件</w:t>
            </w:r>
            <w:r>
              <w:rPr>
                <w:rFonts w:hint="eastAsia" w:ascii="宋体" w:hAnsi="宋体" w:eastAsia="宋体" w:cs="Times New Roman"/>
                <w:color w:val="auto"/>
                <w:szCs w:val="21"/>
                <w:highlight w:val="none"/>
                <w:lang w:val="en-US" w:eastAsia="zh-CN"/>
              </w:rPr>
              <w:t>供应商</w:t>
            </w:r>
            <w:r>
              <w:rPr>
                <w:rFonts w:hint="eastAsia" w:ascii="宋体" w:hAnsi="宋体" w:eastAsia="宋体" w:cs="Times New Roman"/>
                <w:color w:val="auto"/>
                <w:szCs w:val="21"/>
                <w:highlight w:val="none"/>
              </w:rPr>
              <w:t>承诺</w:t>
            </w:r>
          </w:p>
        </w:tc>
        <w:tc>
          <w:tcPr>
            <w:tcW w:w="671" w:type="pct"/>
            <w:tcBorders>
              <w:top w:val="single" w:color="auto" w:sz="4" w:space="0"/>
              <w:left w:val="single" w:color="auto" w:sz="4" w:space="0"/>
              <w:bottom w:val="single" w:color="auto" w:sz="4" w:space="0"/>
              <w:right w:val="single" w:color="auto" w:sz="4" w:space="0"/>
            </w:tcBorders>
            <w:noWrap w:val="0"/>
            <w:vAlign w:val="center"/>
          </w:tcPr>
          <w:p w14:paraId="15406E7D">
            <w:pPr>
              <w:shd w:val="clear" w:color="auto"/>
              <w:spacing w:line="34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偏离说明</w:t>
            </w:r>
          </w:p>
        </w:tc>
      </w:tr>
      <w:tr w14:paraId="71104CF4">
        <w:trPr>
          <w:trHeight w:val="1320" w:hRule="atLeast"/>
          <w:jc w:val="center"/>
        </w:trPr>
        <w:tc>
          <w:tcPr>
            <w:tcW w:w="364" w:type="pct"/>
            <w:tcBorders>
              <w:top w:val="single" w:color="auto" w:sz="4" w:space="0"/>
              <w:left w:val="single" w:color="auto" w:sz="4" w:space="0"/>
              <w:bottom w:val="single" w:color="auto" w:sz="4" w:space="0"/>
              <w:right w:val="single" w:color="auto" w:sz="4" w:space="0"/>
            </w:tcBorders>
            <w:noWrap w:val="0"/>
            <w:vAlign w:val="top"/>
          </w:tcPr>
          <w:p w14:paraId="37597AE8">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一</w:t>
            </w:r>
          </w:p>
        </w:tc>
        <w:tc>
          <w:tcPr>
            <w:tcW w:w="2070" w:type="pct"/>
            <w:tcBorders>
              <w:top w:val="single" w:color="auto" w:sz="4" w:space="0"/>
              <w:left w:val="single" w:color="auto" w:sz="4" w:space="0"/>
              <w:bottom w:val="single" w:color="auto" w:sz="4" w:space="0"/>
              <w:right w:val="single" w:color="auto" w:sz="4" w:space="0"/>
            </w:tcBorders>
            <w:noWrap w:val="0"/>
            <w:vAlign w:val="top"/>
          </w:tcPr>
          <w:p w14:paraId="48D2DCB9">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3E3721F5">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5FA6E589">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2056BDB6">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892" w:type="pct"/>
            <w:tcBorders>
              <w:top w:val="single" w:color="auto" w:sz="4" w:space="0"/>
              <w:left w:val="single" w:color="auto" w:sz="4" w:space="0"/>
              <w:bottom w:val="single" w:color="auto" w:sz="4" w:space="0"/>
              <w:right w:val="single" w:color="auto" w:sz="4" w:space="0"/>
            </w:tcBorders>
            <w:noWrap w:val="0"/>
            <w:vAlign w:val="top"/>
          </w:tcPr>
          <w:p w14:paraId="6E60E241">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3E3EB881">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2287CB10">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454A314B">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671" w:type="pct"/>
            <w:tcBorders>
              <w:top w:val="single" w:color="auto" w:sz="4" w:space="0"/>
              <w:left w:val="single" w:color="auto" w:sz="4" w:space="0"/>
              <w:bottom w:val="single" w:color="auto" w:sz="4" w:space="0"/>
              <w:right w:val="single" w:color="auto" w:sz="4" w:space="0"/>
            </w:tcBorders>
            <w:noWrap w:val="0"/>
            <w:vAlign w:val="top"/>
          </w:tcPr>
          <w:p w14:paraId="30917719">
            <w:pPr>
              <w:shd w:val="clear" w:color="auto"/>
              <w:spacing w:line="300" w:lineRule="exact"/>
              <w:rPr>
                <w:rFonts w:hint="eastAsia" w:ascii="宋体" w:hAnsi="宋体" w:eastAsia="宋体" w:cs="Times New Roman"/>
                <w:color w:val="auto"/>
                <w:szCs w:val="21"/>
                <w:highlight w:val="none"/>
              </w:rPr>
            </w:pPr>
          </w:p>
        </w:tc>
      </w:tr>
      <w:tr w14:paraId="3131B6DA">
        <w:trPr>
          <w:trHeight w:val="1320" w:hRule="atLeast"/>
          <w:jc w:val="center"/>
        </w:trPr>
        <w:tc>
          <w:tcPr>
            <w:tcW w:w="364" w:type="pct"/>
            <w:tcBorders>
              <w:top w:val="single" w:color="auto" w:sz="4" w:space="0"/>
              <w:left w:val="single" w:color="auto" w:sz="4" w:space="0"/>
              <w:bottom w:val="single" w:color="auto" w:sz="4" w:space="0"/>
              <w:right w:val="single" w:color="auto" w:sz="4" w:space="0"/>
            </w:tcBorders>
            <w:noWrap w:val="0"/>
            <w:vAlign w:val="top"/>
          </w:tcPr>
          <w:p w14:paraId="0C45EC0F">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w:t>
            </w:r>
          </w:p>
        </w:tc>
        <w:tc>
          <w:tcPr>
            <w:tcW w:w="2070" w:type="pct"/>
            <w:tcBorders>
              <w:top w:val="single" w:color="auto" w:sz="4" w:space="0"/>
              <w:left w:val="single" w:color="auto" w:sz="4" w:space="0"/>
              <w:bottom w:val="single" w:color="auto" w:sz="4" w:space="0"/>
              <w:right w:val="single" w:color="auto" w:sz="4" w:space="0"/>
            </w:tcBorders>
            <w:noWrap w:val="0"/>
            <w:vAlign w:val="top"/>
          </w:tcPr>
          <w:p w14:paraId="7B246F49">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62503528">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7050CEE9">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328B6E3D">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892" w:type="pct"/>
            <w:tcBorders>
              <w:top w:val="single" w:color="auto" w:sz="4" w:space="0"/>
              <w:left w:val="single" w:color="auto" w:sz="4" w:space="0"/>
              <w:bottom w:val="single" w:color="auto" w:sz="4" w:space="0"/>
              <w:right w:val="single" w:color="auto" w:sz="4" w:space="0"/>
            </w:tcBorders>
            <w:noWrap w:val="0"/>
            <w:vAlign w:val="top"/>
          </w:tcPr>
          <w:p w14:paraId="66FFB1C1">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61481542">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78D8DD5E">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5A5E5476">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671" w:type="pct"/>
            <w:tcBorders>
              <w:top w:val="single" w:color="auto" w:sz="4" w:space="0"/>
              <w:left w:val="single" w:color="auto" w:sz="4" w:space="0"/>
              <w:bottom w:val="single" w:color="auto" w:sz="4" w:space="0"/>
              <w:right w:val="single" w:color="auto" w:sz="4" w:space="0"/>
            </w:tcBorders>
            <w:noWrap w:val="0"/>
            <w:vAlign w:val="top"/>
          </w:tcPr>
          <w:p w14:paraId="3A4CFA15">
            <w:pPr>
              <w:shd w:val="clear" w:color="auto"/>
              <w:spacing w:line="300" w:lineRule="exact"/>
              <w:rPr>
                <w:rFonts w:hint="eastAsia" w:ascii="宋体" w:hAnsi="宋体" w:eastAsia="宋体" w:cs="Times New Roman"/>
                <w:color w:val="auto"/>
                <w:szCs w:val="21"/>
                <w:highlight w:val="none"/>
              </w:rPr>
            </w:pPr>
          </w:p>
        </w:tc>
      </w:tr>
      <w:tr w14:paraId="64604C9E">
        <w:trPr>
          <w:trHeight w:val="1659" w:hRule="atLeast"/>
          <w:jc w:val="center"/>
        </w:trPr>
        <w:tc>
          <w:tcPr>
            <w:tcW w:w="364" w:type="pct"/>
            <w:tcBorders>
              <w:top w:val="single" w:color="auto" w:sz="4" w:space="0"/>
              <w:left w:val="single" w:color="auto" w:sz="4" w:space="0"/>
              <w:bottom w:val="single" w:color="auto" w:sz="4" w:space="0"/>
              <w:right w:val="single" w:color="auto" w:sz="4" w:space="0"/>
            </w:tcBorders>
            <w:noWrap w:val="0"/>
            <w:vAlign w:val="top"/>
          </w:tcPr>
          <w:p w14:paraId="7E918F7E">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2070" w:type="pct"/>
            <w:tcBorders>
              <w:top w:val="single" w:color="auto" w:sz="4" w:space="0"/>
              <w:left w:val="single" w:color="auto" w:sz="4" w:space="0"/>
              <w:bottom w:val="single" w:color="auto" w:sz="4" w:space="0"/>
              <w:right w:val="single" w:color="auto" w:sz="4" w:space="0"/>
            </w:tcBorders>
            <w:noWrap w:val="0"/>
            <w:vAlign w:val="top"/>
          </w:tcPr>
          <w:p w14:paraId="75BF3A93">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188B500D">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472FF332">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1BEEC022">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892" w:type="pct"/>
            <w:tcBorders>
              <w:top w:val="single" w:color="auto" w:sz="4" w:space="0"/>
              <w:left w:val="single" w:color="auto" w:sz="4" w:space="0"/>
              <w:bottom w:val="single" w:color="auto" w:sz="4" w:space="0"/>
              <w:right w:val="single" w:color="auto" w:sz="4" w:space="0"/>
            </w:tcBorders>
            <w:noWrap w:val="0"/>
            <w:vAlign w:val="top"/>
          </w:tcPr>
          <w:p w14:paraId="645F23DC">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  ……</w:t>
            </w:r>
          </w:p>
          <w:p w14:paraId="1610795F">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  ……</w:t>
            </w:r>
          </w:p>
          <w:p w14:paraId="0E9840ED">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  ……</w:t>
            </w:r>
          </w:p>
          <w:p w14:paraId="0443480E">
            <w:pPr>
              <w:shd w:val="clear" w:color="auto"/>
              <w:spacing w:line="3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671" w:type="pct"/>
            <w:tcBorders>
              <w:top w:val="single" w:color="auto" w:sz="4" w:space="0"/>
              <w:left w:val="single" w:color="auto" w:sz="4" w:space="0"/>
              <w:bottom w:val="single" w:color="auto" w:sz="4" w:space="0"/>
              <w:right w:val="single" w:color="auto" w:sz="4" w:space="0"/>
            </w:tcBorders>
            <w:noWrap w:val="0"/>
            <w:vAlign w:val="top"/>
          </w:tcPr>
          <w:p w14:paraId="5F18917C">
            <w:pPr>
              <w:shd w:val="clear" w:color="auto"/>
              <w:spacing w:line="300" w:lineRule="exact"/>
              <w:rPr>
                <w:rFonts w:hint="eastAsia" w:ascii="宋体" w:hAnsi="宋体" w:eastAsia="宋体" w:cs="Times New Roman"/>
                <w:color w:val="auto"/>
                <w:szCs w:val="21"/>
                <w:highlight w:val="none"/>
              </w:rPr>
            </w:pPr>
          </w:p>
        </w:tc>
      </w:tr>
    </w:tbl>
    <w:p w14:paraId="5F6D1566">
      <w:pPr>
        <w:pageBreakBefore w:val="0"/>
        <w:widowControl w:val="0"/>
        <w:shd w:val="clear" w:color="auto"/>
        <w:kinsoku/>
        <w:overflowPunct/>
        <w:topLinePunct w:val="0"/>
        <w:bidi w:val="0"/>
        <w:spacing w:after="0" w:line="360" w:lineRule="auto"/>
        <w:contextualSpacing/>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注：</w:t>
      </w:r>
    </w:p>
    <w:p w14:paraId="47153DDE">
      <w:pPr>
        <w:pageBreakBefore w:val="0"/>
        <w:widowControl w:val="0"/>
        <w:shd w:val="clear" w:color="auto"/>
        <w:kinsoku/>
        <w:overflowPunct/>
        <w:topLinePunct w:val="0"/>
        <w:bidi w:val="0"/>
        <w:spacing w:after="0" w:line="360" w:lineRule="auto"/>
        <w:contextualSpacing/>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1.说明：应对照磋商文件“第二章”中“采购需求”的技术需求条款逐条作出明确响应，并作出偏离说明。</w:t>
      </w:r>
    </w:p>
    <w:p w14:paraId="61EC8BBF">
      <w:pPr>
        <w:pageBreakBefore w:val="0"/>
        <w:widowControl w:val="0"/>
        <w:shd w:val="clear" w:color="auto"/>
        <w:kinsoku/>
        <w:overflowPunct/>
        <w:topLinePunct w:val="0"/>
        <w:bidi w:val="0"/>
        <w:spacing w:line="360" w:lineRule="auto"/>
        <w:ind w:firstLine="0" w:firstLineChars="0"/>
        <w:contextualSpacing/>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02DBDF54">
      <w:pPr>
        <w:pageBreakBefore w:val="0"/>
        <w:shd w:val="clear" w:color="auto"/>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47BF08F6">
      <w:pPr>
        <w:pageBreakBefore w:val="0"/>
        <w:shd w:val="clear" w:color="auto"/>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D2D4418">
      <w:pPr>
        <w:pageBreakBefore w:val="0"/>
        <w:shd w:val="clear" w:color="auto"/>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 如技术偏离表中的竞标响应与佐证材料不一致的，以佐证材料为准。</w:t>
      </w:r>
    </w:p>
    <w:p w14:paraId="2D6F7E0C">
      <w:pPr>
        <w:pageBreakBefore w:val="0"/>
        <w:shd w:val="clear" w:color="auto"/>
        <w:kinsoku/>
        <w:overflowPunct/>
        <w:topLinePunct w:val="0"/>
        <w:bidi w:val="0"/>
        <w:snapToGrid w:val="0"/>
        <w:spacing w:line="240" w:lineRule="auto"/>
        <w:ind w:firstLine="600" w:firstLineChars="200"/>
        <w:rPr>
          <w:rFonts w:hint="eastAsia" w:ascii="宋体" w:hAnsi="宋体" w:eastAsia="宋体" w:cs="宋体"/>
          <w:b/>
          <w:color w:val="auto"/>
          <w:sz w:val="30"/>
          <w:szCs w:val="30"/>
          <w:highlight w:val="none"/>
        </w:rPr>
      </w:pPr>
    </w:p>
    <w:p w14:paraId="02EE0C35">
      <w:pPr>
        <w:shd w:val="clear" w:color="auto"/>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35141840">
      <w:pPr>
        <w:shd w:val="clear" w:color="auto"/>
        <w:spacing w:line="360" w:lineRule="auto"/>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6BD91689">
      <w:pPr>
        <w:pageBreakBefore w:val="0"/>
        <w:shd w:val="clear" w:color="auto"/>
        <w:kinsoku/>
        <w:overflowPunct/>
        <w:topLinePunct w:val="0"/>
        <w:autoSpaceDE w:val="0"/>
        <w:autoSpaceDN w:val="0"/>
        <w:bidi w:val="0"/>
        <w:spacing w:line="360" w:lineRule="auto"/>
        <w:ind w:firstLine="3840" w:firstLineChars="1600"/>
        <w:rPr>
          <w:rFonts w:hint="eastAsia" w:ascii="宋体" w:hAnsi="宋体" w:eastAsia="宋体" w:cs="宋体"/>
          <w:b/>
          <w:bCs/>
          <w:color w:val="auto"/>
          <w:sz w:val="24"/>
          <w:highlight w:val="none"/>
        </w:rPr>
      </w:pPr>
    </w:p>
    <w:p w14:paraId="3F4B5958">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ascii="仿宋_GB2312" w:hAnsi="仿宋_GB2312" w:eastAsia="仿宋_GB2312" w:cs="仿宋_GB2312"/>
          <w:color w:val="auto"/>
          <w:kern w:val="0"/>
          <w:sz w:val="32"/>
          <w:szCs w:val="32"/>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五、企业概况表</w:t>
      </w:r>
    </w:p>
    <w:p w14:paraId="49122B15">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企业概况表</w:t>
      </w:r>
    </w:p>
    <w:tbl>
      <w:tblPr>
        <w:tblStyle w:val="27"/>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57743C2E">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12F6F5">
            <w:pPr>
              <w:shd w:val="clear" w:color="auto"/>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F5FC9C">
            <w:pPr>
              <w:shd w:val="clear" w:color="auto"/>
              <w:spacing w:line="500" w:lineRule="exact"/>
              <w:jc w:val="center"/>
              <w:rPr>
                <w:rFonts w:hint="eastAsia" w:ascii="宋体" w:hAnsi="宋体" w:eastAsia="宋体" w:cs="宋体"/>
                <w:color w:val="auto"/>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C4098E">
            <w:pPr>
              <w:shd w:val="clear" w:color="auto"/>
              <w:spacing w:line="500" w:lineRule="exact"/>
              <w:ind w:left="7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8BCE50">
            <w:pPr>
              <w:shd w:val="clear" w:color="auto"/>
              <w:spacing w:line="500" w:lineRule="exact"/>
              <w:jc w:val="center"/>
              <w:rPr>
                <w:rFonts w:hint="eastAsia" w:ascii="宋体" w:hAnsi="宋体" w:eastAsia="宋体" w:cs="宋体"/>
                <w:color w:val="auto"/>
                <w:sz w:val="24"/>
                <w:szCs w:val="24"/>
                <w:highlight w:val="none"/>
              </w:rPr>
            </w:pPr>
          </w:p>
        </w:tc>
      </w:tr>
      <w:tr w14:paraId="2063E9A8">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A07FC0">
            <w:pPr>
              <w:shd w:val="clear" w:color="auto"/>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770AC8">
            <w:pPr>
              <w:shd w:val="clear" w:color="auto"/>
              <w:spacing w:line="500" w:lineRule="exact"/>
              <w:rPr>
                <w:rFonts w:hint="eastAsia" w:ascii="宋体" w:hAnsi="宋体" w:eastAsia="宋体" w:cs="宋体"/>
                <w:color w:val="auto"/>
                <w:sz w:val="24"/>
                <w:szCs w:val="24"/>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E13DB4">
            <w:pPr>
              <w:shd w:val="clear" w:color="auto"/>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5469A6">
            <w:pPr>
              <w:shd w:val="clear" w:color="auto"/>
              <w:spacing w:line="500" w:lineRule="exact"/>
              <w:jc w:val="center"/>
              <w:rPr>
                <w:rFonts w:hint="eastAsia" w:ascii="宋体" w:hAnsi="宋体" w:eastAsia="宋体" w:cs="宋体"/>
                <w:color w:val="auto"/>
                <w:sz w:val="24"/>
                <w:szCs w:val="24"/>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A0B1B7">
            <w:pPr>
              <w:shd w:val="clear" w:color="auto"/>
              <w:spacing w:line="500" w:lineRule="exact"/>
              <w:ind w:left="7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B86CAF4">
            <w:pPr>
              <w:shd w:val="clear" w:color="auto"/>
              <w:spacing w:line="500" w:lineRule="exact"/>
              <w:jc w:val="center"/>
              <w:rPr>
                <w:rFonts w:hint="eastAsia" w:ascii="宋体" w:hAnsi="宋体" w:eastAsia="宋体" w:cs="宋体"/>
                <w:color w:val="auto"/>
                <w:sz w:val="24"/>
                <w:szCs w:val="24"/>
                <w:highlight w:val="none"/>
              </w:rPr>
            </w:pPr>
          </w:p>
        </w:tc>
      </w:tr>
      <w:tr w14:paraId="6A972ACA">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E40B45">
            <w:pPr>
              <w:shd w:val="clear" w:color="auto"/>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3E5A77">
            <w:pPr>
              <w:shd w:val="clear" w:color="auto"/>
              <w:spacing w:line="500" w:lineRule="exact"/>
              <w:rPr>
                <w:rFonts w:hint="eastAsia" w:ascii="宋体" w:hAnsi="宋体" w:eastAsia="宋体" w:cs="宋体"/>
                <w:color w:val="auto"/>
                <w:sz w:val="24"/>
                <w:szCs w:val="24"/>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454BD7">
            <w:pPr>
              <w:shd w:val="clear" w:color="auto"/>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5FF85D">
            <w:pPr>
              <w:shd w:val="clear" w:color="auto"/>
              <w:spacing w:line="500" w:lineRule="exact"/>
              <w:jc w:val="center"/>
              <w:rPr>
                <w:rFonts w:hint="eastAsia" w:ascii="宋体" w:hAnsi="宋体" w:eastAsia="宋体" w:cs="宋体"/>
                <w:color w:val="auto"/>
                <w:sz w:val="24"/>
                <w:szCs w:val="24"/>
                <w:highlight w:val="none"/>
              </w:rPr>
            </w:pPr>
          </w:p>
        </w:tc>
      </w:tr>
      <w:tr w14:paraId="6D8F76CB">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BF9A9E">
            <w:pPr>
              <w:shd w:val="clear" w:color="auto"/>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2317B0">
            <w:pPr>
              <w:shd w:val="clear" w:color="auto"/>
              <w:spacing w:line="500" w:lineRule="exact"/>
              <w:jc w:val="center"/>
              <w:rPr>
                <w:rFonts w:hint="eastAsia" w:ascii="宋体" w:hAnsi="宋体" w:eastAsia="宋体" w:cs="宋体"/>
                <w:color w:val="auto"/>
                <w:sz w:val="24"/>
                <w:szCs w:val="24"/>
                <w:highlight w:val="none"/>
              </w:rPr>
            </w:pPr>
          </w:p>
        </w:tc>
      </w:tr>
      <w:tr w14:paraId="19C336EE">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29807B">
            <w:pPr>
              <w:shd w:val="clear" w:color="auto"/>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1084C6">
            <w:pPr>
              <w:shd w:val="clear" w:color="auto"/>
              <w:spacing w:line="500" w:lineRule="exact"/>
              <w:rPr>
                <w:rFonts w:hint="eastAsia" w:ascii="宋体" w:hAnsi="宋体" w:eastAsia="宋体" w:cs="宋体"/>
                <w:color w:val="auto"/>
                <w:sz w:val="24"/>
                <w:szCs w:val="24"/>
                <w:highlight w:val="none"/>
              </w:rPr>
            </w:pPr>
          </w:p>
        </w:tc>
      </w:tr>
      <w:tr w14:paraId="5CC38628">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AED8AB5">
            <w:pPr>
              <w:shd w:val="clear" w:color="auto"/>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8624A9">
            <w:pPr>
              <w:shd w:val="clear" w:color="auto"/>
              <w:spacing w:line="5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5CD9C9D7">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9248758">
            <w:pPr>
              <w:shd w:val="clear" w:color="auto"/>
              <w:spacing w:line="5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D75F36">
            <w:pPr>
              <w:shd w:val="clear" w:color="auto"/>
              <w:spacing w:line="500" w:lineRule="exact"/>
              <w:rPr>
                <w:rFonts w:hint="eastAsia" w:ascii="宋体" w:hAnsi="宋体" w:eastAsia="宋体" w:cs="宋体"/>
                <w:color w:val="auto"/>
                <w:sz w:val="24"/>
                <w:szCs w:val="24"/>
                <w:highlight w:val="none"/>
              </w:rPr>
            </w:pPr>
          </w:p>
        </w:tc>
      </w:tr>
    </w:tbl>
    <w:p w14:paraId="5FAD8411">
      <w:pPr>
        <w:shd w:val="clear" w:color="auto"/>
        <w:rPr>
          <w:rFonts w:hint="eastAsia" w:ascii="Times New Roman" w:hAnsi="Courier New" w:eastAsia="宋体" w:cs="Times New Roman"/>
          <w:color w:val="auto"/>
          <w:szCs w:val="20"/>
          <w:highlight w:val="none"/>
        </w:rPr>
      </w:pPr>
    </w:p>
    <w:p w14:paraId="70B557C4">
      <w:pPr>
        <w:shd w:val="clear" w:color="auto"/>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8475133">
      <w:pPr>
        <w:shd w:val="clear" w:color="auto"/>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4AE9040">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ascii="宋体" w:hAnsi="Courier New" w:eastAsia="宋体" w:cs="Times New Roman"/>
          <w:color w:val="auto"/>
          <w:kern w:val="0"/>
          <w:sz w:val="32"/>
          <w:szCs w:val="21"/>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六、近三年来施工企业承建的项目竣工工程情况表</w:t>
      </w:r>
    </w:p>
    <w:p w14:paraId="39B9236A">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近三年来施工企业承建的项目竣工工程情况表</w:t>
      </w:r>
    </w:p>
    <w:p w14:paraId="2D1412C9">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(如有附验收单或证书复印件，字迹模糊不清的复印件无效)</w:t>
      </w:r>
    </w:p>
    <w:p w14:paraId="6A806BF5">
      <w:pPr>
        <w:shd w:val="clear" w:color="auto"/>
        <w:jc w:val="center"/>
        <w:rPr>
          <w:rFonts w:ascii="Times New Roman" w:hAnsi="Courier New" w:eastAsia="宋体" w:cs="Times New Roman"/>
          <w:color w:val="auto"/>
          <w:highlight w:val="none"/>
        </w:rPr>
      </w:pPr>
    </w:p>
    <w:tbl>
      <w:tblPr>
        <w:tblStyle w:val="27"/>
        <w:tblW w:w="4998" w:type="pct"/>
        <w:jc w:val="center"/>
        <w:tblLayout w:type="autofit"/>
        <w:tblCellMar>
          <w:top w:w="0" w:type="dxa"/>
          <w:left w:w="0" w:type="dxa"/>
          <w:bottom w:w="0" w:type="dxa"/>
          <w:right w:w="0" w:type="dxa"/>
        </w:tblCellMar>
      </w:tblPr>
      <w:tblGrid>
        <w:gridCol w:w="1823"/>
        <w:gridCol w:w="1283"/>
        <w:gridCol w:w="1194"/>
        <w:gridCol w:w="1159"/>
        <w:gridCol w:w="1606"/>
        <w:gridCol w:w="1539"/>
        <w:gridCol w:w="1245"/>
      </w:tblGrid>
      <w:tr w14:paraId="25F8941A">
        <w:trPr>
          <w:trHeight w:val="913"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420573">
            <w:pPr>
              <w:shd w:val="clear" w:color="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建设单位</w:t>
            </w: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C390390">
            <w:pPr>
              <w:shd w:val="clear" w:color="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w:t>
            </w: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95969F1">
            <w:pPr>
              <w:shd w:val="clear" w:color="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结构类型及跨度</w:t>
            </w: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BDDA2A">
            <w:pPr>
              <w:shd w:val="clear" w:color="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建筑面积</w:t>
            </w: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ADE015">
            <w:pPr>
              <w:shd w:val="clear" w:color="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开、竣工日期</w:t>
            </w: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7BAB50">
            <w:pPr>
              <w:shd w:val="clear" w:color="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合同价款</w:t>
            </w: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CF7B990">
            <w:pPr>
              <w:shd w:val="clear" w:color="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质量等级</w:t>
            </w:r>
          </w:p>
        </w:tc>
      </w:tr>
      <w:tr w14:paraId="500F206F">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AC5FD5E">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32F950">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1FC7532">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12F1B21">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6FBDDF">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3315F4">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D40A70">
            <w:pPr>
              <w:shd w:val="clear" w:color="auto"/>
              <w:jc w:val="center"/>
              <w:rPr>
                <w:rFonts w:hint="eastAsia" w:ascii="宋体" w:hAnsi="宋体" w:eastAsia="宋体" w:cs="宋体"/>
                <w:color w:val="auto"/>
                <w:sz w:val="22"/>
                <w:szCs w:val="22"/>
                <w:highlight w:val="none"/>
              </w:rPr>
            </w:pPr>
          </w:p>
        </w:tc>
      </w:tr>
      <w:tr w14:paraId="66974BFF">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59F4E1">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D872DA">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CCA86BB">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A4FCB7">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15252D">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255B18">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357CDA">
            <w:pPr>
              <w:shd w:val="clear" w:color="auto"/>
              <w:jc w:val="center"/>
              <w:rPr>
                <w:rFonts w:hint="eastAsia" w:ascii="宋体" w:hAnsi="宋体" w:eastAsia="宋体" w:cs="宋体"/>
                <w:color w:val="auto"/>
                <w:sz w:val="22"/>
                <w:szCs w:val="22"/>
                <w:highlight w:val="none"/>
              </w:rPr>
            </w:pPr>
          </w:p>
        </w:tc>
      </w:tr>
      <w:tr w14:paraId="33561CBC">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B2130B9">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4C0C6B">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FFF3B2">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37D706">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35D977">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34FDEF">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505568">
            <w:pPr>
              <w:shd w:val="clear" w:color="auto"/>
              <w:jc w:val="center"/>
              <w:rPr>
                <w:rFonts w:hint="eastAsia" w:ascii="宋体" w:hAnsi="宋体" w:eastAsia="宋体" w:cs="宋体"/>
                <w:color w:val="auto"/>
                <w:sz w:val="22"/>
                <w:szCs w:val="22"/>
                <w:highlight w:val="none"/>
              </w:rPr>
            </w:pPr>
          </w:p>
        </w:tc>
      </w:tr>
      <w:tr w14:paraId="567C7A24">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34C453">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AC70FBD">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1E0D61">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D250E9">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28696E6">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56A476">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AFC1A4">
            <w:pPr>
              <w:shd w:val="clear" w:color="auto"/>
              <w:jc w:val="center"/>
              <w:rPr>
                <w:rFonts w:hint="eastAsia" w:ascii="宋体" w:hAnsi="宋体" w:eastAsia="宋体" w:cs="宋体"/>
                <w:color w:val="auto"/>
                <w:sz w:val="22"/>
                <w:szCs w:val="22"/>
                <w:highlight w:val="none"/>
              </w:rPr>
            </w:pPr>
          </w:p>
        </w:tc>
      </w:tr>
      <w:tr w14:paraId="6DF87F23">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7CC55B">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E3A06D">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70A2A93">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7F72F0">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92D4A7">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965C4C">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B8AB4D">
            <w:pPr>
              <w:shd w:val="clear" w:color="auto"/>
              <w:jc w:val="center"/>
              <w:rPr>
                <w:rFonts w:hint="eastAsia" w:ascii="宋体" w:hAnsi="宋体" w:eastAsia="宋体" w:cs="宋体"/>
                <w:color w:val="auto"/>
                <w:sz w:val="22"/>
                <w:szCs w:val="22"/>
                <w:highlight w:val="none"/>
              </w:rPr>
            </w:pPr>
          </w:p>
        </w:tc>
      </w:tr>
      <w:tr w14:paraId="600E250E">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E7FA1A">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FA9673">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0FA6A2">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65E7E52">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E49012">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955202">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F89E213">
            <w:pPr>
              <w:shd w:val="clear" w:color="auto"/>
              <w:jc w:val="center"/>
              <w:rPr>
                <w:rFonts w:hint="eastAsia" w:ascii="宋体" w:hAnsi="宋体" w:eastAsia="宋体" w:cs="宋体"/>
                <w:color w:val="auto"/>
                <w:sz w:val="22"/>
                <w:szCs w:val="22"/>
                <w:highlight w:val="none"/>
              </w:rPr>
            </w:pPr>
          </w:p>
        </w:tc>
      </w:tr>
      <w:tr w14:paraId="143E5812">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3CD3B2">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3DA54E">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18CC06">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7742167">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F9380A">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8AAEAB">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571ED0">
            <w:pPr>
              <w:shd w:val="clear" w:color="auto"/>
              <w:jc w:val="center"/>
              <w:rPr>
                <w:rFonts w:hint="eastAsia" w:ascii="宋体" w:hAnsi="宋体" w:eastAsia="宋体" w:cs="宋体"/>
                <w:color w:val="auto"/>
                <w:sz w:val="22"/>
                <w:szCs w:val="22"/>
                <w:highlight w:val="none"/>
              </w:rPr>
            </w:pPr>
          </w:p>
        </w:tc>
      </w:tr>
      <w:tr w14:paraId="760972E2">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9B55B4">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8333F0E">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0083694">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8E76B7">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06C7A6">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2951E2">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F3E5B3">
            <w:pPr>
              <w:shd w:val="clear" w:color="auto"/>
              <w:jc w:val="center"/>
              <w:rPr>
                <w:rFonts w:hint="eastAsia" w:ascii="宋体" w:hAnsi="宋体" w:eastAsia="宋体" w:cs="宋体"/>
                <w:color w:val="auto"/>
                <w:sz w:val="22"/>
                <w:szCs w:val="22"/>
                <w:highlight w:val="none"/>
              </w:rPr>
            </w:pPr>
          </w:p>
        </w:tc>
      </w:tr>
      <w:tr w14:paraId="1D11E5BF">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4457F1">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397F04">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975BC1">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9CB1A7">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AC26905">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6A3C39E">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8BD89B">
            <w:pPr>
              <w:shd w:val="clear" w:color="auto"/>
              <w:jc w:val="center"/>
              <w:rPr>
                <w:rFonts w:hint="eastAsia" w:ascii="宋体" w:hAnsi="宋体" w:eastAsia="宋体" w:cs="宋体"/>
                <w:color w:val="auto"/>
                <w:sz w:val="22"/>
                <w:szCs w:val="22"/>
                <w:highlight w:val="none"/>
              </w:rPr>
            </w:pPr>
          </w:p>
        </w:tc>
      </w:tr>
      <w:tr w14:paraId="1CA9D8D4">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03A22D2">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3D8CE6B">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F877CE">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B0F47B">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1FDB08">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F59886">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ABB4A2">
            <w:pPr>
              <w:shd w:val="clear" w:color="auto"/>
              <w:jc w:val="center"/>
              <w:rPr>
                <w:rFonts w:hint="eastAsia" w:ascii="宋体" w:hAnsi="宋体" w:eastAsia="宋体" w:cs="宋体"/>
                <w:color w:val="auto"/>
                <w:sz w:val="22"/>
                <w:szCs w:val="22"/>
                <w:highlight w:val="none"/>
              </w:rPr>
            </w:pPr>
          </w:p>
        </w:tc>
      </w:tr>
      <w:tr w14:paraId="3BD670DF">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5DB7AB">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E92460">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44B336">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C19772">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7B5A98">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0A8327B">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390C71">
            <w:pPr>
              <w:shd w:val="clear" w:color="auto"/>
              <w:jc w:val="center"/>
              <w:rPr>
                <w:rFonts w:hint="eastAsia" w:ascii="宋体" w:hAnsi="宋体" w:eastAsia="宋体" w:cs="宋体"/>
                <w:color w:val="auto"/>
                <w:sz w:val="22"/>
                <w:szCs w:val="22"/>
                <w:highlight w:val="none"/>
              </w:rPr>
            </w:pPr>
          </w:p>
        </w:tc>
      </w:tr>
      <w:tr w14:paraId="306CFC14">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548CC1">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5065D4D">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34FF6F">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233DDA">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2AA3D5">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4B6EBF">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272DC6">
            <w:pPr>
              <w:shd w:val="clear" w:color="auto"/>
              <w:jc w:val="center"/>
              <w:rPr>
                <w:rFonts w:hint="eastAsia" w:ascii="宋体" w:hAnsi="宋体" w:eastAsia="宋体" w:cs="宋体"/>
                <w:color w:val="auto"/>
                <w:sz w:val="22"/>
                <w:szCs w:val="22"/>
                <w:highlight w:val="none"/>
              </w:rPr>
            </w:pPr>
          </w:p>
        </w:tc>
      </w:tr>
      <w:tr w14:paraId="1BE8735C">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5E8D33">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BB93B02">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610FEB">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050349">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8025AAE">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887278">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6FE1C2">
            <w:pPr>
              <w:shd w:val="clear" w:color="auto"/>
              <w:jc w:val="center"/>
              <w:rPr>
                <w:rFonts w:hint="eastAsia" w:ascii="宋体" w:hAnsi="宋体" w:eastAsia="宋体" w:cs="宋体"/>
                <w:color w:val="auto"/>
                <w:sz w:val="22"/>
                <w:szCs w:val="22"/>
                <w:highlight w:val="none"/>
              </w:rPr>
            </w:pPr>
          </w:p>
        </w:tc>
      </w:tr>
      <w:tr w14:paraId="4D4F4437">
        <w:trPr>
          <w:trHeight w:val="500" w:hRule="exact"/>
          <w:jc w:val="center"/>
        </w:trPr>
        <w:tc>
          <w:tcPr>
            <w:tcW w:w="92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479B1E">
            <w:pPr>
              <w:shd w:val="clear" w:color="auto"/>
              <w:jc w:val="center"/>
              <w:rPr>
                <w:rFonts w:hint="eastAsia" w:ascii="宋体" w:hAnsi="宋体" w:eastAsia="宋体" w:cs="宋体"/>
                <w:color w:val="auto"/>
                <w:sz w:val="22"/>
                <w:szCs w:val="22"/>
                <w:highlight w:val="none"/>
              </w:rPr>
            </w:pPr>
          </w:p>
        </w:tc>
        <w:tc>
          <w:tcPr>
            <w:tcW w:w="65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6A9612">
            <w:pPr>
              <w:shd w:val="clear" w:color="auto"/>
              <w:jc w:val="center"/>
              <w:rPr>
                <w:rFonts w:hint="eastAsia" w:ascii="宋体" w:hAnsi="宋体" w:eastAsia="宋体" w:cs="宋体"/>
                <w:color w:val="auto"/>
                <w:sz w:val="22"/>
                <w:szCs w:val="22"/>
                <w:highlight w:val="none"/>
              </w:rPr>
            </w:pPr>
          </w:p>
        </w:tc>
        <w:tc>
          <w:tcPr>
            <w:tcW w:w="606"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96B7CF">
            <w:pPr>
              <w:shd w:val="clear" w:color="auto"/>
              <w:jc w:val="center"/>
              <w:rPr>
                <w:rFonts w:hint="eastAsia" w:ascii="宋体" w:hAnsi="宋体" w:eastAsia="宋体" w:cs="宋体"/>
                <w:color w:val="auto"/>
                <w:sz w:val="22"/>
                <w:szCs w:val="22"/>
                <w:highlight w:val="none"/>
              </w:rPr>
            </w:pPr>
          </w:p>
        </w:tc>
        <w:tc>
          <w:tcPr>
            <w:tcW w:w="5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C11B5E">
            <w:pPr>
              <w:shd w:val="clear" w:color="auto"/>
              <w:jc w:val="center"/>
              <w:rPr>
                <w:rFonts w:hint="eastAsia" w:ascii="宋体" w:hAnsi="宋体" w:eastAsia="宋体" w:cs="宋体"/>
                <w:color w:val="auto"/>
                <w:sz w:val="22"/>
                <w:szCs w:val="22"/>
                <w:highlight w:val="none"/>
              </w:rPr>
            </w:pPr>
          </w:p>
        </w:tc>
        <w:tc>
          <w:tcPr>
            <w:tcW w:w="81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F44B12">
            <w:pPr>
              <w:shd w:val="clear" w:color="auto"/>
              <w:jc w:val="center"/>
              <w:rPr>
                <w:rFonts w:hint="eastAsia" w:ascii="宋体" w:hAnsi="宋体" w:eastAsia="宋体" w:cs="宋体"/>
                <w:color w:val="auto"/>
                <w:sz w:val="22"/>
                <w:szCs w:val="22"/>
                <w:highlight w:val="none"/>
              </w:rPr>
            </w:pPr>
          </w:p>
        </w:tc>
        <w:tc>
          <w:tcPr>
            <w:tcW w:w="78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8C4B80">
            <w:pPr>
              <w:shd w:val="clear" w:color="auto"/>
              <w:jc w:val="center"/>
              <w:rPr>
                <w:rFonts w:hint="eastAsia" w:ascii="宋体" w:hAnsi="宋体" w:eastAsia="宋体" w:cs="宋体"/>
                <w:color w:val="auto"/>
                <w:sz w:val="22"/>
                <w:szCs w:val="22"/>
                <w:highlight w:val="none"/>
              </w:rPr>
            </w:pPr>
          </w:p>
        </w:tc>
        <w:tc>
          <w:tcPr>
            <w:tcW w:w="63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FDB7B23">
            <w:pPr>
              <w:shd w:val="clear" w:color="auto"/>
              <w:jc w:val="center"/>
              <w:rPr>
                <w:rFonts w:hint="eastAsia" w:ascii="宋体" w:hAnsi="宋体" w:eastAsia="宋体" w:cs="宋体"/>
                <w:color w:val="auto"/>
                <w:sz w:val="22"/>
                <w:szCs w:val="22"/>
                <w:highlight w:val="none"/>
              </w:rPr>
            </w:pPr>
          </w:p>
        </w:tc>
      </w:tr>
    </w:tbl>
    <w:p w14:paraId="6A0B1D5C">
      <w:pPr>
        <w:shd w:val="clear" w:color="auto"/>
        <w:jc w:val="center"/>
        <w:rPr>
          <w:rFonts w:ascii="Times New Roman" w:hAnsi="Courier New" w:eastAsia="宋体" w:cs="Times New Roman"/>
          <w:color w:val="auto"/>
          <w:sz w:val="32"/>
          <w:szCs w:val="20"/>
          <w:highlight w:val="none"/>
        </w:rPr>
      </w:pPr>
    </w:p>
    <w:p w14:paraId="09C86D85">
      <w:pPr>
        <w:shd w:val="clear" w:color="auto"/>
        <w:rPr>
          <w:rFonts w:ascii="Times New Roman" w:hAnsi="Courier New" w:eastAsia="宋体" w:cs="Times New Roman"/>
          <w:color w:val="auto"/>
          <w:highlight w:val="none"/>
        </w:rPr>
      </w:pPr>
    </w:p>
    <w:p w14:paraId="32BD3754">
      <w:pPr>
        <w:shd w:val="clear" w:color="auto"/>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供应商名称（电子签章）：</w:t>
      </w:r>
    </w:p>
    <w:p w14:paraId="721C049E">
      <w:pPr>
        <w:shd w:val="clear" w:color="auto"/>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2470166B">
      <w:pPr>
        <w:shd w:val="clear" w:color="auto"/>
        <w:rPr>
          <w:rFonts w:ascii="Times New Roman" w:hAnsi="Courier New" w:eastAsia="宋体" w:cs="Times New Roman"/>
          <w:color w:val="auto"/>
          <w:highlight w:val="none"/>
        </w:rPr>
      </w:pPr>
    </w:p>
    <w:p w14:paraId="6A886BD9">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ascii="宋体" w:hAnsi="Courier New" w:eastAsia="宋体" w:cs="Times New Roman"/>
          <w:color w:val="auto"/>
          <w:kern w:val="0"/>
          <w:sz w:val="32"/>
          <w:szCs w:val="21"/>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七、项目经理（或建造师）简历表</w:t>
      </w:r>
    </w:p>
    <w:p w14:paraId="183041B5">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项目经理（或建造师）简历表</w:t>
      </w:r>
    </w:p>
    <w:tbl>
      <w:tblPr>
        <w:tblStyle w:val="27"/>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5FC69672">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A0AECFF">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2590EA">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7C7AF8">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FF4197">
            <w:pPr>
              <w:shd w:val="clear" w:color="auto"/>
              <w:jc w:val="center"/>
              <w:rPr>
                <w:rFonts w:ascii="Times New Roman" w:hAnsi="Courier New" w:eastAsia="宋体" w:cs="Times New Roman"/>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8471AD">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0DA9EF">
            <w:pPr>
              <w:shd w:val="clear" w:color="auto"/>
              <w:jc w:val="center"/>
              <w:rPr>
                <w:rFonts w:ascii="Times New Roman" w:hAnsi="Courier New" w:eastAsia="宋体" w:cs="Times New Roman"/>
                <w:color w:val="auto"/>
                <w:highlight w:val="none"/>
              </w:rPr>
            </w:pPr>
          </w:p>
        </w:tc>
      </w:tr>
      <w:tr w14:paraId="53EB4688">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896015E">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C7484F">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8AB90DA">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B7EB48">
            <w:pPr>
              <w:shd w:val="clear" w:color="auto"/>
              <w:jc w:val="center"/>
              <w:rPr>
                <w:rFonts w:ascii="Times New Roman" w:hAnsi="Courier New" w:eastAsia="宋体" w:cs="Times New Roman"/>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9874B0">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B26A84">
            <w:pPr>
              <w:shd w:val="clear" w:color="auto"/>
              <w:jc w:val="center"/>
              <w:rPr>
                <w:rFonts w:ascii="Times New Roman" w:hAnsi="Courier New" w:eastAsia="宋体" w:cs="Times New Roman"/>
                <w:color w:val="auto"/>
                <w:highlight w:val="none"/>
              </w:rPr>
            </w:pPr>
          </w:p>
        </w:tc>
      </w:tr>
      <w:tr w14:paraId="2BBCA14B">
        <w:trPr>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3DB0C87">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1FC496">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0C03E7">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BA384D">
            <w:pPr>
              <w:shd w:val="clear" w:color="auto"/>
              <w:jc w:val="center"/>
              <w:rPr>
                <w:rFonts w:ascii="Times New Roman" w:hAnsi="Courier New" w:eastAsia="宋体" w:cs="Times New Roman"/>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DC5510">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85B6C5">
            <w:pPr>
              <w:shd w:val="clear" w:color="auto"/>
              <w:jc w:val="center"/>
              <w:rPr>
                <w:rFonts w:ascii="Times New Roman" w:hAnsi="Courier New" w:eastAsia="宋体" w:cs="Times New Roman"/>
                <w:color w:val="auto"/>
                <w:highlight w:val="none"/>
              </w:rPr>
            </w:pPr>
          </w:p>
        </w:tc>
      </w:tr>
      <w:tr w14:paraId="3E92278C">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FC7DE1">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BDE9841">
            <w:pPr>
              <w:shd w:val="clear" w:color="auto"/>
              <w:jc w:val="center"/>
              <w:rPr>
                <w:rFonts w:ascii="Times New Roman" w:hAnsi="Courier New" w:eastAsia="宋体" w:cs="Times New Roman"/>
                <w:color w:val="auto"/>
                <w:highlight w:val="none"/>
              </w:rPr>
            </w:pPr>
          </w:p>
        </w:tc>
      </w:tr>
      <w:tr w14:paraId="055A51EC">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CBF5C66">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已</w:t>
            </w:r>
            <w:r>
              <w:rPr>
                <w:rFonts w:ascii="Times New Roman" w:hAnsi="Courier New" w:eastAsia="宋体" w:cs="Times New Roman"/>
                <w:color w:val="auto"/>
                <w:highlight w:val="none"/>
              </w:rPr>
              <w:t xml:space="preserve"> </w:t>
            </w:r>
            <w:r>
              <w:rPr>
                <w:rFonts w:hint="eastAsia" w:ascii="Times New Roman" w:hAnsi="Courier New" w:eastAsia="宋体" w:cs="Times New Roman"/>
                <w:color w:val="auto"/>
                <w:highlight w:val="none"/>
              </w:rPr>
              <w:t>完</w:t>
            </w:r>
            <w:r>
              <w:rPr>
                <w:rFonts w:ascii="Times New Roman" w:hAnsi="Courier New" w:eastAsia="宋体" w:cs="Times New Roman"/>
                <w:color w:val="auto"/>
                <w:highlight w:val="none"/>
              </w:rPr>
              <w:t xml:space="preserve"> </w:t>
            </w:r>
            <w:r>
              <w:rPr>
                <w:rFonts w:hint="eastAsia" w:ascii="Times New Roman" w:hAnsi="Courier New" w:eastAsia="宋体" w:cs="Times New Roman"/>
                <w:color w:val="auto"/>
                <w:highlight w:val="none"/>
              </w:rPr>
              <w:t>工</w:t>
            </w:r>
            <w:r>
              <w:rPr>
                <w:rFonts w:ascii="Times New Roman" w:hAnsi="Courier New" w:eastAsia="宋体" w:cs="Times New Roman"/>
                <w:color w:val="auto"/>
                <w:highlight w:val="none"/>
              </w:rPr>
              <w:t xml:space="preserve"> </w:t>
            </w:r>
            <w:r>
              <w:rPr>
                <w:rFonts w:hint="eastAsia" w:ascii="Times New Roman" w:hAnsi="Courier New" w:eastAsia="宋体" w:cs="Times New Roman"/>
                <w:color w:val="auto"/>
                <w:highlight w:val="none"/>
              </w:rPr>
              <w:t>程</w:t>
            </w:r>
            <w:r>
              <w:rPr>
                <w:rFonts w:ascii="Times New Roman" w:hAnsi="Courier New" w:eastAsia="宋体" w:cs="Times New Roman"/>
                <w:color w:val="auto"/>
                <w:highlight w:val="none"/>
              </w:rPr>
              <w:t xml:space="preserve"> </w:t>
            </w:r>
            <w:r>
              <w:rPr>
                <w:rFonts w:hint="eastAsia" w:ascii="Times New Roman" w:hAnsi="Courier New" w:eastAsia="宋体" w:cs="Times New Roman"/>
                <w:color w:val="auto"/>
                <w:highlight w:val="none"/>
              </w:rPr>
              <w:t>项</w:t>
            </w:r>
            <w:r>
              <w:rPr>
                <w:rFonts w:ascii="Times New Roman" w:hAnsi="Courier New" w:eastAsia="宋体" w:cs="Times New Roman"/>
                <w:color w:val="auto"/>
                <w:highlight w:val="none"/>
              </w:rPr>
              <w:t xml:space="preserve"> </w:t>
            </w:r>
            <w:r>
              <w:rPr>
                <w:rFonts w:hint="eastAsia" w:ascii="Times New Roman" w:hAnsi="Courier New" w:eastAsia="宋体" w:cs="Times New Roman"/>
                <w:color w:val="auto"/>
                <w:highlight w:val="none"/>
              </w:rPr>
              <w:t>目</w:t>
            </w:r>
            <w:r>
              <w:rPr>
                <w:rFonts w:ascii="Times New Roman" w:hAnsi="Courier New" w:eastAsia="宋体" w:cs="Times New Roman"/>
                <w:color w:val="auto"/>
                <w:highlight w:val="none"/>
              </w:rPr>
              <w:t xml:space="preserve"> </w:t>
            </w:r>
            <w:r>
              <w:rPr>
                <w:rFonts w:hint="eastAsia" w:ascii="Times New Roman" w:hAnsi="Courier New" w:eastAsia="宋体" w:cs="Times New Roman"/>
                <w:color w:val="auto"/>
                <w:highlight w:val="none"/>
              </w:rPr>
              <w:t>情</w:t>
            </w:r>
            <w:r>
              <w:rPr>
                <w:rFonts w:ascii="Times New Roman" w:hAnsi="Courier New" w:eastAsia="宋体" w:cs="Times New Roman"/>
                <w:color w:val="auto"/>
                <w:highlight w:val="none"/>
              </w:rPr>
              <w:t xml:space="preserve"> </w:t>
            </w:r>
            <w:r>
              <w:rPr>
                <w:rFonts w:hint="eastAsia" w:ascii="Times New Roman" w:hAnsi="Courier New" w:eastAsia="宋体" w:cs="Times New Roman"/>
                <w:color w:val="auto"/>
                <w:highlight w:val="none"/>
              </w:rPr>
              <w:t>况</w:t>
            </w:r>
          </w:p>
        </w:tc>
      </w:tr>
      <w:tr w14:paraId="25F159C1">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8F30CE">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9A51BE">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86633D5">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B5ABF8B">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5783AE">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质量等级</w:t>
            </w:r>
          </w:p>
        </w:tc>
      </w:tr>
      <w:tr w14:paraId="49BE915F">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D822D3">
            <w:pPr>
              <w:shd w:val="clear" w:color="auto"/>
              <w:jc w:val="center"/>
              <w:rPr>
                <w:rFonts w:ascii="Times New Roman" w:hAnsi="Courier New" w:eastAsia="宋体" w:cs="Times New Roman"/>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113ADD">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78E771">
            <w:pPr>
              <w:shd w:val="clear" w:color="auto"/>
              <w:jc w:val="center"/>
              <w:rPr>
                <w:rFonts w:ascii="Times New Roman" w:hAnsi="Courier New" w:eastAsia="宋体" w:cs="Times New Roman"/>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F19800">
            <w:pPr>
              <w:shd w:val="clear" w:color="auto"/>
              <w:jc w:val="center"/>
              <w:rPr>
                <w:rFonts w:ascii="Times New Roman" w:hAnsi="Courier New" w:eastAsia="宋体" w:cs="Times New Roman"/>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E77D55">
            <w:pPr>
              <w:shd w:val="clear" w:color="auto"/>
              <w:jc w:val="center"/>
              <w:rPr>
                <w:rFonts w:ascii="Times New Roman" w:hAnsi="Courier New" w:eastAsia="宋体" w:cs="Times New Roman"/>
                <w:color w:val="auto"/>
                <w:highlight w:val="none"/>
              </w:rPr>
            </w:pPr>
          </w:p>
        </w:tc>
      </w:tr>
      <w:tr w14:paraId="1413AC6A">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C5A973">
            <w:pPr>
              <w:shd w:val="clear" w:color="auto"/>
              <w:jc w:val="center"/>
              <w:rPr>
                <w:rFonts w:ascii="Times New Roman" w:hAnsi="Courier New" w:eastAsia="宋体" w:cs="Times New Roman"/>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2BCE9A">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9C07E5">
            <w:pPr>
              <w:shd w:val="clear" w:color="auto"/>
              <w:jc w:val="center"/>
              <w:rPr>
                <w:rFonts w:ascii="Times New Roman" w:hAnsi="Courier New" w:eastAsia="宋体" w:cs="Times New Roman"/>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6D2465">
            <w:pPr>
              <w:shd w:val="clear" w:color="auto"/>
              <w:jc w:val="center"/>
              <w:rPr>
                <w:rFonts w:ascii="Times New Roman" w:hAnsi="Courier New" w:eastAsia="宋体" w:cs="Times New Roman"/>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EDB84A">
            <w:pPr>
              <w:shd w:val="clear" w:color="auto"/>
              <w:jc w:val="center"/>
              <w:rPr>
                <w:rFonts w:ascii="Times New Roman" w:hAnsi="Courier New" w:eastAsia="宋体" w:cs="Times New Roman"/>
                <w:color w:val="auto"/>
                <w:highlight w:val="none"/>
              </w:rPr>
            </w:pPr>
          </w:p>
        </w:tc>
      </w:tr>
      <w:tr w14:paraId="2AA8BA7D">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B66B5E">
            <w:pPr>
              <w:shd w:val="clear" w:color="auto"/>
              <w:jc w:val="center"/>
              <w:rPr>
                <w:rFonts w:ascii="Times New Roman" w:hAnsi="Courier New" w:eastAsia="宋体" w:cs="Times New Roman"/>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6DD37E">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3BD065">
            <w:pPr>
              <w:shd w:val="clear" w:color="auto"/>
              <w:jc w:val="center"/>
              <w:rPr>
                <w:rFonts w:ascii="Times New Roman" w:hAnsi="Courier New" w:eastAsia="宋体" w:cs="Times New Roman"/>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A918310">
            <w:pPr>
              <w:shd w:val="clear" w:color="auto"/>
              <w:jc w:val="center"/>
              <w:rPr>
                <w:rFonts w:ascii="Times New Roman" w:hAnsi="Courier New" w:eastAsia="宋体" w:cs="Times New Roman"/>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FF4F03E">
            <w:pPr>
              <w:shd w:val="clear" w:color="auto"/>
              <w:jc w:val="center"/>
              <w:rPr>
                <w:rFonts w:ascii="Times New Roman" w:hAnsi="Courier New" w:eastAsia="宋体" w:cs="Times New Roman"/>
                <w:color w:val="auto"/>
                <w:highlight w:val="none"/>
              </w:rPr>
            </w:pPr>
          </w:p>
        </w:tc>
      </w:tr>
      <w:tr w14:paraId="539824A4">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9C6FB7">
            <w:pPr>
              <w:shd w:val="clear" w:color="auto"/>
              <w:jc w:val="center"/>
              <w:rPr>
                <w:rFonts w:ascii="Times New Roman" w:hAnsi="Courier New" w:eastAsia="宋体" w:cs="Times New Roman"/>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3770D4">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A79CFB">
            <w:pPr>
              <w:shd w:val="clear" w:color="auto"/>
              <w:jc w:val="center"/>
              <w:rPr>
                <w:rFonts w:ascii="Times New Roman" w:hAnsi="Courier New" w:eastAsia="宋体" w:cs="Times New Roman"/>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5DB400">
            <w:pPr>
              <w:shd w:val="clear" w:color="auto"/>
              <w:jc w:val="center"/>
              <w:rPr>
                <w:rFonts w:ascii="Times New Roman" w:hAnsi="Courier New" w:eastAsia="宋体" w:cs="Times New Roman"/>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4F9232">
            <w:pPr>
              <w:shd w:val="clear" w:color="auto"/>
              <w:jc w:val="center"/>
              <w:rPr>
                <w:rFonts w:ascii="Times New Roman" w:hAnsi="Courier New" w:eastAsia="宋体" w:cs="Times New Roman"/>
                <w:color w:val="auto"/>
                <w:highlight w:val="none"/>
              </w:rPr>
            </w:pPr>
          </w:p>
        </w:tc>
      </w:tr>
      <w:tr w14:paraId="4CA70B43">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F0668C">
            <w:pPr>
              <w:shd w:val="clear" w:color="auto"/>
              <w:jc w:val="center"/>
              <w:rPr>
                <w:rFonts w:ascii="Times New Roman" w:hAnsi="Courier New" w:eastAsia="宋体" w:cs="Times New Roman"/>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DE24B3">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C53D63">
            <w:pPr>
              <w:shd w:val="clear" w:color="auto"/>
              <w:jc w:val="center"/>
              <w:rPr>
                <w:rFonts w:ascii="Times New Roman" w:hAnsi="Courier New" w:eastAsia="宋体" w:cs="Times New Roman"/>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15380D">
            <w:pPr>
              <w:shd w:val="clear" w:color="auto"/>
              <w:jc w:val="center"/>
              <w:rPr>
                <w:rFonts w:ascii="Times New Roman" w:hAnsi="Courier New" w:eastAsia="宋体" w:cs="Times New Roman"/>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2D94BA">
            <w:pPr>
              <w:shd w:val="clear" w:color="auto"/>
              <w:jc w:val="center"/>
              <w:rPr>
                <w:rFonts w:ascii="Times New Roman" w:hAnsi="Courier New" w:eastAsia="宋体" w:cs="Times New Roman"/>
                <w:color w:val="auto"/>
                <w:highlight w:val="none"/>
              </w:rPr>
            </w:pPr>
          </w:p>
        </w:tc>
      </w:tr>
      <w:tr w14:paraId="26554C25">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C7709C">
            <w:pPr>
              <w:shd w:val="clear" w:color="auto"/>
              <w:jc w:val="center"/>
              <w:rPr>
                <w:rFonts w:ascii="Times New Roman" w:hAnsi="Courier New" w:eastAsia="宋体" w:cs="Times New Roman"/>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EAAE47">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B7B70A7">
            <w:pPr>
              <w:shd w:val="clear" w:color="auto"/>
              <w:jc w:val="center"/>
              <w:rPr>
                <w:rFonts w:ascii="Times New Roman" w:hAnsi="Courier New" w:eastAsia="宋体" w:cs="Times New Roman"/>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64A1BD">
            <w:pPr>
              <w:shd w:val="clear" w:color="auto"/>
              <w:jc w:val="center"/>
              <w:rPr>
                <w:rFonts w:ascii="Times New Roman" w:hAnsi="Courier New" w:eastAsia="宋体" w:cs="Times New Roman"/>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21EB36">
            <w:pPr>
              <w:shd w:val="clear" w:color="auto"/>
              <w:jc w:val="center"/>
              <w:rPr>
                <w:rFonts w:ascii="Times New Roman" w:hAnsi="Courier New" w:eastAsia="宋体" w:cs="Times New Roman"/>
                <w:color w:val="auto"/>
                <w:highlight w:val="none"/>
              </w:rPr>
            </w:pPr>
          </w:p>
        </w:tc>
      </w:tr>
      <w:tr w14:paraId="07B07E7A">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DF961B">
            <w:pPr>
              <w:shd w:val="clear" w:color="auto"/>
              <w:jc w:val="center"/>
              <w:rPr>
                <w:rFonts w:ascii="Times New Roman" w:hAnsi="Courier New" w:eastAsia="宋体" w:cs="Times New Roman"/>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F8CF40">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DADF9B">
            <w:pPr>
              <w:shd w:val="clear" w:color="auto"/>
              <w:jc w:val="center"/>
              <w:rPr>
                <w:rFonts w:ascii="Times New Roman" w:hAnsi="Courier New" w:eastAsia="宋体" w:cs="Times New Roman"/>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30D645">
            <w:pPr>
              <w:shd w:val="clear" w:color="auto"/>
              <w:jc w:val="center"/>
              <w:rPr>
                <w:rFonts w:ascii="Times New Roman" w:hAnsi="Courier New" w:eastAsia="宋体" w:cs="Times New Roman"/>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A349F0C">
            <w:pPr>
              <w:shd w:val="clear" w:color="auto"/>
              <w:jc w:val="center"/>
              <w:rPr>
                <w:rFonts w:ascii="Times New Roman" w:hAnsi="Courier New" w:eastAsia="宋体" w:cs="Times New Roman"/>
                <w:color w:val="auto"/>
                <w:highlight w:val="none"/>
              </w:rPr>
            </w:pPr>
          </w:p>
        </w:tc>
      </w:tr>
      <w:tr w14:paraId="3EFB4968">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C6ABE5">
            <w:pPr>
              <w:shd w:val="clear" w:color="auto"/>
              <w:jc w:val="center"/>
              <w:rPr>
                <w:rFonts w:ascii="Times New Roman" w:hAnsi="Courier New" w:eastAsia="宋体" w:cs="Times New Roman"/>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AC54B5">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21D0C3">
            <w:pPr>
              <w:shd w:val="clear" w:color="auto"/>
              <w:jc w:val="center"/>
              <w:rPr>
                <w:rFonts w:ascii="Times New Roman" w:hAnsi="Courier New" w:eastAsia="宋体" w:cs="Times New Roman"/>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932DB8">
            <w:pPr>
              <w:shd w:val="clear" w:color="auto"/>
              <w:jc w:val="center"/>
              <w:rPr>
                <w:rFonts w:ascii="Times New Roman" w:hAnsi="Courier New" w:eastAsia="宋体" w:cs="Times New Roman"/>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9CBF46">
            <w:pPr>
              <w:shd w:val="clear" w:color="auto"/>
              <w:jc w:val="center"/>
              <w:rPr>
                <w:rFonts w:ascii="Times New Roman" w:hAnsi="Courier New" w:eastAsia="宋体" w:cs="Times New Roman"/>
                <w:color w:val="auto"/>
                <w:highlight w:val="none"/>
              </w:rPr>
            </w:pPr>
          </w:p>
        </w:tc>
      </w:tr>
      <w:tr w14:paraId="22B540E9">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351C44">
            <w:pPr>
              <w:shd w:val="clear" w:color="auto"/>
              <w:jc w:val="center"/>
              <w:rPr>
                <w:rFonts w:ascii="Times New Roman" w:hAnsi="Courier New" w:eastAsia="宋体" w:cs="Times New Roman"/>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0E7B0D">
            <w:pPr>
              <w:shd w:val="clear" w:color="auto"/>
              <w:jc w:val="center"/>
              <w:rPr>
                <w:rFonts w:ascii="Times New Roman" w:hAnsi="Courier New" w:eastAsia="宋体" w:cs="Times New Roman"/>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D020B0">
            <w:pPr>
              <w:shd w:val="clear" w:color="auto"/>
              <w:jc w:val="center"/>
              <w:rPr>
                <w:rFonts w:ascii="Times New Roman" w:hAnsi="Courier New" w:eastAsia="宋体" w:cs="Times New Roman"/>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51F3C5">
            <w:pPr>
              <w:shd w:val="clear" w:color="auto"/>
              <w:jc w:val="center"/>
              <w:rPr>
                <w:rFonts w:ascii="Times New Roman" w:hAnsi="Courier New" w:eastAsia="宋体" w:cs="Times New Roman"/>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493E09">
            <w:pPr>
              <w:shd w:val="clear" w:color="auto"/>
              <w:jc w:val="center"/>
              <w:rPr>
                <w:rFonts w:ascii="Times New Roman" w:hAnsi="Courier New" w:eastAsia="宋体" w:cs="Times New Roman"/>
                <w:color w:val="auto"/>
                <w:highlight w:val="none"/>
              </w:rPr>
            </w:pPr>
          </w:p>
        </w:tc>
      </w:tr>
    </w:tbl>
    <w:p w14:paraId="7A72ADA2">
      <w:pPr>
        <w:shd w:val="clear" w:color="auto"/>
        <w:rPr>
          <w:rFonts w:ascii="Times New Roman" w:hAnsi="Courier New" w:eastAsia="宋体" w:cs="Times New Roman"/>
          <w:color w:val="auto"/>
          <w:szCs w:val="20"/>
          <w:highlight w:val="none"/>
        </w:rPr>
      </w:pPr>
    </w:p>
    <w:p w14:paraId="3D51625E">
      <w:pPr>
        <w:shd w:val="clear" w:color="auto"/>
        <w:rPr>
          <w:rFonts w:ascii="Times New Roman" w:hAnsi="Courier New" w:eastAsia="宋体" w:cs="Times New Roman"/>
          <w:b/>
          <w:color w:val="auto"/>
          <w:highlight w:val="none"/>
        </w:rPr>
      </w:pPr>
      <w:r>
        <w:rPr>
          <w:rFonts w:ascii="Times New Roman" w:hAnsi="Courier New" w:eastAsia="宋体" w:cs="Times New Roman"/>
          <w:color w:val="auto"/>
          <w:highlight w:val="none"/>
        </w:rPr>
        <w:t xml:space="preserve"> </w:t>
      </w:r>
      <w:r>
        <w:rPr>
          <w:rFonts w:ascii="Times New Roman" w:hAnsi="Courier New" w:eastAsia="宋体" w:cs="Times New Roman"/>
          <w:b/>
          <w:color w:val="auto"/>
          <w:highlight w:val="none"/>
        </w:rPr>
        <w:t xml:space="preserve"> </w:t>
      </w:r>
      <w:r>
        <w:rPr>
          <w:rFonts w:hint="eastAsia" w:ascii="Times New Roman" w:hAnsi="Courier New" w:eastAsia="宋体" w:cs="Times New Roman"/>
          <w:b/>
          <w:color w:val="auto"/>
          <w:highlight w:val="none"/>
        </w:rPr>
        <w:t>附：项目经理（或建造师）或注册建造师资质等级证书复印件及资质等级年检情况。</w:t>
      </w:r>
    </w:p>
    <w:p w14:paraId="337BEBFF">
      <w:pPr>
        <w:shd w:val="clear" w:color="auto"/>
        <w:rPr>
          <w:rFonts w:ascii="Times New Roman" w:hAnsi="Courier New" w:eastAsia="宋体" w:cs="Times New Roman"/>
          <w:b/>
          <w:color w:val="auto"/>
          <w:highlight w:val="none"/>
        </w:rPr>
      </w:pPr>
    </w:p>
    <w:p w14:paraId="22BE5DCE">
      <w:pPr>
        <w:shd w:val="clear" w:color="auto"/>
        <w:rPr>
          <w:rFonts w:ascii="Times New Roman" w:hAnsi="Courier New" w:eastAsia="宋体" w:cs="Times New Roman"/>
          <w:b/>
          <w:color w:val="auto"/>
          <w:highlight w:val="none"/>
        </w:rPr>
      </w:pPr>
    </w:p>
    <w:p w14:paraId="64FD3938">
      <w:pPr>
        <w:shd w:val="clear" w:color="auto"/>
        <w:rPr>
          <w:rFonts w:ascii="Times New Roman" w:hAnsi="Courier New" w:eastAsia="宋体" w:cs="Times New Roman"/>
          <w:b/>
          <w:color w:val="auto"/>
          <w:highlight w:val="none"/>
        </w:rPr>
      </w:pPr>
    </w:p>
    <w:p w14:paraId="5E1E390D">
      <w:pPr>
        <w:shd w:val="clear" w:color="auto"/>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A9A7BC3">
      <w:pPr>
        <w:shd w:val="clear" w:color="auto"/>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608739E9">
      <w:pPr>
        <w:shd w:val="clear" w:color="auto"/>
        <w:rPr>
          <w:rFonts w:ascii="Times New Roman" w:hAnsi="Courier New" w:eastAsia="宋体" w:cs="Times New Roman"/>
          <w:b/>
          <w:color w:val="auto"/>
          <w:highlight w:val="none"/>
        </w:rPr>
      </w:pPr>
    </w:p>
    <w:p w14:paraId="542E8A61">
      <w:pPr>
        <w:shd w:val="clear" w:color="auto"/>
        <w:rPr>
          <w:rFonts w:ascii="Times New Roman" w:hAnsi="Courier New" w:eastAsia="宋体" w:cs="Times New Roman"/>
          <w:b/>
          <w:color w:val="auto"/>
          <w:highlight w:val="none"/>
        </w:rPr>
      </w:pPr>
    </w:p>
    <w:p w14:paraId="0D2C38CF">
      <w:pPr>
        <w:shd w:val="clear" w:color="auto"/>
        <w:rPr>
          <w:rFonts w:ascii="Times New Roman" w:hAnsi="Courier New" w:eastAsia="宋体" w:cs="Times New Roman"/>
          <w:b/>
          <w:color w:val="auto"/>
          <w:highlight w:val="none"/>
        </w:rPr>
      </w:pPr>
    </w:p>
    <w:p w14:paraId="033488DE">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t>八、主要施工管理人员表</w:t>
      </w:r>
    </w:p>
    <w:p w14:paraId="7943F8DA">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主要施工管理人员表</w:t>
      </w:r>
    </w:p>
    <w:tbl>
      <w:tblPr>
        <w:tblStyle w:val="27"/>
        <w:tblW w:w="4997" w:type="pct"/>
        <w:jc w:val="center"/>
        <w:tblLayout w:type="autofit"/>
        <w:tblCellMar>
          <w:top w:w="0" w:type="dxa"/>
          <w:left w:w="0" w:type="dxa"/>
          <w:bottom w:w="0" w:type="dxa"/>
          <w:right w:w="0" w:type="dxa"/>
        </w:tblCellMar>
      </w:tblPr>
      <w:tblGrid>
        <w:gridCol w:w="1777"/>
        <w:gridCol w:w="1176"/>
        <w:gridCol w:w="1176"/>
        <w:gridCol w:w="1176"/>
        <w:gridCol w:w="4542"/>
      </w:tblGrid>
      <w:tr w14:paraId="12011C6B">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447B236">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职务</w:t>
            </w: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7B3143">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姓名</w:t>
            </w: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70B699">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职务</w:t>
            </w: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116CCB">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职称</w:t>
            </w: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93B9DF">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现任职务及资格经历</w:t>
            </w:r>
          </w:p>
        </w:tc>
      </w:tr>
      <w:tr w14:paraId="5D61B4EB">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135086">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6EBBE5">
            <w:pPr>
              <w:shd w:val="clear" w:color="auto"/>
              <w:jc w:val="center"/>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5EB55F4">
            <w:pPr>
              <w:shd w:val="clear" w:color="auto"/>
              <w:jc w:val="center"/>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B5DC90">
            <w:pPr>
              <w:shd w:val="clear" w:color="auto"/>
              <w:jc w:val="center"/>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CEC4EF">
            <w:pPr>
              <w:shd w:val="clear" w:color="auto"/>
              <w:jc w:val="center"/>
              <w:rPr>
                <w:rFonts w:ascii="Times New Roman" w:hAnsi="Courier New" w:eastAsia="宋体" w:cs="Times New Roman"/>
                <w:color w:val="auto"/>
                <w:highlight w:val="none"/>
              </w:rPr>
            </w:pPr>
          </w:p>
        </w:tc>
      </w:tr>
      <w:tr w14:paraId="33E2275E">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00AE16">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A94A867">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2F1B85">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1ED8AE">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EB90F6">
            <w:pPr>
              <w:shd w:val="clear" w:color="auto"/>
              <w:rPr>
                <w:rFonts w:ascii="Times New Roman" w:hAnsi="Courier New" w:eastAsia="宋体" w:cs="Times New Roman"/>
                <w:color w:val="auto"/>
                <w:highlight w:val="none"/>
              </w:rPr>
            </w:pPr>
          </w:p>
        </w:tc>
      </w:tr>
      <w:tr w14:paraId="5DE8657C">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CCBDB1">
            <w:pPr>
              <w:shd w:val="clear" w:color="auto"/>
              <w:ind w:firstLine="377"/>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288F75">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77D0002">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168A2B">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B8C806">
            <w:pPr>
              <w:shd w:val="clear" w:color="auto"/>
              <w:rPr>
                <w:rFonts w:ascii="Times New Roman" w:hAnsi="Courier New" w:eastAsia="宋体" w:cs="Times New Roman"/>
                <w:color w:val="auto"/>
                <w:highlight w:val="none"/>
              </w:rPr>
            </w:pPr>
          </w:p>
        </w:tc>
      </w:tr>
      <w:tr w14:paraId="1FAE347F">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92D779">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54B91DB">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175431F">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70C836E">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5C7120">
            <w:pPr>
              <w:shd w:val="clear" w:color="auto"/>
              <w:rPr>
                <w:rFonts w:ascii="Times New Roman" w:hAnsi="Courier New" w:eastAsia="宋体" w:cs="Times New Roman"/>
                <w:color w:val="auto"/>
                <w:highlight w:val="none"/>
              </w:rPr>
            </w:pPr>
          </w:p>
        </w:tc>
      </w:tr>
      <w:tr w14:paraId="746938F1">
        <w:trPr>
          <w:trHeight w:val="701"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BEB71C">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AD0405C">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CF3350">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712E9A">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DAD3F2">
            <w:pPr>
              <w:shd w:val="clear" w:color="auto"/>
              <w:rPr>
                <w:rFonts w:ascii="Times New Roman" w:hAnsi="Courier New" w:eastAsia="宋体" w:cs="Times New Roman"/>
                <w:color w:val="auto"/>
                <w:highlight w:val="none"/>
              </w:rPr>
            </w:pPr>
          </w:p>
        </w:tc>
      </w:tr>
      <w:tr w14:paraId="373C51C4">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A260D5">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C3842C">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F3E3D5">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B10889">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0059A8">
            <w:pPr>
              <w:shd w:val="clear" w:color="auto"/>
              <w:rPr>
                <w:rFonts w:ascii="Times New Roman" w:hAnsi="Courier New" w:eastAsia="宋体" w:cs="Times New Roman"/>
                <w:color w:val="auto"/>
                <w:highlight w:val="none"/>
              </w:rPr>
            </w:pPr>
          </w:p>
        </w:tc>
      </w:tr>
      <w:tr w14:paraId="169E7E4B">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20245E">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F05E16">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2F0C55">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A75755">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8CBC6B">
            <w:pPr>
              <w:shd w:val="clear" w:color="auto"/>
              <w:rPr>
                <w:rFonts w:ascii="Times New Roman" w:hAnsi="Courier New" w:eastAsia="宋体" w:cs="Times New Roman"/>
                <w:color w:val="auto"/>
                <w:highlight w:val="none"/>
              </w:rPr>
            </w:pPr>
          </w:p>
        </w:tc>
      </w:tr>
      <w:tr w14:paraId="5E7FDE1D">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C3F2A3">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CA0CB6">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89C4265">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14776C">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B1264E">
            <w:pPr>
              <w:shd w:val="clear" w:color="auto"/>
              <w:rPr>
                <w:rFonts w:ascii="Times New Roman" w:hAnsi="Courier New" w:eastAsia="宋体" w:cs="Times New Roman"/>
                <w:color w:val="auto"/>
                <w:highlight w:val="none"/>
              </w:rPr>
            </w:pPr>
          </w:p>
        </w:tc>
      </w:tr>
      <w:tr w14:paraId="6203AEB6">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0D361F">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F3D8DC">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A7D666">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02A79FB">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94D642">
            <w:pPr>
              <w:shd w:val="clear" w:color="auto"/>
              <w:rPr>
                <w:rFonts w:ascii="Times New Roman" w:hAnsi="Courier New" w:eastAsia="宋体" w:cs="Times New Roman"/>
                <w:color w:val="auto"/>
                <w:highlight w:val="none"/>
              </w:rPr>
            </w:pPr>
          </w:p>
        </w:tc>
      </w:tr>
      <w:tr w14:paraId="0AF947A0">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0027FA">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7761CB5">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2245CD">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6E60FD">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67A312">
            <w:pPr>
              <w:shd w:val="clear" w:color="auto"/>
              <w:rPr>
                <w:rFonts w:ascii="Times New Roman" w:hAnsi="Courier New" w:eastAsia="宋体" w:cs="Times New Roman"/>
                <w:color w:val="auto"/>
                <w:highlight w:val="none"/>
              </w:rPr>
            </w:pPr>
          </w:p>
        </w:tc>
      </w:tr>
      <w:tr w14:paraId="3A68D802">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5B8468">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F235CE">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058C25">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9C2A71">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6567CD">
            <w:pPr>
              <w:shd w:val="clear" w:color="auto"/>
              <w:rPr>
                <w:rFonts w:ascii="Times New Roman" w:hAnsi="Courier New" w:eastAsia="宋体" w:cs="Times New Roman"/>
                <w:color w:val="auto"/>
                <w:highlight w:val="none"/>
              </w:rPr>
            </w:pPr>
          </w:p>
        </w:tc>
      </w:tr>
      <w:tr w14:paraId="4826C294">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379D22">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3DAED7">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8084CC">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637276">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E001D2">
            <w:pPr>
              <w:shd w:val="clear" w:color="auto"/>
              <w:rPr>
                <w:rFonts w:ascii="Times New Roman" w:hAnsi="Courier New" w:eastAsia="宋体" w:cs="Times New Roman"/>
                <w:color w:val="auto"/>
                <w:highlight w:val="none"/>
              </w:rPr>
            </w:pPr>
          </w:p>
        </w:tc>
      </w:tr>
      <w:tr w14:paraId="6A813AC9">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960484">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15C6067">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DEA5B8">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E6A475">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8EA6CFE">
            <w:pPr>
              <w:shd w:val="clear" w:color="auto"/>
              <w:rPr>
                <w:rFonts w:ascii="Times New Roman" w:hAnsi="Courier New" w:eastAsia="宋体" w:cs="Times New Roman"/>
                <w:color w:val="auto"/>
                <w:highlight w:val="none"/>
              </w:rPr>
            </w:pPr>
          </w:p>
        </w:tc>
      </w:tr>
      <w:tr w14:paraId="770C3BAA">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A6A2A3">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120B49">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2C97D0">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4C8A8E">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3DE514">
            <w:pPr>
              <w:shd w:val="clear" w:color="auto"/>
              <w:rPr>
                <w:rFonts w:ascii="Times New Roman" w:hAnsi="Courier New" w:eastAsia="宋体" w:cs="Times New Roman"/>
                <w:color w:val="auto"/>
                <w:highlight w:val="none"/>
              </w:rPr>
            </w:pPr>
          </w:p>
        </w:tc>
      </w:tr>
      <w:tr w14:paraId="1C223D4E">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F6B823">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A514EE">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AF36E53">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588096">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6C22F9">
            <w:pPr>
              <w:shd w:val="clear" w:color="auto"/>
              <w:rPr>
                <w:rFonts w:ascii="Times New Roman" w:hAnsi="Courier New" w:eastAsia="宋体" w:cs="Times New Roman"/>
                <w:color w:val="auto"/>
                <w:highlight w:val="none"/>
              </w:rPr>
            </w:pPr>
          </w:p>
        </w:tc>
      </w:tr>
      <w:tr w14:paraId="33C52C50">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C0F0D02">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C6CE8B">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CC047C">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9C0257">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0B8C5F">
            <w:pPr>
              <w:shd w:val="clear" w:color="auto"/>
              <w:rPr>
                <w:rFonts w:ascii="Times New Roman" w:hAnsi="Courier New" w:eastAsia="宋体" w:cs="Times New Roman"/>
                <w:color w:val="auto"/>
                <w:highlight w:val="none"/>
              </w:rPr>
            </w:pPr>
          </w:p>
        </w:tc>
      </w:tr>
      <w:tr w14:paraId="2BCDAD7B">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38B357">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1801E3">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B66E28">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E8A3A9">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9C0232">
            <w:pPr>
              <w:shd w:val="clear" w:color="auto"/>
              <w:rPr>
                <w:rFonts w:ascii="Times New Roman" w:hAnsi="Courier New" w:eastAsia="宋体" w:cs="Times New Roman"/>
                <w:color w:val="auto"/>
                <w:highlight w:val="none"/>
              </w:rPr>
            </w:pPr>
          </w:p>
        </w:tc>
      </w:tr>
      <w:tr w14:paraId="2A7A3541">
        <w:trPr>
          <w:trHeight w:val="500" w:hRule="exact"/>
          <w:jc w:val="center"/>
        </w:trPr>
        <w:tc>
          <w:tcPr>
            <w:tcW w:w="90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BFDDDF">
            <w:pPr>
              <w:shd w:val="clear" w:color="auto"/>
              <w:rPr>
                <w:rFonts w:ascii="Times New Roman" w:hAnsi="Courier New" w:eastAsia="宋体" w:cs="Times New Roman"/>
                <w:color w:val="auto"/>
                <w:highlight w:val="none"/>
              </w:rPr>
            </w:pPr>
            <w:r>
              <w:rPr>
                <w:rFonts w:ascii="Times New Roman" w:hAnsi="Courier New" w:eastAsia="宋体" w:cs="Times New Roman"/>
                <w:color w:val="auto"/>
                <w:highlight w:val="none"/>
              </w:rPr>
              <w:t>.....</w:t>
            </w: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EADFBC">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CFE39D">
            <w:pPr>
              <w:shd w:val="clear" w:color="auto"/>
              <w:rPr>
                <w:rFonts w:ascii="Times New Roman" w:hAnsi="Courier New" w:eastAsia="宋体" w:cs="Times New Roman"/>
                <w:color w:val="auto"/>
                <w:highlight w:val="none"/>
              </w:rPr>
            </w:pPr>
          </w:p>
        </w:tc>
        <w:tc>
          <w:tcPr>
            <w:tcW w:w="597"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1DC787">
            <w:pPr>
              <w:shd w:val="clear" w:color="auto"/>
              <w:rPr>
                <w:rFonts w:ascii="Times New Roman" w:hAnsi="Courier New" w:eastAsia="宋体" w:cs="Times New Roman"/>
                <w:color w:val="auto"/>
                <w:highlight w:val="none"/>
              </w:rPr>
            </w:pPr>
          </w:p>
        </w:tc>
        <w:tc>
          <w:tcPr>
            <w:tcW w:w="230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D100AA">
            <w:pPr>
              <w:shd w:val="clear" w:color="auto"/>
              <w:rPr>
                <w:rFonts w:ascii="Times New Roman" w:hAnsi="Courier New" w:eastAsia="宋体" w:cs="Times New Roman"/>
                <w:color w:val="auto"/>
                <w:highlight w:val="none"/>
              </w:rPr>
            </w:pPr>
          </w:p>
        </w:tc>
      </w:tr>
    </w:tbl>
    <w:p w14:paraId="3B827A42">
      <w:pPr>
        <w:shd w:val="clear" w:color="auto"/>
        <w:tabs>
          <w:tab w:val="left" w:pos="0"/>
        </w:tabs>
        <w:spacing w:line="360" w:lineRule="auto"/>
        <w:ind w:right="-210"/>
        <w:rPr>
          <w:rFonts w:hint="eastAsia" w:ascii="宋体" w:hAnsi="宋体" w:eastAsia="宋体" w:cs="宋体"/>
          <w:color w:val="auto"/>
          <w:highlight w:val="none"/>
        </w:rPr>
      </w:pPr>
      <w:r>
        <w:rPr>
          <w:rFonts w:hint="eastAsia" w:ascii="宋体" w:hAnsi="宋体" w:eastAsia="宋体" w:cs="宋体"/>
          <w:color w:val="auto"/>
          <w:highlight w:val="none"/>
        </w:rPr>
        <w:t>【备注：附各岗位人员资格证件（如有）扫描件。以上扫描件均为原件的扫描件】</w:t>
      </w:r>
    </w:p>
    <w:p w14:paraId="402B4BCD">
      <w:pPr>
        <w:shd w:val="clear" w:color="auto"/>
        <w:spacing w:line="440" w:lineRule="exact"/>
        <w:jc w:val="center"/>
        <w:rPr>
          <w:rFonts w:ascii="Times New Roman" w:hAnsi="Courier New" w:eastAsia="隶书" w:cs="Times New Roman"/>
          <w:b/>
          <w:color w:val="auto"/>
          <w:sz w:val="48"/>
          <w:highlight w:val="none"/>
        </w:rPr>
      </w:pPr>
    </w:p>
    <w:p w14:paraId="32395741">
      <w:pPr>
        <w:shd w:val="clear" w:color="auto"/>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7E6537E">
      <w:pPr>
        <w:shd w:val="clear" w:color="auto"/>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5525B493">
      <w:pPr>
        <w:shd w:val="clear" w:color="auto"/>
        <w:spacing w:line="440" w:lineRule="exact"/>
        <w:jc w:val="center"/>
        <w:rPr>
          <w:rFonts w:ascii="Times New Roman" w:hAnsi="Courier New" w:eastAsia="隶书" w:cs="Times New Roman"/>
          <w:b/>
          <w:color w:val="auto"/>
          <w:sz w:val="48"/>
          <w:highlight w:val="none"/>
        </w:rPr>
      </w:pPr>
    </w:p>
    <w:p w14:paraId="59CAAEA5">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t>九、施工组织设计</w:t>
      </w:r>
    </w:p>
    <w:p w14:paraId="3EA862FB">
      <w:pPr>
        <w:keepNext w:val="0"/>
        <w:keepLines w:val="0"/>
        <w:pageBreakBefore w:val="0"/>
        <w:widowControl w:val="0"/>
        <w:shd w:val="clear" w:color="auto"/>
        <w:kinsoku/>
        <w:wordWrap/>
        <w:overflowPunct/>
        <w:topLinePunct w:val="0"/>
        <w:autoSpaceDE/>
        <w:autoSpaceDN/>
        <w:bidi w:val="0"/>
        <w:adjustRightInd/>
        <w:snapToGrid w:val="0"/>
        <w:spacing w:before="0" w:after="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施工方案或施工组织设计部份包括下列内容:</w:t>
      </w:r>
    </w:p>
    <w:p w14:paraId="0B2475D3">
      <w:pPr>
        <w:keepNext w:val="0"/>
        <w:keepLines w:val="0"/>
        <w:pageBreakBefore w:val="0"/>
        <w:widowControl w:val="0"/>
        <w:shd w:val="clear" w:color="auto"/>
        <w:kinsoku/>
        <w:wordWrap/>
        <w:overflowPunct/>
        <w:topLinePunct w:val="0"/>
        <w:autoSpaceDE/>
        <w:autoSpaceDN/>
        <w:bidi w:val="0"/>
        <w:adjustRightInd/>
        <w:snapToGrid w:val="0"/>
        <w:spacing w:before="0" w:after="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（一）施工方案或施工组织设计</w:t>
      </w:r>
    </w:p>
    <w:p w14:paraId="42A5FCE2">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供应商应递交完整的施工方案或施工组织设计，说明各分部分项工程的施工方法和布置，提交必须的图表、文字说明书等资料，至少应包括：</w:t>
      </w:r>
    </w:p>
    <w:p w14:paraId="0EDAAF6D">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1、各分部分项工程的完整的施工方案，保证施工进度、工期和质量的措施；</w:t>
      </w:r>
    </w:p>
    <w:p w14:paraId="24EEFDF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2、施工机械的进场计划；</w:t>
      </w:r>
    </w:p>
    <w:p w14:paraId="47AF17B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3、工程材料的采购和进场计划；</w:t>
      </w:r>
    </w:p>
    <w:p w14:paraId="4BC128AB">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4、冬、雨季施工措施；</w:t>
      </w:r>
    </w:p>
    <w:p w14:paraId="2CFE2EB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5、对原有管线的保护措施；</w:t>
      </w:r>
    </w:p>
    <w:p w14:paraId="6657E865">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6、保证安全生产，文明施工，减少扰民降低环境污染和噪音的措施。</w:t>
      </w:r>
    </w:p>
    <w:p w14:paraId="20243694">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（二）计划开、竣工日期和施工进度表</w:t>
      </w:r>
    </w:p>
    <w:p w14:paraId="02F22188">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供应商应提交初步的施工进度表，说明按竞争性磋商文件要求的工期进行施工的各个关键日期。成交的供应商还要按合同条件有关条款的要求提交详细的施工进度计划。</w:t>
      </w:r>
    </w:p>
    <w:p w14:paraId="67D14ECC">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初步施工进度表可采用横道图（或关键线路网络图）表示，说明计划开工日期和各分项工程各阶段的完工日期和分包合同签订的日期。</w:t>
      </w:r>
    </w:p>
    <w:p w14:paraId="2788AA8E">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施工进度计划应与施工方案或施工组织设计相适应。</w:t>
      </w:r>
    </w:p>
    <w:p w14:paraId="79D2878A">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（三）劳动力计划表</w:t>
      </w:r>
    </w:p>
    <w:p w14:paraId="7235754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供应商应按所列格式提交包括分包人在内的估什的劳动力计划表。本计划表是以每班八小时工作制为基础。</w:t>
      </w:r>
    </w:p>
    <w:p w14:paraId="67569272">
      <w:pPr>
        <w:shd w:val="clear" w:color="auto"/>
        <w:jc w:val="right"/>
        <w:rPr>
          <w:rFonts w:ascii="Times New Roman" w:hAnsi="Courier New" w:eastAsia="宋体" w:cs="Times New Roman"/>
          <w:color w:val="auto"/>
          <w:highlight w:val="none"/>
        </w:rPr>
      </w:pPr>
      <w:r>
        <w:rPr>
          <w:rFonts w:ascii="Times New Roman" w:hAnsi="Courier New" w:eastAsia="宋体" w:cs="Times New Roman"/>
          <w:color w:val="auto"/>
          <w:highlight w:val="none"/>
        </w:rPr>
        <w:t xml:space="preserve">   </w:t>
      </w:r>
      <w:r>
        <w:rPr>
          <w:rFonts w:hint="eastAsia" w:ascii="Times New Roman" w:hAnsi="Courier New" w:eastAsia="宋体" w:cs="Times New Roman"/>
          <w:color w:val="auto"/>
          <w:highlight w:val="none"/>
        </w:rPr>
        <w:t>单位：人</w:t>
      </w:r>
    </w:p>
    <w:tbl>
      <w:tblPr>
        <w:tblStyle w:val="27"/>
        <w:tblW w:w="0" w:type="auto"/>
        <w:jc w:val="center"/>
        <w:tblLayout w:type="fixed"/>
        <w:tblCellMar>
          <w:top w:w="0" w:type="dxa"/>
          <w:left w:w="0" w:type="dxa"/>
          <w:bottom w:w="0" w:type="dxa"/>
          <w:right w:w="0" w:type="dxa"/>
        </w:tblCellMar>
      </w:tblPr>
      <w:tblGrid>
        <w:gridCol w:w="1350"/>
        <w:gridCol w:w="1140"/>
        <w:gridCol w:w="1154"/>
        <w:gridCol w:w="1125"/>
        <w:gridCol w:w="1243"/>
        <w:gridCol w:w="1243"/>
        <w:gridCol w:w="1140"/>
        <w:gridCol w:w="1036"/>
      </w:tblGrid>
      <w:tr w14:paraId="6C841133">
        <w:trPr>
          <w:trHeight w:val="365" w:hRule="exact"/>
          <w:jc w:val="center"/>
        </w:trPr>
        <w:tc>
          <w:tcPr>
            <w:tcW w:w="135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B0BA26">
            <w:pPr>
              <w:shd w:val="clear" w:color="auto"/>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工种、级别</w:t>
            </w:r>
          </w:p>
        </w:tc>
        <w:tc>
          <w:tcPr>
            <w:tcW w:w="8081" w:type="dxa"/>
            <w:gridSpan w:val="7"/>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60EC82">
            <w:pPr>
              <w:shd w:val="clear" w:color="auto"/>
              <w:jc w:val="center"/>
              <w:rPr>
                <w:rFonts w:ascii="Times New Roman" w:hAnsi="Courier New" w:eastAsia="宋体" w:cs="Times New Roman"/>
                <w:color w:val="auto"/>
                <w:highlight w:val="none"/>
              </w:rPr>
            </w:pPr>
            <w:r>
              <w:rPr>
                <w:rFonts w:hint="eastAsia" w:ascii="Times New Roman" w:hAnsi="Courier New" w:eastAsia="宋体" w:cs="Times New Roman"/>
                <w:color w:val="auto"/>
                <w:highlight w:val="none"/>
              </w:rPr>
              <w:t>按工程施工阶段投入劳动力情况</w:t>
            </w:r>
          </w:p>
        </w:tc>
      </w:tr>
      <w:tr w14:paraId="2BB46EBE">
        <w:trPr>
          <w:trHeight w:val="365"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C485B3">
            <w:pPr>
              <w:widowControl/>
              <w:shd w:val="clear" w:color="auto"/>
              <w:jc w:val="left"/>
              <w:rPr>
                <w:rFonts w:ascii="Times New Roman" w:hAnsi="Courier New" w:eastAsia="宋体" w:cs="Times New Roman"/>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728083">
            <w:pPr>
              <w:shd w:val="clear" w:color="auto"/>
              <w:rPr>
                <w:rFonts w:ascii="Times New Roman" w:hAnsi="Courier New" w:eastAsia="宋体" w:cs="Times New Roman"/>
                <w:color w:val="auto"/>
                <w:highlight w:val="none"/>
              </w:rPr>
            </w:pPr>
          </w:p>
        </w:tc>
        <w:tc>
          <w:tcPr>
            <w:tcW w:w="11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6CAA2E4">
            <w:pPr>
              <w:shd w:val="clear" w:color="auto"/>
              <w:rPr>
                <w:rFonts w:ascii="Times New Roman" w:hAnsi="Courier New" w:eastAsia="宋体" w:cs="Times New Roman"/>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D22582">
            <w:pPr>
              <w:shd w:val="clear" w:color="auto"/>
              <w:rPr>
                <w:rFonts w:ascii="Times New Roman" w:hAnsi="Courier New" w:eastAsia="宋体" w:cs="Times New Roman"/>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CDD037">
            <w:pPr>
              <w:shd w:val="clear" w:color="auto"/>
              <w:rPr>
                <w:rFonts w:ascii="Times New Roman" w:hAnsi="Courier New" w:eastAsia="宋体" w:cs="Times New Roman"/>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9F6ACF4">
            <w:pPr>
              <w:shd w:val="clear" w:color="auto"/>
              <w:rPr>
                <w:rFonts w:ascii="Times New Roman" w:hAnsi="Courier New" w:eastAsia="宋体" w:cs="Times New Roman"/>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A02132">
            <w:pPr>
              <w:shd w:val="clear" w:color="auto"/>
              <w:rPr>
                <w:rFonts w:ascii="Times New Roman" w:hAnsi="Courier New" w:eastAsia="宋体" w:cs="Times New Roman"/>
                <w:color w:val="auto"/>
                <w:highlight w:val="none"/>
              </w:rPr>
            </w:pPr>
          </w:p>
        </w:tc>
        <w:tc>
          <w:tcPr>
            <w:tcW w:w="103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5BE14E">
            <w:pPr>
              <w:shd w:val="clear" w:color="auto"/>
              <w:rPr>
                <w:rFonts w:ascii="Times New Roman" w:hAnsi="Courier New" w:eastAsia="宋体" w:cs="Times New Roman"/>
                <w:color w:val="auto"/>
                <w:highlight w:val="none"/>
              </w:rPr>
            </w:pPr>
          </w:p>
        </w:tc>
      </w:tr>
      <w:tr w14:paraId="79473FD6">
        <w:trPr>
          <w:trHeight w:val="1251" w:hRule="atLeast"/>
          <w:jc w:val="center"/>
        </w:trPr>
        <w:tc>
          <w:tcPr>
            <w:tcW w:w="13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D02182">
            <w:pPr>
              <w:shd w:val="clear" w:color="auto"/>
              <w:rPr>
                <w:rFonts w:ascii="Times New Roman" w:hAnsi="Courier New" w:eastAsia="宋体" w:cs="Times New Roman"/>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5E3405">
            <w:pPr>
              <w:shd w:val="clear" w:color="auto"/>
              <w:rPr>
                <w:rFonts w:ascii="Times New Roman" w:hAnsi="Courier New" w:eastAsia="宋体" w:cs="Times New Roman"/>
                <w:color w:val="auto"/>
                <w:highlight w:val="none"/>
              </w:rPr>
            </w:pPr>
          </w:p>
        </w:tc>
        <w:tc>
          <w:tcPr>
            <w:tcW w:w="11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B31D02">
            <w:pPr>
              <w:shd w:val="clear" w:color="auto"/>
              <w:rPr>
                <w:rFonts w:ascii="Times New Roman" w:hAnsi="Courier New" w:eastAsia="宋体" w:cs="Times New Roman"/>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C52C27">
            <w:pPr>
              <w:shd w:val="clear" w:color="auto"/>
              <w:rPr>
                <w:rFonts w:ascii="Times New Roman" w:hAnsi="Courier New" w:eastAsia="宋体" w:cs="Times New Roman"/>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0E573D8">
            <w:pPr>
              <w:shd w:val="clear" w:color="auto"/>
              <w:rPr>
                <w:rFonts w:ascii="Times New Roman" w:hAnsi="Courier New" w:eastAsia="宋体" w:cs="Times New Roman"/>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B8EDD6">
            <w:pPr>
              <w:shd w:val="clear" w:color="auto"/>
              <w:rPr>
                <w:rFonts w:ascii="Times New Roman" w:hAnsi="Courier New" w:eastAsia="宋体" w:cs="Times New Roman"/>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C0857A">
            <w:pPr>
              <w:shd w:val="clear" w:color="auto"/>
              <w:rPr>
                <w:rFonts w:ascii="Times New Roman" w:hAnsi="Courier New" w:eastAsia="宋体" w:cs="Times New Roman"/>
                <w:color w:val="auto"/>
                <w:highlight w:val="none"/>
              </w:rPr>
            </w:pPr>
          </w:p>
        </w:tc>
        <w:tc>
          <w:tcPr>
            <w:tcW w:w="103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17945A">
            <w:pPr>
              <w:shd w:val="clear" w:color="auto"/>
              <w:rPr>
                <w:rFonts w:ascii="Times New Roman" w:hAnsi="Courier New" w:eastAsia="宋体" w:cs="Times New Roman"/>
                <w:color w:val="auto"/>
                <w:highlight w:val="none"/>
              </w:rPr>
            </w:pPr>
          </w:p>
        </w:tc>
      </w:tr>
    </w:tbl>
    <w:p w14:paraId="5B4BB643">
      <w:pPr>
        <w:shd w:val="clear" w:color="auto"/>
        <w:spacing w:line="440" w:lineRule="exact"/>
        <w:jc w:val="center"/>
        <w:rPr>
          <w:rFonts w:ascii="Times New Roman" w:hAnsi="Courier New" w:eastAsia="隶书" w:cs="Times New Roman"/>
          <w:b/>
          <w:color w:val="auto"/>
          <w:sz w:val="48"/>
          <w:szCs w:val="20"/>
          <w:highlight w:val="none"/>
        </w:rPr>
      </w:pPr>
    </w:p>
    <w:p w14:paraId="6A02F4AC">
      <w:pPr>
        <w:shd w:val="clear" w:color="auto"/>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CE70ADF">
      <w:pPr>
        <w:shd w:val="clear" w:color="auto"/>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0C5D3B3">
      <w:pPr>
        <w:shd w:val="clear" w:color="auto"/>
        <w:spacing w:line="440" w:lineRule="exact"/>
        <w:jc w:val="center"/>
        <w:rPr>
          <w:rFonts w:ascii="Times New Roman" w:hAnsi="Courier New" w:eastAsia="隶书" w:cs="Times New Roman"/>
          <w:b/>
          <w:color w:val="auto"/>
          <w:sz w:val="48"/>
          <w:highlight w:val="none"/>
        </w:rPr>
      </w:pPr>
    </w:p>
    <w:p w14:paraId="2D812F99">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t>十、按本竞争性磋商文件规定提交的其它资料。</w:t>
      </w:r>
    </w:p>
    <w:p w14:paraId="34BE45FC">
      <w:pPr>
        <w:shd w:val="clear" w:color="auto"/>
        <w:spacing w:line="440" w:lineRule="exact"/>
        <w:jc w:val="center"/>
        <w:rPr>
          <w:rFonts w:ascii="Times New Roman" w:hAnsi="Courier New" w:eastAsia="隶书" w:cs="Times New Roman"/>
          <w:b/>
          <w:color w:val="auto"/>
          <w:sz w:val="48"/>
          <w:highlight w:val="none"/>
        </w:rPr>
      </w:pPr>
    </w:p>
    <w:p w14:paraId="07A183AC">
      <w:pPr>
        <w:shd w:val="clear" w:color="auto"/>
        <w:spacing w:line="520" w:lineRule="exact"/>
        <w:ind w:firstLine="600" w:firstLineChars="200"/>
        <w:jc w:val="left"/>
        <w:rPr>
          <w:rFonts w:hint="eastAsia" w:ascii="仿宋" w:hAnsi="仿宋" w:eastAsia="仿宋" w:cs="仿宋_GB2312"/>
          <w:b/>
          <w:color w:val="auto"/>
          <w:sz w:val="30"/>
          <w:szCs w:val="30"/>
          <w:highlight w:val="none"/>
        </w:rPr>
      </w:pPr>
    </w:p>
    <w:p w14:paraId="5D3DDA8B">
      <w:pPr>
        <w:shd w:val="clear" w:color="auto"/>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p>
    <w:p w14:paraId="3308E846">
      <w:pPr>
        <w:shd w:val="clear" w:color="auto"/>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21051AB">
      <w:pPr>
        <w:shd w:val="clear" w:color="auto"/>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90609A1">
      <w:pPr>
        <w:shd w:val="clear" w:color="auto"/>
        <w:autoSpaceDE w:val="0"/>
        <w:autoSpaceDN w:val="0"/>
        <w:spacing w:line="360" w:lineRule="auto"/>
        <w:ind w:firstLine="6480" w:firstLineChars="2700"/>
        <w:rPr>
          <w:rFonts w:hint="eastAsia" w:ascii="宋体" w:hAnsi="宋体" w:eastAsia="宋体" w:cs="宋体"/>
          <w:b/>
          <w:bCs/>
          <w:color w:val="auto"/>
          <w:sz w:val="24"/>
          <w:highlight w:val="none"/>
        </w:rPr>
        <w:sectPr>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p>
    <w:p w14:paraId="7871A798">
      <w:pPr>
        <w:shd w:val="clear" w:color="auto"/>
        <w:autoSpaceDE w:val="0"/>
        <w:autoSpaceDN w:val="0"/>
        <w:spacing w:line="360" w:lineRule="auto"/>
        <w:ind w:firstLine="6480" w:firstLineChars="2700"/>
        <w:rPr>
          <w:rFonts w:ascii="仿宋_GB2312" w:hAnsi="仿宋" w:eastAsia="仿宋_GB2312" w:cs="仿宋_GB2312"/>
          <w:b/>
          <w:bCs/>
          <w:color w:val="auto"/>
          <w:sz w:val="24"/>
          <w:highlight w:val="none"/>
        </w:rPr>
      </w:pPr>
    </w:p>
    <w:p w14:paraId="3FB823C9">
      <w:pPr>
        <w:pStyle w:val="4"/>
        <w:shd w:val="clear" w:color="auto"/>
        <w:jc w:val="center"/>
        <w:rPr>
          <w:rFonts w:hint="eastAsia" w:ascii="宋体" w:hAnsi="宋体" w:eastAsia="宋体" w:cs="Times New Roman"/>
          <w:b/>
          <w:bCs/>
          <w:color w:val="auto"/>
          <w:highlight w:val="none"/>
        </w:rPr>
      </w:pPr>
      <w:bookmarkStart w:id="71" w:name="_Toc87898661"/>
      <w:bookmarkStart w:id="72" w:name="_Toc80205941"/>
      <w:r>
        <w:rPr>
          <w:rFonts w:hint="eastAsia" w:ascii="宋体" w:hAnsi="宋体" w:eastAsia="宋体" w:cs="Times New Roman"/>
          <w:b/>
          <w:bCs/>
          <w:color w:val="auto"/>
          <w:highlight w:val="none"/>
        </w:rPr>
        <w:t>第四节 报价文件格式</w:t>
      </w:r>
      <w:bookmarkEnd w:id="71"/>
      <w:bookmarkEnd w:id="72"/>
    </w:p>
    <w:p w14:paraId="644E4226">
      <w:pPr>
        <w:shd w:val="clear" w:color="auto"/>
        <w:snapToGrid w:val="0"/>
        <w:spacing w:before="120" w:beforeLines="50" w:after="5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highlight w:val="none"/>
        </w:rPr>
        <w:t xml:space="preserve">                                                    </w:t>
      </w:r>
      <w:r>
        <w:rPr>
          <w:rFonts w:hint="eastAsia" w:ascii="宋体" w:hAnsi="宋体" w:eastAsia="宋体" w:cs="Times New Roman"/>
          <w:bCs/>
          <w:color w:val="auto"/>
          <w:highlight w:val="none"/>
        </w:rPr>
        <w:t>全流程电子文件</w:t>
      </w:r>
    </w:p>
    <w:p w14:paraId="0840DB87">
      <w:pPr>
        <w:shd w:val="clear" w:color="auto"/>
        <w:snapToGrid w:val="0"/>
        <w:spacing w:before="120" w:beforeLines="50" w:after="50"/>
        <w:rPr>
          <w:rFonts w:hint="eastAsia" w:ascii="宋体" w:hAnsi="宋体" w:eastAsia="宋体" w:cs="Times New Roman"/>
          <w:color w:val="auto"/>
          <w:sz w:val="24"/>
          <w:szCs w:val="20"/>
          <w:highlight w:val="none"/>
        </w:rPr>
      </w:pPr>
    </w:p>
    <w:p w14:paraId="1260940D">
      <w:pPr>
        <w:shd w:val="clear" w:color="auto"/>
        <w:snapToGrid w:val="0"/>
        <w:spacing w:before="120" w:beforeLines="50" w:after="50"/>
        <w:rPr>
          <w:rFonts w:hint="eastAsia" w:ascii="宋体" w:hAnsi="宋体" w:eastAsia="宋体" w:cs="Times New Roman"/>
          <w:color w:val="auto"/>
          <w:sz w:val="24"/>
          <w:szCs w:val="20"/>
          <w:highlight w:val="none"/>
        </w:rPr>
      </w:pPr>
    </w:p>
    <w:p w14:paraId="45A1B2B3">
      <w:pPr>
        <w:shd w:val="clear" w:color="auto"/>
        <w:snapToGrid w:val="0"/>
        <w:spacing w:before="120" w:beforeLines="50" w:after="50"/>
        <w:rPr>
          <w:rFonts w:hint="eastAsia" w:ascii="宋体" w:hAnsi="宋体" w:eastAsia="宋体" w:cs="Times New Roman"/>
          <w:color w:val="auto"/>
          <w:sz w:val="24"/>
          <w:szCs w:val="20"/>
          <w:highlight w:val="none"/>
        </w:rPr>
      </w:pPr>
    </w:p>
    <w:p w14:paraId="11840930">
      <w:pPr>
        <w:shd w:val="clear" w:color="auto"/>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报 </w:t>
      </w:r>
      <w:r>
        <w:rPr>
          <w:rFonts w:ascii="方正小标宋简体" w:hAnsi="方正小标宋简体" w:eastAsia="方正小标宋简体" w:cs="方正小标宋简体"/>
          <w:bCs/>
          <w:color w:val="auto"/>
          <w:sz w:val="44"/>
          <w:szCs w:val="44"/>
          <w:highlight w:val="none"/>
        </w:rPr>
        <w:t xml:space="preserve"> </w:t>
      </w:r>
      <w:r>
        <w:rPr>
          <w:rFonts w:hint="eastAsia" w:ascii="方正小标宋简体" w:hAnsi="方正小标宋简体" w:eastAsia="方正小标宋简体" w:cs="方正小标宋简体"/>
          <w:bCs/>
          <w:color w:val="auto"/>
          <w:sz w:val="44"/>
          <w:szCs w:val="44"/>
          <w:highlight w:val="none"/>
        </w:rPr>
        <w:t>价  文  件（封面）</w:t>
      </w:r>
    </w:p>
    <w:p w14:paraId="47FA7841">
      <w:pPr>
        <w:shd w:val="clear" w:color="auto"/>
        <w:snapToGrid w:val="0"/>
        <w:spacing w:before="120" w:beforeLines="50" w:after="50"/>
        <w:rPr>
          <w:rFonts w:hint="eastAsia" w:ascii="宋体" w:hAnsi="宋体" w:eastAsia="宋体" w:cs="Times New Roman"/>
          <w:bCs/>
          <w:color w:val="auto"/>
          <w:sz w:val="24"/>
          <w:szCs w:val="20"/>
          <w:highlight w:val="none"/>
        </w:rPr>
      </w:pPr>
    </w:p>
    <w:p w14:paraId="2716E3EF">
      <w:pPr>
        <w:shd w:val="clear" w:color="auto"/>
        <w:snapToGrid w:val="0"/>
        <w:spacing w:before="120" w:beforeLines="50" w:after="50"/>
        <w:rPr>
          <w:rFonts w:hint="eastAsia" w:ascii="宋体" w:hAnsi="宋体" w:eastAsia="宋体" w:cs="Times New Roman"/>
          <w:bCs/>
          <w:color w:val="auto"/>
          <w:sz w:val="24"/>
          <w:szCs w:val="20"/>
          <w:highlight w:val="none"/>
        </w:rPr>
      </w:pPr>
    </w:p>
    <w:p w14:paraId="499A2DD2">
      <w:pPr>
        <w:shd w:val="clear" w:color="auto"/>
        <w:snapToGrid w:val="0"/>
        <w:spacing w:before="120" w:beforeLines="50" w:after="50"/>
        <w:rPr>
          <w:rFonts w:hint="eastAsia" w:ascii="宋体" w:hAnsi="宋体" w:eastAsia="宋体" w:cs="Times New Roman"/>
          <w:bCs/>
          <w:color w:val="auto"/>
          <w:sz w:val="24"/>
          <w:szCs w:val="20"/>
          <w:highlight w:val="none"/>
        </w:rPr>
      </w:pPr>
    </w:p>
    <w:p w14:paraId="7F978F01">
      <w:pPr>
        <w:shd w:val="clear" w:color="auto"/>
        <w:snapToGrid w:val="0"/>
        <w:spacing w:before="120" w:beforeLines="50" w:after="50"/>
        <w:rPr>
          <w:rFonts w:hint="eastAsia" w:ascii="宋体" w:hAnsi="宋体" w:eastAsia="宋体" w:cs="Times New Roman"/>
          <w:bCs/>
          <w:color w:val="auto"/>
          <w:sz w:val="24"/>
          <w:szCs w:val="20"/>
          <w:highlight w:val="none"/>
        </w:rPr>
      </w:pPr>
    </w:p>
    <w:p w14:paraId="4B69C302">
      <w:pPr>
        <w:shd w:val="clear" w:color="auto"/>
        <w:snapToGrid w:val="0"/>
        <w:spacing w:before="120" w:beforeLines="50" w:after="50"/>
        <w:rPr>
          <w:rFonts w:hint="eastAsia" w:ascii="宋体" w:hAnsi="宋体" w:eastAsia="宋体" w:cs="Times New Roman"/>
          <w:bCs/>
          <w:color w:val="auto"/>
          <w:sz w:val="24"/>
          <w:szCs w:val="20"/>
          <w:highlight w:val="none"/>
        </w:rPr>
      </w:pPr>
    </w:p>
    <w:p w14:paraId="133265BA">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项目名称：</w:t>
      </w:r>
    </w:p>
    <w:p w14:paraId="2ED76544">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p>
    <w:p w14:paraId="720B58C9">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项目编号：</w:t>
      </w:r>
    </w:p>
    <w:p w14:paraId="0DB52474">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 xml:space="preserve"> </w:t>
      </w:r>
    </w:p>
    <w:p w14:paraId="5AF6CF1C">
      <w:pPr>
        <w:shd w:val="clear" w:color="auto"/>
        <w:snapToGrid w:val="0"/>
        <w:spacing w:before="120" w:beforeLines="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所竞分标（如有则填写，无分标时填写“无”或者留空）：</w:t>
      </w:r>
    </w:p>
    <w:p w14:paraId="0B1DB09D">
      <w:pPr>
        <w:shd w:val="clear" w:color="auto"/>
        <w:snapToGrid w:val="0"/>
        <w:spacing w:before="120" w:beforeLines="50" w:after="50"/>
        <w:ind w:firstLine="720" w:firstLineChars="225"/>
        <w:rPr>
          <w:rFonts w:hint="eastAsia" w:ascii="宋体" w:hAnsi="宋体" w:eastAsia="宋体" w:cs="仿宋_GB2312"/>
          <w:bCs/>
          <w:color w:val="auto"/>
          <w:sz w:val="32"/>
          <w:szCs w:val="32"/>
          <w:highlight w:val="none"/>
        </w:rPr>
      </w:pPr>
    </w:p>
    <w:p w14:paraId="5CDC4ED3">
      <w:pPr>
        <w:pStyle w:val="8"/>
        <w:shd w:val="clear" w:color="auto"/>
        <w:snapToGrid w:val="0"/>
        <w:spacing w:before="50" w:after="50"/>
        <w:ind w:firstLine="640" w:firstLineChars="200"/>
        <w:rPr>
          <w:rFonts w:hint="eastAsia" w:ascii="宋体" w:hAnsi="宋体" w:eastAsia="宋体" w:cs="仿宋_GB2312"/>
          <w:bCs/>
          <w:color w:val="auto"/>
          <w:sz w:val="32"/>
          <w:szCs w:val="32"/>
          <w:highlight w:val="none"/>
        </w:rPr>
      </w:pPr>
      <w:r>
        <w:rPr>
          <w:rFonts w:hint="eastAsia" w:ascii="宋体" w:hAnsi="宋体" w:eastAsia="宋体" w:cs="仿宋_GB2312"/>
          <w:bCs/>
          <w:color w:val="auto"/>
          <w:sz w:val="32"/>
          <w:szCs w:val="32"/>
          <w:highlight w:val="none"/>
        </w:rPr>
        <w:t>供应商名称：</w:t>
      </w:r>
    </w:p>
    <w:p w14:paraId="5B42953D">
      <w:pPr>
        <w:pStyle w:val="8"/>
        <w:shd w:val="clear" w:color="auto"/>
        <w:snapToGrid w:val="0"/>
        <w:spacing w:before="50" w:after="50"/>
        <w:ind w:firstLine="720" w:firstLineChars="225"/>
        <w:rPr>
          <w:rFonts w:hint="eastAsia" w:ascii="宋体" w:hAnsi="宋体" w:eastAsia="宋体" w:cs="仿宋_GB2312"/>
          <w:bCs/>
          <w:color w:val="auto"/>
          <w:sz w:val="32"/>
          <w:szCs w:val="32"/>
          <w:highlight w:val="none"/>
        </w:rPr>
      </w:pPr>
    </w:p>
    <w:p w14:paraId="2C8CAAFA">
      <w:pPr>
        <w:pStyle w:val="8"/>
        <w:shd w:val="clear" w:color="auto"/>
        <w:snapToGrid w:val="0"/>
        <w:spacing w:before="50" w:after="50"/>
        <w:ind w:firstLine="720" w:firstLineChars="225"/>
        <w:rPr>
          <w:rFonts w:hint="eastAsia" w:ascii="宋体" w:hAnsi="宋体" w:eastAsia="宋体" w:cs="仿宋_GB2312"/>
          <w:bCs/>
          <w:color w:val="auto"/>
          <w:sz w:val="32"/>
          <w:szCs w:val="32"/>
          <w:highlight w:val="none"/>
        </w:rPr>
      </w:pPr>
    </w:p>
    <w:p w14:paraId="455507DB">
      <w:pPr>
        <w:pStyle w:val="8"/>
        <w:shd w:val="clear" w:color="auto"/>
        <w:snapToGrid w:val="0"/>
        <w:spacing w:before="50" w:after="50"/>
        <w:ind w:firstLine="1280" w:firstLineChars="400"/>
        <w:rPr>
          <w:rFonts w:hint="eastAsia" w:ascii="宋体" w:hAnsi="宋体" w:eastAsia="宋体" w:cs="仿宋_GB2312"/>
          <w:bCs/>
          <w:color w:val="auto"/>
          <w:sz w:val="32"/>
          <w:szCs w:val="32"/>
          <w:highlight w:val="none"/>
        </w:rPr>
      </w:pPr>
    </w:p>
    <w:p w14:paraId="4C4C1CA0">
      <w:pPr>
        <w:shd w:val="clear" w:color="auto"/>
        <w:snapToGrid w:val="0"/>
        <w:spacing w:before="120" w:beforeLines="50" w:after="50"/>
        <w:jc w:val="center"/>
        <w:rPr>
          <w:rFonts w:hint="eastAsia" w:ascii="宋体" w:hAnsi="宋体" w:eastAsia="宋体" w:cs="仿宋_GB2312"/>
          <w:color w:val="auto"/>
          <w:sz w:val="32"/>
          <w:szCs w:val="32"/>
          <w:highlight w:val="none"/>
        </w:rPr>
      </w:pPr>
      <w:r>
        <w:rPr>
          <w:rFonts w:hint="eastAsia" w:ascii="宋体" w:hAnsi="宋体" w:eastAsia="宋体" w:cs="仿宋_GB2312"/>
          <w:color w:val="auto"/>
          <w:sz w:val="32"/>
          <w:szCs w:val="32"/>
          <w:highlight w:val="none"/>
        </w:rPr>
        <w:t>年    月    日</w:t>
      </w:r>
    </w:p>
    <w:p w14:paraId="4AE67654">
      <w:pPr>
        <w:shd w:val="clear" w:color="auto"/>
        <w:snapToGrid w:val="0"/>
        <w:spacing w:before="120" w:beforeLines="50" w:after="50" w:line="400" w:lineRule="exact"/>
        <w:jc w:val="center"/>
        <w:rPr>
          <w:rFonts w:hint="eastAsia" w:ascii="宋体" w:hAnsi="宋体" w:eastAsia="宋体" w:cs="Times New Roman"/>
          <w:b/>
          <w:bCs/>
          <w:color w:val="auto"/>
          <w:sz w:val="32"/>
          <w:szCs w:val="32"/>
          <w:highlight w:val="none"/>
        </w:rPr>
      </w:pPr>
      <w:r>
        <w:rPr>
          <w:rFonts w:ascii="宋体" w:hAnsi="宋体" w:eastAsia="宋体" w:cs="Times New Roman"/>
          <w:color w:val="auto"/>
          <w:sz w:val="24"/>
          <w:highlight w:val="none"/>
        </w:rPr>
        <w:br w:type="page"/>
      </w:r>
      <w:r>
        <w:rPr>
          <w:rFonts w:hint="eastAsia" w:ascii="宋体" w:hAnsi="宋体" w:eastAsia="宋体" w:cs="Times New Roman"/>
          <w:b/>
          <w:bCs/>
          <w:color w:val="auto"/>
          <w:sz w:val="32"/>
          <w:szCs w:val="32"/>
          <w:highlight w:val="none"/>
        </w:rPr>
        <w:t>报价文件目录</w:t>
      </w:r>
    </w:p>
    <w:p w14:paraId="255EC388">
      <w:pPr>
        <w:shd w:val="clear" w:color="auto"/>
        <w:rPr>
          <w:rFonts w:hint="eastAsia" w:ascii="宋体" w:hAnsi="宋体" w:eastAsia="宋体" w:cs="宋体"/>
          <w:color w:val="auto"/>
          <w:highlight w:val="none"/>
        </w:rPr>
      </w:pPr>
    </w:p>
    <w:p w14:paraId="4D570525">
      <w:pPr>
        <w:keepNext w:val="0"/>
        <w:keepLines w:val="0"/>
        <w:pageBreakBefore w:val="0"/>
        <w:widowControl w:val="0"/>
        <w:shd w:val="clear" w:color="auto"/>
        <w:kinsoku/>
        <w:wordWrap/>
        <w:overflowPunct/>
        <w:topLinePunct w:val="0"/>
        <w:autoSpaceDE/>
        <w:autoSpaceDN/>
        <w:bidi w:val="0"/>
        <w:adjustRightInd/>
        <w:snapToGrid/>
        <w:spacing w:line="360" w:lineRule="auto"/>
        <w:textAlignment w:val="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一、响应函及附录…………………………………………………………………（页码）</w:t>
      </w:r>
    </w:p>
    <w:p w14:paraId="4C4EC288">
      <w:pPr>
        <w:keepNext w:val="0"/>
        <w:keepLines w:val="0"/>
        <w:pageBreakBefore w:val="0"/>
        <w:widowControl w:val="0"/>
        <w:shd w:val="clear" w:color="auto"/>
        <w:kinsoku/>
        <w:wordWrap/>
        <w:overflowPunct/>
        <w:topLinePunct w:val="0"/>
        <w:autoSpaceDE/>
        <w:autoSpaceDN/>
        <w:bidi w:val="0"/>
        <w:adjustRightInd/>
        <w:snapToGrid/>
        <w:spacing w:line="360" w:lineRule="auto"/>
        <w:textAlignment w:val="auto"/>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二、响应报价表……………………………………………………………………（页码）</w:t>
      </w:r>
    </w:p>
    <w:p w14:paraId="6D330A30">
      <w:pPr>
        <w:keepNext w:val="0"/>
        <w:keepLines w:val="0"/>
        <w:pageBreakBefore w:val="0"/>
        <w:widowControl w:val="0"/>
        <w:shd w:val="clear" w:color="auto"/>
        <w:kinsoku/>
        <w:wordWrap/>
        <w:overflowPunct/>
        <w:topLinePunct w:val="0"/>
        <w:autoSpaceDE/>
        <w:autoSpaceDN/>
        <w:bidi w:val="0"/>
        <w:adjustRightInd/>
        <w:snapToGrid/>
        <w:spacing w:line="360" w:lineRule="auto"/>
        <w:textAlignment w:val="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三、已标价的工程量清单报价文件………………………………………………（页码）</w:t>
      </w:r>
    </w:p>
    <w:p w14:paraId="448B7CFD">
      <w:pPr>
        <w:keepNext w:val="0"/>
        <w:keepLines w:val="0"/>
        <w:pageBreakBefore w:val="0"/>
        <w:widowControl w:val="0"/>
        <w:shd w:val="clear" w:color="auto"/>
        <w:kinsoku/>
        <w:wordWrap/>
        <w:overflowPunct/>
        <w:topLinePunct w:val="0"/>
        <w:autoSpaceDE/>
        <w:autoSpaceDN/>
        <w:bidi w:val="0"/>
        <w:adjustRightInd/>
        <w:snapToGrid/>
        <w:spacing w:line="360" w:lineRule="auto"/>
        <w:textAlignment w:val="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kern w:val="0"/>
          <w:sz w:val="24"/>
          <w:highlight w:val="none"/>
        </w:rPr>
        <w:t>四</w:t>
      </w:r>
      <w:r>
        <w:rPr>
          <w:rFonts w:ascii="仿宋_GB2312" w:hAnsi="仿宋" w:eastAsia="仿宋_GB2312" w:cs="仿宋_GB2312"/>
          <w:color w:val="auto"/>
          <w:kern w:val="0"/>
          <w:sz w:val="24"/>
          <w:highlight w:val="none"/>
        </w:rPr>
        <w:t>、</w:t>
      </w:r>
      <w:r>
        <w:rPr>
          <w:rFonts w:hint="eastAsia" w:ascii="仿宋_GB2312" w:hAnsi="仿宋" w:eastAsia="仿宋_GB2312" w:cs="仿宋_GB2312"/>
          <w:color w:val="auto"/>
          <w:kern w:val="0"/>
          <w:sz w:val="24"/>
          <w:highlight w:val="none"/>
        </w:rPr>
        <w:t>中小企业声明函………………………………………………………………（页码）</w:t>
      </w:r>
    </w:p>
    <w:p w14:paraId="530CC61F">
      <w:pPr>
        <w:shd w:val="clear" w:color="auto"/>
        <w:snapToGrid w:val="0"/>
        <w:spacing w:before="120" w:beforeLines="50" w:after="50" w:line="360" w:lineRule="auto"/>
        <w:ind w:left="142" w:firstLine="640" w:firstLineChars="200"/>
        <w:jc w:val="left"/>
        <w:rPr>
          <w:rFonts w:hint="eastAsia" w:ascii="仿宋_GB2312" w:hAnsi="仿宋_GB2312" w:eastAsia="仿宋_GB2312" w:cs="仿宋_GB2312"/>
          <w:color w:val="auto"/>
          <w:sz w:val="32"/>
          <w:szCs w:val="32"/>
          <w:highlight w:val="none"/>
        </w:rPr>
      </w:pPr>
    </w:p>
    <w:p w14:paraId="043A1287">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ascii="宋体" w:hAnsi="宋体" w:eastAsia="宋体" w:cs="仿宋_GB2312"/>
          <w:color w:val="auto"/>
          <w:kern w:val="0"/>
          <w:sz w:val="24"/>
          <w:szCs w:val="21"/>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一、响应函及附录</w:t>
      </w:r>
    </w:p>
    <w:p w14:paraId="4FDED063">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响应函</w:t>
      </w:r>
    </w:p>
    <w:p w14:paraId="7E655AC9">
      <w:pPr>
        <w:keepNext w:val="0"/>
        <w:keepLines w:val="0"/>
        <w:pageBreakBefore w:val="0"/>
        <w:widowControl w:val="0"/>
        <w:shd w:val="clear" w:color="auto"/>
        <w:kinsoku/>
        <w:wordWrap/>
        <w:overflowPunct/>
        <w:topLinePunct w:val="0"/>
        <w:bidi w:val="0"/>
        <w:adjustRightInd/>
        <w:snapToGrid/>
        <w:spacing w:line="400" w:lineRule="exact"/>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致：</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（采购代理机构名称）</w:t>
      </w:r>
    </w:p>
    <w:p w14:paraId="06E3A7D1">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我方已仔细阅读了贵方组织的</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项目（项目编号：</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 xml:space="preserve">）的竞争性磋商采购文件的全部内容，现正式递交下述文件参加贵方组织的本次政府采购活动： </w:t>
      </w:r>
    </w:p>
    <w:p w14:paraId="5A9D9EC2">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一、首次报价文件电子版</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份（包含按“第三章 供应商须知”提交的全部文件）；</w:t>
      </w:r>
    </w:p>
    <w:p w14:paraId="75176FE1">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二、技术文件电子版</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份（包含按“第三章 供应商须知”提交的全部文件）；商务文件电子版</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份（包含按“第三章 供应商须知”提交的全部文件）；（商务技术文件已合并装订成册）</w:t>
      </w:r>
    </w:p>
    <w:p w14:paraId="170614DA">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据此函，签字人兹宣布：</w:t>
      </w:r>
    </w:p>
    <w:p w14:paraId="1109A8F7">
      <w:pPr>
        <w:keepNext w:val="0"/>
        <w:keepLines w:val="0"/>
        <w:pageBreakBefore w:val="0"/>
        <w:widowControl w:val="0"/>
        <w:shd w:val="clear" w:color="auto"/>
        <w:kinsoku/>
        <w:wordWrap/>
        <w:overflowPunct/>
        <w:topLinePunct w:val="0"/>
        <w:bidi w:val="0"/>
        <w:adjustRightInd/>
        <w:snapToGrid/>
        <w:spacing w:line="400" w:lineRule="exact"/>
        <w:ind w:left="0" w:leftChars="0" w:firstLine="428"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8"/>
          <w:sz w:val="21"/>
          <w:szCs w:val="21"/>
          <w:highlight w:val="none"/>
        </w:rPr>
        <w:t>我单位经考察现场和研究上述工程竞争性磋商文件的</w:t>
      </w:r>
      <w:r>
        <w:rPr>
          <w:rFonts w:hint="eastAsia" w:ascii="宋体" w:hAnsi="宋体" w:eastAsia="宋体" w:cs="宋体"/>
          <w:color w:val="auto"/>
          <w:sz w:val="21"/>
          <w:szCs w:val="21"/>
          <w:highlight w:val="none"/>
        </w:rPr>
        <w:t>磋商</w:t>
      </w:r>
      <w:r>
        <w:rPr>
          <w:rFonts w:hint="eastAsia" w:ascii="宋体" w:hAnsi="宋体" w:eastAsia="宋体" w:cs="宋体"/>
          <w:color w:val="auto"/>
          <w:spacing w:val="8"/>
          <w:sz w:val="21"/>
          <w:szCs w:val="21"/>
          <w:highlight w:val="none"/>
        </w:rPr>
        <w:t>须知、合同条件、技术规范、图纸和其他有关文件后，我方承接本项目</w:t>
      </w:r>
      <w:r>
        <w:rPr>
          <w:rFonts w:hint="eastAsia" w:ascii="宋体" w:hAnsi="宋体" w:eastAsia="宋体" w:cs="宋体"/>
          <w:color w:val="auto"/>
          <w:spacing w:val="8"/>
          <w:sz w:val="21"/>
          <w:szCs w:val="21"/>
          <w:highlight w:val="none"/>
          <w:u w:val="single"/>
        </w:rPr>
        <w:t xml:space="preserve">    </w:t>
      </w:r>
      <w:r>
        <w:rPr>
          <w:rFonts w:hint="eastAsia" w:ascii="宋体" w:hAnsi="宋体" w:eastAsia="宋体" w:cs="宋体"/>
          <w:color w:val="auto"/>
          <w:spacing w:val="8"/>
          <w:sz w:val="21"/>
          <w:szCs w:val="21"/>
          <w:highlight w:val="none"/>
        </w:rPr>
        <w:t>分标（如有）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分标名称       </w:t>
      </w:r>
      <w:r>
        <w:rPr>
          <w:rFonts w:hint="eastAsia" w:ascii="宋体" w:hAnsi="宋体" w:eastAsia="宋体" w:cs="宋体"/>
          <w:color w:val="auto"/>
          <w:sz w:val="21"/>
          <w:szCs w:val="21"/>
          <w:highlight w:val="none"/>
        </w:rPr>
        <w:t>）</w:t>
      </w:r>
      <w:r>
        <w:rPr>
          <w:rFonts w:hint="eastAsia" w:ascii="宋体" w:hAnsi="宋体" w:eastAsia="宋体" w:cs="宋体"/>
          <w:color w:val="auto"/>
          <w:spacing w:val="8"/>
          <w:sz w:val="21"/>
          <w:szCs w:val="21"/>
          <w:highlight w:val="none"/>
        </w:rPr>
        <w:t>磋商报价为人民币</w:t>
      </w:r>
      <w:r>
        <w:rPr>
          <w:rFonts w:hint="eastAsia" w:ascii="宋体" w:hAnsi="宋体" w:eastAsia="宋体" w:cs="宋体"/>
          <w:color w:val="auto"/>
          <w:spacing w:val="8"/>
          <w:sz w:val="21"/>
          <w:szCs w:val="21"/>
          <w:highlight w:val="none"/>
          <w:u w:val="single"/>
        </w:rPr>
        <w:t xml:space="preserve">         （大写）      </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8"/>
          <w:sz w:val="21"/>
          <w:szCs w:val="21"/>
          <w:highlight w:val="none"/>
        </w:rPr>
        <w:t>）</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按上述合同条件、技术规范、图纸的条件承包本采购范围内全部工程的施工、竣工和保修，保证工程质量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，并承担任何质量缺陷保修责任，完成合同的责任及义务。</w:t>
      </w:r>
    </w:p>
    <w:p w14:paraId="5A1E3DDC">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2、我方同意自本项目竞争性磋商采购文件采购公告规定的递交响应文件截止时间起遵循本响应函，并承诺在“第三章 供应商须知”规定的响应有效期内不修改、撤销响应文件。</w:t>
      </w:r>
    </w:p>
    <w:p w14:paraId="6BBDA0DD">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3、我方在此声明，所递交的响应文件及有关资料内容完整、真实和准确。</w:t>
      </w:r>
    </w:p>
    <w:p w14:paraId="247C5E03">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4、如本项目采购内容涉及须符合国家强制规定的，我方承诺我方本次竞标均符合国家有关强制规定。</w:t>
      </w:r>
    </w:p>
    <w:p w14:paraId="61A1E314">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5、我方承诺未被列入失信被执行人、重大税收违法案件当事人名单、政府采购严重违法失信行为记录名单，并已经具备《中华人民共和国政府采购法》中规定的参加政府采购活动的供应商应当具备的条件：</w:t>
      </w:r>
    </w:p>
    <w:p w14:paraId="4E42C71F">
      <w:pPr>
        <w:keepNext w:val="0"/>
        <w:keepLines w:val="0"/>
        <w:pageBreakBefore w:val="0"/>
        <w:widowControl w:val="0"/>
        <w:numPr>
          <w:ilvl w:val="0"/>
          <w:numId w:val="1"/>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具有独立承担民事责任的能力；</w:t>
      </w:r>
    </w:p>
    <w:p w14:paraId="022B947C">
      <w:pPr>
        <w:keepNext w:val="0"/>
        <w:keepLines w:val="0"/>
        <w:pageBreakBefore w:val="0"/>
        <w:widowControl w:val="0"/>
        <w:numPr>
          <w:ilvl w:val="0"/>
          <w:numId w:val="1"/>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具有良好的商业信誉和健全的财务会计制度；</w:t>
      </w:r>
    </w:p>
    <w:p w14:paraId="62B21912">
      <w:pPr>
        <w:keepNext w:val="0"/>
        <w:keepLines w:val="0"/>
        <w:pageBreakBefore w:val="0"/>
        <w:widowControl w:val="0"/>
        <w:numPr>
          <w:ilvl w:val="0"/>
          <w:numId w:val="1"/>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具有履行合同所必需的设备和专业技术能力；</w:t>
      </w:r>
    </w:p>
    <w:p w14:paraId="158B162A">
      <w:pPr>
        <w:keepNext w:val="0"/>
        <w:keepLines w:val="0"/>
        <w:pageBreakBefore w:val="0"/>
        <w:widowControl w:val="0"/>
        <w:numPr>
          <w:ilvl w:val="0"/>
          <w:numId w:val="1"/>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有依法缴纳税收和社会保障资金的良好记录；</w:t>
      </w:r>
    </w:p>
    <w:p w14:paraId="5BD4E993">
      <w:pPr>
        <w:keepNext w:val="0"/>
        <w:keepLines w:val="0"/>
        <w:pageBreakBefore w:val="0"/>
        <w:widowControl w:val="0"/>
        <w:numPr>
          <w:ilvl w:val="0"/>
          <w:numId w:val="1"/>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参加政府采购活动前三年内，在经营活动中没有重大违法记录；</w:t>
      </w:r>
    </w:p>
    <w:p w14:paraId="12A15A6D">
      <w:pPr>
        <w:keepNext w:val="0"/>
        <w:keepLines w:val="0"/>
        <w:pageBreakBefore w:val="0"/>
        <w:widowControl w:val="0"/>
        <w:numPr>
          <w:ilvl w:val="0"/>
          <w:numId w:val="1"/>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法律、行政法规规定的其他条件。</w:t>
      </w:r>
    </w:p>
    <w:p w14:paraId="70E5DE00">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00E4C2BC">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7、我方已详细审核竞争性磋商采购文件，我方知道必须放弃提出含糊不清或误解问题的权利。</w:t>
      </w:r>
    </w:p>
    <w:p w14:paraId="791F5ABB">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8、我方承诺满足竞争性磋商采购文件第六章“合同文本”的条款，承担完成合同的责任和义务。</w:t>
      </w:r>
    </w:p>
    <w:p w14:paraId="60458564">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9、我方同意应贵方要求提供与本竞标有关的任何数据或资料。若贵方需要，我方愿意提供我方作出的一切承诺的证明材料。</w:t>
      </w:r>
    </w:p>
    <w:p w14:paraId="785C3C76">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10、我方完全理解贵方不一定接受响应报价最低的竞标人为成交供应商的行为。</w:t>
      </w:r>
    </w:p>
    <w:p w14:paraId="012B3C68">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F08995A">
      <w:pPr>
        <w:keepNext w:val="0"/>
        <w:keepLines w:val="0"/>
        <w:pageBreakBefore w:val="0"/>
        <w:widowControl w:val="0"/>
        <w:numPr>
          <w:ilvl w:val="0"/>
          <w:numId w:val="2"/>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提供虚假材料谋取中标、成交的；</w:t>
      </w:r>
    </w:p>
    <w:p w14:paraId="553392D4">
      <w:pPr>
        <w:keepNext w:val="0"/>
        <w:keepLines w:val="0"/>
        <w:pageBreakBefore w:val="0"/>
        <w:widowControl w:val="0"/>
        <w:numPr>
          <w:ilvl w:val="0"/>
          <w:numId w:val="2"/>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采取不正当手段诋毁、排挤其他供应商的；</w:t>
      </w:r>
    </w:p>
    <w:p w14:paraId="33F4402C">
      <w:pPr>
        <w:keepNext w:val="0"/>
        <w:keepLines w:val="0"/>
        <w:pageBreakBefore w:val="0"/>
        <w:widowControl w:val="0"/>
        <w:numPr>
          <w:ilvl w:val="0"/>
          <w:numId w:val="2"/>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与采购人、其他供应商或者采购代理机构恶意串通的；</w:t>
      </w:r>
    </w:p>
    <w:p w14:paraId="4EA10403">
      <w:pPr>
        <w:keepNext w:val="0"/>
        <w:keepLines w:val="0"/>
        <w:pageBreakBefore w:val="0"/>
        <w:widowControl w:val="0"/>
        <w:numPr>
          <w:ilvl w:val="0"/>
          <w:numId w:val="2"/>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向采购人、采购代理机构行贿或者提供其他不正当利益的；</w:t>
      </w:r>
    </w:p>
    <w:p w14:paraId="3970D0E4">
      <w:pPr>
        <w:keepNext w:val="0"/>
        <w:keepLines w:val="0"/>
        <w:pageBreakBefore w:val="0"/>
        <w:widowControl w:val="0"/>
        <w:numPr>
          <w:ilvl w:val="0"/>
          <w:numId w:val="2"/>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在采购过程中与采购人进行协商谈判的；</w:t>
      </w:r>
    </w:p>
    <w:p w14:paraId="52773FD6">
      <w:pPr>
        <w:keepNext w:val="0"/>
        <w:keepLines w:val="0"/>
        <w:pageBreakBefore w:val="0"/>
        <w:widowControl w:val="0"/>
        <w:numPr>
          <w:ilvl w:val="0"/>
          <w:numId w:val="2"/>
        </w:numPr>
        <w:shd w:val="clear" w:color="auto"/>
        <w:tabs>
          <w:tab w:val="left" w:pos="945"/>
        </w:tabs>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拒绝有关部门监督检查或提供虚假情况的。</w:t>
      </w:r>
    </w:p>
    <w:p w14:paraId="7548C63C">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12.与本磋商有关的一切正式往来信函请寄：</w:t>
      </w:r>
    </w:p>
    <w:p w14:paraId="7A440BF7">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地址：</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lang w:val="en-US" w:eastAsia="zh-CN" w:bidi="ar-SA"/>
        </w:rPr>
        <w:t xml:space="preserve"> </w:t>
      </w:r>
    </w:p>
    <w:p w14:paraId="65976F13">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电话：</w:t>
      </w:r>
      <w:r>
        <w:rPr>
          <w:rFonts w:hint="eastAsia" w:ascii="宋体" w:hAnsi="宋体" w:eastAsia="宋体" w:cs="宋体"/>
          <w:color w:val="auto"/>
          <w:kern w:val="0"/>
          <w:sz w:val="21"/>
          <w:szCs w:val="21"/>
          <w:highlight w:val="none"/>
          <w:u w:val="single"/>
          <w:lang w:val="en-US" w:eastAsia="zh-CN" w:bidi="ar-SA"/>
        </w:rPr>
        <w:t xml:space="preserve">                                      　　　　　　　　　</w:t>
      </w:r>
    </w:p>
    <w:p w14:paraId="576D0EA8">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传真：</w:t>
      </w:r>
      <w:r>
        <w:rPr>
          <w:rFonts w:hint="eastAsia" w:ascii="宋体" w:hAnsi="宋体" w:eastAsia="宋体" w:cs="宋体"/>
          <w:color w:val="auto"/>
          <w:kern w:val="0"/>
          <w:sz w:val="21"/>
          <w:szCs w:val="21"/>
          <w:highlight w:val="none"/>
          <w:u w:val="single"/>
          <w:lang w:val="en-US" w:eastAsia="zh-CN" w:bidi="ar-SA"/>
        </w:rPr>
        <w:t>　　　　　　　　　　　　　　　　　　　　　　　　　　　　</w:t>
      </w:r>
    </w:p>
    <w:p w14:paraId="3FC80A11">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邮政编码：</w:t>
      </w:r>
      <w:r>
        <w:rPr>
          <w:rFonts w:hint="eastAsia" w:ascii="宋体" w:hAnsi="宋体" w:eastAsia="宋体" w:cs="宋体"/>
          <w:color w:val="auto"/>
          <w:kern w:val="0"/>
          <w:sz w:val="21"/>
          <w:szCs w:val="21"/>
          <w:highlight w:val="none"/>
          <w:u w:val="single"/>
          <w:lang w:val="en-US" w:eastAsia="zh-CN" w:bidi="ar-SA"/>
        </w:rPr>
        <w:t xml:space="preserve">                                                    </w:t>
      </w:r>
    </w:p>
    <w:p w14:paraId="2AFE1508">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开户名称：</w:t>
      </w:r>
      <w:r>
        <w:rPr>
          <w:rFonts w:hint="eastAsia" w:ascii="宋体" w:hAnsi="宋体" w:eastAsia="宋体" w:cs="宋体"/>
          <w:color w:val="auto"/>
          <w:kern w:val="0"/>
          <w:sz w:val="21"/>
          <w:szCs w:val="21"/>
          <w:highlight w:val="none"/>
          <w:u w:val="single"/>
          <w:lang w:val="en-US" w:eastAsia="zh-CN" w:bidi="ar-SA"/>
        </w:rPr>
        <w:t xml:space="preserve">                                                    </w:t>
      </w:r>
    </w:p>
    <w:p w14:paraId="576FED73">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开户银行：</w:t>
      </w:r>
      <w:r>
        <w:rPr>
          <w:rFonts w:hint="eastAsia" w:ascii="宋体" w:hAnsi="宋体" w:eastAsia="宋体" w:cs="宋体"/>
          <w:color w:val="auto"/>
          <w:kern w:val="0"/>
          <w:sz w:val="21"/>
          <w:szCs w:val="21"/>
          <w:highlight w:val="none"/>
          <w:u w:val="single"/>
          <w:lang w:val="en-US" w:eastAsia="zh-CN" w:bidi="ar-SA"/>
        </w:rPr>
        <w:t xml:space="preserve">                                                    </w:t>
      </w:r>
    </w:p>
    <w:p w14:paraId="599EC6F7">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银行账号：</w:t>
      </w:r>
      <w:r>
        <w:rPr>
          <w:rFonts w:hint="eastAsia" w:ascii="宋体" w:hAnsi="宋体" w:eastAsia="宋体" w:cs="宋体"/>
          <w:color w:val="auto"/>
          <w:kern w:val="0"/>
          <w:sz w:val="21"/>
          <w:szCs w:val="21"/>
          <w:highlight w:val="none"/>
          <w:u w:val="single"/>
          <w:lang w:val="en-US" w:eastAsia="zh-CN" w:bidi="ar-SA"/>
        </w:rPr>
        <w:t xml:space="preserve">                                                    </w:t>
      </w:r>
    </w:p>
    <w:p w14:paraId="7C85185C">
      <w:pPr>
        <w:pStyle w:val="15"/>
        <w:keepNext w:val="0"/>
        <w:keepLines w:val="0"/>
        <w:pageBreakBefore w:val="0"/>
        <w:widowControl w:val="0"/>
        <w:shd w:val="clear" w:color="auto"/>
        <w:tabs>
          <w:tab w:val="left" w:pos="939"/>
        </w:tabs>
        <w:kinsoku/>
        <w:wordWrap/>
        <w:overflowPunct/>
        <w:topLinePunct w:val="0"/>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59121EE3">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contextualSpacing/>
        <w:jc w:val="left"/>
        <w:textAlignment w:val="auto"/>
        <w:rPr>
          <w:rFonts w:hint="eastAsia" w:ascii="宋体" w:hAnsi="宋体" w:eastAsia="宋体" w:cs="宋体"/>
          <w:color w:val="auto"/>
          <w:sz w:val="21"/>
          <w:szCs w:val="21"/>
          <w:highlight w:val="none"/>
        </w:rPr>
      </w:pPr>
    </w:p>
    <w:p w14:paraId="27EF042D">
      <w:pPr>
        <w:keepNext w:val="0"/>
        <w:keepLines w:val="0"/>
        <w:pageBreakBefore w:val="0"/>
        <w:widowControl w:val="0"/>
        <w:shd w:val="clear" w:color="auto"/>
        <w:kinsoku/>
        <w:wordWrap w:val="0"/>
        <w:overflowPunct/>
        <w:topLinePunct w:val="0"/>
        <w:autoSpaceDE w:val="0"/>
        <w:autoSpaceDN w:val="0"/>
        <w:bidi w:val="0"/>
        <w:adjustRightInd/>
        <w:snapToGrid/>
        <w:spacing w:line="400" w:lineRule="exact"/>
        <w:ind w:left="0" w:leftChars="0" w:firstLine="420" w:firstLineChars="200"/>
        <w:jc w:val="right"/>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供应商名称（电子签章）：</w:t>
      </w:r>
      <w:r>
        <w:rPr>
          <w:rFonts w:hint="eastAsia" w:ascii="宋体" w:hAnsi="宋体" w:eastAsia="宋体" w:cs="宋体"/>
          <w:color w:val="auto"/>
          <w:kern w:val="0"/>
          <w:sz w:val="21"/>
          <w:szCs w:val="21"/>
          <w:highlight w:val="none"/>
          <w:lang w:val="en-US" w:eastAsia="zh-CN"/>
        </w:rPr>
        <w:t xml:space="preserve">          </w:t>
      </w:r>
    </w:p>
    <w:p w14:paraId="7E447C49">
      <w:pPr>
        <w:keepNext w:val="0"/>
        <w:keepLines w:val="0"/>
        <w:pageBreakBefore w:val="0"/>
        <w:widowControl w:val="0"/>
        <w:shd w:val="clear" w:color="auto"/>
        <w:kinsoku/>
        <w:wordWrap/>
        <w:overflowPunct/>
        <w:topLinePunct w:val="0"/>
        <w:autoSpaceDE w:val="0"/>
        <w:autoSpaceDN w:val="0"/>
        <w:bidi w:val="0"/>
        <w:adjustRightInd/>
        <w:snapToGrid/>
        <w:spacing w:line="400" w:lineRule="exact"/>
        <w:ind w:left="0" w:leftChars="0" w:firstLine="420" w:firstLineChars="200"/>
        <w:jc w:val="right"/>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  年  月   日</w:t>
      </w:r>
    </w:p>
    <w:p w14:paraId="45D36AC6">
      <w:pPr>
        <w:widowControl w:val="0"/>
        <w:shd w:val="clear" w:color="auto"/>
        <w:spacing w:line="500" w:lineRule="exact"/>
        <w:jc w:val="center"/>
        <w:rPr>
          <w:rFonts w:hint="eastAsia" w:ascii="宋体" w:hAnsi="宋体" w:eastAsia="宋体" w:cs="宋体"/>
          <w:b/>
          <w:bCs/>
          <w:color w:val="auto"/>
          <w:kern w:val="2"/>
          <w:sz w:val="32"/>
          <w:szCs w:val="32"/>
          <w:highlight w:val="none"/>
          <w:lang w:val="en-US" w:eastAsia="zh-CN" w:bidi="ar-SA"/>
        </w:rPr>
      </w:pPr>
      <w:r>
        <w:rPr>
          <w:rFonts w:ascii="仿宋_GB2312" w:hAnsi="仿宋" w:eastAsia="仿宋_GB2312" w:cs="仿宋_GB2312"/>
          <w:color w:val="auto"/>
          <w:kern w:val="0"/>
          <w:sz w:val="24"/>
          <w:szCs w:val="21"/>
          <w:highlight w:val="none"/>
          <w:lang w:val="zh-CN" w:eastAsia="zh-CN" w:bidi="ar-SA"/>
        </w:rPr>
        <w:br w:type="page"/>
      </w:r>
      <w:r>
        <w:rPr>
          <w:rFonts w:hint="eastAsia" w:ascii="宋体" w:hAnsi="宋体" w:eastAsia="宋体" w:cs="宋体"/>
          <w:b/>
          <w:bCs/>
          <w:color w:val="auto"/>
          <w:kern w:val="2"/>
          <w:sz w:val="32"/>
          <w:szCs w:val="32"/>
          <w:highlight w:val="none"/>
          <w:lang w:val="en-US" w:eastAsia="zh-CN" w:bidi="ar-SA"/>
        </w:rPr>
        <w:t>附录</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46"/>
        <w:gridCol w:w="1367"/>
        <w:gridCol w:w="2555"/>
        <w:gridCol w:w="1250"/>
      </w:tblGrid>
      <w:tr w14:paraId="7AA2D0DB">
        <w:trPr>
          <w:trHeight w:val="567" w:hRule="atLeast"/>
          <w:jc w:val="center"/>
        </w:trPr>
        <w:tc>
          <w:tcPr>
            <w:tcW w:w="817" w:type="dxa"/>
            <w:noWrap w:val="0"/>
            <w:vAlign w:val="center"/>
          </w:tcPr>
          <w:p w14:paraId="11208A5A">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序</w:t>
            </w:r>
            <w:r>
              <w:rPr>
                <w:rFonts w:ascii="Times New Roman" w:hAnsi="Times New Roman" w:eastAsia="宋体" w:cs="Times New Roman"/>
                <w:color w:val="auto"/>
                <w:szCs w:val="21"/>
                <w:highlight w:val="none"/>
              </w:rPr>
              <w:t xml:space="preserve"> </w:t>
            </w:r>
            <w:r>
              <w:rPr>
                <w:rFonts w:hint="eastAsia" w:ascii="Times New Roman" w:hAnsi="Times New Roman" w:eastAsia="宋体" w:cs="宋体"/>
                <w:color w:val="auto"/>
                <w:szCs w:val="21"/>
                <w:highlight w:val="none"/>
              </w:rPr>
              <w:t>号</w:t>
            </w:r>
          </w:p>
        </w:tc>
        <w:tc>
          <w:tcPr>
            <w:tcW w:w="2346" w:type="dxa"/>
            <w:noWrap w:val="0"/>
            <w:vAlign w:val="center"/>
          </w:tcPr>
          <w:p w14:paraId="19AEB700">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条款内容</w:t>
            </w:r>
          </w:p>
        </w:tc>
        <w:tc>
          <w:tcPr>
            <w:tcW w:w="1367" w:type="dxa"/>
            <w:noWrap w:val="0"/>
            <w:vAlign w:val="center"/>
          </w:tcPr>
          <w:p w14:paraId="7A9E4F60">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合同条款号</w:t>
            </w:r>
          </w:p>
        </w:tc>
        <w:tc>
          <w:tcPr>
            <w:tcW w:w="2555" w:type="dxa"/>
            <w:noWrap w:val="0"/>
            <w:vAlign w:val="center"/>
          </w:tcPr>
          <w:p w14:paraId="1DB2C06C">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约定内容</w:t>
            </w:r>
          </w:p>
        </w:tc>
        <w:tc>
          <w:tcPr>
            <w:tcW w:w="1250" w:type="dxa"/>
            <w:noWrap w:val="0"/>
            <w:vAlign w:val="center"/>
          </w:tcPr>
          <w:p w14:paraId="204B4CDA">
            <w:pPr>
              <w:shd w:val="clear" w:color="auto"/>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备注</w:t>
            </w:r>
          </w:p>
        </w:tc>
      </w:tr>
      <w:tr w14:paraId="406B1B79">
        <w:trPr>
          <w:trHeight w:val="567" w:hRule="atLeast"/>
          <w:jc w:val="center"/>
        </w:trPr>
        <w:tc>
          <w:tcPr>
            <w:tcW w:w="817" w:type="dxa"/>
            <w:noWrap w:val="0"/>
            <w:vAlign w:val="center"/>
          </w:tcPr>
          <w:p w14:paraId="375D9B3F">
            <w:pPr>
              <w:shd w:val="clear" w:color="auto"/>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p>
        </w:tc>
        <w:tc>
          <w:tcPr>
            <w:tcW w:w="2346" w:type="dxa"/>
            <w:noWrap w:val="0"/>
            <w:vAlign w:val="center"/>
          </w:tcPr>
          <w:p w14:paraId="24D04F30">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项目经理</w:t>
            </w:r>
          </w:p>
        </w:tc>
        <w:tc>
          <w:tcPr>
            <w:tcW w:w="1367" w:type="dxa"/>
            <w:noWrap w:val="0"/>
            <w:tcMar>
              <w:left w:w="170" w:type="dxa"/>
            </w:tcMar>
            <w:vAlign w:val="center"/>
          </w:tcPr>
          <w:p w14:paraId="3841E373">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1.1.2.4</w:t>
            </w:r>
          </w:p>
        </w:tc>
        <w:tc>
          <w:tcPr>
            <w:tcW w:w="2555" w:type="dxa"/>
            <w:noWrap w:val="0"/>
            <w:vAlign w:val="center"/>
          </w:tcPr>
          <w:p w14:paraId="0839AC37">
            <w:pPr>
              <w:shd w:val="clear" w:color="auto"/>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姓名：</w:t>
            </w:r>
            <w:r>
              <w:rPr>
                <w:rFonts w:ascii="Times New Roman" w:hAnsi="Times New Roman" w:eastAsia="宋体" w:cs="Times New Roman"/>
                <w:color w:val="auto"/>
                <w:szCs w:val="21"/>
                <w:highlight w:val="none"/>
                <w:u w:val="single"/>
              </w:rPr>
              <w:t xml:space="preserve">          </w:t>
            </w:r>
          </w:p>
        </w:tc>
        <w:tc>
          <w:tcPr>
            <w:tcW w:w="1250" w:type="dxa"/>
            <w:noWrap w:val="0"/>
            <w:vAlign w:val="center"/>
          </w:tcPr>
          <w:p w14:paraId="07886F36">
            <w:pPr>
              <w:shd w:val="clear" w:color="auto"/>
              <w:jc w:val="center"/>
              <w:rPr>
                <w:rFonts w:ascii="Times New Roman" w:hAnsi="Times New Roman" w:eastAsia="宋体" w:cs="Times New Roman"/>
                <w:color w:val="auto"/>
                <w:szCs w:val="21"/>
                <w:highlight w:val="none"/>
              </w:rPr>
            </w:pPr>
          </w:p>
        </w:tc>
      </w:tr>
      <w:tr w14:paraId="79355FE7">
        <w:trPr>
          <w:trHeight w:val="567" w:hRule="atLeast"/>
          <w:jc w:val="center"/>
        </w:trPr>
        <w:tc>
          <w:tcPr>
            <w:tcW w:w="817" w:type="dxa"/>
            <w:noWrap w:val="0"/>
            <w:vAlign w:val="center"/>
          </w:tcPr>
          <w:p w14:paraId="2A66D527">
            <w:pPr>
              <w:shd w:val="clear" w:color="auto"/>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w:t>
            </w:r>
          </w:p>
        </w:tc>
        <w:tc>
          <w:tcPr>
            <w:tcW w:w="2346" w:type="dxa"/>
            <w:noWrap w:val="0"/>
            <w:vAlign w:val="center"/>
          </w:tcPr>
          <w:p w14:paraId="5B3A70FC">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工期</w:t>
            </w:r>
          </w:p>
        </w:tc>
        <w:tc>
          <w:tcPr>
            <w:tcW w:w="1367" w:type="dxa"/>
            <w:noWrap w:val="0"/>
            <w:tcMar>
              <w:left w:w="170" w:type="dxa"/>
            </w:tcMar>
            <w:vAlign w:val="center"/>
          </w:tcPr>
          <w:p w14:paraId="6207B944">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1.1.4.3</w:t>
            </w:r>
          </w:p>
        </w:tc>
        <w:tc>
          <w:tcPr>
            <w:tcW w:w="2555" w:type="dxa"/>
            <w:noWrap w:val="0"/>
            <w:vAlign w:val="center"/>
          </w:tcPr>
          <w:p w14:paraId="69C35D87">
            <w:pPr>
              <w:shd w:val="clear" w:color="auto"/>
              <w:jc w:val="center"/>
              <w:rPr>
                <w:rFonts w:ascii="Times New Roman" w:hAnsi="Times New Roman" w:eastAsia="宋体" w:cs="Times New Roman"/>
                <w:color w:val="auto"/>
                <w:szCs w:val="21"/>
                <w:highlight w:val="none"/>
                <w:u w:val="single"/>
              </w:rPr>
            </w:pPr>
            <w:r>
              <w:rPr>
                <w:rFonts w:hint="eastAsia" w:ascii="Times New Roman" w:hAnsi="Times New Roman" w:eastAsia="宋体" w:cs="Times New Roman"/>
                <w:color w:val="auto"/>
                <w:szCs w:val="21"/>
                <w:highlight w:val="none"/>
              </w:rPr>
              <w:t>天数：</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宋体"/>
                <w:color w:val="auto"/>
                <w:szCs w:val="21"/>
                <w:highlight w:val="none"/>
              </w:rPr>
              <w:t>日历天</w:t>
            </w:r>
          </w:p>
        </w:tc>
        <w:tc>
          <w:tcPr>
            <w:tcW w:w="1250" w:type="dxa"/>
            <w:noWrap w:val="0"/>
            <w:vAlign w:val="center"/>
          </w:tcPr>
          <w:p w14:paraId="1F959B60">
            <w:pPr>
              <w:shd w:val="clear" w:color="auto"/>
              <w:jc w:val="center"/>
              <w:rPr>
                <w:rFonts w:ascii="Times New Roman" w:hAnsi="Times New Roman" w:eastAsia="宋体" w:cs="Times New Roman"/>
                <w:color w:val="auto"/>
                <w:szCs w:val="21"/>
                <w:highlight w:val="none"/>
              </w:rPr>
            </w:pPr>
          </w:p>
        </w:tc>
      </w:tr>
      <w:tr w14:paraId="08A60F1B">
        <w:trPr>
          <w:trHeight w:val="567" w:hRule="atLeast"/>
          <w:jc w:val="center"/>
        </w:trPr>
        <w:tc>
          <w:tcPr>
            <w:tcW w:w="817" w:type="dxa"/>
            <w:noWrap w:val="0"/>
            <w:vAlign w:val="center"/>
          </w:tcPr>
          <w:p w14:paraId="77C0F256">
            <w:pPr>
              <w:shd w:val="clear" w:color="auto"/>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w:t>
            </w:r>
          </w:p>
        </w:tc>
        <w:tc>
          <w:tcPr>
            <w:tcW w:w="2346" w:type="dxa"/>
            <w:noWrap w:val="0"/>
            <w:vAlign w:val="center"/>
          </w:tcPr>
          <w:p w14:paraId="1C02F999">
            <w:pPr>
              <w:shd w:val="clear" w:color="auto"/>
              <w:jc w:val="center"/>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缺陷责任期</w:t>
            </w:r>
          </w:p>
          <w:p w14:paraId="2953BBA3">
            <w:pPr>
              <w:shd w:val="clear" w:color="auto"/>
              <w:jc w:val="center"/>
              <w:rPr>
                <w:rFonts w:hint="eastAsia"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（工程质量保修期）</w:t>
            </w:r>
          </w:p>
        </w:tc>
        <w:tc>
          <w:tcPr>
            <w:tcW w:w="1367" w:type="dxa"/>
            <w:noWrap w:val="0"/>
            <w:tcMar>
              <w:left w:w="170" w:type="dxa"/>
            </w:tcMar>
            <w:vAlign w:val="center"/>
          </w:tcPr>
          <w:p w14:paraId="632E60C5">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1.1.4.5</w:t>
            </w:r>
          </w:p>
        </w:tc>
        <w:tc>
          <w:tcPr>
            <w:tcW w:w="2555" w:type="dxa"/>
            <w:noWrap w:val="0"/>
            <w:vAlign w:val="center"/>
          </w:tcPr>
          <w:p w14:paraId="1E52EE67">
            <w:pPr>
              <w:shd w:val="clear" w:color="auto"/>
              <w:jc w:val="center"/>
              <w:rPr>
                <w:rFonts w:ascii="Times New Roman" w:hAnsi="Times New Roman" w:eastAsia="宋体" w:cs="Times New Roman"/>
                <w:color w:val="auto"/>
                <w:szCs w:val="21"/>
                <w:highlight w:val="none"/>
              </w:rPr>
            </w:pPr>
          </w:p>
        </w:tc>
        <w:tc>
          <w:tcPr>
            <w:tcW w:w="1250" w:type="dxa"/>
            <w:noWrap w:val="0"/>
            <w:vAlign w:val="center"/>
          </w:tcPr>
          <w:p w14:paraId="5DFFD837">
            <w:pPr>
              <w:shd w:val="clear" w:color="auto"/>
              <w:jc w:val="center"/>
              <w:rPr>
                <w:rFonts w:ascii="Times New Roman" w:hAnsi="Times New Roman" w:eastAsia="宋体" w:cs="Times New Roman"/>
                <w:color w:val="auto"/>
                <w:szCs w:val="21"/>
                <w:highlight w:val="none"/>
              </w:rPr>
            </w:pPr>
          </w:p>
        </w:tc>
      </w:tr>
      <w:tr w14:paraId="608CE5F3">
        <w:trPr>
          <w:trHeight w:val="567" w:hRule="atLeast"/>
          <w:jc w:val="center"/>
        </w:trPr>
        <w:tc>
          <w:tcPr>
            <w:tcW w:w="817" w:type="dxa"/>
            <w:noWrap w:val="0"/>
            <w:vAlign w:val="center"/>
          </w:tcPr>
          <w:p w14:paraId="76012627">
            <w:pPr>
              <w:shd w:val="clear" w:color="auto"/>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w:t>
            </w:r>
          </w:p>
        </w:tc>
        <w:tc>
          <w:tcPr>
            <w:tcW w:w="2346" w:type="dxa"/>
            <w:noWrap w:val="0"/>
            <w:vAlign w:val="center"/>
          </w:tcPr>
          <w:p w14:paraId="0A4DDB86">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分包</w:t>
            </w:r>
          </w:p>
        </w:tc>
        <w:tc>
          <w:tcPr>
            <w:tcW w:w="1367" w:type="dxa"/>
            <w:noWrap w:val="0"/>
            <w:tcMar>
              <w:left w:w="170" w:type="dxa"/>
            </w:tcMar>
            <w:vAlign w:val="center"/>
          </w:tcPr>
          <w:p w14:paraId="7AE63B08">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4.3</w:t>
            </w:r>
          </w:p>
        </w:tc>
        <w:tc>
          <w:tcPr>
            <w:tcW w:w="2555" w:type="dxa"/>
            <w:noWrap w:val="0"/>
            <w:vAlign w:val="center"/>
          </w:tcPr>
          <w:p w14:paraId="1ACB7322">
            <w:pPr>
              <w:shd w:val="clear" w:color="auto"/>
              <w:jc w:val="center"/>
              <w:rPr>
                <w:rFonts w:ascii="Times New Roman" w:hAnsi="Times New Roman" w:eastAsia="宋体" w:cs="Times New Roman"/>
                <w:color w:val="auto"/>
                <w:szCs w:val="21"/>
                <w:highlight w:val="none"/>
              </w:rPr>
            </w:pPr>
          </w:p>
        </w:tc>
        <w:tc>
          <w:tcPr>
            <w:tcW w:w="1250" w:type="dxa"/>
            <w:noWrap w:val="0"/>
            <w:vAlign w:val="center"/>
          </w:tcPr>
          <w:p w14:paraId="38BFFE64">
            <w:pPr>
              <w:shd w:val="clear" w:color="auto"/>
              <w:jc w:val="center"/>
              <w:rPr>
                <w:rFonts w:ascii="Times New Roman" w:hAnsi="Times New Roman" w:eastAsia="宋体" w:cs="Times New Roman"/>
                <w:color w:val="auto"/>
                <w:szCs w:val="21"/>
                <w:highlight w:val="none"/>
              </w:rPr>
            </w:pPr>
          </w:p>
        </w:tc>
      </w:tr>
      <w:tr w14:paraId="31039FA0">
        <w:trPr>
          <w:trHeight w:val="567" w:hRule="atLeast"/>
          <w:jc w:val="center"/>
        </w:trPr>
        <w:tc>
          <w:tcPr>
            <w:tcW w:w="817" w:type="dxa"/>
            <w:noWrap w:val="0"/>
            <w:vAlign w:val="center"/>
          </w:tcPr>
          <w:p w14:paraId="18D38DE9">
            <w:pPr>
              <w:shd w:val="clear" w:color="auto"/>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5</w:t>
            </w:r>
          </w:p>
        </w:tc>
        <w:tc>
          <w:tcPr>
            <w:tcW w:w="2346" w:type="dxa"/>
            <w:noWrap w:val="0"/>
            <w:vAlign w:val="center"/>
          </w:tcPr>
          <w:p w14:paraId="42F5E423">
            <w:pPr>
              <w:shd w:val="clear" w:color="auto"/>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价格调整的差额计算</w:t>
            </w:r>
          </w:p>
        </w:tc>
        <w:tc>
          <w:tcPr>
            <w:tcW w:w="1367" w:type="dxa"/>
            <w:noWrap w:val="0"/>
            <w:tcMar>
              <w:left w:w="170" w:type="dxa"/>
            </w:tcMar>
            <w:vAlign w:val="center"/>
          </w:tcPr>
          <w:p w14:paraId="7A5BC141">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16.1.1</w:t>
            </w:r>
          </w:p>
        </w:tc>
        <w:tc>
          <w:tcPr>
            <w:tcW w:w="2555" w:type="dxa"/>
            <w:noWrap w:val="0"/>
            <w:vAlign w:val="center"/>
          </w:tcPr>
          <w:p w14:paraId="79DDF4B0">
            <w:pPr>
              <w:shd w:val="clear" w:color="auto"/>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见价格指数权重表</w:t>
            </w:r>
          </w:p>
        </w:tc>
        <w:tc>
          <w:tcPr>
            <w:tcW w:w="1250" w:type="dxa"/>
            <w:noWrap w:val="0"/>
            <w:vAlign w:val="center"/>
          </w:tcPr>
          <w:p w14:paraId="669B3260">
            <w:pPr>
              <w:shd w:val="clear" w:color="auto"/>
              <w:jc w:val="center"/>
              <w:rPr>
                <w:rFonts w:ascii="Times New Roman" w:hAnsi="Times New Roman" w:eastAsia="宋体" w:cs="Times New Roman"/>
                <w:color w:val="auto"/>
                <w:szCs w:val="21"/>
                <w:highlight w:val="none"/>
              </w:rPr>
            </w:pPr>
          </w:p>
        </w:tc>
      </w:tr>
      <w:tr w14:paraId="384F8E77">
        <w:trPr>
          <w:trHeight w:val="567" w:hRule="atLeast"/>
          <w:jc w:val="center"/>
        </w:trPr>
        <w:tc>
          <w:tcPr>
            <w:tcW w:w="817" w:type="dxa"/>
            <w:noWrap w:val="0"/>
            <w:vAlign w:val="center"/>
          </w:tcPr>
          <w:p w14:paraId="009DD0D3">
            <w:pPr>
              <w:shd w:val="clear" w:color="auto"/>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2346" w:type="dxa"/>
            <w:noWrap w:val="0"/>
            <w:vAlign w:val="center"/>
          </w:tcPr>
          <w:p w14:paraId="5970C65A">
            <w:pPr>
              <w:shd w:val="clear" w:color="auto"/>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1367" w:type="dxa"/>
            <w:noWrap w:val="0"/>
            <w:tcMar>
              <w:left w:w="170" w:type="dxa"/>
            </w:tcMar>
            <w:vAlign w:val="center"/>
          </w:tcPr>
          <w:p w14:paraId="78118887">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2555" w:type="dxa"/>
            <w:noWrap w:val="0"/>
            <w:vAlign w:val="center"/>
          </w:tcPr>
          <w:p w14:paraId="768CEA35">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1250" w:type="dxa"/>
            <w:noWrap w:val="0"/>
            <w:vAlign w:val="center"/>
          </w:tcPr>
          <w:p w14:paraId="434BE4B3">
            <w:pPr>
              <w:shd w:val="clear" w:color="auto"/>
              <w:jc w:val="center"/>
              <w:rPr>
                <w:rFonts w:ascii="Times New Roman" w:hAnsi="Times New Roman" w:eastAsia="宋体" w:cs="Times New Roman"/>
                <w:color w:val="auto"/>
                <w:szCs w:val="21"/>
                <w:highlight w:val="none"/>
              </w:rPr>
            </w:pPr>
          </w:p>
        </w:tc>
      </w:tr>
      <w:tr w14:paraId="5718E6DD">
        <w:trPr>
          <w:trHeight w:val="567" w:hRule="atLeast"/>
          <w:jc w:val="center"/>
        </w:trPr>
        <w:tc>
          <w:tcPr>
            <w:tcW w:w="817" w:type="dxa"/>
            <w:noWrap w:val="0"/>
            <w:vAlign w:val="center"/>
          </w:tcPr>
          <w:p w14:paraId="6B743367">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2346" w:type="dxa"/>
            <w:noWrap w:val="0"/>
            <w:vAlign w:val="center"/>
          </w:tcPr>
          <w:p w14:paraId="1ED8F545">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1367" w:type="dxa"/>
            <w:noWrap w:val="0"/>
            <w:tcMar>
              <w:left w:w="170" w:type="dxa"/>
            </w:tcMar>
            <w:vAlign w:val="center"/>
          </w:tcPr>
          <w:p w14:paraId="3447C52D">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2555" w:type="dxa"/>
            <w:noWrap w:val="0"/>
            <w:vAlign w:val="center"/>
          </w:tcPr>
          <w:p w14:paraId="4714ADA1">
            <w:pPr>
              <w:shd w:val="clear" w:color="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1250" w:type="dxa"/>
            <w:noWrap w:val="0"/>
            <w:vAlign w:val="center"/>
          </w:tcPr>
          <w:p w14:paraId="23E57C44">
            <w:pPr>
              <w:shd w:val="clear" w:color="auto"/>
              <w:jc w:val="center"/>
              <w:rPr>
                <w:rFonts w:ascii="Times New Roman" w:hAnsi="Times New Roman" w:eastAsia="宋体" w:cs="Times New Roman"/>
                <w:color w:val="auto"/>
                <w:szCs w:val="21"/>
                <w:highlight w:val="none"/>
              </w:rPr>
            </w:pPr>
          </w:p>
        </w:tc>
      </w:tr>
    </w:tbl>
    <w:p w14:paraId="6B3DE26C">
      <w:pPr>
        <w:shd w:val="clear" w:color="auto"/>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rPr>
      </w:pPr>
    </w:p>
    <w:p w14:paraId="455138CC">
      <w:pPr>
        <w:shd w:val="clear" w:color="auto"/>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941754B">
      <w:pPr>
        <w:shd w:val="clear" w:color="auto"/>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F3BB7B7">
      <w:pPr>
        <w:shd w:val="clear" w:color="auto"/>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p>
    <w:p w14:paraId="217E598B">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二、响应报价表</w:t>
      </w:r>
    </w:p>
    <w:p w14:paraId="036ADB87">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响应报价表</w:t>
      </w:r>
    </w:p>
    <w:p w14:paraId="347624F3">
      <w:pPr>
        <w:keepNext w:val="0"/>
        <w:keepLines w:val="0"/>
        <w:pageBreakBefore w:val="0"/>
        <w:widowControl w:val="0"/>
        <w:shd w:val="clear" w:color="auto"/>
        <w:kinsoku/>
        <w:wordWrap/>
        <w:overflowPunct/>
        <w:topLinePunct w:val="0"/>
        <w:autoSpaceDE/>
        <w:autoSpaceDN/>
        <w:bidi w:val="0"/>
        <w:adjustRightInd/>
        <w:snapToGrid/>
        <w:spacing w:line="400" w:lineRule="exact"/>
        <w:ind w:left="0"/>
        <w:textAlignment w:val="auto"/>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项目名称：</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ascii="宋体" w:hAnsi="宋体" w:eastAsia="宋体" w:cs="Times New Roman"/>
          <w:color w:val="auto"/>
          <w:sz w:val="24"/>
          <w:highlight w:val="none"/>
        </w:rPr>
        <w:t xml:space="preserve">         </w:t>
      </w:r>
      <w:r>
        <w:rPr>
          <w:rFonts w:hint="eastAsia" w:ascii="宋体" w:hAnsi="宋体" w:eastAsia="宋体" w:cs="Times New Roman"/>
          <w:color w:val="auto"/>
          <w:sz w:val="24"/>
          <w:highlight w:val="none"/>
        </w:rPr>
        <w:t>项目编号：</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 xml:space="preserve">         分标：</w:t>
      </w:r>
      <w:r>
        <w:rPr>
          <w:rFonts w:hint="eastAsia" w:ascii="宋体" w:hAnsi="宋体" w:eastAsia="宋体" w:cs="Times New Roman"/>
          <w:color w:val="auto"/>
          <w:sz w:val="24"/>
          <w:highlight w:val="none"/>
          <w:u w:val="single"/>
        </w:rPr>
        <w:t xml:space="preserve">           </w:t>
      </w:r>
    </w:p>
    <w:p w14:paraId="10671401">
      <w:pPr>
        <w:keepNext w:val="0"/>
        <w:keepLines w:val="0"/>
        <w:pageBreakBefore w:val="0"/>
        <w:widowControl w:val="0"/>
        <w:shd w:val="clear" w:color="auto"/>
        <w:kinsoku/>
        <w:wordWrap/>
        <w:overflowPunct/>
        <w:topLinePunct w:val="0"/>
        <w:autoSpaceDE/>
        <w:autoSpaceDN/>
        <w:bidi w:val="0"/>
        <w:adjustRightInd/>
        <w:snapToGrid/>
        <w:spacing w:line="400" w:lineRule="exact"/>
        <w:ind w:left="0"/>
        <w:textAlignment w:val="auto"/>
        <w:rPr>
          <w:rFonts w:ascii="宋体" w:hAnsi="宋体" w:eastAsia="宋体" w:cs="仿宋_GB2312"/>
          <w:color w:val="auto"/>
          <w:sz w:val="24"/>
          <w:highlight w:val="none"/>
        </w:rPr>
      </w:pPr>
      <w:r>
        <w:rPr>
          <w:rFonts w:hint="eastAsia" w:ascii="Times New Roman" w:hAnsi="宋体" w:eastAsia="宋体" w:cs="Times New Roman"/>
          <w:color w:val="auto"/>
          <w:sz w:val="24"/>
          <w:highlight w:val="none"/>
        </w:rPr>
        <w:t>供应商名称：</w:t>
      </w:r>
      <w:r>
        <w:rPr>
          <w:rFonts w:hint="eastAsia" w:ascii="Times New Roman" w:hAnsi="宋体" w:eastAsia="宋体" w:cs="Times New Roman"/>
          <w:color w:val="auto"/>
          <w:sz w:val="24"/>
          <w:highlight w:val="none"/>
          <w:u w:val="single"/>
        </w:rPr>
        <w:t xml:space="preserve">                     </w:t>
      </w:r>
      <w:r>
        <w:rPr>
          <w:rFonts w:hint="eastAsia" w:ascii="Times New Roman" w:hAnsi="宋体" w:eastAsia="宋体" w:cs="Times New Roman"/>
          <w:color w:val="auto"/>
          <w:sz w:val="24"/>
          <w:highlight w:val="none"/>
        </w:rPr>
        <w:t xml:space="preserve">  </w:t>
      </w:r>
      <w:r>
        <w:rPr>
          <w:rFonts w:hint="eastAsia" w:ascii="宋体" w:hAnsi="宋体" w:eastAsia="宋体" w:cs="仿宋_GB2312"/>
          <w:color w:val="auto"/>
          <w:sz w:val="24"/>
          <w:highlight w:val="none"/>
        </w:rPr>
        <w:t xml:space="preserve">                    </w:t>
      </w:r>
    </w:p>
    <w:p w14:paraId="5B9002D0">
      <w:pPr>
        <w:keepNext w:val="0"/>
        <w:keepLines w:val="0"/>
        <w:pageBreakBefore w:val="0"/>
        <w:widowControl w:val="0"/>
        <w:shd w:val="clear" w:color="auto"/>
        <w:kinsoku/>
        <w:wordWrap/>
        <w:overflowPunct/>
        <w:topLinePunct w:val="0"/>
        <w:autoSpaceDE/>
        <w:autoSpaceDN/>
        <w:bidi w:val="0"/>
        <w:adjustRightInd/>
        <w:snapToGrid/>
        <w:spacing w:line="400" w:lineRule="exact"/>
        <w:ind w:left="0"/>
        <w:textAlignment w:val="auto"/>
        <w:rPr>
          <w:rFonts w:ascii="宋体" w:hAnsi="宋体" w:eastAsia="宋体" w:cs="Times New Roman"/>
          <w:color w:val="auto"/>
          <w:kern w:val="0"/>
          <w:sz w:val="24"/>
          <w:highlight w:val="none"/>
          <w:vertAlign w:val="superscript"/>
        </w:rPr>
      </w:pPr>
      <w:r>
        <w:rPr>
          <w:rFonts w:hint="eastAsia" w:ascii="Times New Roman" w:hAnsi="宋体" w:eastAsia="宋体" w:cs="Times New Roman"/>
          <w:color w:val="auto"/>
          <w:sz w:val="24"/>
          <w:highlight w:val="none"/>
        </w:rPr>
        <w:t>币种</w:t>
      </w:r>
      <w:r>
        <w:rPr>
          <w:rFonts w:hint="eastAsia" w:ascii="宋体" w:hAnsi="宋体" w:eastAsia="宋体" w:cs="Times New Roman"/>
          <w:color w:val="auto"/>
          <w:sz w:val="24"/>
          <w:highlight w:val="none"/>
        </w:rPr>
        <w:t>：人民币</w:t>
      </w:r>
      <w:r>
        <w:rPr>
          <w:rFonts w:hint="eastAsia" w:ascii="宋体" w:hAnsi="宋体" w:eastAsia="宋体" w:cs="Times New Roman"/>
          <w:color w:val="auto"/>
          <w:sz w:val="24"/>
          <w:highlight w:val="none"/>
          <w:vertAlign w:val="superscript"/>
        </w:rPr>
        <w:t xml:space="preserve"> </w:t>
      </w:r>
    </w:p>
    <w:p w14:paraId="440A0DC4">
      <w:pPr>
        <w:shd w:val="clear" w:color="auto"/>
        <w:spacing w:line="120" w:lineRule="exact"/>
        <w:rPr>
          <w:rFonts w:hint="eastAsia" w:ascii="宋体" w:hAnsi="宋体" w:eastAsia="宋体" w:cs="Times New Roman"/>
          <w:color w:val="auto"/>
          <w:sz w:val="18"/>
          <w:szCs w:val="18"/>
          <w:highlight w:val="none"/>
        </w:rPr>
      </w:pPr>
      <w:r>
        <w:rPr>
          <w:rFonts w:hint="eastAsia" w:ascii="宋体" w:hAnsi="宋体" w:eastAsia="宋体" w:cs="Times New Roman"/>
          <w:color w:val="auto"/>
          <w:sz w:val="18"/>
          <w:szCs w:val="18"/>
          <w:highlight w:val="none"/>
        </w:rPr>
        <w:t xml:space="preserve"> </w:t>
      </w:r>
    </w:p>
    <w:tbl>
      <w:tblPr>
        <w:tblStyle w:val="27"/>
        <w:tblW w:w="4999" w:type="pct"/>
        <w:jc w:val="center"/>
        <w:tblLayout w:type="autofit"/>
        <w:tblCellMar>
          <w:top w:w="0" w:type="dxa"/>
          <w:left w:w="0" w:type="dxa"/>
          <w:bottom w:w="0" w:type="dxa"/>
          <w:right w:w="0" w:type="dxa"/>
        </w:tblCellMar>
      </w:tblPr>
      <w:tblGrid>
        <w:gridCol w:w="1171"/>
        <w:gridCol w:w="4592"/>
        <w:gridCol w:w="3882"/>
      </w:tblGrid>
      <w:tr w14:paraId="77D3DB36">
        <w:trPr>
          <w:trHeight w:val="1122" w:hRule="atLeast"/>
          <w:jc w:val="center"/>
        </w:trPr>
        <w:tc>
          <w:tcPr>
            <w:tcW w:w="607" w:type="pct"/>
            <w:tcBorders>
              <w:top w:val="single" w:color="000000" w:sz="4" w:space="0"/>
              <w:left w:val="single" w:color="000000" w:sz="4" w:space="0"/>
              <w:bottom w:val="single" w:color="000000" w:sz="4" w:space="0"/>
              <w:right w:val="single" w:color="000000" w:sz="4" w:space="0"/>
            </w:tcBorders>
            <w:noWrap w:val="0"/>
            <w:vAlign w:val="center"/>
          </w:tcPr>
          <w:p w14:paraId="53861908">
            <w:pPr>
              <w:shd w:val="clear" w:color="auto"/>
              <w:autoSpaceDE w:val="0"/>
              <w:spacing w:line="560" w:lineRule="exact"/>
              <w:rPr>
                <w:rFonts w:hint="eastAsia" w:ascii="宋体" w:hAnsi="宋体" w:eastAsia="宋体" w:cs="Times New Roman"/>
                <w:color w:val="auto"/>
                <w:sz w:val="24"/>
                <w:highlight w:val="none"/>
              </w:rPr>
            </w:pPr>
          </w:p>
        </w:tc>
        <w:tc>
          <w:tcPr>
            <w:tcW w:w="2380" w:type="pct"/>
            <w:tcBorders>
              <w:top w:val="single" w:color="000000" w:sz="4" w:space="0"/>
              <w:left w:val="nil"/>
              <w:bottom w:val="single" w:color="000000" w:sz="4" w:space="0"/>
              <w:right w:val="single" w:color="000000" w:sz="4" w:space="0"/>
            </w:tcBorders>
            <w:noWrap w:val="0"/>
            <w:vAlign w:val="center"/>
          </w:tcPr>
          <w:p w14:paraId="0EFBA1D0">
            <w:pPr>
              <w:shd w:val="clear" w:color="auto"/>
              <w:autoSpaceDE w:val="0"/>
              <w:rPr>
                <w:rFonts w:hint="eastAsia" w:ascii="方正隶书简体" w:hAnsi="Courier New" w:eastAsia="方正隶书简体" w:cs="Times New Roman"/>
                <w:b/>
                <w:color w:val="auto"/>
                <w:sz w:val="30"/>
                <w:szCs w:val="30"/>
                <w:highlight w:val="none"/>
              </w:rPr>
            </w:pPr>
            <w:r>
              <w:rPr>
                <w:rFonts w:hint="eastAsia" w:ascii="宋体" w:hAnsi="宋体" w:eastAsia="宋体" w:cs="Times New Roman"/>
                <w:color w:val="auto"/>
                <w:sz w:val="24"/>
                <w:highlight w:val="none"/>
              </w:rPr>
              <w:t>总报价（一）＋（二）＋(三)+…</w:t>
            </w:r>
          </w:p>
        </w:tc>
        <w:tc>
          <w:tcPr>
            <w:tcW w:w="2012" w:type="pct"/>
            <w:tcBorders>
              <w:top w:val="single" w:color="000000" w:sz="4" w:space="0"/>
              <w:left w:val="nil"/>
              <w:bottom w:val="single" w:color="000000" w:sz="4" w:space="0"/>
              <w:right w:val="single" w:color="000000" w:sz="4" w:space="0"/>
            </w:tcBorders>
            <w:noWrap w:val="0"/>
            <w:vAlign w:val="center"/>
          </w:tcPr>
          <w:p w14:paraId="0CA4C2D4">
            <w:pPr>
              <w:shd w:val="clear" w:color="auto"/>
              <w:autoSpaceDE w:val="0"/>
              <w:spacing w:line="560" w:lineRule="exact"/>
              <w:jc w:val="righ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（万元）</w:t>
            </w:r>
          </w:p>
        </w:tc>
      </w:tr>
      <w:tr w14:paraId="56F88258">
        <w:trPr>
          <w:trHeight w:val="701" w:hRule="atLeast"/>
          <w:jc w:val="center"/>
        </w:trPr>
        <w:tc>
          <w:tcPr>
            <w:tcW w:w="607" w:type="pct"/>
            <w:tcBorders>
              <w:top w:val="single" w:color="000000" w:sz="4" w:space="0"/>
              <w:left w:val="single" w:color="000000" w:sz="4" w:space="0"/>
              <w:bottom w:val="single" w:color="000000" w:sz="4" w:space="0"/>
              <w:right w:val="single" w:color="000000" w:sz="4" w:space="0"/>
            </w:tcBorders>
            <w:noWrap w:val="0"/>
            <w:vAlign w:val="center"/>
          </w:tcPr>
          <w:p w14:paraId="4D136C28">
            <w:pPr>
              <w:shd w:val="clear" w:color="auto"/>
              <w:autoSpaceDE w:val="0"/>
              <w:spacing w:line="560" w:lineRule="exact"/>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（一）</w:t>
            </w:r>
          </w:p>
        </w:tc>
        <w:tc>
          <w:tcPr>
            <w:tcW w:w="2380" w:type="pct"/>
            <w:tcBorders>
              <w:top w:val="single" w:color="000000" w:sz="4" w:space="0"/>
              <w:left w:val="nil"/>
              <w:bottom w:val="single" w:color="000000" w:sz="4" w:space="0"/>
              <w:right w:val="single" w:color="000000" w:sz="4" w:space="0"/>
            </w:tcBorders>
            <w:noWrap w:val="0"/>
            <w:vAlign w:val="center"/>
          </w:tcPr>
          <w:p w14:paraId="647FB9C4">
            <w:pPr>
              <w:shd w:val="clear" w:color="auto"/>
              <w:autoSpaceDE w:val="0"/>
              <w:spacing w:line="560" w:lineRule="exact"/>
              <w:rPr>
                <w:rFonts w:hint="eastAsia" w:ascii="宋体" w:hAnsi="宋体" w:eastAsia="宋体" w:cs="Times New Roman"/>
                <w:color w:val="auto"/>
                <w:sz w:val="24"/>
                <w:highlight w:val="none"/>
              </w:rPr>
            </w:pPr>
          </w:p>
        </w:tc>
        <w:tc>
          <w:tcPr>
            <w:tcW w:w="2012" w:type="pct"/>
            <w:tcBorders>
              <w:top w:val="single" w:color="000000" w:sz="4" w:space="0"/>
              <w:left w:val="nil"/>
              <w:bottom w:val="single" w:color="000000" w:sz="4" w:space="0"/>
              <w:right w:val="single" w:color="000000" w:sz="4" w:space="0"/>
            </w:tcBorders>
            <w:noWrap w:val="0"/>
            <w:vAlign w:val="center"/>
          </w:tcPr>
          <w:p w14:paraId="669A36BA">
            <w:pPr>
              <w:shd w:val="clear" w:color="auto"/>
              <w:autoSpaceDE w:val="0"/>
              <w:spacing w:line="560" w:lineRule="exact"/>
              <w:jc w:val="righ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（万元）</w:t>
            </w:r>
          </w:p>
        </w:tc>
      </w:tr>
      <w:tr w14:paraId="74F45043">
        <w:trPr>
          <w:trHeight w:val="625" w:hRule="atLeast"/>
          <w:jc w:val="center"/>
        </w:trPr>
        <w:tc>
          <w:tcPr>
            <w:tcW w:w="607" w:type="pct"/>
            <w:tcBorders>
              <w:top w:val="single" w:color="000000" w:sz="4" w:space="0"/>
              <w:left w:val="single" w:color="000000" w:sz="4" w:space="0"/>
              <w:bottom w:val="single" w:color="000000" w:sz="4" w:space="0"/>
              <w:right w:val="single" w:color="000000" w:sz="4" w:space="0"/>
            </w:tcBorders>
            <w:noWrap w:val="0"/>
            <w:vAlign w:val="center"/>
          </w:tcPr>
          <w:p w14:paraId="31A25E30">
            <w:pPr>
              <w:shd w:val="clear" w:color="auto"/>
              <w:autoSpaceDE w:val="0"/>
              <w:spacing w:line="560" w:lineRule="exact"/>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（二）</w:t>
            </w:r>
          </w:p>
        </w:tc>
        <w:tc>
          <w:tcPr>
            <w:tcW w:w="2380" w:type="pct"/>
            <w:tcBorders>
              <w:top w:val="single" w:color="000000" w:sz="4" w:space="0"/>
              <w:left w:val="nil"/>
              <w:bottom w:val="single" w:color="000000" w:sz="4" w:space="0"/>
              <w:right w:val="single" w:color="000000" w:sz="4" w:space="0"/>
            </w:tcBorders>
            <w:noWrap w:val="0"/>
            <w:vAlign w:val="center"/>
          </w:tcPr>
          <w:p w14:paraId="0E3E2619">
            <w:pPr>
              <w:shd w:val="clear" w:color="auto"/>
              <w:autoSpaceDE w:val="0"/>
              <w:spacing w:line="560" w:lineRule="exact"/>
              <w:rPr>
                <w:rFonts w:hint="eastAsia" w:ascii="宋体" w:hAnsi="宋体" w:eastAsia="宋体" w:cs="Times New Roman"/>
                <w:color w:val="auto"/>
                <w:sz w:val="24"/>
                <w:highlight w:val="none"/>
              </w:rPr>
            </w:pPr>
          </w:p>
        </w:tc>
        <w:tc>
          <w:tcPr>
            <w:tcW w:w="2012" w:type="pct"/>
            <w:tcBorders>
              <w:top w:val="single" w:color="000000" w:sz="4" w:space="0"/>
              <w:left w:val="nil"/>
              <w:bottom w:val="single" w:color="000000" w:sz="4" w:space="0"/>
              <w:right w:val="single" w:color="000000" w:sz="4" w:space="0"/>
            </w:tcBorders>
            <w:noWrap w:val="0"/>
            <w:vAlign w:val="center"/>
          </w:tcPr>
          <w:p w14:paraId="6092F064">
            <w:pPr>
              <w:shd w:val="clear" w:color="auto"/>
              <w:autoSpaceDE w:val="0"/>
              <w:spacing w:line="560" w:lineRule="exact"/>
              <w:jc w:val="righ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（万元）</w:t>
            </w:r>
          </w:p>
        </w:tc>
      </w:tr>
      <w:tr w14:paraId="7270BA1F">
        <w:trPr>
          <w:trHeight w:val="625" w:hRule="atLeast"/>
          <w:jc w:val="center"/>
        </w:trPr>
        <w:tc>
          <w:tcPr>
            <w:tcW w:w="607" w:type="pct"/>
            <w:tcBorders>
              <w:top w:val="single" w:color="000000" w:sz="4" w:space="0"/>
              <w:left w:val="single" w:color="000000" w:sz="4" w:space="0"/>
              <w:bottom w:val="single" w:color="000000" w:sz="4" w:space="0"/>
              <w:right w:val="single" w:color="000000" w:sz="4" w:space="0"/>
            </w:tcBorders>
            <w:noWrap w:val="0"/>
            <w:vAlign w:val="center"/>
          </w:tcPr>
          <w:p w14:paraId="4289FAA2">
            <w:pPr>
              <w:shd w:val="clear" w:color="auto"/>
              <w:autoSpaceDE w:val="0"/>
              <w:spacing w:line="560" w:lineRule="exact"/>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(三)</w:t>
            </w:r>
          </w:p>
        </w:tc>
        <w:tc>
          <w:tcPr>
            <w:tcW w:w="2380" w:type="pct"/>
            <w:tcBorders>
              <w:top w:val="single" w:color="000000" w:sz="4" w:space="0"/>
              <w:left w:val="nil"/>
              <w:bottom w:val="single" w:color="000000" w:sz="4" w:space="0"/>
              <w:right w:val="single" w:color="000000" w:sz="4" w:space="0"/>
            </w:tcBorders>
            <w:noWrap w:val="0"/>
            <w:vAlign w:val="center"/>
          </w:tcPr>
          <w:p w14:paraId="473A0027">
            <w:pPr>
              <w:shd w:val="clear" w:color="auto"/>
              <w:autoSpaceDE w:val="0"/>
              <w:spacing w:line="560" w:lineRule="exact"/>
              <w:rPr>
                <w:rFonts w:hint="eastAsia" w:ascii="宋体" w:hAnsi="宋体" w:eastAsia="宋体" w:cs="Times New Roman"/>
                <w:color w:val="auto"/>
                <w:sz w:val="24"/>
                <w:highlight w:val="none"/>
              </w:rPr>
            </w:pPr>
          </w:p>
        </w:tc>
        <w:tc>
          <w:tcPr>
            <w:tcW w:w="2012" w:type="pct"/>
            <w:tcBorders>
              <w:top w:val="single" w:color="000000" w:sz="4" w:space="0"/>
              <w:left w:val="nil"/>
              <w:bottom w:val="single" w:color="000000" w:sz="4" w:space="0"/>
              <w:right w:val="single" w:color="000000" w:sz="4" w:space="0"/>
            </w:tcBorders>
            <w:noWrap w:val="0"/>
            <w:vAlign w:val="center"/>
          </w:tcPr>
          <w:p w14:paraId="7381D61C">
            <w:pPr>
              <w:shd w:val="clear" w:color="auto"/>
              <w:autoSpaceDE w:val="0"/>
              <w:spacing w:line="560" w:lineRule="exact"/>
              <w:jc w:val="righ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（万元）</w:t>
            </w:r>
          </w:p>
        </w:tc>
      </w:tr>
      <w:tr w14:paraId="7CD5D35A">
        <w:trPr>
          <w:trHeight w:val="604" w:hRule="atLeast"/>
          <w:jc w:val="center"/>
        </w:trPr>
        <w:tc>
          <w:tcPr>
            <w:tcW w:w="607" w:type="pct"/>
            <w:tcBorders>
              <w:top w:val="single" w:color="000000" w:sz="4" w:space="0"/>
              <w:left w:val="single" w:color="000000" w:sz="4" w:space="0"/>
              <w:bottom w:val="single" w:color="000000" w:sz="4" w:space="0"/>
              <w:right w:val="single" w:color="000000" w:sz="4" w:space="0"/>
            </w:tcBorders>
            <w:noWrap w:val="0"/>
            <w:vAlign w:val="center"/>
          </w:tcPr>
          <w:p w14:paraId="7DE361F5">
            <w:pPr>
              <w:shd w:val="clear" w:color="auto"/>
              <w:autoSpaceDE w:val="0"/>
              <w:spacing w:line="560" w:lineRule="exact"/>
              <w:jc w:val="center"/>
              <w:rPr>
                <w:rFonts w:hint="eastAsia" w:ascii="宋体" w:hAnsi="宋体" w:eastAsia="宋体" w:cs="Times New Roman"/>
                <w:color w:val="auto"/>
                <w:sz w:val="24"/>
                <w:highlight w:val="none"/>
              </w:rPr>
            </w:pPr>
            <w:r>
              <w:rPr>
                <w:rFonts w:ascii="Times New Roman" w:hAnsi="Times New Roman" w:eastAsia="宋体" w:cs="Times New Roman"/>
                <w:color w:val="auto"/>
                <w:sz w:val="24"/>
                <w:highlight w:val="none"/>
              </w:rPr>
              <w:t>…</w:t>
            </w:r>
          </w:p>
        </w:tc>
        <w:tc>
          <w:tcPr>
            <w:tcW w:w="2380" w:type="pct"/>
            <w:tcBorders>
              <w:top w:val="single" w:color="000000" w:sz="4" w:space="0"/>
              <w:left w:val="nil"/>
              <w:bottom w:val="single" w:color="000000" w:sz="4" w:space="0"/>
              <w:right w:val="single" w:color="000000" w:sz="4" w:space="0"/>
            </w:tcBorders>
            <w:noWrap w:val="0"/>
            <w:vAlign w:val="center"/>
          </w:tcPr>
          <w:p w14:paraId="5D0540F1">
            <w:pPr>
              <w:shd w:val="clear" w:color="auto"/>
              <w:autoSpaceDE w:val="0"/>
              <w:spacing w:line="560" w:lineRule="exact"/>
              <w:rPr>
                <w:rFonts w:hint="eastAsia" w:ascii="宋体" w:hAnsi="宋体" w:eastAsia="宋体" w:cs="Times New Roman"/>
                <w:color w:val="auto"/>
                <w:sz w:val="24"/>
                <w:highlight w:val="none"/>
              </w:rPr>
            </w:pPr>
          </w:p>
        </w:tc>
        <w:tc>
          <w:tcPr>
            <w:tcW w:w="2012" w:type="pct"/>
            <w:tcBorders>
              <w:top w:val="single" w:color="000000" w:sz="4" w:space="0"/>
              <w:left w:val="nil"/>
              <w:bottom w:val="single" w:color="000000" w:sz="4" w:space="0"/>
              <w:right w:val="single" w:color="000000" w:sz="4" w:space="0"/>
            </w:tcBorders>
            <w:noWrap w:val="0"/>
            <w:vAlign w:val="center"/>
          </w:tcPr>
          <w:p w14:paraId="5C148915">
            <w:pPr>
              <w:shd w:val="clear" w:color="auto"/>
              <w:autoSpaceDE w:val="0"/>
              <w:spacing w:line="560" w:lineRule="exact"/>
              <w:jc w:val="righ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（万元）</w:t>
            </w:r>
          </w:p>
        </w:tc>
      </w:tr>
      <w:tr w14:paraId="1FCA96E4">
        <w:trPr>
          <w:trHeight w:val="821" w:hRule="atLeast"/>
          <w:jc w:val="center"/>
        </w:trPr>
        <w:tc>
          <w:tcPr>
            <w:tcW w:w="607" w:type="pct"/>
            <w:vMerge w:val="restart"/>
            <w:tcBorders>
              <w:top w:val="nil"/>
              <w:left w:val="single" w:color="000000" w:sz="4" w:space="0"/>
              <w:bottom w:val="single" w:color="000000" w:sz="4" w:space="0"/>
              <w:right w:val="single" w:color="000000" w:sz="4" w:space="0"/>
            </w:tcBorders>
            <w:noWrap w:val="0"/>
            <w:vAlign w:val="center"/>
          </w:tcPr>
          <w:p w14:paraId="29D63984">
            <w:pPr>
              <w:shd w:val="clear" w:color="auto"/>
              <w:autoSpaceDE w:val="0"/>
              <w:spacing w:line="560" w:lineRule="exact"/>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其中：</w:t>
            </w:r>
          </w:p>
        </w:tc>
        <w:tc>
          <w:tcPr>
            <w:tcW w:w="2380" w:type="pct"/>
            <w:tcBorders>
              <w:top w:val="single" w:color="000000" w:sz="4" w:space="0"/>
              <w:left w:val="nil"/>
              <w:bottom w:val="single" w:color="000000" w:sz="4" w:space="0"/>
              <w:right w:val="single" w:color="000000" w:sz="4" w:space="0"/>
            </w:tcBorders>
            <w:noWrap w:val="0"/>
            <w:vAlign w:val="center"/>
          </w:tcPr>
          <w:p w14:paraId="1531FFCA">
            <w:pPr>
              <w:shd w:val="clear" w:color="auto"/>
              <w:autoSpaceDE w:val="0"/>
              <w:spacing w:line="560" w:lineRule="exact"/>
              <w:rPr>
                <w:rFonts w:hint="eastAsia" w:ascii="宋体" w:hAnsi="宋体" w:eastAsia="宋体" w:cs="Times New Roman"/>
                <w:color w:val="auto"/>
                <w:sz w:val="24"/>
                <w:highlight w:val="none"/>
              </w:rPr>
            </w:pPr>
          </w:p>
        </w:tc>
        <w:tc>
          <w:tcPr>
            <w:tcW w:w="2012" w:type="pct"/>
            <w:tcBorders>
              <w:top w:val="single" w:color="000000" w:sz="4" w:space="0"/>
              <w:left w:val="nil"/>
              <w:bottom w:val="single" w:color="000000" w:sz="4" w:space="0"/>
              <w:right w:val="single" w:color="000000" w:sz="4" w:space="0"/>
            </w:tcBorders>
            <w:noWrap w:val="0"/>
            <w:vAlign w:val="center"/>
          </w:tcPr>
          <w:p w14:paraId="19698807">
            <w:pPr>
              <w:shd w:val="clear" w:color="auto"/>
              <w:autoSpaceDE w:val="0"/>
              <w:spacing w:line="560" w:lineRule="exact"/>
              <w:jc w:val="righ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（万元）</w:t>
            </w:r>
          </w:p>
        </w:tc>
      </w:tr>
      <w:tr w14:paraId="1EA042FA">
        <w:trPr>
          <w:trHeight w:val="290" w:hRule="atLeast"/>
          <w:jc w:val="center"/>
        </w:trPr>
        <w:tc>
          <w:tcPr>
            <w:tcW w:w="607" w:type="pct"/>
            <w:vMerge w:val="continue"/>
            <w:tcBorders>
              <w:top w:val="nil"/>
              <w:left w:val="single" w:color="000000" w:sz="4" w:space="0"/>
              <w:bottom w:val="single" w:color="000000" w:sz="4" w:space="0"/>
              <w:right w:val="single" w:color="000000" w:sz="4" w:space="0"/>
            </w:tcBorders>
            <w:noWrap w:val="0"/>
            <w:vAlign w:val="center"/>
          </w:tcPr>
          <w:p w14:paraId="188FB2ED">
            <w:pPr>
              <w:widowControl/>
              <w:shd w:val="clear" w:color="auto"/>
              <w:autoSpaceDE w:val="0"/>
              <w:jc w:val="left"/>
              <w:rPr>
                <w:rFonts w:ascii="宋体" w:hAnsi="宋体" w:eastAsia="宋体" w:cs="Times New Roman"/>
                <w:color w:val="auto"/>
                <w:sz w:val="24"/>
                <w:highlight w:val="none"/>
              </w:rPr>
            </w:pPr>
          </w:p>
        </w:tc>
        <w:tc>
          <w:tcPr>
            <w:tcW w:w="2380" w:type="pct"/>
            <w:tcBorders>
              <w:top w:val="single" w:color="000000" w:sz="4" w:space="0"/>
              <w:left w:val="nil"/>
              <w:bottom w:val="single" w:color="000000" w:sz="4" w:space="0"/>
              <w:right w:val="single" w:color="000000" w:sz="4" w:space="0"/>
            </w:tcBorders>
            <w:noWrap w:val="0"/>
            <w:vAlign w:val="center"/>
          </w:tcPr>
          <w:p w14:paraId="71D517FB">
            <w:pPr>
              <w:shd w:val="clear" w:color="auto"/>
              <w:autoSpaceDE w:val="0"/>
              <w:spacing w:line="560" w:lineRule="exact"/>
              <w:rPr>
                <w:rFonts w:hint="eastAsia" w:ascii="宋体" w:hAnsi="宋体" w:eastAsia="宋体" w:cs="Times New Roman"/>
                <w:color w:val="auto"/>
                <w:sz w:val="24"/>
                <w:highlight w:val="none"/>
              </w:rPr>
            </w:pPr>
          </w:p>
        </w:tc>
        <w:tc>
          <w:tcPr>
            <w:tcW w:w="2012" w:type="pct"/>
            <w:tcBorders>
              <w:top w:val="single" w:color="000000" w:sz="4" w:space="0"/>
              <w:left w:val="nil"/>
              <w:bottom w:val="single" w:color="000000" w:sz="4" w:space="0"/>
              <w:right w:val="single" w:color="000000" w:sz="4" w:space="0"/>
            </w:tcBorders>
            <w:noWrap w:val="0"/>
            <w:vAlign w:val="center"/>
          </w:tcPr>
          <w:p w14:paraId="47E8A75A">
            <w:pPr>
              <w:shd w:val="clear" w:color="auto"/>
              <w:autoSpaceDE w:val="0"/>
              <w:spacing w:line="560" w:lineRule="exact"/>
              <w:jc w:val="righ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（万元）</w:t>
            </w:r>
          </w:p>
        </w:tc>
      </w:tr>
      <w:tr w14:paraId="5320606B">
        <w:trPr>
          <w:trHeight w:val="290" w:hRule="atLeast"/>
          <w:jc w:val="center"/>
        </w:trPr>
        <w:tc>
          <w:tcPr>
            <w:tcW w:w="607" w:type="pct"/>
            <w:vMerge w:val="continue"/>
            <w:tcBorders>
              <w:top w:val="nil"/>
              <w:left w:val="single" w:color="000000" w:sz="4" w:space="0"/>
              <w:bottom w:val="single" w:color="000000" w:sz="4" w:space="0"/>
              <w:right w:val="single" w:color="000000" w:sz="4" w:space="0"/>
            </w:tcBorders>
            <w:noWrap w:val="0"/>
            <w:vAlign w:val="center"/>
          </w:tcPr>
          <w:p w14:paraId="5F1A35FA">
            <w:pPr>
              <w:widowControl/>
              <w:shd w:val="clear" w:color="auto"/>
              <w:autoSpaceDE w:val="0"/>
              <w:jc w:val="left"/>
              <w:rPr>
                <w:rFonts w:ascii="宋体" w:hAnsi="宋体" w:eastAsia="宋体" w:cs="Times New Roman"/>
                <w:color w:val="auto"/>
                <w:sz w:val="24"/>
                <w:highlight w:val="none"/>
              </w:rPr>
            </w:pPr>
          </w:p>
        </w:tc>
        <w:tc>
          <w:tcPr>
            <w:tcW w:w="2380" w:type="pct"/>
            <w:tcBorders>
              <w:top w:val="single" w:color="000000" w:sz="4" w:space="0"/>
              <w:left w:val="nil"/>
              <w:bottom w:val="single" w:color="000000" w:sz="4" w:space="0"/>
              <w:right w:val="single" w:color="000000" w:sz="4" w:space="0"/>
            </w:tcBorders>
            <w:noWrap w:val="0"/>
            <w:vAlign w:val="center"/>
          </w:tcPr>
          <w:p w14:paraId="53722AC0">
            <w:pPr>
              <w:shd w:val="clear" w:color="auto"/>
              <w:autoSpaceDE w:val="0"/>
              <w:spacing w:line="560" w:lineRule="exact"/>
              <w:rPr>
                <w:rFonts w:hint="eastAsia" w:ascii="宋体" w:hAnsi="宋体" w:eastAsia="宋体" w:cs="Times New Roman"/>
                <w:color w:val="auto"/>
                <w:sz w:val="24"/>
                <w:highlight w:val="none"/>
              </w:rPr>
            </w:pPr>
          </w:p>
        </w:tc>
        <w:tc>
          <w:tcPr>
            <w:tcW w:w="2012" w:type="pct"/>
            <w:tcBorders>
              <w:top w:val="single" w:color="000000" w:sz="4" w:space="0"/>
              <w:left w:val="nil"/>
              <w:bottom w:val="single" w:color="000000" w:sz="4" w:space="0"/>
              <w:right w:val="single" w:color="000000" w:sz="4" w:space="0"/>
            </w:tcBorders>
            <w:noWrap w:val="0"/>
            <w:vAlign w:val="center"/>
          </w:tcPr>
          <w:p w14:paraId="19C6E6F0">
            <w:pPr>
              <w:shd w:val="clear" w:color="auto"/>
              <w:autoSpaceDE w:val="0"/>
              <w:spacing w:line="560" w:lineRule="exact"/>
              <w:jc w:val="righ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（万元）</w:t>
            </w:r>
          </w:p>
        </w:tc>
      </w:tr>
      <w:tr w14:paraId="2BE008CA">
        <w:trPr>
          <w:trHeight w:val="290" w:hRule="atLeast"/>
          <w:jc w:val="center"/>
        </w:trPr>
        <w:tc>
          <w:tcPr>
            <w:tcW w:w="607" w:type="pct"/>
            <w:vMerge w:val="continue"/>
            <w:tcBorders>
              <w:top w:val="nil"/>
              <w:left w:val="single" w:color="000000" w:sz="4" w:space="0"/>
              <w:bottom w:val="single" w:color="000000" w:sz="4" w:space="0"/>
              <w:right w:val="single" w:color="000000" w:sz="4" w:space="0"/>
            </w:tcBorders>
            <w:noWrap w:val="0"/>
            <w:vAlign w:val="center"/>
          </w:tcPr>
          <w:p w14:paraId="32FDA1BC">
            <w:pPr>
              <w:widowControl/>
              <w:shd w:val="clear" w:color="auto"/>
              <w:autoSpaceDE w:val="0"/>
              <w:jc w:val="left"/>
              <w:rPr>
                <w:rFonts w:ascii="宋体" w:hAnsi="宋体" w:eastAsia="宋体" w:cs="Times New Roman"/>
                <w:color w:val="auto"/>
                <w:sz w:val="24"/>
                <w:highlight w:val="none"/>
              </w:rPr>
            </w:pPr>
          </w:p>
        </w:tc>
        <w:tc>
          <w:tcPr>
            <w:tcW w:w="2380" w:type="pct"/>
            <w:tcBorders>
              <w:top w:val="single" w:color="000000" w:sz="4" w:space="0"/>
              <w:left w:val="nil"/>
              <w:bottom w:val="single" w:color="000000" w:sz="4" w:space="0"/>
              <w:right w:val="single" w:color="000000" w:sz="4" w:space="0"/>
            </w:tcBorders>
            <w:noWrap w:val="0"/>
            <w:vAlign w:val="center"/>
          </w:tcPr>
          <w:p w14:paraId="5014EED3">
            <w:pPr>
              <w:shd w:val="clear" w:color="auto"/>
              <w:autoSpaceDE w:val="0"/>
              <w:spacing w:line="560" w:lineRule="exact"/>
              <w:rPr>
                <w:rFonts w:hint="eastAsia" w:ascii="宋体" w:hAnsi="宋体" w:eastAsia="宋体" w:cs="Times New Roman"/>
                <w:color w:val="auto"/>
                <w:sz w:val="24"/>
                <w:highlight w:val="none"/>
              </w:rPr>
            </w:pPr>
          </w:p>
        </w:tc>
        <w:tc>
          <w:tcPr>
            <w:tcW w:w="2012" w:type="pct"/>
            <w:tcBorders>
              <w:top w:val="single" w:color="000000" w:sz="4" w:space="0"/>
              <w:left w:val="nil"/>
              <w:bottom w:val="single" w:color="000000" w:sz="4" w:space="0"/>
              <w:right w:val="single" w:color="000000" w:sz="4" w:space="0"/>
            </w:tcBorders>
            <w:noWrap w:val="0"/>
            <w:vAlign w:val="center"/>
          </w:tcPr>
          <w:p w14:paraId="2664C75D">
            <w:pPr>
              <w:shd w:val="clear" w:color="auto"/>
              <w:autoSpaceDE w:val="0"/>
              <w:spacing w:line="560" w:lineRule="exact"/>
              <w:jc w:val="righ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（万元）</w:t>
            </w:r>
          </w:p>
        </w:tc>
      </w:tr>
    </w:tbl>
    <w:p w14:paraId="038AD067">
      <w:pPr>
        <w:shd w:val="clear" w:color="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14:paraId="58552880">
      <w:pPr>
        <w:shd w:val="clear" w:color="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备注：总报价含建安劳保费</w:t>
      </w:r>
    </w:p>
    <w:p w14:paraId="63E6AE2B">
      <w:pPr>
        <w:shd w:val="clear" w:color="auto"/>
        <w:snapToGrid w:val="0"/>
        <w:spacing w:before="50" w:after="50" w:line="360" w:lineRule="auto"/>
        <w:rPr>
          <w:rFonts w:hint="eastAsia" w:ascii="宋体" w:hAnsi="宋体" w:eastAsia="宋体" w:cs="宋体"/>
          <w:color w:val="auto"/>
          <w:sz w:val="24"/>
          <w:szCs w:val="24"/>
          <w:highlight w:val="none"/>
          <w:u w:val="single"/>
        </w:rPr>
      </w:pPr>
    </w:p>
    <w:p w14:paraId="6CA5CF92">
      <w:pPr>
        <w:shd w:val="clear" w:color="auto"/>
        <w:snapToGrid w:val="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注：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7FF6563">
      <w:pPr>
        <w:shd w:val="clear" w:color="auto"/>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p>
    <w:p w14:paraId="08D0B4DB">
      <w:pPr>
        <w:shd w:val="clear" w:color="auto"/>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451DCE7F">
      <w:pPr>
        <w:shd w:val="clear" w:color="auto"/>
        <w:spacing w:line="500" w:lineRule="exact"/>
        <w:ind w:firstLine="6360" w:firstLineChars="2650"/>
        <w:rPr>
          <w:rFonts w:hint="eastAsia" w:ascii="宋体" w:hAnsi="宋体" w:eastAsia="宋体" w:cs="宋体"/>
          <w:color w:val="auto"/>
          <w:sz w:val="24"/>
          <w:szCs w:val="24"/>
          <w:highlight w:val="none"/>
          <w:lang w:val="zh-CN"/>
        </w:rPr>
        <w:sectPr>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r>
        <w:rPr>
          <w:rFonts w:hint="eastAsia" w:ascii="宋体" w:hAnsi="宋体" w:eastAsia="宋体" w:cs="宋体"/>
          <w:color w:val="auto"/>
          <w:kern w:val="0"/>
          <w:sz w:val="24"/>
          <w:szCs w:val="24"/>
          <w:highlight w:val="none"/>
          <w:lang w:val="zh-CN" w:eastAsia="zh-CN" w:bidi="ar-SA"/>
        </w:rPr>
        <w:t>日期：  年  月   日</w:t>
      </w:r>
    </w:p>
    <w:p w14:paraId="0DE2D52C">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t>三、已标价的工程量清单报价文件</w:t>
      </w:r>
    </w:p>
    <w:p w14:paraId="4F26D6E6">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06FC8E26">
      <w:pPr>
        <w:shd w:val="clear" w:color="auto"/>
        <w:spacing w:line="500" w:lineRule="exact"/>
        <w:ind w:firstLine="420"/>
        <w:jc w:val="center"/>
        <w:rPr>
          <w:rFonts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按 “工程量清单”中的相关表格及投标报价说明填写。</w:t>
      </w:r>
    </w:p>
    <w:p w14:paraId="26060712">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4F34CC50">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5C98A8FA">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34D35D85">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179979C5">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10835BF2">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7D425D62">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515B4363">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50BFEFD8">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5606C4BF">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021FC1DC">
      <w:pPr>
        <w:widowControl w:val="0"/>
        <w:shd w:val="clear" w:color="auto"/>
        <w:spacing w:line="500" w:lineRule="exact"/>
        <w:ind w:firstLine="600" w:firstLineChars="200"/>
        <w:jc w:val="both"/>
        <w:rPr>
          <w:rFonts w:ascii="仿宋" w:hAnsi="仿宋" w:eastAsia="仿宋" w:cs="仿宋_GB2312"/>
          <w:b/>
          <w:color w:val="auto"/>
          <w:kern w:val="2"/>
          <w:sz w:val="30"/>
          <w:szCs w:val="30"/>
          <w:highlight w:val="none"/>
          <w:lang w:val="en-US" w:eastAsia="zh-CN" w:bidi="ar-SA"/>
        </w:rPr>
      </w:pPr>
    </w:p>
    <w:p w14:paraId="4D2B79E3">
      <w:pPr>
        <w:widowControl w:val="0"/>
        <w:shd w:val="clear" w:color="auto"/>
        <w:spacing w:line="500" w:lineRule="exact"/>
        <w:ind w:firstLine="600" w:firstLineChars="200"/>
        <w:jc w:val="both"/>
        <w:rPr>
          <w:rFonts w:hint="eastAsia" w:ascii="仿宋" w:hAnsi="仿宋" w:eastAsia="仿宋" w:cs="仿宋_GB2312"/>
          <w:b/>
          <w:color w:val="auto"/>
          <w:kern w:val="2"/>
          <w:sz w:val="30"/>
          <w:szCs w:val="30"/>
          <w:highlight w:val="none"/>
          <w:lang w:val="en-US" w:eastAsia="zh-CN" w:bidi="ar-SA"/>
        </w:rPr>
      </w:pPr>
    </w:p>
    <w:p w14:paraId="540294BD">
      <w:pPr>
        <w:keepNext w:val="0"/>
        <w:keepLines w:val="0"/>
        <w:pageBreakBefore w:val="0"/>
        <w:widowControl w:val="0"/>
        <w:shd w:val="clear" w:color="auto"/>
        <w:kinsoku/>
        <w:wordWrap/>
        <w:overflowPunct/>
        <w:topLinePunct w:val="0"/>
        <w:autoSpaceDE/>
        <w:autoSpaceDN/>
        <w:bidi w:val="0"/>
        <w:adjustRightInd/>
        <w:snapToGrid/>
        <w:spacing w:before="0" w:beforeLines="100" w:after="0" w:afterLines="100" w:line="240" w:lineRule="auto"/>
        <w:jc w:val="both"/>
        <w:textAlignment w:val="auto"/>
        <w:rPr>
          <w:rFonts w:hint="eastAsia" w:ascii="仿宋" w:hAnsi="仿宋" w:eastAsia="仿宋" w:cs="仿宋_GB2312"/>
          <w:b/>
          <w:color w:val="auto"/>
          <w:kern w:val="0"/>
          <w:sz w:val="28"/>
          <w:szCs w:val="28"/>
          <w:highlight w:val="none"/>
          <w:lang w:val="en-US" w:eastAsia="zh-CN" w:bidi="ar-SA"/>
        </w:rPr>
      </w:pPr>
      <w:r>
        <w:rPr>
          <w:rFonts w:hint="eastAsia" w:ascii="仿宋" w:hAnsi="仿宋" w:eastAsia="仿宋" w:cs="仿宋_GB2312"/>
          <w:b/>
          <w:color w:val="auto"/>
          <w:kern w:val="0"/>
          <w:sz w:val="28"/>
          <w:szCs w:val="28"/>
          <w:highlight w:val="none"/>
          <w:lang w:val="en-US" w:eastAsia="zh-CN" w:bidi="ar-SA"/>
        </w:rPr>
        <w:br w:type="page"/>
      </w:r>
      <w:r>
        <w:rPr>
          <w:rFonts w:hint="eastAsia" w:ascii="仿宋" w:hAnsi="仿宋" w:eastAsia="仿宋" w:cs="仿宋_GB2312"/>
          <w:b/>
          <w:color w:val="auto"/>
          <w:kern w:val="0"/>
          <w:sz w:val="28"/>
          <w:szCs w:val="28"/>
          <w:highlight w:val="none"/>
          <w:lang w:val="en-US" w:eastAsia="zh-CN" w:bidi="ar-SA"/>
        </w:rPr>
        <w:t>四、中小企业声明函</w:t>
      </w:r>
    </w:p>
    <w:p w14:paraId="2AB3865B">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中小企业声明函（工程）</w:t>
      </w:r>
    </w:p>
    <w:p w14:paraId="30AC5F0E">
      <w:pPr>
        <w:keepNext w:val="0"/>
        <w:keepLines w:val="0"/>
        <w:pageBreakBefore w:val="0"/>
        <w:widowControl w:val="0"/>
        <w:shd w:val="clear" w:color="auto"/>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本公司（联合体）郑重声明，根据《政府采购促进中小企业发展管理办法》（财库﹝2020﹞46号）的规定，本公司（联合体）参加</w:t>
      </w:r>
      <w:r>
        <w:rPr>
          <w:rFonts w:hint="eastAsia" w:ascii="宋体" w:hAnsi="宋体" w:eastAsia="宋体" w:cs="宋体"/>
          <w:color w:val="auto"/>
          <w:kern w:val="0"/>
          <w:sz w:val="24"/>
          <w:szCs w:val="24"/>
          <w:highlight w:val="none"/>
          <w:u w:val="single"/>
          <w:lang w:val="en-US" w:eastAsia="zh-CN" w:bidi="ar-SA"/>
        </w:rPr>
        <w:t>（单位名称）</w:t>
      </w:r>
      <w:r>
        <w:rPr>
          <w:rFonts w:hint="eastAsia" w:ascii="宋体" w:hAnsi="宋体" w:eastAsia="宋体" w:cs="宋体"/>
          <w:color w:val="auto"/>
          <w:kern w:val="0"/>
          <w:sz w:val="24"/>
          <w:szCs w:val="24"/>
          <w:highlight w:val="none"/>
          <w:lang w:val="en-US" w:eastAsia="zh-CN" w:bidi="ar-SA"/>
        </w:rPr>
        <w:t>的</w:t>
      </w:r>
      <w:r>
        <w:rPr>
          <w:rFonts w:hint="eastAsia" w:ascii="宋体" w:hAnsi="宋体" w:eastAsia="宋体" w:cs="宋体"/>
          <w:color w:val="auto"/>
          <w:kern w:val="0"/>
          <w:sz w:val="24"/>
          <w:szCs w:val="24"/>
          <w:highlight w:val="none"/>
          <w:u w:val="single"/>
          <w:lang w:val="en-US" w:eastAsia="zh-CN" w:bidi="ar-SA"/>
        </w:rPr>
        <w:t>（项目名称）</w:t>
      </w:r>
      <w:r>
        <w:rPr>
          <w:rFonts w:hint="eastAsia" w:ascii="宋体" w:hAnsi="宋体" w:eastAsia="宋体" w:cs="宋体"/>
          <w:color w:val="auto"/>
          <w:kern w:val="0"/>
          <w:sz w:val="24"/>
          <w:szCs w:val="24"/>
          <w:highlight w:val="none"/>
          <w:lang w:val="en-US" w:eastAsia="zh-CN" w:bidi="ar-SA"/>
        </w:rPr>
        <w:t>采购活动，工程的施工单位全部为符合政策要求的中小企业。相关企业（含联合体中的中小企业、签订分包意向协议的中小企业）的具体情况如下：</w:t>
      </w:r>
    </w:p>
    <w:p w14:paraId="1DA59097">
      <w:pPr>
        <w:keepNext w:val="0"/>
        <w:keepLines w:val="0"/>
        <w:pageBreakBefore w:val="0"/>
        <w:widowControl w:val="0"/>
        <w:shd w:val="clear" w:color="auto"/>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u w:val="single"/>
          <w:lang w:val="en-US" w:eastAsia="zh-CN" w:bidi="ar-SA"/>
        </w:rPr>
        <w:t>（标的名称）</w:t>
      </w:r>
      <w:r>
        <w:rPr>
          <w:rFonts w:hint="eastAsia" w:ascii="宋体" w:hAnsi="宋体" w:eastAsia="宋体" w:cs="宋体"/>
          <w:color w:val="auto"/>
          <w:kern w:val="0"/>
          <w:sz w:val="24"/>
          <w:szCs w:val="24"/>
          <w:highlight w:val="none"/>
          <w:lang w:val="en-US" w:eastAsia="zh-CN" w:bidi="ar-SA"/>
        </w:rPr>
        <w:t>，属于</w:t>
      </w:r>
      <w:r>
        <w:rPr>
          <w:rFonts w:hint="eastAsia" w:ascii="宋体" w:hAnsi="宋体" w:eastAsia="宋体" w:cs="宋体"/>
          <w:color w:val="auto"/>
          <w:kern w:val="0"/>
          <w:sz w:val="24"/>
          <w:szCs w:val="24"/>
          <w:highlight w:val="none"/>
          <w:u w:val="single"/>
          <w:lang w:val="en-US" w:eastAsia="zh-CN" w:bidi="ar-SA"/>
        </w:rPr>
        <w:t>（采购文件中明确的所属行业）</w:t>
      </w:r>
      <w:r>
        <w:rPr>
          <w:rFonts w:hint="eastAsia" w:ascii="宋体" w:hAnsi="宋体" w:eastAsia="宋体" w:cs="宋体"/>
          <w:color w:val="auto"/>
          <w:kern w:val="0"/>
          <w:sz w:val="24"/>
          <w:szCs w:val="24"/>
          <w:highlight w:val="none"/>
          <w:lang w:val="en-US" w:eastAsia="zh-CN" w:bidi="ar-SA"/>
        </w:rPr>
        <w:t>行业；制造商为</w:t>
      </w:r>
      <w:r>
        <w:rPr>
          <w:rFonts w:hint="eastAsia" w:ascii="宋体" w:hAnsi="宋体" w:eastAsia="宋体" w:cs="宋体"/>
          <w:color w:val="auto"/>
          <w:kern w:val="0"/>
          <w:sz w:val="24"/>
          <w:szCs w:val="24"/>
          <w:highlight w:val="none"/>
          <w:u w:val="single"/>
          <w:lang w:val="en-US" w:eastAsia="zh-CN" w:bidi="ar-SA"/>
        </w:rPr>
        <w:t>（企业名称）</w:t>
      </w:r>
      <w:r>
        <w:rPr>
          <w:rFonts w:hint="eastAsia" w:ascii="宋体" w:hAnsi="宋体" w:eastAsia="宋体" w:cs="宋体"/>
          <w:color w:val="auto"/>
          <w:kern w:val="0"/>
          <w:sz w:val="24"/>
          <w:szCs w:val="24"/>
          <w:highlight w:val="none"/>
          <w:lang w:val="en-US" w:eastAsia="zh-CN" w:bidi="ar-SA"/>
        </w:rPr>
        <w:t>，从业人员</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人，营业收入为</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万元，资产总额为</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万元，属于</w:t>
      </w:r>
      <w:r>
        <w:rPr>
          <w:rFonts w:hint="eastAsia" w:ascii="宋体" w:hAnsi="宋体" w:eastAsia="宋体" w:cs="宋体"/>
          <w:color w:val="auto"/>
          <w:kern w:val="0"/>
          <w:sz w:val="24"/>
          <w:szCs w:val="24"/>
          <w:highlight w:val="none"/>
          <w:u w:val="single"/>
          <w:lang w:val="en-US" w:eastAsia="zh-CN" w:bidi="ar-SA"/>
        </w:rPr>
        <w:t>（中型企业、小型企业、微型企业）</w:t>
      </w:r>
      <w:r>
        <w:rPr>
          <w:rFonts w:hint="eastAsia" w:ascii="宋体" w:hAnsi="宋体" w:eastAsia="宋体" w:cs="宋体"/>
          <w:color w:val="auto"/>
          <w:kern w:val="0"/>
          <w:sz w:val="24"/>
          <w:szCs w:val="24"/>
          <w:highlight w:val="none"/>
          <w:lang w:val="en-US" w:eastAsia="zh-CN" w:bidi="ar-SA"/>
        </w:rPr>
        <w:t>；</w:t>
      </w:r>
    </w:p>
    <w:p w14:paraId="351320A6">
      <w:pPr>
        <w:keepNext w:val="0"/>
        <w:keepLines w:val="0"/>
        <w:pageBreakBefore w:val="0"/>
        <w:widowControl w:val="0"/>
        <w:shd w:val="clear" w:color="auto"/>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u w:val="single"/>
          <w:lang w:val="en-US" w:eastAsia="zh-CN" w:bidi="ar-SA"/>
        </w:rPr>
        <w:t>（标的名称）</w:t>
      </w:r>
      <w:r>
        <w:rPr>
          <w:rFonts w:hint="eastAsia" w:ascii="宋体" w:hAnsi="宋体" w:eastAsia="宋体" w:cs="宋体"/>
          <w:color w:val="auto"/>
          <w:kern w:val="0"/>
          <w:sz w:val="24"/>
          <w:szCs w:val="24"/>
          <w:highlight w:val="none"/>
          <w:lang w:val="en-US" w:eastAsia="zh-CN" w:bidi="ar-SA"/>
        </w:rPr>
        <w:t>，属于</w:t>
      </w:r>
      <w:r>
        <w:rPr>
          <w:rFonts w:hint="eastAsia" w:ascii="宋体" w:hAnsi="宋体" w:eastAsia="宋体" w:cs="宋体"/>
          <w:color w:val="auto"/>
          <w:kern w:val="0"/>
          <w:sz w:val="24"/>
          <w:szCs w:val="24"/>
          <w:highlight w:val="none"/>
          <w:u w:val="single"/>
          <w:lang w:val="en-US" w:eastAsia="zh-CN" w:bidi="ar-SA"/>
        </w:rPr>
        <w:t>（采购文件中明确的所属行业）</w:t>
      </w:r>
      <w:r>
        <w:rPr>
          <w:rFonts w:hint="eastAsia" w:ascii="宋体" w:hAnsi="宋体" w:eastAsia="宋体" w:cs="宋体"/>
          <w:color w:val="auto"/>
          <w:kern w:val="0"/>
          <w:sz w:val="24"/>
          <w:szCs w:val="24"/>
          <w:highlight w:val="none"/>
          <w:lang w:val="en-US" w:eastAsia="zh-CN" w:bidi="ar-SA"/>
        </w:rPr>
        <w:t>行业；制造商为</w:t>
      </w:r>
      <w:r>
        <w:rPr>
          <w:rFonts w:hint="eastAsia" w:ascii="宋体" w:hAnsi="宋体" w:eastAsia="宋体" w:cs="宋体"/>
          <w:color w:val="auto"/>
          <w:kern w:val="0"/>
          <w:sz w:val="24"/>
          <w:szCs w:val="24"/>
          <w:highlight w:val="none"/>
          <w:u w:val="single"/>
          <w:lang w:val="en-US" w:eastAsia="zh-CN" w:bidi="ar-SA"/>
        </w:rPr>
        <w:t>（企业名称）</w:t>
      </w:r>
      <w:r>
        <w:rPr>
          <w:rFonts w:hint="eastAsia" w:ascii="宋体" w:hAnsi="宋体" w:eastAsia="宋体" w:cs="宋体"/>
          <w:color w:val="auto"/>
          <w:kern w:val="0"/>
          <w:sz w:val="24"/>
          <w:szCs w:val="24"/>
          <w:highlight w:val="none"/>
          <w:lang w:val="en-US" w:eastAsia="zh-CN" w:bidi="ar-SA"/>
        </w:rPr>
        <w:t>，从业人员</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人，营业收入为</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万元，资产总额为</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万元，属于</w:t>
      </w:r>
      <w:r>
        <w:rPr>
          <w:rFonts w:hint="eastAsia" w:ascii="宋体" w:hAnsi="宋体" w:eastAsia="宋体" w:cs="宋体"/>
          <w:color w:val="auto"/>
          <w:kern w:val="0"/>
          <w:sz w:val="24"/>
          <w:szCs w:val="24"/>
          <w:highlight w:val="none"/>
          <w:u w:val="single"/>
          <w:lang w:val="en-US" w:eastAsia="zh-CN" w:bidi="ar-SA"/>
        </w:rPr>
        <w:t>（中型企业、小型企业、微型企业）</w:t>
      </w:r>
      <w:r>
        <w:rPr>
          <w:rFonts w:hint="eastAsia" w:ascii="宋体" w:hAnsi="宋体" w:eastAsia="宋体" w:cs="宋体"/>
          <w:color w:val="auto"/>
          <w:kern w:val="0"/>
          <w:sz w:val="24"/>
          <w:szCs w:val="24"/>
          <w:highlight w:val="none"/>
          <w:lang w:val="en-US" w:eastAsia="zh-CN" w:bidi="ar-SA"/>
        </w:rPr>
        <w:t>；</w:t>
      </w:r>
    </w:p>
    <w:p w14:paraId="68804918">
      <w:pPr>
        <w:keepNext w:val="0"/>
        <w:keepLines w:val="0"/>
        <w:pageBreakBefore w:val="0"/>
        <w:widowControl w:val="0"/>
        <w:shd w:val="clear" w:color="auto"/>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 </w:t>
      </w:r>
    </w:p>
    <w:p w14:paraId="42846762">
      <w:pPr>
        <w:keepNext w:val="0"/>
        <w:keepLines w:val="0"/>
        <w:pageBreakBefore w:val="0"/>
        <w:widowControl w:val="0"/>
        <w:shd w:val="clear" w:color="auto"/>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以上企业，不属于大企业的分支机构，不存在控股股东为大企业的情形，也不存在与大企业的负责人为同一人的情形。</w:t>
      </w:r>
    </w:p>
    <w:p w14:paraId="46B34107">
      <w:pPr>
        <w:keepNext w:val="0"/>
        <w:keepLines w:val="0"/>
        <w:pageBreakBefore w:val="0"/>
        <w:widowControl w:val="0"/>
        <w:shd w:val="clear" w:color="auto"/>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本企业对上述声明内容的真实性负责。如有虚假，将依法承担相应责任。</w:t>
      </w:r>
    </w:p>
    <w:p w14:paraId="36D70E07">
      <w:pPr>
        <w:pStyle w:val="13"/>
        <w:shd w:val="clear" w:color="auto"/>
        <w:spacing w:after="0" w:line="360" w:lineRule="auto"/>
        <w:ind w:left="3960" w:right="1808"/>
        <w:contextualSpacing/>
        <w:rPr>
          <w:rFonts w:hint="eastAsia" w:ascii="宋体" w:hAnsi="宋体" w:eastAsia="宋体" w:cs="宋体"/>
          <w:color w:val="auto"/>
          <w:sz w:val="24"/>
          <w:szCs w:val="24"/>
          <w:highlight w:val="none"/>
        </w:rPr>
      </w:pPr>
    </w:p>
    <w:p w14:paraId="3752429F">
      <w:pPr>
        <w:shd w:val="clear" w:color="auto"/>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75C1EC10">
      <w:pPr>
        <w:shd w:val="clear" w:color="auto"/>
        <w:autoSpaceDE w:val="0"/>
        <w:autoSpaceDN w:val="0"/>
        <w:spacing w:line="360" w:lineRule="auto"/>
        <w:ind w:left="0" w:leftChars="0" w:firstLine="0" w:firstLineChars="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val="zh-CN"/>
        </w:rPr>
        <w:t>年    月    日</w:t>
      </w:r>
    </w:p>
    <w:p w14:paraId="7F807F89">
      <w:pPr>
        <w:pStyle w:val="13"/>
        <w:shd w:val="clear" w:color="auto"/>
        <w:spacing w:after="0" w:line="360" w:lineRule="auto"/>
        <w:ind w:left="-405" w:leftChars="-193" w:right="142" w:firstLine="396" w:firstLineChars="189"/>
        <w:contextualSpacing/>
        <w:rPr>
          <w:rFonts w:ascii="Times New Roman" w:hAnsi="Times New Roman" w:eastAsia="宋体" w:cs="Times New Roman"/>
          <w:color w:val="auto"/>
          <w:highlight w:val="none"/>
        </w:rPr>
      </w:pPr>
    </w:p>
    <w:p w14:paraId="1D565399">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从业人员、营业收入、资产总额填报上一年度数据，无上一年度数据的新成立企业可不填报。</w:t>
      </w:r>
    </w:p>
    <w:p w14:paraId="4F26BC20">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p>
    <w:p w14:paraId="241321E6">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19EBB2E">
      <w:pPr>
        <w:keepNext w:val="0"/>
        <w:keepLines w:val="0"/>
        <w:pageBreakBefore w:val="0"/>
        <w:widowControl w:val="0"/>
        <w:shd w:val="clear" w:color="auto"/>
        <w:kinsoku/>
        <w:wordWrap/>
        <w:overflowPunct/>
        <w:topLinePunct w:val="0"/>
        <w:bidi w:val="0"/>
        <w:adjustRightInd/>
        <w:snapToGrid/>
        <w:spacing w:line="400" w:lineRule="exact"/>
        <w:ind w:left="0" w:leftChars="0" w:firstLine="420" w:firstLineChars="200"/>
        <w:textAlignment w:val="auto"/>
        <w:rPr>
          <w:rFonts w:hint="eastAsia" w:ascii="宋体" w:hAnsi="宋体" w:eastAsia="宋体" w:cs="宋体"/>
          <w:color w:val="auto"/>
          <w:sz w:val="21"/>
          <w:szCs w:val="21"/>
          <w:highlight w:val="none"/>
        </w:rPr>
        <w:sectPr>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bookmarkStart w:id="73" w:name="_Toc31723070"/>
      <w:bookmarkStart w:id="74" w:name="_Toc44229899"/>
      <w:bookmarkStart w:id="75" w:name="_Toc35611516"/>
      <w:bookmarkStart w:id="76" w:name="_Toc31728084"/>
      <w:bookmarkStart w:id="77" w:name="_Toc35611438"/>
    </w:p>
    <w:bookmarkEnd w:id="73"/>
    <w:bookmarkEnd w:id="74"/>
    <w:bookmarkEnd w:id="75"/>
    <w:bookmarkEnd w:id="76"/>
    <w:bookmarkEnd w:id="77"/>
    <w:p w14:paraId="03E17F6A">
      <w:pPr>
        <w:pStyle w:val="4"/>
        <w:shd w:val="clear" w:color="auto"/>
        <w:jc w:val="center"/>
        <w:rPr>
          <w:rFonts w:ascii="宋体" w:hAnsi="宋体" w:eastAsia="宋体" w:cs="Times New Roman"/>
          <w:b w:val="0"/>
          <w:bCs/>
          <w:color w:val="auto"/>
          <w:highlight w:val="none"/>
        </w:rPr>
      </w:pPr>
      <w:bookmarkStart w:id="78" w:name="_Toc80205942"/>
      <w:bookmarkStart w:id="79" w:name="_Toc87898662"/>
      <w:r>
        <w:rPr>
          <w:rFonts w:hint="eastAsia" w:ascii="宋体" w:hAnsi="宋体" w:eastAsia="宋体" w:cs="Times New Roman"/>
          <w:b/>
          <w:bCs/>
          <w:color w:val="auto"/>
          <w:highlight w:val="none"/>
        </w:rPr>
        <w:t>第五节 其他文书、文件格式</w:t>
      </w:r>
      <w:bookmarkEnd w:id="78"/>
      <w:bookmarkEnd w:id="79"/>
    </w:p>
    <w:p w14:paraId="0B50C723">
      <w:pPr>
        <w:keepNext w:val="0"/>
        <w:keepLines w:val="0"/>
        <w:pageBreakBefore w:val="0"/>
        <w:widowControl w:val="0"/>
        <w:shd w:val="clear" w:color="auto"/>
        <w:kinsoku/>
        <w:wordWrap/>
        <w:overflowPunct/>
        <w:topLinePunct w:val="0"/>
        <w:autoSpaceDE/>
        <w:autoSpaceDN/>
        <w:bidi w:val="0"/>
        <w:adjustRightInd/>
        <w:snapToGrid w:val="0"/>
        <w:spacing w:before="0" w:beforeLines="100" w:after="0" w:afterLines="50" w:line="240" w:lineRule="auto"/>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残疾人福利性单位声明函</w:t>
      </w:r>
    </w:p>
    <w:p w14:paraId="27C9CA5B">
      <w:pPr>
        <w:keepNext w:val="0"/>
        <w:keepLines w:val="0"/>
        <w:pageBreakBefore w:val="0"/>
        <w:widowControl w:val="0"/>
        <w:shd w:val="clear" w:color="auto"/>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单位的</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项目采购活动由本单位提供服务。</w:t>
      </w:r>
    </w:p>
    <w:p w14:paraId="48E89AC6">
      <w:pPr>
        <w:keepNext w:val="0"/>
        <w:keepLines w:val="0"/>
        <w:pageBreakBefore w:val="0"/>
        <w:widowControl w:val="0"/>
        <w:shd w:val="clear" w:color="auto"/>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本单位对上述声明的真实性负责。如有虚假，将依法承担相应责任。</w:t>
      </w:r>
    </w:p>
    <w:p w14:paraId="3B5C6CA6">
      <w:pPr>
        <w:shd w:val="clear" w:color="auto"/>
        <w:spacing w:line="360" w:lineRule="auto"/>
        <w:contextualSpacing/>
        <w:rPr>
          <w:rFonts w:hint="eastAsia" w:ascii="宋体" w:hAnsi="宋体" w:eastAsia="宋体" w:cs="仿宋_GB2312"/>
          <w:color w:val="auto"/>
          <w:sz w:val="24"/>
          <w:highlight w:val="none"/>
        </w:rPr>
      </w:pPr>
    </w:p>
    <w:p w14:paraId="17368F7C">
      <w:pPr>
        <w:shd w:val="clear" w:color="auto"/>
        <w:spacing w:line="360" w:lineRule="auto"/>
        <w:contextualSpacing/>
        <w:rPr>
          <w:rFonts w:hint="eastAsia" w:ascii="宋体" w:hAnsi="宋体" w:eastAsia="宋体" w:cs="仿宋_GB2312"/>
          <w:color w:val="auto"/>
          <w:sz w:val="24"/>
          <w:highlight w:val="none"/>
        </w:rPr>
      </w:pPr>
    </w:p>
    <w:p w14:paraId="7DDB5D6D">
      <w:pPr>
        <w:shd w:val="clear" w:color="auto"/>
        <w:spacing w:line="360" w:lineRule="auto"/>
        <w:contextualSpacing/>
        <w:rPr>
          <w:rFonts w:hint="eastAsia" w:ascii="宋体" w:hAnsi="宋体" w:eastAsia="宋体" w:cs="仿宋_GB2312"/>
          <w:color w:val="auto"/>
          <w:sz w:val="24"/>
          <w:highlight w:val="none"/>
        </w:rPr>
      </w:pPr>
    </w:p>
    <w:p w14:paraId="26C69600">
      <w:pPr>
        <w:keepNext w:val="0"/>
        <w:keepLines w:val="0"/>
        <w:pageBreakBefore w:val="0"/>
        <w:widowControl w:val="0"/>
        <w:shd w:val="clear" w:color="auto"/>
        <w:kinsoku/>
        <w:wordWrap w:val="0"/>
        <w:overflowPunct/>
        <w:topLinePunct w:val="0"/>
        <w:autoSpaceDE/>
        <w:autoSpaceDN/>
        <w:bidi w:val="0"/>
        <w:adjustRightInd/>
        <w:snapToGrid/>
        <w:spacing w:line="400" w:lineRule="exact"/>
        <w:ind w:left="0" w:leftChars="0" w:firstLine="480" w:firstLineChars="200"/>
        <w:jc w:val="right"/>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供应商名称（电子签章）：                 </w:t>
      </w:r>
    </w:p>
    <w:p w14:paraId="4D4FB9A7">
      <w:pPr>
        <w:keepNext w:val="0"/>
        <w:keepLines w:val="0"/>
        <w:pageBreakBefore w:val="0"/>
        <w:widowControl w:val="0"/>
        <w:shd w:val="clear" w:color="auto"/>
        <w:kinsoku/>
        <w:wordWrap/>
        <w:overflowPunct/>
        <w:topLinePunct w:val="0"/>
        <w:autoSpaceDE/>
        <w:autoSpaceDN/>
        <w:bidi w:val="0"/>
        <w:adjustRightInd/>
        <w:snapToGrid/>
        <w:spacing w:line="400" w:lineRule="exact"/>
        <w:ind w:left="0" w:leftChars="0" w:firstLine="480" w:firstLineChars="200"/>
        <w:jc w:val="righ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日  期：     年   月   日</w:t>
      </w:r>
    </w:p>
    <w:p w14:paraId="01B33EEC">
      <w:pPr>
        <w:shd w:val="clear" w:color="auto"/>
        <w:spacing w:line="360" w:lineRule="auto"/>
        <w:contextualSpacing/>
        <w:rPr>
          <w:rFonts w:hint="eastAsia" w:ascii="宋体" w:hAnsi="宋体" w:eastAsia="宋体" w:cs="仿宋_GB2312"/>
          <w:color w:val="auto"/>
          <w:sz w:val="24"/>
          <w:highlight w:val="none"/>
        </w:rPr>
      </w:pPr>
    </w:p>
    <w:p w14:paraId="360684C9">
      <w:pPr>
        <w:shd w:val="clear" w:color="auto"/>
        <w:spacing w:line="360" w:lineRule="auto"/>
        <w:contextualSpacing/>
        <w:rPr>
          <w:rFonts w:hint="eastAsia" w:ascii="宋体" w:hAnsi="宋体" w:eastAsia="宋体" w:cs="仿宋_GB2312"/>
          <w:color w:val="auto"/>
          <w:sz w:val="24"/>
          <w:highlight w:val="none"/>
        </w:rPr>
      </w:pPr>
    </w:p>
    <w:p w14:paraId="4A88531F">
      <w:pPr>
        <w:shd w:val="clear" w:color="auto"/>
        <w:spacing w:line="360" w:lineRule="auto"/>
        <w:contextualSpacing/>
        <w:rPr>
          <w:rFonts w:hint="eastAsia" w:ascii="宋体" w:hAnsi="宋体" w:eastAsia="宋体" w:cs="仿宋_GB2312"/>
          <w:color w:val="auto"/>
          <w:sz w:val="24"/>
          <w:highlight w:val="none"/>
        </w:rPr>
      </w:pPr>
    </w:p>
    <w:p w14:paraId="569E7232">
      <w:pPr>
        <w:keepNext w:val="0"/>
        <w:keepLines w:val="0"/>
        <w:pageBreakBefore w:val="0"/>
        <w:widowControl w:val="0"/>
        <w:shd w:val="clear" w:color="auto"/>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注：请根据自己的真实情况出具《残疾人福利性单位声明函》。依法享受中小企业优惠政策的，采购人或者采购代理机构在公告中标结果时，同时公告其《残疾人福利性单位声明函》，接受社会监督。</w:t>
      </w:r>
    </w:p>
    <w:p w14:paraId="211A9F9B">
      <w:pPr>
        <w:shd w:val="clear" w:color="auto"/>
        <w:spacing w:line="520" w:lineRule="exact"/>
        <w:jc w:val="center"/>
        <w:rPr>
          <w:rFonts w:ascii="宋体" w:hAnsi="宋体" w:eastAsia="宋体" w:cs="Times New Roman"/>
          <w:color w:val="auto"/>
          <w:sz w:val="24"/>
          <w:highlight w:val="none"/>
        </w:rPr>
      </w:pPr>
    </w:p>
    <w:p w14:paraId="2D640B91">
      <w:pPr>
        <w:shd w:val="clear" w:color="auto"/>
        <w:spacing w:line="520" w:lineRule="exact"/>
        <w:jc w:val="center"/>
        <w:rPr>
          <w:rFonts w:ascii="宋体" w:hAnsi="宋体" w:eastAsia="宋体" w:cs="Times New Roman"/>
          <w:color w:val="auto"/>
          <w:sz w:val="24"/>
          <w:highlight w:val="none"/>
        </w:rPr>
      </w:pPr>
    </w:p>
    <w:p w14:paraId="3454F50B">
      <w:pPr>
        <w:shd w:val="clear" w:color="auto"/>
        <w:spacing w:line="520" w:lineRule="exact"/>
        <w:jc w:val="center"/>
        <w:rPr>
          <w:rFonts w:ascii="宋体" w:hAnsi="宋体" w:eastAsia="宋体" w:cs="Times New Roman"/>
          <w:color w:val="auto"/>
          <w:sz w:val="24"/>
          <w:highlight w:val="none"/>
        </w:rPr>
      </w:pPr>
    </w:p>
    <w:p w14:paraId="3C550F89">
      <w:pPr>
        <w:shd w:val="clear" w:color="auto"/>
        <w:spacing w:line="520" w:lineRule="exact"/>
        <w:jc w:val="center"/>
        <w:rPr>
          <w:rFonts w:ascii="宋体" w:hAnsi="宋体" w:eastAsia="宋体" w:cs="Times New Roman"/>
          <w:color w:val="auto"/>
          <w:sz w:val="24"/>
          <w:highlight w:val="none"/>
        </w:rPr>
      </w:pPr>
    </w:p>
    <w:p w14:paraId="66137A6C">
      <w:pPr>
        <w:shd w:val="clear" w:color="auto"/>
        <w:spacing w:line="520" w:lineRule="exact"/>
        <w:jc w:val="center"/>
        <w:rPr>
          <w:rFonts w:ascii="宋体" w:hAnsi="宋体" w:eastAsia="宋体" w:cs="Times New Roman"/>
          <w:color w:val="auto"/>
          <w:sz w:val="24"/>
          <w:highlight w:val="none"/>
        </w:rPr>
      </w:pPr>
    </w:p>
    <w:p w14:paraId="5A36C90E">
      <w:pPr>
        <w:shd w:val="clear" w:color="auto"/>
        <w:spacing w:line="520" w:lineRule="exact"/>
        <w:jc w:val="center"/>
        <w:rPr>
          <w:rFonts w:ascii="宋体" w:hAnsi="宋体" w:eastAsia="宋体" w:cs="Times New Roman"/>
          <w:color w:val="auto"/>
          <w:sz w:val="24"/>
          <w:highlight w:val="none"/>
        </w:rPr>
      </w:pPr>
    </w:p>
    <w:p w14:paraId="787AB9E4">
      <w:pPr>
        <w:shd w:val="clear" w:color="auto"/>
        <w:spacing w:line="520" w:lineRule="exact"/>
        <w:jc w:val="center"/>
        <w:rPr>
          <w:rFonts w:ascii="宋体" w:hAnsi="宋体" w:eastAsia="宋体" w:cs="Times New Roman"/>
          <w:color w:val="auto"/>
          <w:sz w:val="24"/>
          <w:highlight w:val="none"/>
        </w:rPr>
      </w:pPr>
    </w:p>
    <w:p w14:paraId="1F574EBD">
      <w:pPr>
        <w:shd w:val="clear" w:color="auto"/>
        <w:spacing w:line="520" w:lineRule="exact"/>
        <w:jc w:val="center"/>
        <w:rPr>
          <w:rFonts w:ascii="宋体" w:hAnsi="宋体" w:eastAsia="宋体" w:cs="Times New Roman"/>
          <w:color w:val="auto"/>
          <w:sz w:val="24"/>
          <w:highlight w:val="none"/>
        </w:rPr>
      </w:pPr>
    </w:p>
    <w:p w14:paraId="18FC99B4">
      <w:pPr>
        <w:shd w:val="clear" w:color="auto"/>
        <w:spacing w:line="520" w:lineRule="exact"/>
        <w:jc w:val="center"/>
        <w:rPr>
          <w:rFonts w:ascii="宋体" w:hAnsi="宋体" w:eastAsia="宋体" w:cs="Times New Roman"/>
          <w:color w:val="auto"/>
          <w:sz w:val="24"/>
          <w:highlight w:val="none"/>
        </w:rPr>
      </w:pPr>
    </w:p>
    <w:p w14:paraId="315E25C9">
      <w:pPr>
        <w:shd w:val="clear" w:color="auto"/>
        <w:spacing w:line="520" w:lineRule="exact"/>
        <w:jc w:val="center"/>
        <w:rPr>
          <w:rFonts w:ascii="宋体" w:hAnsi="宋体" w:eastAsia="宋体" w:cs="Times New Roman"/>
          <w:color w:val="auto"/>
          <w:sz w:val="24"/>
          <w:highlight w:val="none"/>
        </w:rPr>
      </w:pPr>
    </w:p>
    <w:p w14:paraId="326455C3">
      <w:pPr>
        <w:shd w:val="clear" w:color="auto"/>
        <w:spacing w:line="520" w:lineRule="exact"/>
        <w:jc w:val="center"/>
        <w:rPr>
          <w:rFonts w:ascii="宋体" w:hAnsi="宋体" w:eastAsia="宋体" w:cs="Times New Roman"/>
          <w:color w:val="auto"/>
          <w:sz w:val="24"/>
          <w:highlight w:val="none"/>
        </w:rPr>
      </w:pPr>
    </w:p>
    <w:p w14:paraId="175572B6">
      <w:pPr>
        <w:shd w:val="clear" w:color="auto"/>
        <w:spacing w:line="520" w:lineRule="exact"/>
        <w:jc w:val="center"/>
        <w:rPr>
          <w:rFonts w:ascii="宋体" w:hAnsi="宋体" w:eastAsia="宋体" w:cs="Times New Roman"/>
          <w:color w:val="auto"/>
          <w:sz w:val="24"/>
          <w:highlight w:val="none"/>
        </w:rPr>
      </w:pPr>
    </w:p>
    <w:p w14:paraId="79C20A21">
      <w:pPr>
        <w:shd w:val="clear" w:color="auto"/>
        <w:spacing w:line="520" w:lineRule="exact"/>
        <w:jc w:val="center"/>
        <w:rPr>
          <w:rFonts w:ascii="宋体" w:hAnsi="宋体" w:eastAsia="宋体" w:cs="Times New Roman"/>
          <w:color w:val="auto"/>
          <w:sz w:val="24"/>
          <w:highlight w:val="none"/>
        </w:rPr>
      </w:pPr>
    </w:p>
    <w:p w14:paraId="57EA0DA9">
      <w:pPr>
        <w:shd w:val="clear" w:color="auto"/>
        <w:spacing w:line="520" w:lineRule="exact"/>
        <w:jc w:val="center"/>
        <w:rPr>
          <w:rFonts w:ascii="宋体" w:hAnsi="宋体" w:eastAsia="宋体" w:cs="Times New Roman"/>
          <w:color w:val="auto"/>
          <w:sz w:val="24"/>
          <w:highlight w:val="none"/>
        </w:rPr>
      </w:pPr>
    </w:p>
    <w:p w14:paraId="7C25EA76">
      <w:pPr>
        <w:shd w:val="clear" w:color="auto"/>
        <w:spacing w:line="520" w:lineRule="exact"/>
        <w:jc w:val="center"/>
        <w:rPr>
          <w:rFonts w:ascii="宋体" w:hAnsi="宋体" w:eastAsia="宋体" w:cs="Times New Roman"/>
          <w:color w:val="auto"/>
          <w:sz w:val="24"/>
          <w:highlight w:val="none"/>
        </w:rPr>
      </w:pPr>
    </w:p>
    <w:p w14:paraId="5F11B297">
      <w:pPr>
        <w:pStyle w:val="94"/>
        <w:shd w:val="clear" w:color="auto"/>
        <w:rPr>
          <w:rFonts w:ascii="宋体" w:hAnsi="宋体"/>
          <w:color w:val="auto"/>
          <w:sz w:val="24"/>
          <w:highlight w:val="none"/>
        </w:rPr>
      </w:pPr>
    </w:p>
    <w:p w14:paraId="0168F484">
      <w:pPr>
        <w:pStyle w:val="94"/>
        <w:shd w:val="clear" w:color="auto"/>
        <w:rPr>
          <w:rFonts w:ascii="宋体" w:hAnsi="宋体"/>
          <w:color w:val="auto"/>
          <w:sz w:val="24"/>
          <w:highlight w:val="none"/>
        </w:rPr>
      </w:pPr>
    </w:p>
    <w:p w14:paraId="58672788">
      <w:pPr>
        <w:pStyle w:val="94"/>
        <w:shd w:val="clear" w:color="auto"/>
        <w:rPr>
          <w:rFonts w:ascii="宋体" w:hAnsi="宋体"/>
          <w:color w:val="auto"/>
          <w:sz w:val="24"/>
          <w:highlight w:val="none"/>
        </w:rPr>
      </w:pPr>
    </w:p>
    <w:p w14:paraId="3DF933E8">
      <w:pPr>
        <w:pStyle w:val="94"/>
        <w:shd w:val="clear" w:color="auto"/>
        <w:rPr>
          <w:rFonts w:ascii="宋体" w:hAnsi="宋体"/>
          <w:color w:val="auto"/>
          <w:sz w:val="24"/>
          <w:highlight w:val="none"/>
        </w:rPr>
      </w:pPr>
    </w:p>
    <w:p w14:paraId="4A4D7832">
      <w:pPr>
        <w:pStyle w:val="94"/>
        <w:shd w:val="clear" w:color="auto"/>
        <w:rPr>
          <w:rFonts w:ascii="宋体" w:hAnsi="宋体"/>
          <w:color w:val="auto"/>
          <w:sz w:val="24"/>
          <w:highlight w:val="none"/>
        </w:rPr>
      </w:pPr>
    </w:p>
    <w:p w14:paraId="5716E81D">
      <w:pPr>
        <w:keepNext/>
        <w:keepLines/>
        <w:widowControl w:val="0"/>
        <w:shd w:val="clear" w:color="auto"/>
        <w:spacing w:before="180" w:after="180" w:line="240" w:lineRule="auto"/>
        <w:jc w:val="center"/>
        <w:outlineLvl w:val="0"/>
        <w:rPr>
          <w:rFonts w:hint="eastAsia" w:ascii="宋体" w:hAnsi="宋体" w:eastAsia="宋体" w:cs="Times New Roman"/>
          <w:b/>
          <w:bCs/>
          <w:color w:val="auto"/>
          <w:kern w:val="44"/>
          <w:sz w:val="32"/>
          <w:szCs w:val="44"/>
          <w:highlight w:val="none"/>
          <w:lang w:val="en-US" w:eastAsia="zh-CN" w:bidi="ar-SA"/>
        </w:rPr>
      </w:pPr>
      <w:bookmarkStart w:id="80" w:name="_Toc87898663"/>
      <w:r>
        <w:rPr>
          <w:rFonts w:hint="eastAsia" w:ascii="宋体" w:hAnsi="宋体" w:eastAsia="宋体" w:cs="Times New Roman"/>
          <w:b/>
          <w:bCs/>
          <w:color w:val="auto"/>
          <w:kern w:val="44"/>
          <w:sz w:val="32"/>
          <w:szCs w:val="44"/>
          <w:highlight w:val="none"/>
          <w:lang w:val="en-US" w:eastAsia="zh-CN" w:bidi="ar-SA"/>
        </w:rPr>
        <w:t xml:space="preserve">第六章 </w:t>
      </w:r>
      <w:r>
        <w:rPr>
          <w:rFonts w:ascii="宋体" w:hAnsi="宋体" w:eastAsia="宋体" w:cs="Times New Roman"/>
          <w:b/>
          <w:bCs/>
          <w:color w:val="auto"/>
          <w:kern w:val="44"/>
          <w:sz w:val="32"/>
          <w:szCs w:val="44"/>
          <w:highlight w:val="none"/>
          <w:lang w:val="en-US" w:eastAsia="zh-CN" w:bidi="ar-SA"/>
        </w:rPr>
        <w:t xml:space="preserve"> </w:t>
      </w:r>
      <w:r>
        <w:rPr>
          <w:rFonts w:hint="eastAsia" w:ascii="宋体" w:hAnsi="宋体" w:eastAsia="宋体" w:cs="Times New Roman"/>
          <w:b/>
          <w:bCs/>
          <w:color w:val="auto"/>
          <w:kern w:val="44"/>
          <w:sz w:val="32"/>
          <w:szCs w:val="44"/>
          <w:highlight w:val="none"/>
          <w:lang w:val="en-US" w:eastAsia="zh-CN" w:bidi="ar-SA"/>
        </w:rPr>
        <w:t>合同文本</w:t>
      </w:r>
      <w:bookmarkEnd w:id="80"/>
    </w:p>
    <w:p w14:paraId="55B66CD3">
      <w:pPr>
        <w:shd w:val="clear" w:color="auto"/>
        <w:rPr>
          <w:rFonts w:hint="eastAsia" w:ascii="仿宋_GB2312" w:hAnsi="楷体" w:eastAsia="仿宋_GB2312" w:cs="Times New Roman"/>
          <w:color w:val="auto"/>
          <w:sz w:val="24"/>
          <w:highlight w:val="none"/>
        </w:rPr>
      </w:pPr>
      <w:r>
        <w:rPr>
          <w:rFonts w:hint="eastAsia" w:ascii="仿宋_GB2312" w:hAnsi="楷体" w:eastAsia="仿宋_GB2312" w:cs="Times New Roman"/>
          <w:color w:val="auto"/>
          <w:sz w:val="24"/>
          <w:highlight w:val="none"/>
        </w:rPr>
        <w:br w:type="page"/>
      </w:r>
    </w:p>
    <w:p w14:paraId="50C701C2">
      <w:pPr>
        <w:shd w:val="clear" w:color="auto"/>
        <w:rPr>
          <w:rFonts w:hint="eastAsia" w:ascii="仿宋_GB2312" w:hAnsi="楷体" w:eastAsia="仿宋_GB2312" w:cs="Times New Roman"/>
          <w:color w:val="auto"/>
          <w:sz w:val="24"/>
          <w:highlight w:val="none"/>
        </w:rPr>
      </w:pPr>
    </w:p>
    <w:p w14:paraId="4385378E">
      <w:pPr>
        <w:shd w:val="clear" w:color="auto"/>
        <w:rPr>
          <w:rFonts w:hint="eastAsia" w:ascii="宋体" w:hAnsi="宋体" w:eastAsia="宋体" w:cs="Times New Roman"/>
          <w:b/>
          <w:bCs/>
          <w:color w:val="auto"/>
          <w:highlight w:val="none"/>
        </w:rPr>
      </w:pPr>
      <w:r>
        <w:rPr>
          <w:rFonts w:hint="eastAsia" w:ascii="仿宋_GB2312" w:hAnsi="楷体" w:eastAsia="仿宋_GB2312" w:cs="Times New Roman"/>
          <w:color w:val="auto"/>
          <w:sz w:val="24"/>
          <w:highlight w:val="none"/>
          <w:lang w:eastAsia="zh-CN"/>
        </w:rPr>
        <w:t>广西政府采购云平台</w:t>
      </w:r>
      <w:r>
        <w:rPr>
          <w:rFonts w:hint="eastAsia" w:ascii="仿宋_GB2312" w:hAnsi="楷体" w:eastAsia="仿宋_GB2312" w:cs="Times New Roman"/>
          <w:color w:val="auto"/>
          <w:sz w:val="24"/>
          <w:highlight w:val="none"/>
        </w:rPr>
        <w:t>合同编号：</w:t>
      </w:r>
    </w:p>
    <w:p w14:paraId="277A2180">
      <w:pPr>
        <w:shd w:val="clear" w:color="auto"/>
        <w:spacing w:line="360" w:lineRule="auto"/>
        <w:jc w:val="center"/>
        <w:rPr>
          <w:rFonts w:hint="eastAsia" w:ascii="宋体" w:hAnsi="Times New Roman" w:eastAsia="宋体" w:cs="Times New Roman"/>
          <w:b/>
          <w:bCs/>
          <w:color w:val="auto"/>
          <w:sz w:val="52"/>
          <w:highlight w:val="none"/>
        </w:rPr>
      </w:pPr>
    </w:p>
    <w:p w14:paraId="43C47B51">
      <w:pPr>
        <w:shd w:val="clear" w:color="auto"/>
        <w:spacing w:line="360" w:lineRule="auto"/>
        <w:jc w:val="center"/>
        <w:rPr>
          <w:rFonts w:hint="eastAsia" w:ascii="宋体" w:hAnsi="Times New Roman" w:eastAsia="宋体" w:cs="Times New Roman"/>
          <w:b/>
          <w:bCs/>
          <w:color w:val="auto"/>
          <w:sz w:val="52"/>
          <w:highlight w:val="none"/>
        </w:rPr>
      </w:pPr>
    </w:p>
    <w:p w14:paraId="65A329A8">
      <w:pPr>
        <w:shd w:val="clear" w:color="auto"/>
        <w:spacing w:line="360" w:lineRule="auto"/>
        <w:jc w:val="center"/>
        <w:rPr>
          <w:rFonts w:hint="eastAsia" w:ascii="宋体" w:hAnsi="Times New Roman" w:eastAsia="宋体" w:cs="Times New Roman"/>
          <w:b/>
          <w:bCs/>
          <w:color w:val="auto"/>
          <w:sz w:val="52"/>
          <w:highlight w:val="none"/>
        </w:rPr>
      </w:pPr>
      <w:r>
        <w:rPr>
          <w:rFonts w:hint="eastAsia" w:ascii="宋体" w:hAnsi="Times New Roman" w:eastAsia="宋体" w:cs="Times New Roman"/>
          <w:b/>
          <w:bCs/>
          <w:color w:val="auto"/>
          <w:sz w:val="52"/>
          <w:highlight w:val="none"/>
        </w:rPr>
        <w:t>南 宁 市 政 府 采 购</w:t>
      </w:r>
    </w:p>
    <w:p w14:paraId="01EB640F">
      <w:pPr>
        <w:shd w:val="clear" w:color="auto"/>
        <w:spacing w:line="360" w:lineRule="auto"/>
        <w:ind w:firstLine="420" w:firstLineChars="200"/>
        <w:rPr>
          <w:rFonts w:hint="eastAsia" w:ascii="宋体" w:hAnsi="Times New Roman" w:eastAsia="宋体" w:cs="Times New Roman"/>
          <w:color w:val="auto"/>
          <w:highlight w:val="none"/>
        </w:rPr>
      </w:pPr>
    </w:p>
    <w:p w14:paraId="5A35FFFC">
      <w:pPr>
        <w:shd w:val="clear" w:color="auto"/>
        <w:spacing w:line="360" w:lineRule="auto"/>
        <w:ind w:firstLine="420" w:firstLineChars="200"/>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 xml:space="preserve">                                                 </w:t>
      </w:r>
    </w:p>
    <w:p w14:paraId="4CEA9399">
      <w:pPr>
        <w:shd w:val="clear" w:color="auto"/>
        <w:spacing w:line="360" w:lineRule="auto"/>
        <w:jc w:val="center"/>
        <w:rPr>
          <w:rFonts w:hint="eastAsia" w:ascii="宋体" w:hAnsi="Times New Roman" w:eastAsia="宋体" w:cs="Times New Roman"/>
          <w:b/>
          <w:bCs/>
          <w:color w:val="auto"/>
          <w:sz w:val="44"/>
          <w:highlight w:val="none"/>
        </w:rPr>
      </w:pPr>
      <w:r>
        <w:rPr>
          <w:rFonts w:hint="eastAsia" w:ascii="宋体" w:hAnsi="Times New Roman" w:eastAsia="宋体" w:cs="Times New Roman"/>
          <w:b/>
          <w:bCs/>
          <w:color w:val="auto"/>
          <w:sz w:val="44"/>
          <w:highlight w:val="none"/>
          <w:u w:val="single"/>
        </w:rPr>
        <w:t xml:space="preserve">         （项目名称）         </w:t>
      </w:r>
      <w:r>
        <w:rPr>
          <w:rFonts w:hint="eastAsia" w:ascii="宋体" w:hAnsi="Times New Roman" w:eastAsia="宋体" w:cs="Times New Roman"/>
          <w:b/>
          <w:bCs/>
          <w:color w:val="auto"/>
          <w:sz w:val="44"/>
          <w:highlight w:val="none"/>
        </w:rPr>
        <w:t>合同</w:t>
      </w:r>
    </w:p>
    <w:p w14:paraId="6CE0AB14">
      <w:pPr>
        <w:shd w:val="clear" w:color="auto"/>
        <w:spacing w:line="360" w:lineRule="auto"/>
        <w:jc w:val="center"/>
        <w:rPr>
          <w:rFonts w:hint="eastAsia" w:ascii="宋体" w:hAnsi="Times New Roman" w:eastAsia="宋体" w:cs="Times New Roman"/>
          <w:b/>
          <w:bCs/>
          <w:color w:val="auto"/>
          <w:sz w:val="44"/>
          <w:highlight w:val="none"/>
        </w:rPr>
      </w:pPr>
    </w:p>
    <w:p w14:paraId="39AAFA81">
      <w:pPr>
        <w:shd w:val="clear" w:color="auto"/>
        <w:spacing w:line="360" w:lineRule="auto"/>
        <w:ind w:firstLine="3493" w:firstLineChars="794"/>
        <w:rPr>
          <w:rFonts w:hint="eastAsia" w:ascii="宋体" w:hAnsi="Times New Roman" w:eastAsia="宋体" w:cs="Times New Roman"/>
          <w:b/>
          <w:bCs/>
          <w:color w:val="auto"/>
          <w:sz w:val="44"/>
          <w:highlight w:val="none"/>
        </w:rPr>
      </w:pPr>
    </w:p>
    <w:p w14:paraId="34D9B435">
      <w:pPr>
        <w:shd w:val="clear" w:color="auto"/>
        <w:spacing w:line="360" w:lineRule="auto"/>
        <w:ind w:firstLine="3493" w:firstLineChars="794"/>
        <w:rPr>
          <w:rFonts w:hint="eastAsia" w:ascii="宋体" w:hAnsi="Times New Roman" w:eastAsia="宋体" w:cs="Times New Roman"/>
          <w:b/>
          <w:bCs/>
          <w:color w:val="auto"/>
          <w:sz w:val="44"/>
          <w:highlight w:val="none"/>
        </w:rPr>
      </w:pPr>
    </w:p>
    <w:p w14:paraId="0D8F45F5">
      <w:pPr>
        <w:shd w:val="clear" w:color="auto"/>
        <w:ind w:firstLine="1987" w:firstLineChars="552"/>
        <w:rPr>
          <w:rFonts w:hint="eastAsia" w:ascii="宋体" w:hAnsi="宋体" w:eastAsia="宋体" w:cs="Times New Roman"/>
          <w:b/>
          <w:color w:val="auto"/>
          <w:sz w:val="36"/>
          <w:szCs w:val="36"/>
          <w:highlight w:val="none"/>
        </w:rPr>
      </w:pPr>
      <w:r>
        <w:rPr>
          <w:rFonts w:hint="eastAsia" w:ascii="宋体" w:hAnsi="宋体" w:eastAsia="宋体" w:cs="Times New Roman"/>
          <w:b/>
          <w:color w:val="auto"/>
          <w:sz w:val="36"/>
          <w:szCs w:val="36"/>
          <w:highlight w:val="none"/>
        </w:rPr>
        <w:t>采购项目编号：</w:t>
      </w:r>
      <w:r>
        <w:rPr>
          <w:rFonts w:hint="eastAsia" w:ascii="宋体" w:hAnsi="宋体" w:eastAsia="宋体" w:cs="Times New Roman"/>
          <w:b/>
          <w:color w:val="auto"/>
          <w:sz w:val="36"/>
          <w:szCs w:val="36"/>
          <w:highlight w:val="none"/>
          <w:u w:val="single"/>
        </w:rPr>
        <w:t xml:space="preserve">                     </w:t>
      </w:r>
    </w:p>
    <w:p w14:paraId="2E4FCCA0">
      <w:pPr>
        <w:shd w:val="clear" w:color="auto"/>
        <w:ind w:firstLine="1987" w:firstLineChars="552"/>
        <w:rPr>
          <w:rFonts w:hint="eastAsia" w:ascii="宋体" w:hAnsi="宋体" w:eastAsia="宋体" w:cs="Times New Roman"/>
          <w:b/>
          <w:color w:val="auto"/>
          <w:sz w:val="36"/>
          <w:szCs w:val="36"/>
          <w:highlight w:val="none"/>
        </w:rPr>
      </w:pPr>
      <w:r>
        <w:rPr>
          <w:rFonts w:hint="eastAsia" w:ascii="宋体" w:hAnsi="宋体" w:eastAsia="宋体" w:cs="Times New Roman"/>
          <w:b/>
          <w:color w:val="auto"/>
          <w:sz w:val="36"/>
          <w:szCs w:val="36"/>
          <w:highlight w:val="none"/>
        </w:rPr>
        <w:t>采购计划编号：</w:t>
      </w:r>
      <w:r>
        <w:rPr>
          <w:rFonts w:hint="eastAsia" w:ascii="宋体" w:hAnsi="宋体" w:eastAsia="宋体" w:cs="Times New Roman"/>
          <w:b/>
          <w:color w:val="auto"/>
          <w:sz w:val="36"/>
          <w:szCs w:val="36"/>
          <w:highlight w:val="none"/>
          <w:u w:val="single"/>
        </w:rPr>
        <w:t xml:space="preserve">                     </w:t>
      </w:r>
    </w:p>
    <w:p w14:paraId="221AB784">
      <w:pPr>
        <w:shd w:val="clear" w:color="auto"/>
        <w:ind w:firstLine="1308" w:firstLineChars="545"/>
        <w:rPr>
          <w:rFonts w:hint="eastAsia" w:ascii="宋体" w:hAnsi="宋体" w:eastAsia="宋体" w:cs="宋体"/>
          <w:color w:val="auto"/>
          <w:sz w:val="24"/>
          <w:highlight w:val="none"/>
        </w:rPr>
      </w:pPr>
    </w:p>
    <w:p w14:paraId="01CDFA9A">
      <w:pPr>
        <w:shd w:val="clear" w:color="auto"/>
        <w:ind w:firstLine="1987" w:firstLineChars="552"/>
        <w:rPr>
          <w:rFonts w:hint="eastAsia" w:ascii="宋体" w:hAnsi="宋体" w:eastAsia="宋体" w:cs="Times New Roman"/>
          <w:b/>
          <w:color w:val="auto"/>
          <w:sz w:val="36"/>
          <w:szCs w:val="36"/>
          <w:highlight w:val="none"/>
          <w:u w:val="single"/>
        </w:rPr>
      </w:pPr>
    </w:p>
    <w:p w14:paraId="084C6E4A">
      <w:pPr>
        <w:shd w:val="clear" w:color="auto"/>
        <w:ind w:firstLine="1987" w:firstLineChars="552"/>
        <w:rPr>
          <w:rFonts w:hint="eastAsia" w:ascii="宋体" w:hAnsi="宋体" w:eastAsia="宋体" w:cs="Times New Roman"/>
          <w:b/>
          <w:color w:val="auto"/>
          <w:sz w:val="36"/>
          <w:szCs w:val="36"/>
          <w:highlight w:val="none"/>
          <w:u w:val="single"/>
        </w:rPr>
      </w:pPr>
    </w:p>
    <w:p w14:paraId="66559903">
      <w:pPr>
        <w:shd w:val="clear" w:color="auto"/>
        <w:tabs>
          <w:tab w:val="left" w:pos="7200"/>
        </w:tabs>
        <w:spacing w:line="360" w:lineRule="auto"/>
        <w:ind w:firstLine="1987" w:firstLineChars="552"/>
        <w:rPr>
          <w:rFonts w:hint="eastAsia" w:ascii="宋体" w:hAnsi="宋体" w:eastAsia="宋体" w:cs="Times New Roman"/>
          <w:b/>
          <w:color w:val="auto"/>
          <w:sz w:val="36"/>
          <w:szCs w:val="36"/>
          <w:highlight w:val="none"/>
          <w:u w:val="single"/>
        </w:rPr>
      </w:pPr>
      <w:r>
        <w:rPr>
          <w:rFonts w:hint="eastAsia" w:ascii="宋体" w:hAnsi="宋体" w:eastAsia="宋体" w:cs="Times New Roman"/>
          <w:b/>
          <w:color w:val="auto"/>
          <w:sz w:val="36"/>
          <w:szCs w:val="36"/>
          <w:highlight w:val="none"/>
        </w:rPr>
        <w:t>采购人：</w:t>
      </w:r>
      <w:r>
        <w:rPr>
          <w:rFonts w:hint="eastAsia" w:ascii="宋体" w:hAnsi="宋体" w:eastAsia="宋体" w:cs="Times New Roman"/>
          <w:b/>
          <w:color w:val="auto"/>
          <w:sz w:val="36"/>
          <w:szCs w:val="36"/>
          <w:highlight w:val="none"/>
          <w:u w:val="single"/>
        </w:rPr>
        <w:t xml:space="preserve">                       </w:t>
      </w:r>
    </w:p>
    <w:p w14:paraId="45BD5BF0">
      <w:pPr>
        <w:shd w:val="clear" w:color="auto"/>
        <w:tabs>
          <w:tab w:val="left" w:pos="7380"/>
        </w:tabs>
        <w:spacing w:line="360" w:lineRule="auto"/>
        <w:ind w:firstLine="1987" w:firstLineChars="552"/>
        <w:rPr>
          <w:rFonts w:hint="eastAsia" w:ascii="宋体" w:hAnsi="Times New Roman" w:eastAsia="宋体" w:cs="Times New Roman"/>
          <w:b/>
          <w:bCs/>
          <w:color w:val="auto"/>
          <w:sz w:val="44"/>
          <w:highlight w:val="none"/>
        </w:rPr>
      </w:pPr>
      <w:r>
        <w:rPr>
          <w:rFonts w:hint="eastAsia" w:ascii="宋体" w:hAnsi="宋体" w:eastAsia="宋体" w:cs="Times New Roman"/>
          <w:b/>
          <w:color w:val="auto"/>
          <w:sz w:val="36"/>
          <w:szCs w:val="36"/>
          <w:highlight w:val="none"/>
        </w:rPr>
        <w:t>成交供应商：</w:t>
      </w:r>
      <w:r>
        <w:rPr>
          <w:rFonts w:hint="eastAsia" w:ascii="宋体" w:hAnsi="宋体" w:eastAsia="宋体" w:cs="Times New Roman"/>
          <w:b/>
          <w:color w:val="auto"/>
          <w:sz w:val="36"/>
          <w:szCs w:val="36"/>
          <w:highlight w:val="none"/>
          <w:u w:val="single"/>
        </w:rPr>
        <w:t xml:space="preserve">                   </w:t>
      </w:r>
    </w:p>
    <w:p w14:paraId="7BE569CD">
      <w:pPr>
        <w:shd w:val="clear" w:color="auto"/>
        <w:tabs>
          <w:tab w:val="left" w:pos="7380"/>
        </w:tabs>
        <w:spacing w:line="360" w:lineRule="auto"/>
        <w:rPr>
          <w:rFonts w:hint="eastAsia" w:ascii="宋体" w:hAnsi="Times New Roman" w:eastAsia="宋体" w:cs="Times New Roman"/>
          <w:b/>
          <w:bCs/>
          <w:color w:val="auto"/>
          <w:sz w:val="44"/>
          <w:highlight w:val="none"/>
        </w:rPr>
      </w:pPr>
    </w:p>
    <w:p w14:paraId="477FEE37">
      <w:pPr>
        <w:keepNext/>
        <w:keepLines/>
        <w:shd w:val="clear" w:color="auto"/>
        <w:spacing w:before="260" w:after="260" w:line="24" w:lineRule="auto"/>
        <w:jc w:val="center"/>
        <w:rPr>
          <w:rFonts w:ascii="Times New Roman" w:hAnsi="Courier New" w:eastAsia="宋体" w:cs="Times New Roman"/>
          <w:b/>
          <w:color w:val="auto"/>
          <w:sz w:val="24"/>
          <w:szCs w:val="20"/>
          <w:highlight w:val="none"/>
        </w:rPr>
      </w:pPr>
      <w:r>
        <w:rPr>
          <w:rFonts w:hint="eastAsia" w:ascii="宋体" w:hAnsi="Times New Roman" w:eastAsia="宋体" w:cs="Times New Roman"/>
          <w:b/>
          <w:bCs/>
          <w:color w:val="auto"/>
          <w:highlight w:val="none"/>
        </w:rPr>
        <w:br w:type="page"/>
      </w:r>
    </w:p>
    <w:p w14:paraId="678B4E31">
      <w:pPr>
        <w:keepNext w:val="0"/>
        <w:keepLines w:val="0"/>
        <w:pageBreakBefore w:val="0"/>
        <w:widowControl w:val="0"/>
        <w:shd w:val="clear" w:color="auto"/>
        <w:kinsoku/>
        <w:wordWrap/>
        <w:overflowPunct/>
        <w:topLinePunct w:val="0"/>
        <w:autoSpaceDE/>
        <w:autoSpaceDN/>
        <w:bidi w:val="0"/>
        <w:adjustRightInd/>
        <w:snapToGrid/>
        <w:spacing w:before="160" w:beforeLines="50" w:after="160" w:afterLines="50" w:line="400" w:lineRule="exact"/>
        <w:ind w:left="0" w:leftChars="0" w:firstLine="0" w:firstLineChars="0"/>
        <w:jc w:val="center"/>
        <w:textAlignment w:val="auto"/>
        <w:rPr>
          <w:rFonts w:hint="default" w:ascii="宋体" w:hAnsi="宋体" w:eastAsia="宋体" w:cs="Times New Roman"/>
          <w:b/>
          <w:color w:val="auto"/>
          <w:sz w:val="32"/>
          <w:szCs w:val="24"/>
          <w:highlight w:val="none"/>
          <w:lang w:eastAsia="zh-CN"/>
        </w:rPr>
      </w:pPr>
      <w:bookmarkStart w:id="81" w:name="bookmark878"/>
      <w:bookmarkStart w:id="82" w:name="_Toc30441"/>
      <w:bookmarkStart w:id="83" w:name="_Toc13447"/>
      <w:bookmarkStart w:id="84" w:name="_Toc256000005"/>
      <w:bookmarkStart w:id="85" w:name="bookmark879"/>
      <w:bookmarkStart w:id="86" w:name="bookmark880"/>
      <w:r>
        <w:rPr>
          <w:rFonts w:hint="default" w:ascii="宋体" w:hAnsi="宋体" w:eastAsia="宋体" w:cs="Times New Roman"/>
          <w:b/>
          <w:color w:val="auto"/>
          <w:sz w:val="32"/>
          <w:szCs w:val="24"/>
          <w:highlight w:val="none"/>
          <w:lang w:eastAsia="zh-CN"/>
        </w:rPr>
        <w:t>第一节</w:t>
      </w:r>
      <w:r>
        <w:rPr>
          <w:rFonts w:hint="eastAsia" w:ascii="宋体" w:hAnsi="宋体" w:eastAsia="宋体" w:cs="Times New Roman"/>
          <w:b/>
          <w:color w:val="auto"/>
          <w:sz w:val="32"/>
          <w:szCs w:val="24"/>
          <w:highlight w:val="none"/>
          <w:lang w:eastAsia="zh-CN"/>
        </w:rPr>
        <w:t xml:space="preserve"> </w:t>
      </w:r>
      <w:r>
        <w:rPr>
          <w:rFonts w:hint="default" w:ascii="宋体" w:hAnsi="宋体" w:eastAsia="宋体" w:cs="Times New Roman"/>
          <w:b/>
          <w:color w:val="auto"/>
          <w:sz w:val="32"/>
          <w:szCs w:val="24"/>
          <w:highlight w:val="none"/>
          <w:lang w:eastAsia="zh-CN"/>
        </w:rPr>
        <w:t>通用合同条款</w:t>
      </w:r>
      <w:bookmarkEnd w:id="81"/>
      <w:bookmarkEnd w:id="82"/>
      <w:bookmarkEnd w:id="83"/>
      <w:bookmarkEnd w:id="84"/>
      <w:bookmarkEnd w:id="85"/>
      <w:bookmarkEnd w:id="86"/>
    </w:p>
    <w:p w14:paraId="780A997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7" w:name="_Toc19504"/>
      <w:bookmarkStart w:id="88" w:name="_Toc256000006"/>
      <w:bookmarkStart w:id="89" w:name="_Toc8348"/>
      <w:bookmarkStart w:id="90" w:name="bookmark881"/>
      <w:bookmarkStart w:id="91" w:name="bookmark883"/>
      <w:bookmarkStart w:id="92" w:name="bookmark882"/>
      <w:r>
        <w:rPr>
          <w:rStyle w:val="29"/>
          <w:rFonts w:hint="eastAsia" w:ascii="宋体" w:hAnsi="宋体" w:eastAsia="宋体" w:cs="宋体"/>
          <w:color w:val="auto"/>
          <w:kern w:val="2"/>
          <w:sz w:val="21"/>
          <w:szCs w:val="21"/>
          <w:highlight w:val="none"/>
          <w:lang w:eastAsia="zh-CN"/>
        </w:rPr>
        <w:t>1. 一般约定</w:t>
      </w:r>
      <w:bookmarkEnd w:id="87"/>
      <w:bookmarkEnd w:id="88"/>
      <w:bookmarkEnd w:id="89"/>
      <w:bookmarkEnd w:id="90"/>
      <w:bookmarkEnd w:id="91"/>
      <w:bookmarkEnd w:id="92"/>
    </w:p>
    <w:p w14:paraId="3C12134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3" w:name="bookmark886"/>
      <w:bookmarkStart w:id="94" w:name="_Toc256000007"/>
      <w:bookmarkStart w:id="95" w:name="_Toc5974"/>
      <w:bookmarkStart w:id="96" w:name="bookmark885"/>
      <w:bookmarkStart w:id="97" w:name="bookmark884"/>
      <w:bookmarkStart w:id="98" w:name="_Toc13265"/>
      <w:r>
        <w:rPr>
          <w:rStyle w:val="29"/>
          <w:rFonts w:hint="eastAsia" w:ascii="宋体" w:hAnsi="宋体" w:eastAsia="宋体" w:cs="宋体"/>
          <w:color w:val="auto"/>
          <w:kern w:val="2"/>
          <w:sz w:val="21"/>
          <w:szCs w:val="21"/>
          <w:highlight w:val="none"/>
          <w:lang w:eastAsia="zh-CN"/>
        </w:rPr>
        <w:t>1.1词语定义</w:t>
      </w:r>
      <w:bookmarkEnd w:id="93"/>
      <w:bookmarkEnd w:id="94"/>
      <w:bookmarkEnd w:id="95"/>
      <w:bookmarkEnd w:id="96"/>
      <w:bookmarkEnd w:id="97"/>
      <w:bookmarkEnd w:id="98"/>
    </w:p>
    <w:p w14:paraId="35FA1DF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通用合同条款、专用合同条款中的下列词语应具有本款所赋予的含义。</w:t>
      </w:r>
    </w:p>
    <w:p w14:paraId="311C14B5">
      <w:pPr>
        <w:pStyle w:val="101"/>
        <w:keepNext w:val="0"/>
        <w:keepLines w:val="0"/>
        <w:pageBreakBefore w:val="0"/>
        <w:widowControl w:val="0"/>
        <w:shd w:val="clear" w:color="auto"/>
        <w:kinsoku/>
        <w:wordWrap/>
        <w:overflowPunct/>
        <w:topLinePunct w:val="0"/>
        <w:autoSpaceDE/>
        <w:autoSpaceDN/>
        <w:bidi w:val="0"/>
        <w:adjustRightInd/>
        <w:snapToGrid/>
        <w:spacing w:after="0" w:line="400" w:lineRule="exact"/>
        <w:ind w:left="0" w:firstLine="420" w:firstLineChars="200"/>
        <w:jc w:val="both"/>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rPr>
        <w:t>1.1.</w:t>
      </w:r>
      <w:r>
        <w:rPr>
          <w:rStyle w:val="29"/>
          <w:rFonts w:hint="eastAsia" w:ascii="宋体" w:hAnsi="宋体" w:eastAsia="宋体" w:cs="宋体"/>
          <w:color w:val="auto"/>
          <w:kern w:val="2"/>
          <w:sz w:val="21"/>
          <w:szCs w:val="21"/>
          <w:highlight w:val="none"/>
          <w:lang w:val="zh-CN" w:eastAsia="zh-CN" w:bidi="zh-CN"/>
        </w:rPr>
        <w:t>1合同</w:t>
      </w:r>
    </w:p>
    <w:p w14:paraId="21F7154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1.1.1.1</w:t>
      </w:r>
      <w:r>
        <w:rPr>
          <w:rStyle w:val="29"/>
          <w:rFonts w:hint="eastAsia" w:ascii="宋体" w:hAnsi="宋体" w:eastAsia="宋体" w:cs="宋体"/>
          <w:color w:val="auto"/>
          <w:kern w:val="2"/>
          <w:sz w:val="21"/>
          <w:szCs w:val="21"/>
          <w:highlight w:val="none"/>
          <w:lang w:val="en-US" w:bidi="ar-SA"/>
        </w:rPr>
        <w:t>合同文件（或称合同）：指合同协议书、中标通知书、投标函及投标函附录、专用合同条款、通用合同条款、技术标准和要求、图纸、已标价工程量清单，以及其他合同文件。</w:t>
      </w:r>
    </w:p>
    <w:p w14:paraId="3205E81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9" w:name="bookmark887"/>
      <w:bookmarkEnd w:id="99"/>
      <w:r>
        <w:rPr>
          <w:rStyle w:val="29"/>
          <w:rFonts w:hint="eastAsia" w:ascii="宋体" w:hAnsi="宋体" w:eastAsia="宋体" w:cs="宋体"/>
          <w:color w:val="auto"/>
          <w:kern w:val="2"/>
          <w:sz w:val="21"/>
          <w:szCs w:val="21"/>
          <w:highlight w:val="none"/>
          <w:lang w:val="en-US" w:bidi="en-US"/>
        </w:rPr>
        <w:t>1.1.1.</w:t>
      </w:r>
      <w:r>
        <w:rPr>
          <w:rStyle w:val="29"/>
          <w:rFonts w:hint="eastAsia" w:ascii="宋体" w:hAnsi="宋体" w:eastAsia="宋体" w:cs="宋体"/>
          <w:color w:val="auto"/>
          <w:kern w:val="2"/>
          <w:sz w:val="21"/>
          <w:szCs w:val="21"/>
          <w:highlight w:val="none"/>
          <w:lang w:val="en-US" w:bidi="ar-SA"/>
        </w:rPr>
        <w:t>2合同协议书：指第</w:t>
      </w:r>
      <w:r>
        <w:rPr>
          <w:rStyle w:val="29"/>
          <w:rFonts w:hint="eastAsia" w:ascii="宋体" w:hAnsi="宋体" w:eastAsia="宋体" w:cs="宋体"/>
          <w:color w:val="auto"/>
          <w:kern w:val="2"/>
          <w:sz w:val="21"/>
          <w:szCs w:val="21"/>
          <w:highlight w:val="none"/>
          <w:lang w:val="en-US" w:bidi="en-US"/>
        </w:rPr>
        <w:t>1.5</w:t>
      </w:r>
      <w:r>
        <w:rPr>
          <w:rStyle w:val="29"/>
          <w:rFonts w:hint="eastAsia" w:ascii="宋体" w:hAnsi="宋体" w:eastAsia="宋体" w:cs="宋体"/>
          <w:color w:val="auto"/>
          <w:kern w:val="2"/>
          <w:sz w:val="21"/>
          <w:szCs w:val="21"/>
          <w:highlight w:val="none"/>
          <w:lang w:val="en-US" w:bidi="ar-SA"/>
        </w:rPr>
        <w:t>款所指的合同协议书。</w:t>
      </w:r>
    </w:p>
    <w:p w14:paraId="7BC53CF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1.1.1.</w:t>
      </w:r>
      <w:r>
        <w:rPr>
          <w:rStyle w:val="29"/>
          <w:rFonts w:hint="eastAsia" w:ascii="宋体" w:hAnsi="宋体" w:eastAsia="宋体" w:cs="宋体"/>
          <w:color w:val="auto"/>
          <w:kern w:val="2"/>
          <w:sz w:val="21"/>
          <w:szCs w:val="21"/>
          <w:highlight w:val="none"/>
          <w:lang w:val="en-US" w:bidi="ar-SA"/>
        </w:rPr>
        <w:t>3中标通知书：指发包人通知承包人中标的函件。</w:t>
      </w:r>
    </w:p>
    <w:p w14:paraId="13A164F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00" w:name="bookmark888"/>
      <w:bookmarkEnd w:id="100"/>
      <w:r>
        <w:rPr>
          <w:rStyle w:val="29"/>
          <w:rFonts w:hint="eastAsia" w:ascii="宋体" w:hAnsi="宋体" w:eastAsia="宋体" w:cs="宋体"/>
          <w:color w:val="auto"/>
          <w:kern w:val="2"/>
          <w:sz w:val="21"/>
          <w:szCs w:val="21"/>
          <w:highlight w:val="none"/>
          <w:lang w:val="en-US" w:bidi="en-US"/>
        </w:rPr>
        <w:t>1.1.1.</w:t>
      </w:r>
      <w:r>
        <w:rPr>
          <w:rStyle w:val="29"/>
          <w:rFonts w:hint="eastAsia" w:ascii="宋体" w:hAnsi="宋体" w:eastAsia="宋体" w:cs="宋体"/>
          <w:color w:val="auto"/>
          <w:kern w:val="2"/>
          <w:sz w:val="21"/>
          <w:szCs w:val="21"/>
          <w:highlight w:val="none"/>
          <w:lang w:val="en-US" w:bidi="ar-SA"/>
        </w:rPr>
        <w:t>4投标函：指构成合同文件组成部分的由承包人填写并签署的投标函。</w:t>
      </w:r>
    </w:p>
    <w:p w14:paraId="23AF64B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1.1.1.</w:t>
      </w:r>
      <w:r>
        <w:rPr>
          <w:rStyle w:val="29"/>
          <w:rFonts w:hint="eastAsia" w:ascii="宋体" w:hAnsi="宋体" w:eastAsia="宋体" w:cs="宋体"/>
          <w:color w:val="auto"/>
          <w:kern w:val="2"/>
          <w:sz w:val="21"/>
          <w:szCs w:val="21"/>
          <w:highlight w:val="none"/>
          <w:lang w:val="en-US" w:bidi="ar-SA"/>
        </w:rPr>
        <w:t>5投标函附录：指附在投标函后构成合同文件的投标函附录。</w:t>
      </w:r>
    </w:p>
    <w:p w14:paraId="5FBD6DD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01" w:name="bookmark889"/>
      <w:bookmarkEnd w:id="101"/>
      <w:r>
        <w:rPr>
          <w:rStyle w:val="29"/>
          <w:rFonts w:hint="eastAsia" w:ascii="宋体" w:hAnsi="宋体" w:eastAsia="宋体" w:cs="宋体"/>
          <w:color w:val="auto"/>
          <w:kern w:val="2"/>
          <w:sz w:val="21"/>
          <w:szCs w:val="21"/>
          <w:highlight w:val="none"/>
          <w:lang w:val="en-US" w:bidi="en-US"/>
        </w:rPr>
        <w:t>1.1.1.6技术标准和要求：指构成合同文件组成部分的名为技术标准和要求（合同技术条款）的文件，包括合同双方当事人约定对其所做的修改或补充。</w:t>
      </w:r>
    </w:p>
    <w:p w14:paraId="77BF3F0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02" w:name="bookmark890"/>
      <w:bookmarkEnd w:id="102"/>
      <w:r>
        <w:rPr>
          <w:rStyle w:val="29"/>
          <w:rFonts w:hint="eastAsia" w:ascii="宋体" w:hAnsi="宋体" w:eastAsia="宋体" w:cs="宋体"/>
          <w:color w:val="auto"/>
          <w:kern w:val="2"/>
          <w:sz w:val="21"/>
          <w:szCs w:val="21"/>
          <w:highlight w:val="none"/>
          <w:lang w:val="en-US" w:bidi="en-US"/>
        </w:rPr>
        <w:t>1.1.1.7图纸：指列入合同的招标图纸、投标图纸和发包人按合同约定向承包人提供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0BE9021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1.1.1.</w:t>
      </w:r>
      <w:r>
        <w:rPr>
          <w:rStyle w:val="29"/>
          <w:rFonts w:hint="eastAsia" w:ascii="宋体" w:hAnsi="宋体" w:eastAsia="宋体" w:cs="宋体"/>
          <w:color w:val="auto"/>
          <w:kern w:val="2"/>
          <w:sz w:val="21"/>
          <w:szCs w:val="21"/>
          <w:highlight w:val="none"/>
          <w:lang w:val="en-US" w:bidi="ar-SA"/>
        </w:rPr>
        <w:t>8已标价工程量清单：指构成合同文件组成部分的由承包人按照规定的格式和要求填写并标明价格的工程量清单。</w:t>
      </w:r>
    </w:p>
    <w:p w14:paraId="71AB49A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1.1.1.</w:t>
      </w:r>
      <w:r>
        <w:rPr>
          <w:rStyle w:val="29"/>
          <w:rFonts w:hint="eastAsia" w:ascii="宋体" w:hAnsi="宋体" w:eastAsia="宋体" w:cs="宋体"/>
          <w:color w:val="auto"/>
          <w:kern w:val="2"/>
          <w:sz w:val="21"/>
          <w:szCs w:val="21"/>
          <w:highlight w:val="none"/>
          <w:lang w:val="en-US" w:bidi="ar-SA"/>
        </w:rPr>
        <w:t>9其他合同文件：指经合同双方当事人确认构成合同文件的其他文件。</w:t>
      </w:r>
    </w:p>
    <w:p w14:paraId="052AFB1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1.1.2</w:t>
      </w:r>
      <w:r>
        <w:rPr>
          <w:rStyle w:val="29"/>
          <w:rFonts w:hint="eastAsia" w:ascii="宋体" w:hAnsi="宋体" w:eastAsia="宋体" w:cs="宋体"/>
          <w:color w:val="auto"/>
          <w:kern w:val="2"/>
          <w:sz w:val="21"/>
          <w:szCs w:val="21"/>
          <w:highlight w:val="none"/>
          <w:lang w:val="en-US" w:bidi="ar-SA"/>
        </w:rPr>
        <w:t>合同当事人和人员。</w:t>
      </w:r>
    </w:p>
    <w:p w14:paraId="39B775E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1.1.2.1</w:t>
      </w:r>
      <w:r>
        <w:rPr>
          <w:rStyle w:val="29"/>
          <w:rFonts w:hint="eastAsia" w:ascii="宋体" w:hAnsi="宋体" w:eastAsia="宋体" w:cs="宋体"/>
          <w:color w:val="auto"/>
          <w:kern w:val="2"/>
          <w:sz w:val="21"/>
          <w:szCs w:val="21"/>
          <w:highlight w:val="none"/>
          <w:lang w:val="en-US" w:bidi="ar-SA"/>
        </w:rPr>
        <w:t>合同当事人：指发包人和（或）承包人。</w:t>
      </w:r>
    </w:p>
    <w:p w14:paraId="0D14C77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03" w:name="bookmark891"/>
      <w:bookmarkEnd w:id="103"/>
      <w:r>
        <w:rPr>
          <w:rStyle w:val="29"/>
          <w:rFonts w:hint="eastAsia" w:ascii="宋体" w:hAnsi="宋体" w:eastAsia="宋体" w:cs="宋体"/>
          <w:color w:val="auto"/>
          <w:kern w:val="2"/>
          <w:sz w:val="21"/>
          <w:szCs w:val="21"/>
          <w:highlight w:val="none"/>
          <w:lang w:val="en-US" w:bidi="en-US"/>
        </w:rPr>
        <w:t>1.1.2.2</w:t>
      </w:r>
      <w:r>
        <w:rPr>
          <w:rStyle w:val="29"/>
          <w:rFonts w:hint="eastAsia" w:ascii="宋体" w:hAnsi="宋体" w:eastAsia="宋体" w:cs="宋体"/>
          <w:color w:val="auto"/>
          <w:kern w:val="2"/>
          <w:sz w:val="21"/>
          <w:szCs w:val="21"/>
          <w:highlight w:val="none"/>
          <w:lang w:val="en-US" w:bidi="ar-SA"/>
        </w:rPr>
        <w:t>发包人：指专用合同条款中指明并与承包人在合同协议书中签字的当事人。</w:t>
      </w:r>
    </w:p>
    <w:p w14:paraId="186AE6C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04" w:name="bookmark892"/>
      <w:bookmarkEnd w:id="104"/>
      <w:r>
        <w:rPr>
          <w:rStyle w:val="29"/>
          <w:rFonts w:hint="eastAsia" w:ascii="宋体" w:hAnsi="宋体" w:eastAsia="宋体" w:cs="宋体"/>
          <w:color w:val="auto"/>
          <w:kern w:val="2"/>
          <w:sz w:val="21"/>
          <w:szCs w:val="21"/>
          <w:highlight w:val="none"/>
          <w:lang w:val="en-US" w:bidi="en-US"/>
        </w:rPr>
        <w:t>1.1.2.3</w:t>
      </w:r>
      <w:r>
        <w:rPr>
          <w:rStyle w:val="29"/>
          <w:rFonts w:hint="eastAsia" w:ascii="宋体" w:hAnsi="宋体" w:eastAsia="宋体" w:cs="宋体"/>
          <w:color w:val="auto"/>
          <w:kern w:val="2"/>
          <w:sz w:val="21"/>
          <w:szCs w:val="21"/>
          <w:highlight w:val="none"/>
          <w:lang w:val="en-US" w:bidi="ar-SA"/>
        </w:rPr>
        <w:t>承包人：指专用合同条款中指明并与发包人在合同协议书中签字的当事人。</w:t>
      </w:r>
    </w:p>
    <w:p w14:paraId="583D778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1.1.2.4</w:t>
      </w:r>
      <w:r>
        <w:rPr>
          <w:rStyle w:val="29"/>
          <w:rFonts w:hint="eastAsia" w:ascii="宋体" w:hAnsi="宋体" w:eastAsia="宋体" w:cs="宋体"/>
          <w:color w:val="auto"/>
          <w:kern w:val="2"/>
          <w:sz w:val="21"/>
          <w:szCs w:val="21"/>
          <w:highlight w:val="none"/>
          <w:lang w:val="en-US" w:bidi="ar-SA"/>
        </w:rPr>
        <w:t>承包人项目经理：指承包人派驻施工场地的全权负责人。</w:t>
      </w:r>
    </w:p>
    <w:p w14:paraId="71B6F82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1.1.2.5</w:t>
      </w:r>
      <w:r>
        <w:rPr>
          <w:rStyle w:val="29"/>
          <w:rFonts w:hint="eastAsia" w:ascii="宋体" w:hAnsi="宋体" w:eastAsia="宋体" w:cs="宋体"/>
          <w:color w:val="auto"/>
          <w:kern w:val="2"/>
          <w:sz w:val="21"/>
          <w:szCs w:val="21"/>
          <w:highlight w:val="none"/>
          <w:lang w:val="en-US" w:bidi="ar-SA"/>
        </w:rPr>
        <w:t>分包人：指专用合同条款中指明的，从承包人处分包合同中某一部分工程, 并与其签订分包合同的分包人。</w:t>
      </w:r>
    </w:p>
    <w:p w14:paraId="125DBA97">
      <w:pPr>
        <w:pStyle w:val="100"/>
        <w:keepNext w:val="0"/>
        <w:keepLines w:val="0"/>
        <w:pageBreakBefore w:val="0"/>
        <w:widowControl w:val="0"/>
        <w:shd w:val="clear" w:color="auto"/>
        <w:tabs>
          <w:tab w:val="left" w:pos="951"/>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05" w:name="bookmark893"/>
      <w:bookmarkEnd w:id="105"/>
      <w:r>
        <w:rPr>
          <w:rStyle w:val="29"/>
          <w:rFonts w:hint="eastAsia" w:ascii="宋体" w:hAnsi="宋体" w:eastAsia="宋体" w:cs="宋体"/>
          <w:color w:val="auto"/>
          <w:kern w:val="2"/>
          <w:sz w:val="21"/>
          <w:szCs w:val="21"/>
          <w:highlight w:val="none"/>
          <w:lang w:val="en-US" w:bidi="en-US"/>
        </w:rPr>
        <w:t>1.1.2.6</w:t>
      </w:r>
      <w:r>
        <w:rPr>
          <w:rStyle w:val="29"/>
          <w:rFonts w:hint="eastAsia" w:ascii="宋体" w:hAnsi="宋体" w:eastAsia="宋体" w:cs="宋体"/>
          <w:color w:val="auto"/>
          <w:kern w:val="2"/>
          <w:sz w:val="21"/>
          <w:szCs w:val="21"/>
          <w:highlight w:val="none"/>
          <w:lang w:val="en-US" w:bidi="ar-SA"/>
        </w:rPr>
        <w:t>监理人：指在专用合同条款中指明的，受发包人委托对合同履行实施管理的 法人或其他组织。</w:t>
      </w:r>
    </w:p>
    <w:p w14:paraId="1ED900D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1.1.2.</w:t>
      </w:r>
      <w:r>
        <w:rPr>
          <w:rStyle w:val="29"/>
          <w:rFonts w:hint="eastAsia" w:ascii="宋体" w:hAnsi="宋体" w:eastAsia="宋体" w:cs="宋体"/>
          <w:color w:val="auto"/>
          <w:kern w:val="2"/>
          <w:sz w:val="21"/>
          <w:szCs w:val="21"/>
          <w:highlight w:val="none"/>
          <w:lang w:val="en-US" w:bidi="ar-SA"/>
        </w:rPr>
        <w:t>7总监理工程师（总监）:指由监理人委派常驻施工场地对合同履行实施管理的全权负责人。</w:t>
      </w:r>
    </w:p>
    <w:p w14:paraId="5AD73353">
      <w:pPr>
        <w:pStyle w:val="101"/>
        <w:keepNext w:val="0"/>
        <w:keepLines w:val="0"/>
        <w:pageBreakBefore w:val="0"/>
        <w:widowControl w:val="0"/>
        <w:shd w:val="clear" w:color="auto"/>
        <w:kinsoku/>
        <w:wordWrap/>
        <w:overflowPunct/>
        <w:topLinePunct w:val="0"/>
        <w:autoSpaceDE/>
        <w:autoSpaceDN/>
        <w:bidi w:val="0"/>
        <w:adjustRightInd/>
        <w:snapToGrid/>
        <w:spacing w:after="0" w:line="400" w:lineRule="exact"/>
        <w:ind w:left="0" w:firstLine="420" w:firstLineChars="200"/>
        <w:jc w:val="both"/>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rPr>
        <w:t>1.1.</w:t>
      </w:r>
      <w:r>
        <w:rPr>
          <w:rStyle w:val="29"/>
          <w:rFonts w:hint="eastAsia" w:ascii="宋体" w:hAnsi="宋体" w:eastAsia="宋体" w:cs="宋体"/>
          <w:color w:val="auto"/>
          <w:kern w:val="2"/>
          <w:sz w:val="21"/>
          <w:szCs w:val="21"/>
          <w:highlight w:val="none"/>
          <w:lang w:val="zh-CN" w:eastAsia="zh-CN" w:bidi="zh-CN"/>
        </w:rPr>
        <w:t>3工程和设备</w:t>
      </w:r>
    </w:p>
    <w:p w14:paraId="66A3C4B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1.1.3.</w:t>
      </w:r>
      <w:r>
        <w:rPr>
          <w:rStyle w:val="29"/>
          <w:rFonts w:hint="eastAsia" w:ascii="宋体" w:hAnsi="宋体" w:eastAsia="宋体" w:cs="宋体"/>
          <w:color w:val="auto"/>
          <w:kern w:val="2"/>
          <w:sz w:val="21"/>
          <w:szCs w:val="21"/>
          <w:highlight w:val="none"/>
          <w:lang w:val="en-US" w:bidi="ar-SA"/>
        </w:rPr>
        <w:t>1工程：指永久工程和（或）临时工程。</w:t>
      </w:r>
    </w:p>
    <w:p w14:paraId="27F4E5B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06" w:name="bookmark894"/>
      <w:bookmarkEnd w:id="106"/>
      <w:r>
        <w:rPr>
          <w:rStyle w:val="29"/>
          <w:rFonts w:hint="eastAsia" w:ascii="宋体" w:hAnsi="宋体" w:eastAsia="宋体" w:cs="宋体"/>
          <w:color w:val="auto"/>
          <w:kern w:val="2"/>
          <w:sz w:val="21"/>
          <w:szCs w:val="21"/>
          <w:highlight w:val="none"/>
          <w:lang w:val="en-US" w:bidi="en-US"/>
        </w:rPr>
        <w:t>1.1.3.</w:t>
      </w:r>
      <w:r>
        <w:rPr>
          <w:rStyle w:val="29"/>
          <w:rFonts w:hint="eastAsia" w:ascii="宋体" w:hAnsi="宋体" w:eastAsia="宋体" w:cs="宋体"/>
          <w:color w:val="auto"/>
          <w:kern w:val="2"/>
          <w:sz w:val="21"/>
          <w:szCs w:val="21"/>
          <w:highlight w:val="none"/>
          <w:lang w:val="en-US" w:bidi="ar-SA"/>
        </w:rPr>
        <w:t>2永久工程：指按合同约定建造并移交给发包人的工程，包括工程设备。</w:t>
      </w:r>
    </w:p>
    <w:p w14:paraId="7FDEE653">
      <w:pPr>
        <w:pStyle w:val="100"/>
        <w:keepNext w:val="0"/>
        <w:keepLines w:val="0"/>
        <w:pageBreakBefore w:val="0"/>
        <w:widowControl w:val="0"/>
        <w:shd w:val="clear" w:color="auto"/>
        <w:tabs>
          <w:tab w:val="left" w:pos="954"/>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07" w:name="bookmark895"/>
      <w:bookmarkEnd w:id="107"/>
      <w:r>
        <w:rPr>
          <w:rStyle w:val="29"/>
          <w:rFonts w:hint="eastAsia" w:ascii="宋体" w:hAnsi="宋体" w:eastAsia="宋体" w:cs="宋体"/>
          <w:color w:val="auto"/>
          <w:kern w:val="2"/>
          <w:sz w:val="21"/>
          <w:szCs w:val="21"/>
          <w:highlight w:val="none"/>
          <w:lang w:val="en-US" w:bidi="en-US"/>
        </w:rPr>
        <w:t>1.1.3.</w:t>
      </w:r>
      <w:r>
        <w:rPr>
          <w:rStyle w:val="29"/>
          <w:rFonts w:hint="eastAsia" w:ascii="宋体" w:hAnsi="宋体" w:eastAsia="宋体" w:cs="宋体"/>
          <w:color w:val="auto"/>
          <w:kern w:val="2"/>
          <w:sz w:val="21"/>
          <w:szCs w:val="21"/>
          <w:highlight w:val="none"/>
          <w:lang w:val="en-US" w:bidi="ar-SA"/>
        </w:rPr>
        <w:t>3临时工程：指为完成合同约定的永久工程所修建的各类临时性工程，不包括施工设备。</w:t>
      </w:r>
    </w:p>
    <w:p w14:paraId="2760BA2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1.1.3.</w:t>
      </w:r>
      <w:r>
        <w:rPr>
          <w:rStyle w:val="29"/>
          <w:rFonts w:hint="eastAsia" w:ascii="宋体" w:hAnsi="宋体" w:eastAsia="宋体" w:cs="宋体"/>
          <w:color w:val="auto"/>
          <w:kern w:val="2"/>
          <w:sz w:val="21"/>
          <w:szCs w:val="21"/>
          <w:highlight w:val="none"/>
          <w:lang w:val="en-US" w:bidi="ar-SA"/>
        </w:rPr>
        <w:t>4单位工程：指专用合同条款中指明特定范围的永久工程。</w:t>
      </w:r>
    </w:p>
    <w:p w14:paraId="72B2AD4A">
      <w:pPr>
        <w:pStyle w:val="100"/>
        <w:keepNext w:val="0"/>
        <w:keepLines w:val="0"/>
        <w:pageBreakBefore w:val="0"/>
        <w:widowControl w:val="0"/>
        <w:shd w:val="clear" w:color="auto"/>
        <w:tabs>
          <w:tab w:val="left" w:pos="951"/>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08" w:name="bookmark896"/>
      <w:bookmarkEnd w:id="108"/>
      <w:r>
        <w:rPr>
          <w:rStyle w:val="29"/>
          <w:rFonts w:hint="eastAsia" w:ascii="宋体" w:hAnsi="宋体" w:eastAsia="宋体" w:cs="宋体"/>
          <w:color w:val="auto"/>
          <w:kern w:val="2"/>
          <w:sz w:val="21"/>
          <w:szCs w:val="21"/>
          <w:highlight w:val="none"/>
          <w:lang w:val="en-US" w:bidi="en-US"/>
        </w:rPr>
        <w:t>1.1.3.</w:t>
      </w:r>
      <w:r>
        <w:rPr>
          <w:rStyle w:val="29"/>
          <w:rFonts w:hint="eastAsia" w:ascii="宋体" w:hAnsi="宋体" w:eastAsia="宋体" w:cs="宋体"/>
          <w:color w:val="auto"/>
          <w:kern w:val="2"/>
          <w:sz w:val="21"/>
          <w:szCs w:val="21"/>
          <w:highlight w:val="none"/>
          <w:lang w:val="en-US" w:bidi="ar-SA"/>
        </w:rPr>
        <w:t>5工程设备：指构成或计划构成永久工程一部分的机电设备、金属结构设备、仪器装置及其他类似的设备和装置。</w:t>
      </w:r>
    </w:p>
    <w:p w14:paraId="13EEA614">
      <w:pPr>
        <w:pStyle w:val="100"/>
        <w:keepNext w:val="0"/>
        <w:keepLines w:val="0"/>
        <w:pageBreakBefore w:val="0"/>
        <w:widowControl w:val="0"/>
        <w:shd w:val="clear" w:color="auto"/>
        <w:tabs>
          <w:tab w:val="left" w:pos="954"/>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09" w:name="bookmark897"/>
      <w:bookmarkEnd w:id="109"/>
      <w:r>
        <w:rPr>
          <w:rStyle w:val="29"/>
          <w:rFonts w:hint="eastAsia" w:ascii="宋体" w:hAnsi="宋体" w:eastAsia="宋体" w:cs="宋体"/>
          <w:color w:val="auto"/>
          <w:kern w:val="2"/>
          <w:sz w:val="21"/>
          <w:szCs w:val="21"/>
          <w:highlight w:val="none"/>
          <w:lang w:val="en-US" w:bidi="en-US"/>
        </w:rPr>
        <w:t>1.1.3.</w:t>
      </w:r>
      <w:r>
        <w:rPr>
          <w:rStyle w:val="29"/>
          <w:rFonts w:hint="eastAsia" w:ascii="宋体" w:hAnsi="宋体" w:eastAsia="宋体" w:cs="宋体"/>
          <w:color w:val="auto"/>
          <w:kern w:val="2"/>
          <w:sz w:val="21"/>
          <w:szCs w:val="21"/>
          <w:highlight w:val="none"/>
          <w:lang w:val="en-US" w:bidi="ar-SA"/>
        </w:rPr>
        <w:t>6施工设备：指为完成合同约定的各项工作所需的设备、器具和其他物品，不包括临时工程和材料。</w:t>
      </w:r>
    </w:p>
    <w:p w14:paraId="1FB8D1F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10" w:name="bookmark898"/>
      <w:bookmarkEnd w:id="110"/>
      <w:r>
        <w:rPr>
          <w:rStyle w:val="29"/>
          <w:rFonts w:hint="eastAsia" w:ascii="宋体" w:hAnsi="宋体" w:eastAsia="宋体" w:cs="宋体"/>
          <w:color w:val="auto"/>
          <w:kern w:val="2"/>
          <w:sz w:val="21"/>
          <w:szCs w:val="21"/>
          <w:highlight w:val="none"/>
          <w:lang w:val="en-US" w:bidi="en-US"/>
        </w:rPr>
        <w:t>1.1.3.7</w:t>
      </w:r>
      <w:r>
        <w:rPr>
          <w:rStyle w:val="29"/>
          <w:rFonts w:hint="eastAsia" w:ascii="宋体" w:hAnsi="宋体" w:eastAsia="宋体" w:cs="宋体"/>
          <w:color w:val="auto"/>
          <w:kern w:val="2"/>
          <w:sz w:val="21"/>
          <w:szCs w:val="21"/>
          <w:highlight w:val="none"/>
          <w:lang w:val="en-US" w:bidi="ar-SA"/>
        </w:rPr>
        <w:t>临时设施：指为完成合同约定的各项工作所服务的临时性生产和生活设施。</w:t>
      </w:r>
    </w:p>
    <w:p w14:paraId="414E7731">
      <w:pPr>
        <w:pStyle w:val="100"/>
        <w:keepNext w:val="0"/>
        <w:keepLines w:val="0"/>
        <w:pageBreakBefore w:val="0"/>
        <w:widowControl w:val="0"/>
        <w:shd w:val="clear" w:color="auto"/>
        <w:tabs>
          <w:tab w:val="left" w:pos="954"/>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1.1.3.8</w:t>
      </w:r>
      <w:r>
        <w:rPr>
          <w:rStyle w:val="29"/>
          <w:rFonts w:hint="eastAsia" w:ascii="宋体" w:hAnsi="宋体" w:eastAsia="宋体" w:cs="宋体"/>
          <w:color w:val="auto"/>
          <w:kern w:val="2"/>
          <w:sz w:val="21"/>
          <w:szCs w:val="21"/>
          <w:highlight w:val="none"/>
          <w:lang w:val="en-US" w:bidi="ar-SA"/>
        </w:rPr>
        <w:t>承包人设备：指承包人自带的施工设备。</w:t>
      </w:r>
    </w:p>
    <w:p w14:paraId="18B98E70">
      <w:pPr>
        <w:pStyle w:val="100"/>
        <w:keepNext w:val="0"/>
        <w:keepLines w:val="0"/>
        <w:pageBreakBefore w:val="0"/>
        <w:widowControl w:val="0"/>
        <w:shd w:val="clear" w:color="auto"/>
        <w:tabs>
          <w:tab w:val="left" w:pos="954"/>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1.1.3.9</w:t>
      </w:r>
      <w:r>
        <w:rPr>
          <w:rStyle w:val="29"/>
          <w:rFonts w:hint="eastAsia" w:ascii="宋体" w:hAnsi="宋体" w:eastAsia="宋体" w:cs="宋体"/>
          <w:color w:val="auto"/>
          <w:kern w:val="2"/>
          <w:sz w:val="21"/>
          <w:szCs w:val="21"/>
          <w:highlight w:val="none"/>
          <w:lang w:val="en-US" w:bidi="ar-SA"/>
        </w:rPr>
        <w:t>施工场地（或称工地、现场）：指用于合同工程施工的场所，以及在合同中指定作为施工场地组成部分的其他场所，包括永久占地和临时占地。</w:t>
      </w:r>
    </w:p>
    <w:p w14:paraId="116448A9">
      <w:pPr>
        <w:pStyle w:val="100"/>
        <w:keepNext w:val="0"/>
        <w:keepLines w:val="0"/>
        <w:pageBreakBefore w:val="0"/>
        <w:widowControl w:val="0"/>
        <w:shd w:val="clear" w:color="auto"/>
        <w:tabs>
          <w:tab w:val="left" w:pos="951"/>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1.1.3.10</w:t>
      </w:r>
      <w:r>
        <w:rPr>
          <w:rStyle w:val="29"/>
          <w:rFonts w:hint="eastAsia" w:ascii="宋体" w:hAnsi="宋体" w:eastAsia="宋体" w:cs="宋体"/>
          <w:color w:val="auto"/>
          <w:kern w:val="2"/>
          <w:sz w:val="21"/>
          <w:szCs w:val="21"/>
          <w:highlight w:val="none"/>
          <w:lang w:val="en-US" w:bidi="ar-SA"/>
        </w:rPr>
        <w:t>永久占地：指发包人为建设本合同工程永久征用的场地。</w:t>
      </w:r>
    </w:p>
    <w:p w14:paraId="4000BE9D">
      <w:pPr>
        <w:pStyle w:val="100"/>
        <w:keepNext w:val="0"/>
        <w:keepLines w:val="0"/>
        <w:pageBreakBefore w:val="0"/>
        <w:widowControl w:val="0"/>
        <w:shd w:val="clear" w:color="auto"/>
        <w:tabs>
          <w:tab w:val="left" w:pos="951"/>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1.1.3.11</w:t>
      </w:r>
      <w:r>
        <w:rPr>
          <w:rStyle w:val="29"/>
          <w:rFonts w:hint="eastAsia" w:ascii="宋体" w:hAnsi="宋体" w:eastAsia="宋体" w:cs="宋体"/>
          <w:color w:val="auto"/>
          <w:kern w:val="2"/>
          <w:sz w:val="21"/>
          <w:szCs w:val="21"/>
          <w:highlight w:val="none"/>
          <w:lang w:val="en-US" w:bidi="ar-SA"/>
        </w:rPr>
        <w:t>临时占地：指发包人为建设本合同工程临时征用，并应在完工后须按合同 要求退还的场地。</w:t>
      </w:r>
    </w:p>
    <w:p w14:paraId="2EE7495D">
      <w:pPr>
        <w:pStyle w:val="101"/>
        <w:keepNext w:val="0"/>
        <w:keepLines w:val="0"/>
        <w:pageBreakBefore w:val="0"/>
        <w:widowControl w:val="0"/>
        <w:shd w:val="clear" w:color="auto"/>
        <w:kinsoku/>
        <w:wordWrap/>
        <w:overflowPunct/>
        <w:topLinePunct w:val="0"/>
        <w:autoSpaceDE/>
        <w:autoSpaceDN/>
        <w:bidi w:val="0"/>
        <w:adjustRightInd/>
        <w:snapToGrid/>
        <w:spacing w:after="0" w:line="400" w:lineRule="exact"/>
        <w:ind w:left="0" w:firstLine="420" w:firstLineChars="200"/>
        <w:jc w:val="both"/>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rPr>
        <w:t>1.1.4</w:t>
      </w:r>
      <w:r>
        <w:rPr>
          <w:rStyle w:val="29"/>
          <w:rFonts w:hint="eastAsia" w:ascii="宋体" w:hAnsi="宋体" w:eastAsia="宋体" w:cs="宋体"/>
          <w:color w:val="auto"/>
          <w:kern w:val="2"/>
          <w:sz w:val="21"/>
          <w:szCs w:val="21"/>
          <w:highlight w:val="none"/>
          <w:lang w:val="zh-CN" w:eastAsia="zh-CN" w:bidi="zh-CN"/>
        </w:rPr>
        <w:t>日期</w:t>
      </w:r>
    </w:p>
    <w:p w14:paraId="7D75C12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1.1.4.</w:t>
      </w:r>
      <w:r>
        <w:rPr>
          <w:rStyle w:val="29"/>
          <w:rFonts w:hint="eastAsia" w:ascii="宋体" w:hAnsi="宋体" w:eastAsia="宋体" w:cs="宋体"/>
          <w:color w:val="auto"/>
          <w:kern w:val="2"/>
          <w:sz w:val="21"/>
          <w:szCs w:val="21"/>
          <w:highlight w:val="none"/>
          <w:lang w:val="en-US" w:bidi="ar-SA"/>
        </w:rPr>
        <w:t>1开工通知：指监理人按第</w:t>
      </w:r>
      <w:r>
        <w:rPr>
          <w:rStyle w:val="29"/>
          <w:rFonts w:hint="eastAsia" w:ascii="宋体" w:hAnsi="宋体" w:eastAsia="宋体" w:cs="宋体"/>
          <w:color w:val="auto"/>
          <w:kern w:val="2"/>
          <w:sz w:val="21"/>
          <w:szCs w:val="21"/>
          <w:highlight w:val="none"/>
          <w:lang w:val="en-US" w:bidi="en-US"/>
        </w:rPr>
        <w:t>11.</w:t>
      </w:r>
      <w:r>
        <w:rPr>
          <w:rStyle w:val="29"/>
          <w:rFonts w:hint="eastAsia" w:ascii="宋体" w:hAnsi="宋体" w:eastAsia="宋体" w:cs="宋体"/>
          <w:color w:val="auto"/>
          <w:kern w:val="2"/>
          <w:sz w:val="21"/>
          <w:szCs w:val="21"/>
          <w:highlight w:val="none"/>
          <w:lang w:val="en-US" w:bidi="ar-SA"/>
        </w:rPr>
        <w:t>1款通知承包人开工的函件。</w:t>
      </w:r>
    </w:p>
    <w:p w14:paraId="5D279F9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1.1.4.2</w:t>
      </w:r>
      <w:r>
        <w:rPr>
          <w:rStyle w:val="29"/>
          <w:rFonts w:hint="eastAsia" w:ascii="宋体" w:hAnsi="宋体" w:eastAsia="宋体" w:cs="宋体"/>
          <w:color w:val="auto"/>
          <w:kern w:val="2"/>
          <w:sz w:val="21"/>
          <w:szCs w:val="21"/>
          <w:highlight w:val="none"/>
          <w:lang w:val="en-US" w:bidi="ar-SA"/>
        </w:rPr>
        <w:t>开工日期：指监理人按第</w:t>
      </w:r>
      <w:r>
        <w:rPr>
          <w:rStyle w:val="29"/>
          <w:rFonts w:hint="eastAsia" w:ascii="宋体" w:hAnsi="宋体" w:eastAsia="宋体" w:cs="宋体"/>
          <w:color w:val="auto"/>
          <w:kern w:val="2"/>
          <w:sz w:val="21"/>
          <w:szCs w:val="21"/>
          <w:highlight w:val="none"/>
          <w:lang w:val="en-US" w:bidi="en-US"/>
        </w:rPr>
        <w:t>11.</w:t>
      </w:r>
      <w:r>
        <w:rPr>
          <w:rStyle w:val="29"/>
          <w:rFonts w:hint="eastAsia" w:ascii="宋体" w:hAnsi="宋体" w:eastAsia="宋体" w:cs="宋体"/>
          <w:color w:val="auto"/>
          <w:kern w:val="2"/>
          <w:sz w:val="21"/>
          <w:szCs w:val="21"/>
          <w:highlight w:val="none"/>
          <w:lang w:val="en-US" w:bidi="ar-SA"/>
        </w:rPr>
        <w:t>1款发出的开工通知中写明的开工日期。</w:t>
      </w:r>
    </w:p>
    <w:p w14:paraId="2CD3463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1.1.4.3</w:t>
      </w:r>
      <w:r>
        <w:rPr>
          <w:rStyle w:val="29"/>
          <w:rFonts w:hint="eastAsia" w:ascii="宋体" w:hAnsi="宋体" w:eastAsia="宋体" w:cs="宋体"/>
          <w:color w:val="auto"/>
          <w:kern w:val="2"/>
          <w:sz w:val="21"/>
          <w:szCs w:val="21"/>
          <w:highlight w:val="none"/>
          <w:lang w:val="en-US" w:bidi="ar-SA"/>
        </w:rPr>
        <w:t>工期：指承包人在投标函中承诺的完成合同工程所需的期限，包括按第</w:t>
      </w:r>
      <w:r>
        <w:rPr>
          <w:rStyle w:val="29"/>
          <w:rFonts w:hint="eastAsia" w:ascii="宋体" w:hAnsi="宋体" w:eastAsia="宋体" w:cs="宋体"/>
          <w:color w:val="auto"/>
          <w:kern w:val="2"/>
          <w:sz w:val="21"/>
          <w:szCs w:val="21"/>
          <w:highlight w:val="none"/>
          <w:lang w:val="en-US" w:bidi="en-US"/>
        </w:rPr>
        <w:t>11.3</w:t>
      </w:r>
      <w:r>
        <w:rPr>
          <w:rStyle w:val="29"/>
          <w:rFonts w:hint="eastAsia" w:ascii="宋体" w:hAnsi="宋体" w:eastAsia="宋体" w:cs="宋体"/>
          <w:color w:val="auto"/>
          <w:kern w:val="2"/>
          <w:sz w:val="21"/>
          <w:szCs w:val="21"/>
          <w:highlight w:val="none"/>
          <w:lang w:val="en-US" w:bidi="ar-SA"/>
        </w:rPr>
        <w:t>款、第</w:t>
      </w:r>
      <w:r>
        <w:rPr>
          <w:rStyle w:val="29"/>
          <w:rFonts w:hint="eastAsia" w:ascii="宋体" w:hAnsi="宋体" w:eastAsia="宋体" w:cs="宋体"/>
          <w:color w:val="auto"/>
          <w:kern w:val="2"/>
          <w:sz w:val="21"/>
          <w:szCs w:val="21"/>
          <w:highlight w:val="none"/>
          <w:lang w:val="en-US" w:bidi="en-US"/>
        </w:rPr>
        <w:t>11.</w:t>
      </w:r>
      <w:r>
        <w:rPr>
          <w:rStyle w:val="29"/>
          <w:rFonts w:hint="eastAsia" w:ascii="宋体" w:hAnsi="宋体" w:eastAsia="宋体" w:cs="宋体"/>
          <w:color w:val="auto"/>
          <w:kern w:val="2"/>
          <w:sz w:val="21"/>
          <w:szCs w:val="21"/>
          <w:highlight w:val="none"/>
          <w:lang w:val="en-US" w:bidi="ar-SA"/>
        </w:rPr>
        <w:t>4款和第</w:t>
      </w:r>
      <w:r>
        <w:rPr>
          <w:rStyle w:val="29"/>
          <w:rFonts w:hint="eastAsia" w:ascii="宋体" w:hAnsi="宋体" w:eastAsia="宋体" w:cs="宋体"/>
          <w:color w:val="auto"/>
          <w:kern w:val="2"/>
          <w:sz w:val="21"/>
          <w:szCs w:val="21"/>
          <w:highlight w:val="none"/>
          <w:lang w:val="en-US" w:bidi="en-US"/>
        </w:rPr>
        <w:t>11.</w:t>
      </w:r>
      <w:r>
        <w:rPr>
          <w:rStyle w:val="29"/>
          <w:rFonts w:hint="eastAsia" w:ascii="宋体" w:hAnsi="宋体" w:eastAsia="宋体" w:cs="宋体"/>
          <w:color w:val="auto"/>
          <w:kern w:val="2"/>
          <w:sz w:val="21"/>
          <w:szCs w:val="21"/>
          <w:highlight w:val="none"/>
          <w:lang w:val="en-US" w:bidi="ar-SA"/>
        </w:rPr>
        <w:t>6款约定所作的变更。</w:t>
      </w:r>
    </w:p>
    <w:p w14:paraId="31F8D980">
      <w:pPr>
        <w:pStyle w:val="100"/>
        <w:keepNext w:val="0"/>
        <w:keepLines w:val="0"/>
        <w:pageBreakBefore w:val="0"/>
        <w:widowControl w:val="0"/>
        <w:shd w:val="clear" w:color="auto"/>
        <w:tabs>
          <w:tab w:val="left" w:pos="949"/>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11" w:name="bookmark899"/>
      <w:bookmarkEnd w:id="111"/>
      <w:r>
        <w:rPr>
          <w:rStyle w:val="29"/>
          <w:rFonts w:hint="eastAsia" w:ascii="宋体" w:hAnsi="宋体" w:eastAsia="宋体" w:cs="宋体"/>
          <w:color w:val="auto"/>
          <w:kern w:val="2"/>
          <w:sz w:val="21"/>
          <w:szCs w:val="21"/>
          <w:highlight w:val="none"/>
          <w:lang w:val="en-US" w:bidi="en-US"/>
        </w:rPr>
        <w:t>1.1.4.4</w:t>
      </w:r>
      <w:r>
        <w:rPr>
          <w:rStyle w:val="29"/>
          <w:rFonts w:hint="eastAsia" w:ascii="宋体" w:hAnsi="宋体" w:eastAsia="宋体" w:cs="宋体"/>
          <w:color w:val="auto"/>
          <w:kern w:val="2"/>
          <w:sz w:val="21"/>
          <w:szCs w:val="21"/>
          <w:highlight w:val="none"/>
          <w:lang w:val="en-US" w:bidi="ar-SA"/>
        </w:rPr>
        <w:t>竣工日期：即合同工程完工日期，指第</w:t>
      </w:r>
      <w:r>
        <w:rPr>
          <w:rStyle w:val="29"/>
          <w:rFonts w:hint="eastAsia" w:ascii="宋体" w:hAnsi="宋体" w:eastAsia="宋体" w:cs="宋体"/>
          <w:color w:val="auto"/>
          <w:kern w:val="2"/>
          <w:sz w:val="21"/>
          <w:szCs w:val="21"/>
          <w:highlight w:val="none"/>
          <w:lang w:val="en-US" w:bidi="en-US"/>
        </w:rPr>
        <w:t>1.1.4.</w:t>
      </w:r>
      <w:r>
        <w:rPr>
          <w:rStyle w:val="29"/>
          <w:rFonts w:hint="eastAsia" w:ascii="宋体" w:hAnsi="宋体" w:eastAsia="宋体" w:cs="宋体"/>
          <w:color w:val="auto"/>
          <w:kern w:val="2"/>
          <w:sz w:val="21"/>
          <w:szCs w:val="21"/>
          <w:highlight w:val="none"/>
          <w:lang w:val="en-US" w:bidi="ar-SA"/>
        </w:rPr>
        <w:t>3目约定工期届满时的日期。实际完工时间以合同工程完工证书中写明的日期为准。</w:t>
      </w:r>
    </w:p>
    <w:p w14:paraId="4DC1A1BF">
      <w:pPr>
        <w:pStyle w:val="100"/>
        <w:keepNext w:val="0"/>
        <w:keepLines w:val="0"/>
        <w:pageBreakBefore w:val="0"/>
        <w:widowControl w:val="0"/>
        <w:shd w:val="clear" w:color="auto"/>
        <w:tabs>
          <w:tab w:val="left" w:pos="954"/>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12" w:name="bookmark900"/>
      <w:bookmarkEnd w:id="112"/>
      <w:r>
        <w:rPr>
          <w:rStyle w:val="29"/>
          <w:rFonts w:hint="eastAsia" w:ascii="宋体" w:hAnsi="宋体" w:eastAsia="宋体" w:cs="宋体"/>
          <w:color w:val="auto"/>
          <w:kern w:val="2"/>
          <w:sz w:val="21"/>
          <w:szCs w:val="21"/>
          <w:highlight w:val="none"/>
          <w:lang w:val="en-US" w:bidi="en-US"/>
        </w:rPr>
        <w:t>1.1.4.5</w:t>
      </w:r>
      <w:r>
        <w:rPr>
          <w:rStyle w:val="29"/>
          <w:rFonts w:hint="eastAsia" w:ascii="宋体" w:hAnsi="宋体" w:eastAsia="宋体" w:cs="宋体"/>
          <w:color w:val="auto"/>
          <w:kern w:val="2"/>
          <w:sz w:val="21"/>
          <w:szCs w:val="21"/>
          <w:highlight w:val="none"/>
          <w:lang w:val="en-US" w:bidi="ar-SA"/>
        </w:rPr>
        <w:t>缺陷责任期：即工程质量保修期，指履行第</w:t>
      </w:r>
      <w:r>
        <w:rPr>
          <w:rStyle w:val="29"/>
          <w:rFonts w:hint="eastAsia" w:ascii="宋体" w:hAnsi="宋体" w:eastAsia="宋体" w:cs="宋体"/>
          <w:color w:val="auto"/>
          <w:kern w:val="2"/>
          <w:sz w:val="21"/>
          <w:szCs w:val="21"/>
          <w:highlight w:val="none"/>
          <w:lang w:val="en-US" w:bidi="en-US"/>
        </w:rPr>
        <w:t>19.</w:t>
      </w:r>
      <w:r>
        <w:rPr>
          <w:rStyle w:val="29"/>
          <w:rFonts w:hint="eastAsia" w:ascii="宋体" w:hAnsi="宋体" w:eastAsia="宋体" w:cs="宋体"/>
          <w:color w:val="auto"/>
          <w:kern w:val="2"/>
          <w:sz w:val="21"/>
          <w:szCs w:val="21"/>
          <w:highlight w:val="none"/>
          <w:lang w:val="en-US" w:bidi="ar-SA"/>
        </w:rPr>
        <w:t>2款约定的缺陷责任的期限,包括根据第</w:t>
      </w:r>
      <w:r>
        <w:rPr>
          <w:rStyle w:val="29"/>
          <w:rFonts w:hint="eastAsia" w:ascii="宋体" w:hAnsi="宋体" w:eastAsia="宋体" w:cs="宋体"/>
          <w:color w:val="auto"/>
          <w:kern w:val="2"/>
          <w:sz w:val="21"/>
          <w:szCs w:val="21"/>
          <w:highlight w:val="none"/>
          <w:lang w:val="en-US" w:bidi="en-US"/>
        </w:rPr>
        <w:t>19.</w:t>
      </w:r>
      <w:r>
        <w:rPr>
          <w:rStyle w:val="29"/>
          <w:rFonts w:hint="eastAsia" w:ascii="宋体" w:hAnsi="宋体" w:eastAsia="宋体" w:cs="宋体"/>
          <w:color w:val="auto"/>
          <w:kern w:val="2"/>
          <w:sz w:val="21"/>
          <w:szCs w:val="21"/>
          <w:highlight w:val="none"/>
          <w:lang w:val="en-US" w:bidi="ar-SA"/>
        </w:rPr>
        <w:t>3款约定所作的延长，具体期限由专用合同条款约定。</w:t>
      </w:r>
    </w:p>
    <w:p w14:paraId="5657B44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1.1.4.6</w:t>
      </w:r>
      <w:r>
        <w:rPr>
          <w:rStyle w:val="29"/>
          <w:rFonts w:hint="eastAsia" w:ascii="宋体" w:hAnsi="宋体" w:eastAsia="宋体" w:cs="宋体"/>
          <w:color w:val="auto"/>
          <w:kern w:val="2"/>
          <w:sz w:val="21"/>
          <w:szCs w:val="21"/>
          <w:highlight w:val="none"/>
          <w:lang w:val="en-US" w:bidi="ar-SA"/>
        </w:rPr>
        <w:t>基准日期：指投标截止时间前28天的日期。</w:t>
      </w:r>
    </w:p>
    <w:p w14:paraId="2DCE0C2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1.1.4.7</w:t>
      </w:r>
      <w:r>
        <w:rPr>
          <w:rStyle w:val="29"/>
          <w:rFonts w:hint="eastAsia" w:ascii="宋体" w:hAnsi="宋体" w:eastAsia="宋体" w:cs="宋体"/>
          <w:color w:val="auto"/>
          <w:kern w:val="2"/>
          <w:sz w:val="21"/>
          <w:szCs w:val="21"/>
          <w:highlight w:val="none"/>
          <w:lang w:val="en-US" w:bidi="ar-SA"/>
        </w:rPr>
        <w:t>天：除特别指明外，指日历天。合同中按天计算时间的，开始当天不计入,从次日开始计算。期限最后一天的截止时间为当天24：</w:t>
      </w:r>
      <w:r>
        <w:rPr>
          <w:rStyle w:val="29"/>
          <w:rFonts w:hint="eastAsia" w:ascii="宋体" w:hAnsi="宋体" w:eastAsia="宋体" w:cs="宋体"/>
          <w:color w:val="auto"/>
          <w:kern w:val="2"/>
          <w:sz w:val="21"/>
          <w:szCs w:val="21"/>
          <w:highlight w:val="none"/>
          <w:lang w:val="en-US" w:bidi="en-US"/>
        </w:rPr>
        <w:t>00</w:t>
      </w:r>
      <w:r>
        <w:rPr>
          <w:rStyle w:val="29"/>
          <w:rFonts w:hint="eastAsia" w:ascii="宋体" w:hAnsi="宋体" w:eastAsia="宋体" w:cs="宋体"/>
          <w:color w:val="auto"/>
          <w:kern w:val="2"/>
          <w:sz w:val="21"/>
          <w:szCs w:val="21"/>
          <w:highlight w:val="none"/>
          <w:vertAlign w:val="subscript"/>
          <w:lang w:val="en-US" w:bidi="en-US"/>
        </w:rPr>
        <w:t>o</w:t>
      </w:r>
    </w:p>
    <w:p w14:paraId="4782A0E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1.1.5</w:t>
      </w:r>
      <w:r>
        <w:rPr>
          <w:rStyle w:val="29"/>
          <w:rFonts w:hint="eastAsia" w:ascii="宋体" w:hAnsi="宋体" w:eastAsia="宋体" w:cs="宋体"/>
          <w:color w:val="auto"/>
          <w:kern w:val="2"/>
          <w:sz w:val="21"/>
          <w:szCs w:val="21"/>
          <w:highlight w:val="none"/>
          <w:lang w:val="en-US" w:bidi="ar-SA"/>
        </w:rPr>
        <w:t>合同价格和费用</w:t>
      </w:r>
    </w:p>
    <w:p w14:paraId="088D3849">
      <w:pPr>
        <w:pStyle w:val="100"/>
        <w:keepNext w:val="0"/>
        <w:keepLines w:val="0"/>
        <w:pageBreakBefore w:val="0"/>
        <w:widowControl w:val="0"/>
        <w:shd w:val="clear" w:color="auto"/>
        <w:tabs>
          <w:tab w:val="left" w:pos="934"/>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13" w:name="bookmark901"/>
      <w:bookmarkEnd w:id="113"/>
      <w:r>
        <w:rPr>
          <w:rStyle w:val="29"/>
          <w:rFonts w:hint="eastAsia" w:ascii="宋体" w:hAnsi="宋体" w:eastAsia="宋体" w:cs="宋体"/>
          <w:color w:val="auto"/>
          <w:kern w:val="2"/>
          <w:sz w:val="21"/>
          <w:szCs w:val="21"/>
          <w:highlight w:val="none"/>
          <w:lang w:val="en-US" w:bidi="en-US"/>
        </w:rPr>
        <w:t>1.1.5.1</w:t>
      </w:r>
      <w:r>
        <w:rPr>
          <w:rStyle w:val="29"/>
          <w:rFonts w:hint="eastAsia" w:ascii="宋体" w:hAnsi="宋体" w:eastAsia="宋体" w:cs="宋体"/>
          <w:color w:val="auto"/>
          <w:kern w:val="2"/>
          <w:sz w:val="21"/>
          <w:szCs w:val="21"/>
          <w:highlight w:val="none"/>
          <w:lang w:val="en-US" w:bidi="ar-SA"/>
        </w:rPr>
        <w:t>签约合同价：指签定合同时合同协议书中写明的，包括了暂列金额、暂估价的合同总金额。</w:t>
      </w:r>
    </w:p>
    <w:p w14:paraId="4DCA83FA">
      <w:pPr>
        <w:pStyle w:val="100"/>
        <w:keepNext w:val="0"/>
        <w:keepLines w:val="0"/>
        <w:pageBreakBefore w:val="0"/>
        <w:widowControl w:val="0"/>
        <w:shd w:val="clear" w:color="auto"/>
        <w:tabs>
          <w:tab w:val="left" w:pos="954"/>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14" w:name="bookmark902"/>
      <w:bookmarkEnd w:id="114"/>
      <w:r>
        <w:rPr>
          <w:rStyle w:val="29"/>
          <w:rFonts w:hint="eastAsia" w:ascii="宋体" w:hAnsi="宋体" w:eastAsia="宋体" w:cs="宋体"/>
          <w:color w:val="auto"/>
          <w:kern w:val="2"/>
          <w:sz w:val="21"/>
          <w:szCs w:val="21"/>
          <w:highlight w:val="none"/>
          <w:lang w:val="en-US" w:bidi="ar-SA"/>
        </w:rPr>
        <w:t>1.1.5.2合同价格：指承包人按合同约定完成了包括缺陷责任期内的全部承包工作后，发包人应付给承包人的金额，包括在履行合同过程中按合同约定进行的变更和调整。</w:t>
      </w:r>
    </w:p>
    <w:p w14:paraId="3EF96EAA">
      <w:pPr>
        <w:pStyle w:val="100"/>
        <w:keepNext w:val="0"/>
        <w:keepLines w:val="0"/>
        <w:pageBreakBefore w:val="0"/>
        <w:widowControl w:val="0"/>
        <w:shd w:val="clear" w:color="auto"/>
        <w:tabs>
          <w:tab w:val="left" w:pos="954"/>
        </w:tabs>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15" w:name="bookmark903"/>
      <w:bookmarkEnd w:id="115"/>
      <w:r>
        <w:rPr>
          <w:rStyle w:val="29"/>
          <w:rFonts w:hint="eastAsia" w:ascii="宋体" w:hAnsi="宋体" w:eastAsia="宋体" w:cs="宋体"/>
          <w:color w:val="auto"/>
          <w:kern w:val="2"/>
          <w:sz w:val="21"/>
          <w:szCs w:val="21"/>
          <w:highlight w:val="none"/>
          <w:lang w:val="en-US" w:bidi="ar-SA"/>
        </w:rPr>
        <w:t>1.1.5.3费用：指为履行合同所发生的或将要发生的所有合理开支，包括管理费和应分摊的其他费用，但不包括利润。</w:t>
      </w:r>
    </w:p>
    <w:p w14:paraId="1F6CDF4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1.1.5.4</w:t>
      </w:r>
      <w:r>
        <w:rPr>
          <w:rStyle w:val="29"/>
          <w:rFonts w:hint="eastAsia" w:ascii="宋体" w:hAnsi="宋体" w:eastAsia="宋体" w:cs="宋体"/>
          <w:color w:val="auto"/>
          <w:kern w:val="2"/>
          <w:sz w:val="21"/>
          <w:szCs w:val="21"/>
          <w:highlight w:val="none"/>
          <w:lang w:val="en-US" w:bidi="ar-SA"/>
        </w:rPr>
        <w:t>暂列金额：指已标价工程量清单中所列的暂列金额，用于在签订协议书时尚未确定或不可预见变更的施工及其所需材料、工程设备、服务等的金额，包括以计日工方式支付的金额。</w:t>
      </w:r>
    </w:p>
    <w:p w14:paraId="583B319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1. 1.5.5</w:t>
      </w:r>
      <w:r>
        <w:rPr>
          <w:rStyle w:val="29"/>
          <w:rFonts w:hint="eastAsia" w:ascii="宋体" w:hAnsi="宋体" w:eastAsia="宋体" w:cs="宋体"/>
          <w:color w:val="auto"/>
          <w:kern w:val="2"/>
          <w:sz w:val="21"/>
          <w:szCs w:val="21"/>
          <w:highlight w:val="none"/>
          <w:lang w:val="en-US" w:bidi="ar-SA"/>
        </w:rPr>
        <w:t>暂估价：指发包人在工程量清单中给定的用于支付必然发生但暂时不能确定价格的材料、设备以及专业工程的金额。</w:t>
      </w:r>
    </w:p>
    <w:p w14:paraId="7401DF4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bookmarkStart w:id="116" w:name="bookmark904"/>
      <w:bookmarkEnd w:id="116"/>
      <w:r>
        <w:rPr>
          <w:rStyle w:val="29"/>
          <w:rFonts w:hint="eastAsia" w:ascii="宋体" w:hAnsi="宋体" w:eastAsia="宋体" w:cs="宋体"/>
          <w:color w:val="auto"/>
          <w:kern w:val="2"/>
          <w:sz w:val="21"/>
          <w:szCs w:val="21"/>
          <w:highlight w:val="none"/>
          <w:lang w:val="en-US" w:bidi="en-US"/>
        </w:rPr>
        <w:t>1.1.5. 6</w:t>
      </w:r>
      <w:r>
        <w:rPr>
          <w:rStyle w:val="29"/>
          <w:rFonts w:hint="eastAsia" w:ascii="宋体" w:hAnsi="宋体" w:eastAsia="宋体" w:cs="宋体"/>
          <w:color w:val="auto"/>
          <w:kern w:val="2"/>
          <w:sz w:val="21"/>
          <w:szCs w:val="21"/>
          <w:highlight w:val="none"/>
          <w:lang w:val="en-US" w:bidi="ar-SA"/>
        </w:rPr>
        <w:t>计日工：指对零星工作采取的一种计价方式，按合同中的计日工子目及其单价计价付款。</w:t>
      </w:r>
    </w:p>
    <w:p w14:paraId="1276084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en-US"/>
        </w:rPr>
        <w:t>1.1.5.7</w:t>
      </w:r>
      <w:r>
        <w:rPr>
          <w:rStyle w:val="29"/>
          <w:rFonts w:hint="eastAsia" w:ascii="宋体" w:hAnsi="宋体" w:eastAsia="宋体" w:cs="宋体"/>
          <w:color w:val="auto"/>
          <w:kern w:val="2"/>
          <w:sz w:val="21"/>
          <w:szCs w:val="21"/>
          <w:highlight w:val="none"/>
          <w:lang w:val="en-US" w:bidi="ar-SA"/>
        </w:rPr>
        <w:t>质量保证金(或称保留金)：指按第</w:t>
      </w:r>
      <w:r>
        <w:rPr>
          <w:rStyle w:val="29"/>
          <w:rFonts w:hint="eastAsia" w:ascii="宋体" w:hAnsi="宋体" w:eastAsia="宋体" w:cs="宋体"/>
          <w:color w:val="auto"/>
          <w:kern w:val="2"/>
          <w:sz w:val="21"/>
          <w:szCs w:val="21"/>
          <w:highlight w:val="none"/>
          <w:lang w:val="en-US" w:bidi="en-US"/>
        </w:rPr>
        <w:t>17.4.1</w:t>
      </w:r>
      <w:r>
        <w:rPr>
          <w:rStyle w:val="29"/>
          <w:rFonts w:hint="eastAsia" w:ascii="宋体" w:hAnsi="宋体" w:eastAsia="宋体" w:cs="宋体"/>
          <w:color w:val="auto"/>
          <w:kern w:val="2"/>
          <w:sz w:val="21"/>
          <w:szCs w:val="21"/>
          <w:highlight w:val="none"/>
          <w:lang w:val="en-US" w:bidi="ar-SA"/>
        </w:rPr>
        <w:t>项约定用于保证在缺陷责任期内履行缺陷修复义务的金额。</w:t>
      </w:r>
    </w:p>
    <w:p w14:paraId="08B2879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eastAsia="zh-CN" w:bidi="en-US"/>
        </w:rPr>
      </w:pPr>
      <w:r>
        <w:rPr>
          <w:rStyle w:val="29"/>
          <w:rFonts w:hint="eastAsia" w:ascii="宋体" w:hAnsi="宋体" w:eastAsia="宋体" w:cs="宋体"/>
          <w:color w:val="auto"/>
          <w:kern w:val="2"/>
          <w:sz w:val="21"/>
          <w:szCs w:val="21"/>
          <w:highlight w:val="none"/>
          <w:lang w:val="en-US" w:eastAsia="zh-CN" w:bidi="en-US"/>
        </w:rPr>
        <w:t>1.1.6</w:t>
      </w:r>
      <w:r>
        <w:rPr>
          <w:rStyle w:val="29"/>
          <w:rFonts w:hint="eastAsia" w:ascii="宋体" w:hAnsi="宋体" w:eastAsia="宋体" w:cs="宋体"/>
          <w:color w:val="auto"/>
          <w:kern w:val="2"/>
          <w:sz w:val="21"/>
          <w:szCs w:val="21"/>
          <w:highlight w:val="none"/>
          <w:lang w:val="zh-CN" w:eastAsia="zh-CN" w:bidi="en-US"/>
        </w:rPr>
        <w:t>其他</w:t>
      </w:r>
    </w:p>
    <w:p w14:paraId="468F7FE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17" w:name="bookmark905"/>
      <w:bookmarkEnd w:id="117"/>
      <w:r>
        <w:rPr>
          <w:rStyle w:val="29"/>
          <w:rFonts w:hint="eastAsia" w:ascii="宋体" w:hAnsi="宋体" w:eastAsia="宋体" w:cs="宋体"/>
          <w:color w:val="auto"/>
          <w:kern w:val="2"/>
          <w:sz w:val="21"/>
          <w:szCs w:val="21"/>
          <w:highlight w:val="none"/>
          <w:lang w:val="en-US" w:bidi="en-US"/>
        </w:rPr>
        <w:t>1.1.6.1书面形式：指合同文件、信函、电报、传真等可以有形地表现所载内容的形式。</w:t>
      </w:r>
    </w:p>
    <w:p w14:paraId="6BC6EF3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8" w:name="bookmark908"/>
      <w:bookmarkStart w:id="119" w:name="bookmark907"/>
      <w:bookmarkStart w:id="120" w:name="_Toc6385"/>
      <w:bookmarkStart w:id="121" w:name="_Toc256000008"/>
      <w:bookmarkStart w:id="122" w:name="bookmark906"/>
      <w:bookmarkStart w:id="123" w:name="_Toc16626"/>
      <w:r>
        <w:rPr>
          <w:rStyle w:val="29"/>
          <w:rFonts w:hint="eastAsia" w:ascii="宋体" w:hAnsi="宋体" w:eastAsia="宋体" w:cs="宋体"/>
          <w:color w:val="auto"/>
          <w:kern w:val="2"/>
          <w:sz w:val="21"/>
          <w:szCs w:val="21"/>
          <w:highlight w:val="none"/>
          <w:lang w:eastAsia="zh-CN"/>
        </w:rPr>
        <w:t>1.2语言文字</w:t>
      </w:r>
      <w:bookmarkEnd w:id="118"/>
      <w:bookmarkEnd w:id="119"/>
      <w:bookmarkEnd w:id="120"/>
      <w:bookmarkEnd w:id="121"/>
      <w:bookmarkEnd w:id="122"/>
      <w:bookmarkEnd w:id="123"/>
    </w:p>
    <w:p w14:paraId="700E365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除专用术语外，合同使用的语言文字为中文。必要时专用术语应附有中文注释。</w:t>
      </w:r>
    </w:p>
    <w:p w14:paraId="78D0BE9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4" w:name="bookmark910"/>
      <w:bookmarkStart w:id="125" w:name="_Toc7852"/>
      <w:bookmarkStart w:id="126" w:name="bookmark911"/>
      <w:bookmarkStart w:id="127" w:name="_Toc256000009"/>
      <w:bookmarkStart w:id="128" w:name="_Toc24132"/>
      <w:bookmarkStart w:id="129" w:name="bookmark909"/>
      <w:r>
        <w:rPr>
          <w:rStyle w:val="29"/>
          <w:rFonts w:hint="eastAsia" w:ascii="宋体" w:hAnsi="宋体" w:eastAsia="宋体" w:cs="宋体"/>
          <w:color w:val="auto"/>
          <w:kern w:val="2"/>
          <w:sz w:val="21"/>
          <w:szCs w:val="21"/>
          <w:highlight w:val="none"/>
          <w:lang w:eastAsia="zh-CN"/>
        </w:rPr>
        <w:t>1.3法律</w:t>
      </w:r>
      <w:bookmarkEnd w:id="124"/>
      <w:bookmarkEnd w:id="125"/>
      <w:bookmarkEnd w:id="126"/>
      <w:bookmarkEnd w:id="127"/>
      <w:bookmarkEnd w:id="128"/>
      <w:bookmarkEnd w:id="129"/>
    </w:p>
    <w:p w14:paraId="0AB9828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适用于合同的法律包括中华人民共和国法律、行政法规、部门规章，以及工程所在地的地方法规、自治条例、单行条例和地方政府规章。</w:t>
      </w:r>
    </w:p>
    <w:p w14:paraId="2FB9F91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30" w:name="_Toc256000010"/>
      <w:bookmarkStart w:id="131" w:name="_Toc17089"/>
      <w:bookmarkStart w:id="132" w:name="bookmark913"/>
      <w:bookmarkStart w:id="133" w:name="bookmark912"/>
      <w:bookmarkStart w:id="134" w:name="_Toc32102"/>
      <w:bookmarkStart w:id="135" w:name="bookmark914"/>
      <w:r>
        <w:rPr>
          <w:rStyle w:val="29"/>
          <w:rFonts w:hint="eastAsia" w:ascii="宋体" w:hAnsi="宋体" w:eastAsia="宋体" w:cs="宋体"/>
          <w:color w:val="auto"/>
          <w:kern w:val="2"/>
          <w:sz w:val="21"/>
          <w:szCs w:val="21"/>
          <w:highlight w:val="none"/>
          <w:lang w:eastAsia="zh-CN"/>
        </w:rPr>
        <w:t>1.4合同文件的优先顺序</w:t>
      </w:r>
      <w:bookmarkEnd w:id="130"/>
      <w:bookmarkEnd w:id="131"/>
      <w:bookmarkEnd w:id="132"/>
      <w:bookmarkEnd w:id="133"/>
      <w:bookmarkEnd w:id="134"/>
      <w:bookmarkEnd w:id="135"/>
    </w:p>
    <w:p w14:paraId="64273B8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组成合同的各项文件应互相解释，互为说明。除专用合同条款另有约定外，解释合同文件的优先顺序如下：</w:t>
      </w:r>
    </w:p>
    <w:p w14:paraId="01988D0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36" w:name="bookmark915"/>
      <w:bookmarkEnd w:id="136"/>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合同协议书；</w:t>
      </w:r>
    </w:p>
    <w:p w14:paraId="0BC98EA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37" w:name="bookmark916"/>
      <w:bookmarkEnd w:id="137"/>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中标通知书；</w:t>
      </w:r>
    </w:p>
    <w:p w14:paraId="21B896B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38" w:name="bookmark917"/>
      <w:bookmarkEnd w:id="138"/>
      <w:r>
        <w:rPr>
          <w:rStyle w:val="29"/>
          <w:rFonts w:hint="eastAsia" w:ascii="宋体" w:hAnsi="宋体" w:eastAsia="宋体" w:cs="宋体"/>
          <w:color w:val="auto"/>
          <w:kern w:val="2"/>
          <w:sz w:val="21"/>
          <w:szCs w:val="21"/>
          <w:highlight w:val="none"/>
          <w:lang w:val="zh-CN" w:eastAsia="zh-CN" w:bidi="en-US"/>
        </w:rPr>
        <w:t>(3)</w:t>
      </w:r>
      <w:r>
        <w:rPr>
          <w:rStyle w:val="29"/>
          <w:rFonts w:hint="eastAsia" w:ascii="宋体" w:hAnsi="宋体" w:eastAsia="宋体" w:cs="宋体"/>
          <w:color w:val="auto"/>
          <w:kern w:val="2"/>
          <w:sz w:val="21"/>
          <w:szCs w:val="21"/>
          <w:highlight w:val="none"/>
          <w:lang w:val="en-US" w:bidi="en-US"/>
        </w:rPr>
        <w:t>投标函及投标函附录；</w:t>
      </w:r>
    </w:p>
    <w:p w14:paraId="73402F2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39" w:name="bookmark918"/>
      <w:bookmarkEnd w:id="139"/>
      <w:r>
        <w:rPr>
          <w:rStyle w:val="29"/>
          <w:rFonts w:hint="eastAsia" w:ascii="宋体" w:hAnsi="宋体" w:eastAsia="宋体" w:cs="宋体"/>
          <w:color w:val="auto"/>
          <w:kern w:val="2"/>
          <w:sz w:val="21"/>
          <w:szCs w:val="21"/>
          <w:highlight w:val="none"/>
          <w:lang w:val="zh-CN" w:eastAsia="zh-CN" w:bidi="en-US"/>
        </w:rPr>
        <w:t>(4)</w:t>
      </w:r>
      <w:r>
        <w:rPr>
          <w:rStyle w:val="29"/>
          <w:rFonts w:hint="eastAsia" w:ascii="宋体" w:hAnsi="宋体" w:eastAsia="宋体" w:cs="宋体"/>
          <w:color w:val="auto"/>
          <w:kern w:val="2"/>
          <w:sz w:val="21"/>
          <w:szCs w:val="21"/>
          <w:highlight w:val="none"/>
          <w:lang w:val="en-US" w:bidi="en-US"/>
        </w:rPr>
        <w:t>专用合同条款；</w:t>
      </w:r>
    </w:p>
    <w:p w14:paraId="6DBE055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40" w:name="bookmark919"/>
      <w:bookmarkEnd w:id="140"/>
      <w:r>
        <w:rPr>
          <w:rStyle w:val="29"/>
          <w:rFonts w:hint="eastAsia" w:ascii="宋体" w:hAnsi="宋体" w:eastAsia="宋体" w:cs="宋体"/>
          <w:color w:val="auto"/>
          <w:kern w:val="2"/>
          <w:sz w:val="21"/>
          <w:szCs w:val="21"/>
          <w:highlight w:val="none"/>
          <w:lang w:val="zh-CN" w:eastAsia="zh-CN" w:bidi="en-US"/>
        </w:rPr>
        <w:t>(5)</w:t>
      </w:r>
      <w:r>
        <w:rPr>
          <w:rStyle w:val="29"/>
          <w:rFonts w:hint="eastAsia" w:ascii="宋体" w:hAnsi="宋体" w:eastAsia="宋体" w:cs="宋体"/>
          <w:color w:val="auto"/>
          <w:kern w:val="2"/>
          <w:sz w:val="21"/>
          <w:szCs w:val="21"/>
          <w:highlight w:val="none"/>
          <w:lang w:val="en-US" w:bidi="en-US"/>
        </w:rPr>
        <w:t>通用合同条款；</w:t>
      </w:r>
    </w:p>
    <w:p w14:paraId="21E6CCB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41" w:name="bookmark920"/>
      <w:bookmarkEnd w:id="141"/>
      <w:r>
        <w:rPr>
          <w:rStyle w:val="29"/>
          <w:rFonts w:hint="eastAsia" w:ascii="宋体" w:hAnsi="宋体" w:eastAsia="宋体" w:cs="宋体"/>
          <w:color w:val="auto"/>
          <w:kern w:val="2"/>
          <w:sz w:val="21"/>
          <w:szCs w:val="21"/>
          <w:highlight w:val="none"/>
          <w:lang w:val="zh-CN" w:eastAsia="zh-CN" w:bidi="en-US"/>
        </w:rPr>
        <w:t>(6)</w:t>
      </w:r>
      <w:r>
        <w:rPr>
          <w:rStyle w:val="29"/>
          <w:rFonts w:hint="eastAsia" w:ascii="宋体" w:hAnsi="宋体" w:eastAsia="宋体" w:cs="宋体"/>
          <w:color w:val="auto"/>
          <w:kern w:val="2"/>
          <w:sz w:val="21"/>
          <w:szCs w:val="21"/>
          <w:highlight w:val="none"/>
          <w:lang w:val="en-US" w:bidi="en-US"/>
        </w:rPr>
        <w:t>技术标准和要求；</w:t>
      </w:r>
    </w:p>
    <w:p w14:paraId="5AC04EC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42" w:name="bookmark921"/>
      <w:bookmarkEnd w:id="142"/>
      <w:r>
        <w:rPr>
          <w:rStyle w:val="29"/>
          <w:rFonts w:hint="eastAsia" w:ascii="宋体" w:hAnsi="宋体" w:eastAsia="宋体" w:cs="宋体"/>
          <w:color w:val="auto"/>
          <w:kern w:val="2"/>
          <w:sz w:val="21"/>
          <w:szCs w:val="21"/>
          <w:highlight w:val="none"/>
          <w:lang w:val="zh-CN" w:eastAsia="zh-CN" w:bidi="en-US"/>
        </w:rPr>
        <w:t>(7)</w:t>
      </w:r>
      <w:r>
        <w:rPr>
          <w:rStyle w:val="29"/>
          <w:rFonts w:hint="eastAsia" w:ascii="宋体" w:hAnsi="宋体" w:eastAsia="宋体" w:cs="宋体"/>
          <w:color w:val="auto"/>
          <w:kern w:val="2"/>
          <w:sz w:val="21"/>
          <w:szCs w:val="21"/>
          <w:highlight w:val="none"/>
          <w:lang w:val="en-US" w:bidi="en-US"/>
        </w:rPr>
        <w:t>图纸；</w:t>
      </w:r>
    </w:p>
    <w:p w14:paraId="7276DB3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43" w:name="bookmark922"/>
      <w:bookmarkEnd w:id="143"/>
      <w:r>
        <w:rPr>
          <w:rStyle w:val="29"/>
          <w:rFonts w:hint="eastAsia" w:ascii="宋体" w:hAnsi="宋体" w:eastAsia="宋体" w:cs="宋体"/>
          <w:color w:val="auto"/>
          <w:kern w:val="2"/>
          <w:sz w:val="21"/>
          <w:szCs w:val="21"/>
          <w:highlight w:val="none"/>
          <w:lang w:val="zh-CN" w:eastAsia="zh-CN" w:bidi="en-US"/>
        </w:rPr>
        <w:t>(8)</w:t>
      </w:r>
      <w:r>
        <w:rPr>
          <w:rStyle w:val="29"/>
          <w:rFonts w:hint="eastAsia" w:ascii="宋体" w:hAnsi="宋体" w:eastAsia="宋体" w:cs="宋体"/>
          <w:color w:val="auto"/>
          <w:kern w:val="2"/>
          <w:sz w:val="21"/>
          <w:szCs w:val="21"/>
          <w:highlight w:val="none"/>
          <w:lang w:val="en-US" w:bidi="en-US"/>
        </w:rPr>
        <w:t>已标价工程量清单；</w:t>
      </w:r>
    </w:p>
    <w:p w14:paraId="357145C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144" w:name="bookmark923"/>
      <w:bookmarkEnd w:id="144"/>
      <w:r>
        <w:rPr>
          <w:rStyle w:val="29"/>
          <w:rFonts w:hint="eastAsia" w:ascii="宋体" w:hAnsi="宋体" w:eastAsia="宋体" w:cs="宋体"/>
          <w:color w:val="auto"/>
          <w:kern w:val="2"/>
          <w:sz w:val="21"/>
          <w:szCs w:val="21"/>
          <w:highlight w:val="none"/>
          <w:lang w:val="zh-CN" w:eastAsia="zh-CN" w:bidi="en-US"/>
        </w:rPr>
        <w:t>(9)</w:t>
      </w:r>
      <w:r>
        <w:rPr>
          <w:rStyle w:val="29"/>
          <w:rFonts w:hint="eastAsia" w:ascii="宋体" w:hAnsi="宋体" w:eastAsia="宋体" w:cs="宋体"/>
          <w:color w:val="auto"/>
          <w:kern w:val="2"/>
          <w:sz w:val="21"/>
          <w:szCs w:val="21"/>
          <w:highlight w:val="none"/>
          <w:lang w:val="en-US" w:bidi="en-US"/>
        </w:rPr>
        <w:t>其他合同文件。</w:t>
      </w:r>
    </w:p>
    <w:p w14:paraId="490F4C8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45" w:name="_Toc256000011"/>
      <w:bookmarkStart w:id="146" w:name="_Toc30693"/>
      <w:bookmarkStart w:id="147" w:name="_Toc11037"/>
      <w:bookmarkStart w:id="148" w:name="bookmark925"/>
      <w:bookmarkStart w:id="149" w:name="bookmark926"/>
      <w:bookmarkStart w:id="150" w:name="bookmark924"/>
      <w:r>
        <w:rPr>
          <w:rStyle w:val="29"/>
          <w:rFonts w:hint="eastAsia" w:ascii="宋体" w:hAnsi="宋体" w:eastAsia="宋体" w:cs="宋体"/>
          <w:color w:val="auto"/>
          <w:kern w:val="2"/>
          <w:sz w:val="21"/>
          <w:szCs w:val="21"/>
          <w:highlight w:val="none"/>
          <w:lang w:eastAsia="zh-CN"/>
        </w:rPr>
        <w:t>1.5合同协议书</w:t>
      </w:r>
      <w:bookmarkEnd w:id="145"/>
      <w:bookmarkEnd w:id="146"/>
      <w:bookmarkEnd w:id="147"/>
      <w:bookmarkEnd w:id="148"/>
      <w:bookmarkEnd w:id="149"/>
      <w:bookmarkEnd w:id="150"/>
    </w:p>
    <w:p w14:paraId="503B366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承包人按中标通知书规定的时间与发包人签订合同协议书。除法律另有规定或合同另有约定外，发包人和承包人的法定代表人或其委托代理人在合同协议书上签字并盖单位电子公章后，合同生效。</w:t>
      </w:r>
    </w:p>
    <w:p w14:paraId="5DC14A9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51" w:name="_Toc10434"/>
      <w:bookmarkStart w:id="152" w:name="bookmark927"/>
      <w:bookmarkStart w:id="153" w:name="bookmark929"/>
      <w:bookmarkStart w:id="154" w:name="_Toc14160"/>
      <w:bookmarkStart w:id="155" w:name="_Toc256000012"/>
      <w:bookmarkStart w:id="156" w:name="bookmark928"/>
      <w:r>
        <w:rPr>
          <w:rStyle w:val="29"/>
          <w:rFonts w:hint="eastAsia" w:ascii="宋体" w:hAnsi="宋体" w:eastAsia="宋体" w:cs="宋体"/>
          <w:color w:val="auto"/>
          <w:kern w:val="2"/>
          <w:sz w:val="21"/>
          <w:szCs w:val="21"/>
          <w:highlight w:val="none"/>
          <w:lang w:eastAsia="zh-CN"/>
        </w:rPr>
        <w:t>1.6图纸和承包人文件</w:t>
      </w:r>
      <w:bookmarkEnd w:id="151"/>
      <w:bookmarkEnd w:id="152"/>
      <w:bookmarkEnd w:id="153"/>
      <w:bookmarkEnd w:id="154"/>
      <w:bookmarkEnd w:id="155"/>
      <w:bookmarkEnd w:id="156"/>
    </w:p>
    <w:p w14:paraId="4963822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1.6.1图纸的提供</w:t>
      </w:r>
    </w:p>
    <w:p w14:paraId="0C72FD7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发包人应按技术标准和要求(合同技术条款)约定的期限和数量将施工图纸以及其它图纸（包括配套说明和有关资料）提供给承包人。由于发包人未按时提供图纸造成工期延误的，按第11.3款的约定办理。</w:t>
      </w:r>
    </w:p>
    <w:p w14:paraId="01C6107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1.6.2承包人提供的文件</w:t>
      </w:r>
    </w:p>
    <w:p w14:paraId="7EF8F26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承包人提供的文件应按技术标准和要求（合同技术条款）约定的期限和数量提供给监理人。监理人应按技术标准和要求（合同技术条款）约定的期限批复承包人。</w:t>
      </w:r>
    </w:p>
    <w:p w14:paraId="2104048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1.6.3图纸的修改</w:t>
      </w:r>
    </w:p>
    <w:p w14:paraId="484189D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664B891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1.6.4图纸的错误</w:t>
      </w:r>
    </w:p>
    <w:p w14:paraId="2E04394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承包人发现发包人提供的图纸存在明显错误或疏忽，应及时通知监理人。</w:t>
      </w:r>
    </w:p>
    <w:p w14:paraId="71793C2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1.6.5图纸和承包人文件的保管</w:t>
      </w:r>
    </w:p>
    <w:p w14:paraId="380BEAE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监理人和承包人均应在施工场地各保存一套完整的包含第1.6.1项、第1.6.2项、第1.6.3项约定内容的图纸和承包人文件。</w:t>
      </w:r>
    </w:p>
    <w:p w14:paraId="4505261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57" w:name="_Toc256000013"/>
      <w:bookmarkStart w:id="158" w:name="bookmark930"/>
      <w:bookmarkStart w:id="159" w:name="_Toc28325"/>
      <w:bookmarkStart w:id="160" w:name="bookmark931"/>
      <w:bookmarkStart w:id="161" w:name="bookmark932"/>
      <w:bookmarkStart w:id="162" w:name="_Toc18431"/>
      <w:r>
        <w:rPr>
          <w:rStyle w:val="29"/>
          <w:rFonts w:hint="eastAsia" w:ascii="宋体" w:hAnsi="宋体" w:eastAsia="宋体" w:cs="宋体"/>
          <w:color w:val="auto"/>
          <w:kern w:val="2"/>
          <w:sz w:val="21"/>
          <w:szCs w:val="21"/>
          <w:highlight w:val="none"/>
          <w:lang w:eastAsia="zh-CN"/>
        </w:rPr>
        <w:t>1.7联络</w:t>
      </w:r>
      <w:bookmarkEnd w:id="157"/>
      <w:bookmarkEnd w:id="158"/>
      <w:bookmarkEnd w:id="159"/>
      <w:bookmarkEnd w:id="160"/>
      <w:bookmarkEnd w:id="161"/>
      <w:bookmarkEnd w:id="162"/>
    </w:p>
    <w:p w14:paraId="7E77E9D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1.7.1与合同有关的通知、批准、证明、证书、指示、要求、请求、同意、意见、确定和决定等，均应采用书面形式。</w:t>
      </w:r>
    </w:p>
    <w:p w14:paraId="5B73603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1.7.2第1.7.1项中的通知、批准、证明、证书、指示、要求、请求、同意、意见、确定和决定等来往函件，均应在合同约定的期限内送达指定地点和接收人，并办理签收手续。来往函件的送达期限在技术标准和要求（合同技术条款）中约定，送达地点在专用合同条款中约定。</w:t>
      </w:r>
    </w:p>
    <w:p w14:paraId="2A742AC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1.7.3来往函件均应按合同约定的期限及时发出和答复，不得无故扣压和拖延，亦不得拒收。否则，由此造成的后果由责任方负责。</w:t>
      </w:r>
    </w:p>
    <w:p w14:paraId="1065B06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63" w:name="_Toc31757"/>
      <w:bookmarkStart w:id="164" w:name="bookmark934"/>
      <w:bookmarkStart w:id="165" w:name="_Toc256000014"/>
      <w:bookmarkStart w:id="166" w:name="bookmark933"/>
      <w:bookmarkStart w:id="167" w:name="_Toc11450"/>
      <w:bookmarkStart w:id="168" w:name="bookmark935"/>
      <w:r>
        <w:rPr>
          <w:rStyle w:val="29"/>
          <w:rFonts w:hint="eastAsia" w:ascii="宋体" w:hAnsi="宋体" w:eastAsia="宋体" w:cs="宋体"/>
          <w:color w:val="auto"/>
          <w:kern w:val="2"/>
          <w:sz w:val="21"/>
          <w:szCs w:val="21"/>
          <w:highlight w:val="none"/>
          <w:lang w:eastAsia="zh-CN"/>
        </w:rPr>
        <w:t>1.8转让</w:t>
      </w:r>
      <w:bookmarkEnd w:id="163"/>
      <w:bookmarkEnd w:id="164"/>
      <w:bookmarkEnd w:id="165"/>
      <w:bookmarkEnd w:id="166"/>
      <w:bookmarkEnd w:id="167"/>
      <w:bookmarkEnd w:id="168"/>
    </w:p>
    <w:p w14:paraId="0B6FB9D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除合同另有约定外，未经对方当事人同意，一方当事人不得将合同权利全部或部分转让给第三人，也不得全部或部分转移合同义务。</w:t>
      </w:r>
    </w:p>
    <w:p w14:paraId="53E94ED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69" w:name="_Toc25110"/>
      <w:bookmarkStart w:id="170" w:name="bookmark937"/>
      <w:bookmarkStart w:id="171" w:name="_Toc256000015"/>
      <w:bookmarkStart w:id="172" w:name="_Toc28520"/>
      <w:bookmarkStart w:id="173" w:name="bookmark938"/>
      <w:bookmarkStart w:id="174" w:name="bookmark936"/>
      <w:r>
        <w:rPr>
          <w:rStyle w:val="29"/>
          <w:rFonts w:hint="eastAsia" w:ascii="宋体" w:hAnsi="宋体" w:eastAsia="宋体" w:cs="宋体"/>
          <w:color w:val="auto"/>
          <w:kern w:val="2"/>
          <w:sz w:val="21"/>
          <w:szCs w:val="21"/>
          <w:highlight w:val="none"/>
          <w:lang w:eastAsia="zh-CN"/>
        </w:rPr>
        <w:t>1.9严禁贿赂</w:t>
      </w:r>
      <w:bookmarkEnd w:id="169"/>
      <w:bookmarkEnd w:id="170"/>
      <w:bookmarkEnd w:id="171"/>
      <w:bookmarkEnd w:id="172"/>
      <w:bookmarkEnd w:id="173"/>
      <w:bookmarkEnd w:id="174"/>
    </w:p>
    <w:p w14:paraId="5136F81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合同双方当事人不得以贿赂或变相贿赂的方式，谋取不当利益或损害对方权益。因贿赂造成对方损失的，行为人应赔偿损失，并承担相应的法律责任。</w:t>
      </w:r>
    </w:p>
    <w:p w14:paraId="55EC847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75" w:name="_Toc18518"/>
      <w:bookmarkStart w:id="176" w:name="bookmark940"/>
      <w:bookmarkStart w:id="177" w:name="bookmark939"/>
      <w:bookmarkStart w:id="178" w:name="_Toc256000016"/>
      <w:bookmarkStart w:id="179" w:name="bookmark941"/>
      <w:bookmarkStart w:id="180" w:name="_Toc27697"/>
      <w:r>
        <w:rPr>
          <w:rStyle w:val="29"/>
          <w:rFonts w:hint="eastAsia" w:ascii="宋体" w:hAnsi="宋体" w:eastAsia="宋体" w:cs="宋体"/>
          <w:color w:val="auto"/>
          <w:kern w:val="2"/>
          <w:sz w:val="21"/>
          <w:szCs w:val="21"/>
          <w:highlight w:val="none"/>
          <w:lang w:eastAsia="zh-CN"/>
        </w:rPr>
        <w:t>1.10化石、文物</w:t>
      </w:r>
      <w:bookmarkEnd w:id="175"/>
      <w:bookmarkEnd w:id="176"/>
      <w:bookmarkEnd w:id="177"/>
      <w:bookmarkEnd w:id="178"/>
      <w:bookmarkEnd w:id="179"/>
      <w:bookmarkEnd w:id="180"/>
    </w:p>
    <w:p w14:paraId="507020E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1.10.1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4CB8A97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1.10.2承包人发现文物后不及时报告或隐瞒不报，致使文物丢失或损坏的，应赔偿损失，并承担相应的法律责任。</w:t>
      </w:r>
    </w:p>
    <w:p w14:paraId="32F97AC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81" w:name="_Toc256000017"/>
      <w:bookmarkStart w:id="182" w:name="bookmark943"/>
      <w:bookmarkStart w:id="183" w:name="bookmark944"/>
      <w:bookmarkStart w:id="184" w:name="_Toc8461"/>
      <w:bookmarkStart w:id="185" w:name="bookmark942"/>
      <w:bookmarkStart w:id="186" w:name="_Toc12830"/>
      <w:r>
        <w:rPr>
          <w:rStyle w:val="29"/>
          <w:rFonts w:hint="eastAsia" w:ascii="宋体" w:hAnsi="宋体" w:eastAsia="宋体" w:cs="宋体"/>
          <w:color w:val="auto"/>
          <w:kern w:val="2"/>
          <w:sz w:val="21"/>
          <w:szCs w:val="21"/>
          <w:highlight w:val="none"/>
          <w:lang w:eastAsia="zh-CN"/>
        </w:rPr>
        <w:t>1.11专利技术</w:t>
      </w:r>
      <w:bookmarkEnd w:id="181"/>
      <w:bookmarkEnd w:id="182"/>
      <w:bookmarkEnd w:id="183"/>
      <w:bookmarkEnd w:id="184"/>
      <w:bookmarkEnd w:id="185"/>
      <w:bookmarkEnd w:id="186"/>
    </w:p>
    <w:p w14:paraId="1B16BEB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1.11.1承包人在使用任何材料、承包人设备、工程设备或采用施工工艺时，因侵犯专利权或其他知识产权所引起的责任，由承包人承担，但由于遵照发包人提供的设计或技术标准和要求引起的除外。</w:t>
      </w:r>
    </w:p>
    <w:p w14:paraId="01F60A0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1.11.2承包人在</w:t>
      </w:r>
      <w:r>
        <w:rPr>
          <w:rStyle w:val="29"/>
          <w:rFonts w:hint="eastAsia" w:ascii="宋体" w:hAnsi="宋体" w:eastAsia="宋体" w:cs="宋体"/>
          <w:color w:val="auto"/>
          <w:kern w:val="2"/>
          <w:sz w:val="21"/>
          <w:szCs w:val="21"/>
          <w:highlight w:val="none"/>
          <w:lang w:val="en-US" w:eastAsia="zh-CN" w:bidi="en-US"/>
        </w:rPr>
        <w:t>响应文件</w:t>
      </w:r>
      <w:r>
        <w:rPr>
          <w:rStyle w:val="29"/>
          <w:rFonts w:hint="eastAsia" w:ascii="宋体" w:hAnsi="宋体" w:eastAsia="宋体" w:cs="宋体"/>
          <w:color w:val="auto"/>
          <w:kern w:val="2"/>
          <w:sz w:val="21"/>
          <w:szCs w:val="21"/>
          <w:highlight w:val="none"/>
          <w:lang w:val="en-US" w:bidi="en-US"/>
        </w:rPr>
        <w:t>中采用专利技术的，专利技术的使用费包含在投标报价内。</w:t>
      </w:r>
    </w:p>
    <w:p w14:paraId="33C3B0D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1.11.3承包人的技术秘密和声明需要保密的资料和信息，发包人和监理人不得为合同以外的目的泄露给他人。</w:t>
      </w:r>
    </w:p>
    <w:p w14:paraId="33008F2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1.11.4合同实施过程中，发包人要求承包人采用专利技术的，发包人应办理相应的使用手续，承包人应按发包人约定的条件使用，并承担使用专利技术的相关试验工作。所需的费用由发包人承担。</w:t>
      </w:r>
    </w:p>
    <w:p w14:paraId="7769F34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87" w:name="_Toc256000018"/>
      <w:bookmarkStart w:id="188" w:name="bookmark947"/>
      <w:bookmarkStart w:id="189" w:name="bookmark945"/>
      <w:bookmarkStart w:id="190" w:name="bookmark946"/>
      <w:bookmarkStart w:id="191" w:name="_Toc21439"/>
      <w:bookmarkStart w:id="192" w:name="_Toc29021"/>
      <w:r>
        <w:rPr>
          <w:rStyle w:val="29"/>
          <w:rFonts w:hint="eastAsia" w:ascii="宋体" w:hAnsi="宋体" w:eastAsia="宋体" w:cs="宋体"/>
          <w:color w:val="auto"/>
          <w:kern w:val="2"/>
          <w:sz w:val="21"/>
          <w:szCs w:val="21"/>
          <w:highlight w:val="none"/>
          <w:lang w:eastAsia="zh-CN"/>
        </w:rPr>
        <w:t>1.12图纸和文件的保密</w:t>
      </w:r>
      <w:bookmarkEnd w:id="187"/>
      <w:bookmarkEnd w:id="188"/>
      <w:bookmarkEnd w:id="189"/>
      <w:bookmarkEnd w:id="190"/>
      <w:bookmarkEnd w:id="191"/>
      <w:bookmarkEnd w:id="192"/>
    </w:p>
    <w:p w14:paraId="587F7D6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1.12.1发包人提供的图纸和文件，未经发包人同意，承包人不得为合同以外的目的泄露给他人或公开发表与引用。</w:t>
      </w:r>
    </w:p>
    <w:p w14:paraId="26C472C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1.12.2承包人提供的文件，未经承包人同意，发包人和监理人不得为合同以外的目的泄露给他人或公开发表与引用。</w:t>
      </w:r>
    </w:p>
    <w:p w14:paraId="1C7ECB7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93" w:name="bookmark950"/>
      <w:bookmarkEnd w:id="193"/>
      <w:bookmarkStart w:id="194" w:name="bookmark948"/>
      <w:bookmarkStart w:id="195" w:name="_Toc256000019"/>
      <w:bookmarkStart w:id="196" w:name="_Toc3842"/>
      <w:bookmarkStart w:id="197" w:name="bookmark951"/>
      <w:bookmarkStart w:id="198" w:name="bookmark949"/>
      <w:bookmarkStart w:id="199" w:name="_Toc16330"/>
      <w:r>
        <w:rPr>
          <w:rStyle w:val="29"/>
          <w:rFonts w:hint="eastAsia" w:ascii="宋体" w:hAnsi="宋体" w:eastAsia="宋体" w:cs="宋体"/>
          <w:color w:val="auto"/>
          <w:kern w:val="2"/>
          <w:sz w:val="21"/>
          <w:szCs w:val="21"/>
          <w:highlight w:val="none"/>
          <w:lang w:eastAsia="zh-CN"/>
        </w:rPr>
        <w:t>2.发包人义务</w:t>
      </w:r>
      <w:bookmarkEnd w:id="194"/>
      <w:bookmarkEnd w:id="195"/>
      <w:bookmarkEnd w:id="196"/>
      <w:bookmarkEnd w:id="197"/>
      <w:bookmarkEnd w:id="198"/>
      <w:bookmarkEnd w:id="199"/>
    </w:p>
    <w:p w14:paraId="582347C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00" w:name="bookmark952"/>
      <w:bookmarkStart w:id="201" w:name="bookmark954"/>
      <w:bookmarkStart w:id="202" w:name="_Toc27192"/>
      <w:bookmarkStart w:id="203" w:name="_Toc256000020"/>
      <w:bookmarkStart w:id="204" w:name="_Toc19875"/>
      <w:bookmarkStart w:id="205" w:name="bookmark953"/>
      <w:r>
        <w:rPr>
          <w:rStyle w:val="29"/>
          <w:rFonts w:hint="eastAsia" w:ascii="宋体" w:hAnsi="宋体" w:eastAsia="宋体" w:cs="宋体"/>
          <w:color w:val="auto"/>
          <w:kern w:val="2"/>
          <w:sz w:val="21"/>
          <w:szCs w:val="21"/>
          <w:highlight w:val="none"/>
          <w:lang w:eastAsia="zh-CN"/>
        </w:rPr>
        <w:t>2.1遵守法律</w:t>
      </w:r>
      <w:bookmarkEnd w:id="200"/>
      <w:bookmarkEnd w:id="201"/>
      <w:bookmarkEnd w:id="202"/>
      <w:bookmarkEnd w:id="203"/>
      <w:bookmarkEnd w:id="204"/>
      <w:bookmarkEnd w:id="205"/>
    </w:p>
    <w:p w14:paraId="471750A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发包人在履行合同过程中应遵守法律，并保证承包人免于承担因发包人违反法律而引起的任何责任。</w:t>
      </w:r>
    </w:p>
    <w:p w14:paraId="5A4080E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06" w:name="bookmark956"/>
      <w:bookmarkStart w:id="207" w:name="bookmark955"/>
      <w:bookmarkStart w:id="208" w:name="_Toc16693"/>
      <w:bookmarkStart w:id="209" w:name="_Toc15166"/>
      <w:bookmarkStart w:id="210" w:name="_Toc256000021"/>
      <w:bookmarkStart w:id="211" w:name="bookmark957"/>
      <w:r>
        <w:rPr>
          <w:rStyle w:val="29"/>
          <w:rFonts w:hint="eastAsia" w:ascii="宋体" w:hAnsi="宋体" w:eastAsia="宋体" w:cs="宋体"/>
          <w:color w:val="auto"/>
          <w:kern w:val="2"/>
          <w:sz w:val="21"/>
          <w:szCs w:val="21"/>
          <w:highlight w:val="none"/>
          <w:lang w:eastAsia="zh-CN"/>
        </w:rPr>
        <w:t>2.2发出开工通知</w:t>
      </w:r>
      <w:bookmarkEnd w:id="206"/>
      <w:bookmarkEnd w:id="207"/>
      <w:bookmarkEnd w:id="208"/>
      <w:bookmarkEnd w:id="209"/>
      <w:bookmarkEnd w:id="210"/>
      <w:bookmarkEnd w:id="211"/>
    </w:p>
    <w:p w14:paraId="4CC3D50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发包人应委托监理人按第H.1款的约定向承包人发出开工通知。</w:t>
      </w:r>
    </w:p>
    <w:p w14:paraId="6102790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12" w:name="_Toc25325"/>
      <w:bookmarkStart w:id="213" w:name="_Toc256000022"/>
      <w:bookmarkStart w:id="214" w:name="bookmark960"/>
      <w:bookmarkStart w:id="215" w:name="bookmark958"/>
      <w:bookmarkStart w:id="216" w:name="_Toc5643"/>
      <w:bookmarkStart w:id="217" w:name="bookmark959"/>
      <w:r>
        <w:rPr>
          <w:rStyle w:val="29"/>
          <w:rFonts w:hint="eastAsia" w:ascii="宋体" w:hAnsi="宋体" w:eastAsia="宋体" w:cs="宋体"/>
          <w:color w:val="auto"/>
          <w:kern w:val="2"/>
          <w:sz w:val="21"/>
          <w:szCs w:val="21"/>
          <w:highlight w:val="none"/>
          <w:lang w:eastAsia="zh-CN"/>
        </w:rPr>
        <w:t>2.3提供施工场地</w:t>
      </w:r>
      <w:bookmarkEnd w:id="212"/>
      <w:bookmarkEnd w:id="213"/>
      <w:bookmarkEnd w:id="214"/>
      <w:bookmarkEnd w:id="215"/>
      <w:bookmarkEnd w:id="216"/>
      <w:bookmarkEnd w:id="217"/>
    </w:p>
    <w:p w14:paraId="39F29FE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2.3.1发包人应在合同双方签定合同协议书后的14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006F894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2.3.2发包人提供的施工用地范围在专用合同条款中约定。</w:t>
      </w:r>
    </w:p>
    <w:p w14:paraId="54853BE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2.3.3除专用合同条款另有约定外，发包人应按技术标准和要求（合同技术条款）的约定，向承包人提供施工场地内的工程地质图纸和报告，以及地下障碍物图纸等施工场地有关资料，并保证资料的真实、准确、完整。</w:t>
      </w:r>
    </w:p>
    <w:p w14:paraId="4EEEFD5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18" w:name="bookmark962"/>
      <w:bookmarkStart w:id="219" w:name="bookmark963"/>
      <w:bookmarkStart w:id="220" w:name="_Toc14473"/>
      <w:bookmarkStart w:id="221" w:name="_Toc3862"/>
      <w:bookmarkStart w:id="222" w:name="bookmark961"/>
      <w:bookmarkStart w:id="223" w:name="_Toc256000023"/>
      <w:r>
        <w:rPr>
          <w:rStyle w:val="29"/>
          <w:rFonts w:hint="eastAsia" w:ascii="宋体" w:hAnsi="宋体" w:eastAsia="宋体" w:cs="宋体"/>
          <w:color w:val="auto"/>
          <w:kern w:val="2"/>
          <w:sz w:val="21"/>
          <w:szCs w:val="21"/>
          <w:highlight w:val="none"/>
          <w:lang w:eastAsia="zh-CN"/>
        </w:rPr>
        <w:t>2.4协助承包人办理证件和批件</w:t>
      </w:r>
      <w:bookmarkEnd w:id="218"/>
      <w:bookmarkEnd w:id="219"/>
      <w:bookmarkEnd w:id="220"/>
      <w:bookmarkEnd w:id="221"/>
      <w:bookmarkEnd w:id="222"/>
      <w:bookmarkEnd w:id="223"/>
    </w:p>
    <w:p w14:paraId="73AB162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发包人应协助承包人办理法律规定的有关施工证件和批件。</w:t>
      </w:r>
    </w:p>
    <w:p w14:paraId="616BDE9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24" w:name="_Toc256000024"/>
      <w:bookmarkStart w:id="225" w:name="bookmark964"/>
      <w:bookmarkStart w:id="226" w:name="_Toc15085"/>
      <w:bookmarkStart w:id="227" w:name="bookmark966"/>
      <w:bookmarkStart w:id="228" w:name="bookmark965"/>
      <w:bookmarkStart w:id="229" w:name="_Toc27327"/>
      <w:r>
        <w:rPr>
          <w:rStyle w:val="29"/>
          <w:rFonts w:hint="eastAsia" w:ascii="宋体" w:hAnsi="宋体" w:eastAsia="宋体" w:cs="宋体"/>
          <w:color w:val="auto"/>
          <w:kern w:val="2"/>
          <w:sz w:val="21"/>
          <w:szCs w:val="21"/>
          <w:highlight w:val="none"/>
          <w:lang w:eastAsia="zh-CN"/>
        </w:rPr>
        <w:t>2.5组织设计交底</w:t>
      </w:r>
      <w:bookmarkEnd w:id="224"/>
      <w:bookmarkEnd w:id="225"/>
      <w:bookmarkEnd w:id="226"/>
      <w:bookmarkEnd w:id="227"/>
      <w:bookmarkEnd w:id="228"/>
      <w:bookmarkEnd w:id="229"/>
    </w:p>
    <w:p w14:paraId="01FD410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发包人应根据合同进度计划，组织设计单位向承包人进行设计交底。</w:t>
      </w:r>
    </w:p>
    <w:p w14:paraId="7F22A8E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30" w:name="bookmark967"/>
      <w:bookmarkStart w:id="231" w:name="bookmark969"/>
      <w:bookmarkStart w:id="232" w:name="_Toc11916"/>
      <w:bookmarkStart w:id="233" w:name="_Toc256000025"/>
      <w:bookmarkStart w:id="234" w:name="bookmark968"/>
      <w:bookmarkStart w:id="235" w:name="_Toc15125"/>
      <w:r>
        <w:rPr>
          <w:rStyle w:val="29"/>
          <w:rFonts w:hint="eastAsia" w:ascii="宋体" w:hAnsi="宋体" w:eastAsia="宋体" w:cs="宋体"/>
          <w:color w:val="auto"/>
          <w:kern w:val="2"/>
          <w:sz w:val="21"/>
          <w:szCs w:val="21"/>
          <w:highlight w:val="none"/>
          <w:lang w:eastAsia="zh-CN"/>
        </w:rPr>
        <w:t>2.6支付合同价款</w:t>
      </w:r>
      <w:bookmarkEnd w:id="230"/>
      <w:bookmarkEnd w:id="231"/>
      <w:bookmarkEnd w:id="232"/>
      <w:bookmarkEnd w:id="233"/>
      <w:bookmarkEnd w:id="234"/>
      <w:bookmarkEnd w:id="235"/>
    </w:p>
    <w:p w14:paraId="1E8EA07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发包人应按合同约定向承包人及时支付合同价款。</w:t>
      </w:r>
    </w:p>
    <w:p w14:paraId="3035D1F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36" w:name="_Toc256000026"/>
      <w:bookmarkStart w:id="237" w:name="_Toc14608"/>
      <w:bookmarkStart w:id="238" w:name="bookmark970"/>
      <w:bookmarkStart w:id="239" w:name="bookmark972"/>
      <w:bookmarkStart w:id="240" w:name="_Toc5624"/>
      <w:bookmarkStart w:id="241" w:name="bookmark971"/>
      <w:r>
        <w:rPr>
          <w:rStyle w:val="29"/>
          <w:rFonts w:hint="eastAsia" w:ascii="宋体" w:hAnsi="宋体" w:eastAsia="宋体" w:cs="宋体"/>
          <w:color w:val="auto"/>
          <w:kern w:val="2"/>
          <w:sz w:val="21"/>
          <w:szCs w:val="21"/>
          <w:highlight w:val="none"/>
          <w:lang w:eastAsia="zh-CN"/>
        </w:rPr>
        <w:t>2.7组织竣工验收（组织法人验收）</w:t>
      </w:r>
      <w:bookmarkEnd w:id="236"/>
      <w:bookmarkEnd w:id="237"/>
      <w:bookmarkEnd w:id="238"/>
      <w:bookmarkEnd w:id="239"/>
      <w:bookmarkEnd w:id="240"/>
      <w:bookmarkEnd w:id="241"/>
    </w:p>
    <w:p w14:paraId="2AC46D8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发包人应按合同约定及时组织法人验收。</w:t>
      </w:r>
    </w:p>
    <w:p w14:paraId="6EA68CC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42" w:name="_Toc256000027"/>
      <w:bookmarkStart w:id="243" w:name="bookmark973"/>
      <w:bookmarkStart w:id="244" w:name="_Toc26461"/>
      <w:bookmarkStart w:id="245" w:name="_Toc16585"/>
      <w:bookmarkStart w:id="246" w:name="bookmark975"/>
      <w:bookmarkStart w:id="247" w:name="bookmark974"/>
      <w:r>
        <w:rPr>
          <w:rStyle w:val="29"/>
          <w:rFonts w:hint="eastAsia" w:ascii="宋体" w:hAnsi="宋体" w:eastAsia="宋体" w:cs="宋体"/>
          <w:color w:val="auto"/>
          <w:kern w:val="2"/>
          <w:sz w:val="21"/>
          <w:szCs w:val="21"/>
          <w:highlight w:val="none"/>
          <w:lang w:eastAsia="zh-CN"/>
        </w:rPr>
        <w:t>2.8其它义务</w:t>
      </w:r>
      <w:bookmarkEnd w:id="242"/>
      <w:bookmarkEnd w:id="243"/>
      <w:bookmarkEnd w:id="244"/>
      <w:bookmarkEnd w:id="245"/>
      <w:bookmarkEnd w:id="246"/>
      <w:bookmarkEnd w:id="247"/>
    </w:p>
    <w:p w14:paraId="38EA0C7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其它义务在专用合同条款中补充约定。</w:t>
      </w:r>
    </w:p>
    <w:p w14:paraId="3E3CFC0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48" w:name="bookmark977"/>
      <w:bookmarkStart w:id="249" w:name="_Toc17454"/>
      <w:bookmarkStart w:id="250" w:name="bookmark978"/>
      <w:bookmarkStart w:id="251" w:name="_Toc25929"/>
      <w:bookmarkStart w:id="252" w:name="bookmark976"/>
      <w:bookmarkStart w:id="253" w:name="_Toc256000028"/>
      <w:r>
        <w:rPr>
          <w:rStyle w:val="29"/>
          <w:rFonts w:hint="eastAsia" w:ascii="宋体" w:hAnsi="宋体" w:eastAsia="宋体" w:cs="宋体"/>
          <w:color w:val="auto"/>
          <w:kern w:val="2"/>
          <w:sz w:val="21"/>
          <w:szCs w:val="21"/>
          <w:highlight w:val="none"/>
          <w:lang w:eastAsia="zh-CN"/>
        </w:rPr>
        <w:t>3.监理人</w:t>
      </w:r>
      <w:bookmarkEnd w:id="248"/>
      <w:bookmarkEnd w:id="249"/>
      <w:bookmarkEnd w:id="250"/>
      <w:bookmarkEnd w:id="251"/>
      <w:bookmarkEnd w:id="252"/>
      <w:bookmarkEnd w:id="253"/>
    </w:p>
    <w:p w14:paraId="2AC361C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54" w:name="bookmark981"/>
      <w:bookmarkStart w:id="255" w:name="bookmark980"/>
      <w:bookmarkStart w:id="256" w:name="_Toc28768"/>
      <w:bookmarkStart w:id="257" w:name="_Toc5442"/>
      <w:bookmarkStart w:id="258" w:name="_Toc256000029"/>
      <w:bookmarkStart w:id="259" w:name="bookmark979"/>
      <w:r>
        <w:rPr>
          <w:rStyle w:val="29"/>
          <w:rFonts w:hint="eastAsia" w:ascii="宋体" w:hAnsi="宋体" w:eastAsia="宋体" w:cs="宋体"/>
          <w:color w:val="auto"/>
          <w:kern w:val="2"/>
          <w:sz w:val="21"/>
          <w:szCs w:val="21"/>
          <w:highlight w:val="none"/>
          <w:lang w:eastAsia="zh-CN"/>
        </w:rPr>
        <w:t>3.1监理人的职责和权利</w:t>
      </w:r>
      <w:bookmarkEnd w:id="254"/>
      <w:bookmarkEnd w:id="255"/>
      <w:bookmarkEnd w:id="256"/>
      <w:bookmarkEnd w:id="257"/>
      <w:bookmarkEnd w:id="258"/>
      <w:bookmarkEnd w:id="259"/>
    </w:p>
    <w:p w14:paraId="463A02C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3.1.1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所必须进行的工作，即使没有发包人的事先批准，承包人也应立即遵照执行。监理人应按第15条的约定增加相应的费用，并通知承包人。</w:t>
      </w:r>
    </w:p>
    <w:p w14:paraId="5C43269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3.1.2监理人发出的任何指示应视为已得到发包人的批准，但监理人无权免除或变更合同约定的发包人和承包人的权利、义务和责任。</w:t>
      </w:r>
    </w:p>
    <w:p w14:paraId="31A698A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3.1.3合同约定应由承包人承担的义务和责任，不因监理人对承包人提交文件的审查或批准，对工程、材料和设备的检查和检验，以及为实施监理作出的指示等职务行为而减轻或解除。</w:t>
      </w:r>
    </w:p>
    <w:p w14:paraId="3E56EB4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60" w:name="bookmark982"/>
      <w:bookmarkStart w:id="261" w:name="bookmark984"/>
      <w:bookmarkStart w:id="262" w:name="bookmark983"/>
      <w:bookmarkStart w:id="263" w:name="_Toc256000030"/>
      <w:bookmarkStart w:id="264" w:name="_Toc28424"/>
      <w:bookmarkStart w:id="265" w:name="_Toc20317"/>
      <w:r>
        <w:rPr>
          <w:rStyle w:val="29"/>
          <w:rFonts w:hint="eastAsia" w:ascii="宋体" w:hAnsi="宋体" w:eastAsia="宋体" w:cs="宋体"/>
          <w:color w:val="auto"/>
          <w:kern w:val="2"/>
          <w:sz w:val="21"/>
          <w:szCs w:val="21"/>
          <w:highlight w:val="none"/>
          <w:lang w:eastAsia="zh-CN"/>
        </w:rPr>
        <w:t>3.2总监理工程师</w:t>
      </w:r>
      <w:bookmarkEnd w:id="260"/>
      <w:bookmarkEnd w:id="261"/>
      <w:bookmarkEnd w:id="262"/>
      <w:bookmarkEnd w:id="263"/>
      <w:bookmarkEnd w:id="264"/>
      <w:bookmarkEnd w:id="265"/>
    </w:p>
    <w:p w14:paraId="2F577FA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发包人应在发出开工通知前将总监理工程师的任命通知承包人。总监理工程师更换时,应在调离14天前通知承包人。总监理工程师短期离开施工场地的，应委派代表代行其职责，并通知承包人。</w:t>
      </w:r>
    </w:p>
    <w:p w14:paraId="1D71244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66" w:name="bookmark987"/>
      <w:bookmarkStart w:id="267" w:name="_Toc11573"/>
      <w:bookmarkStart w:id="268" w:name="bookmark986"/>
      <w:bookmarkStart w:id="269" w:name="bookmark985"/>
      <w:bookmarkStart w:id="270" w:name="_Toc256000031"/>
      <w:bookmarkStart w:id="271" w:name="_Toc13884"/>
      <w:r>
        <w:rPr>
          <w:rStyle w:val="29"/>
          <w:rFonts w:hint="eastAsia" w:ascii="宋体" w:hAnsi="宋体" w:eastAsia="宋体" w:cs="宋体"/>
          <w:color w:val="auto"/>
          <w:kern w:val="2"/>
          <w:sz w:val="21"/>
          <w:szCs w:val="21"/>
          <w:highlight w:val="none"/>
          <w:lang w:eastAsia="zh-CN"/>
        </w:rPr>
        <w:t>3.3监理人员</w:t>
      </w:r>
      <w:bookmarkEnd w:id="266"/>
      <w:bookmarkEnd w:id="267"/>
      <w:bookmarkEnd w:id="268"/>
      <w:bookmarkEnd w:id="269"/>
      <w:bookmarkEnd w:id="270"/>
      <w:bookmarkEnd w:id="271"/>
    </w:p>
    <w:p w14:paraId="097EFA6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272" w:name="bookmark988"/>
      <w:bookmarkEnd w:id="272"/>
      <w:r>
        <w:rPr>
          <w:rStyle w:val="29"/>
          <w:rFonts w:hint="eastAsia" w:ascii="宋体" w:hAnsi="宋体" w:eastAsia="宋体" w:cs="宋体"/>
          <w:color w:val="auto"/>
          <w:kern w:val="2"/>
          <w:sz w:val="21"/>
          <w:szCs w:val="21"/>
          <w:highlight w:val="none"/>
          <w:lang w:val="en-US" w:bidi="en-US"/>
        </w:rPr>
        <w:t>3.3.1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42F8887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3.3.2监理人员对承包人的任何工作、工程或其采用的材料和工程设备未在约定的或合理的期限内提出否定意见的，视为已获批准，但不影响监理人在以后拒绝该项工作、工程、材料或工程设备的权利。</w:t>
      </w:r>
    </w:p>
    <w:p w14:paraId="462F9A1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3.3.3承包人对总监理工程师授权的监理人员发出的指示有疑问的，可向总监理工程师提出书面异议，总监理工程师应在48小时内对该指示予以确认、更改或撤销。</w:t>
      </w:r>
    </w:p>
    <w:p w14:paraId="0805E59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273" w:name="bookmark989"/>
      <w:bookmarkEnd w:id="273"/>
      <w:r>
        <w:rPr>
          <w:rStyle w:val="29"/>
          <w:rFonts w:hint="eastAsia" w:ascii="宋体" w:hAnsi="宋体" w:eastAsia="宋体" w:cs="宋体"/>
          <w:color w:val="auto"/>
          <w:kern w:val="2"/>
          <w:sz w:val="21"/>
          <w:szCs w:val="21"/>
          <w:highlight w:val="none"/>
          <w:lang w:val="en-US" w:bidi="en-US"/>
        </w:rPr>
        <w:t>3.3.4除专用合同条款另有约定外，总监理工程师不应将第3.5款约定应由总监理工程师作出确定的权力授权或委托给其他监理人员。</w:t>
      </w:r>
    </w:p>
    <w:p w14:paraId="192AE26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74" w:name="bookmark990"/>
      <w:bookmarkStart w:id="275" w:name="_Toc28235"/>
      <w:bookmarkStart w:id="276" w:name="bookmark991"/>
      <w:bookmarkStart w:id="277" w:name="_Toc256000032"/>
      <w:bookmarkStart w:id="278" w:name="bookmark992"/>
      <w:bookmarkStart w:id="279" w:name="_Toc29343"/>
      <w:r>
        <w:rPr>
          <w:rStyle w:val="29"/>
          <w:rFonts w:hint="eastAsia" w:ascii="宋体" w:hAnsi="宋体" w:eastAsia="宋体" w:cs="宋体"/>
          <w:color w:val="auto"/>
          <w:kern w:val="2"/>
          <w:sz w:val="21"/>
          <w:szCs w:val="21"/>
          <w:highlight w:val="none"/>
          <w:lang w:eastAsia="zh-CN"/>
        </w:rPr>
        <w:t>3.4监理人的指示</w:t>
      </w:r>
      <w:bookmarkEnd w:id="274"/>
      <w:bookmarkEnd w:id="275"/>
      <w:bookmarkEnd w:id="276"/>
      <w:bookmarkEnd w:id="277"/>
      <w:bookmarkEnd w:id="278"/>
      <w:bookmarkEnd w:id="279"/>
    </w:p>
    <w:p w14:paraId="75D6940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3.4.1监理人应按第3.1款的约定向承包人发出指示，监理人的指示应盖有监理人授权的施工场地机构章，并由总监理工程师或总监理工程师按第3.3.1项约定授权的监理人员签字。</w:t>
      </w:r>
    </w:p>
    <w:p w14:paraId="693C874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3.4.2承包人收到监理人按第3.4.1项作出的指示后应遵照执行。指示构成变更的，应按第15条处理。</w:t>
      </w:r>
    </w:p>
    <w:p w14:paraId="4B7503B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3.4.3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52B8634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3.4.4除合同另有约定外，承包人只从总监理工程师或按第3.3.1项被授权的监理人员处取得指示。</w:t>
      </w:r>
    </w:p>
    <w:p w14:paraId="463F3E2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3.4.5由于监理人未能按合同约定发出指示、指示延误或指示错误而导致承包人费用增加和（或）工期延误的，由发包人承担赔偿责任。</w:t>
      </w:r>
    </w:p>
    <w:p w14:paraId="441C8BB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80" w:name="bookmark994"/>
      <w:bookmarkStart w:id="281" w:name="_Toc15164"/>
      <w:bookmarkStart w:id="282" w:name="_Toc256000033"/>
      <w:bookmarkStart w:id="283" w:name="bookmark995"/>
      <w:bookmarkStart w:id="284" w:name="bookmark993"/>
      <w:bookmarkStart w:id="285" w:name="_Toc22411"/>
      <w:r>
        <w:rPr>
          <w:rStyle w:val="29"/>
          <w:rFonts w:hint="eastAsia" w:ascii="宋体" w:hAnsi="宋体" w:eastAsia="宋体" w:cs="宋体"/>
          <w:color w:val="auto"/>
          <w:kern w:val="2"/>
          <w:sz w:val="21"/>
          <w:szCs w:val="21"/>
          <w:highlight w:val="none"/>
          <w:lang w:eastAsia="zh-CN"/>
        </w:rPr>
        <w:t>3.5商定或确定</w:t>
      </w:r>
      <w:bookmarkEnd w:id="280"/>
      <w:bookmarkEnd w:id="281"/>
      <w:bookmarkEnd w:id="282"/>
      <w:bookmarkEnd w:id="283"/>
      <w:bookmarkEnd w:id="284"/>
      <w:bookmarkEnd w:id="285"/>
    </w:p>
    <w:p w14:paraId="024EBCD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3.5.1合同约定总监理工程师应按照本款对任何事项进行商定或确定时，总监理工程师应与合同当事人协商，尽量达成一致。不能达成一致的，总监理工程师应认真研究后审慎确定。</w:t>
      </w:r>
    </w:p>
    <w:p w14:paraId="6A7F59D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3.5.2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14:paraId="6BEF9AF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86" w:name="_Toc256000034"/>
      <w:bookmarkStart w:id="287" w:name="bookmark998"/>
      <w:bookmarkStart w:id="288" w:name="_Toc13765"/>
      <w:bookmarkStart w:id="289" w:name="bookmark997"/>
      <w:bookmarkStart w:id="290" w:name="bookmark996"/>
      <w:bookmarkStart w:id="291" w:name="_Toc30773"/>
      <w:r>
        <w:rPr>
          <w:rStyle w:val="29"/>
          <w:rFonts w:hint="eastAsia" w:ascii="宋体" w:hAnsi="宋体" w:eastAsia="宋体" w:cs="宋体"/>
          <w:color w:val="auto"/>
          <w:kern w:val="2"/>
          <w:sz w:val="21"/>
          <w:szCs w:val="21"/>
          <w:highlight w:val="none"/>
          <w:lang w:eastAsia="zh-CN"/>
        </w:rPr>
        <w:t>4.承包人</w:t>
      </w:r>
      <w:bookmarkEnd w:id="286"/>
      <w:bookmarkEnd w:id="287"/>
      <w:bookmarkEnd w:id="288"/>
      <w:bookmarkEnd w:id="289"/>
      <w:bookmarkEnd w:id="290"/>
      <w:bookmarkEnd w:id="291"/>
    </w:p>
    <w:p w14:paraId="3DF7C44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292" w:name="_Toc11324"/>
      <w:bookmarkStart w:id="293" w:name="bookmark999"/>
      <w:bookmarkStart w:id="294" w:name="_Toc3815"/>
      <w:bookmarkStart w:id="295" w:name="_Toc256000035"/>
      <w:bookmarkStart w:id="296" w:name="bookmark1000"/>
      <w:bookmarkStart w:id="297" w:name="bookmark1001"/>
      <w:r>
        <w:rPr>
          <w:rStyle w:val="29"/>
          <w:rFonts w:hint="eastAsia" w:ascii="宋体" w:hAnsi="宋体" w:eastAsia="宋体" w:cs="宋体"/>
          <w:color w:val="auto"/>
          <w:kern w:val="2"/>
          <w:sz w:val="21"/>
          <w:szCs w:val="21"/>
          <w:highlight w:val="none"/>
          <w:lang w:eastAsia="zh-CN"/>
        </w:rPr>
        <w:t>4.1承包人的一般义务</w:t>
      </w:r>
      <w:bookmarkEnd w:id="292"/>
      <w:bookmarkEnd w:id="293"/>
      <w:bookmarkEnd w:id="294"/>
      <w:bookmarkEnd w:id="295"/>
      <w:bookmarkEnd w:id="296"/>
      <w:bookmarkEnd w:id="297"/>
    </w:p>
    <w:p w14:paraId="592B2EB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4.1.1遵守法律</w:t>
      </w:r>
    </w:p>
    <w:p w14:paraId="0E3FD56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承包人在履行合同过程中应遵守法律，并保证发包人免于承担因承包人违反法律而引起的任何责任。</w:t>
      </w:r>
    </w:p>
    <w:p w14:paraId="7C5246B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298" w:name="bookmark1002"/>
      <w:bookmarkEnd w:id="298"/>
      <w:r>
        <w:rPr>
          <w:rStyle w:val="29"/>
          <w:rFonts w:hint="eastAsia" w:ascii="宋体" w:hAnsi="宋体" w:eastAsia="宋体" w:cs="宋体"/>
          <w:color w:val="auto"/>
          <w:kern w:val="2"/>
          <w:sz w:val="21"/>
          <w:szCs w:val="21"/>
          <w:highlight w:val="none"/>
          <w:lang w:val="en-US" w:bidi="en-US"/>
        </w:rPr>
        <w:t>4.1.2依法纳税</w:t>
      </w:r>
    </w:p>
    <w:p w14:paraId="5231A09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承包人应按有关法律规定纳税，应缴纳的税金包括在合同价格内。</w:t>
      </w:r>
    </w:p>
    <w:p w14:paraId="3CB0D0D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4.1.3完成各项承包工作</w:t>
      </w:r>
    </w:p>
    <w:p w14:paraId="419A149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按合同约定以及监理人根据第3.4款作出的指示，实施、完成全部工程，并修补工程中的任何缺陷。除第5.2款、第6.2款另有约定外，承包人应提供为完成合同工作所需的劳务、材料、施工设备、工程设备和其它物品，并按合同约定负责临时设施的设计、建造、运行、维护、管理和拆除。</w:t>
      </w:r>
    </w:p>
    <w:p w14:paraId="62E9695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4.1.4对施工作业和施工方法的完备性负责</w:t>
      </w:r>
    </w:p>
    <w:p w14:paraId="266FFDC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承包人应按合同约定的工作内容和施工进度要求，编制施工组织设计和施工措施计划，并对所有施工作业和施工方法的完备性和安全可靠性负责。</w:t>
      </w:r>
    </w:p>
    <w:p w14:paraId="0F348EB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4.1.5保证工程施工和人员的安全</w:t>
      </w:r>
    </w:p>
    <w:p w14:paraId="6BAC81A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承包人应按第9.2款约定采取施工安全措施，确保工程及其人员、材料、设备和设施的安全，防止因工程施工造成的人身伤害和财产损失。</w:t>
      </w:r>
    </w:p>
    <w:p w14:paraId="7287AF0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299" w:name="bookmark1003"/>
      <w:bookmarkEnd w:id="299"/>
      <w:r>
        <w:rPr>
          <w:rStyle w:val="29"/>
          <w:rFonts w:hint="eastAsia" w:ascii="宋体" w:hAnsi="宋体" w:eastAsia="宋体" w:cs="宋体"/>
          <w:color w:val="auto"/>
          <w:kern w:val="2"/>
          <w:sz w:val="21"/>
          <w:szCs w:val="21"/>
          <w:highlight w:val="none"/>
          <w:lang w:val="en-US" w:bidi="en-US"/>
        </w:rPr>
        <w:t>4.1.6负责施工场地及其周边环境与生态的保护工作</w:t>
      </w:r>
    </w:p>
    <w:p w14:paraId="5628A3A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承包人应按照第9.4款约定负责施工场地及其周边环境与生态的保护工作。</w:t>
      </w:r>
    </w:p>
    <w:p w14:paraId="0209D18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4.1.7避免施工对公众与他人的利益造成损害</w:t>
      </w:r>
    </w:p>
    <w:p w14:paraId="4574487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71AADD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4.1.8为他人提供方便</w:t>
      </w:r>
    </w:p>
    <w:p w14:paraId="2E6E285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承包人应按监理人的指示为他人在施工场地或附近实施与工程有关的其他各项工作提供可能的条件。除合同另有约定外，提供有关条件的内容和可能发生的费用，由监理人按第3.5款商定或确定。</w:t>
      </w:r>
    </w:p>
    <w:p w14:paraId="7921C9A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4.1.9工程的维护和照管</w:t>
      </w:r>
    </w:p>
    <w:p w14:paraId="56BF696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4828BA7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4.1.10其它义务</w:t>
      </w:r>
    </w:p>
    <w:p w14:paraId="61ECBE4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其它义务在专用合同条款中补充约定。</w:t>
      </w:r>
    </w:p>
    <w:p w14:paraId="50C5D39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00" w:name="_Toc30450"/>
      <w:bookmarkStart w:id="301" w:name="bookmark1006"/>
      <w:bookmarkStart w:id="302" w:name="_Toc256000036"/>
      <w:bookmarkStart w:id="303" w:name="bookmark1005"/>
      <w:bookmarkStart w:id="304" w:name="bookmark1004"/>
      <w:bookmarkStart w:id="305" w:name="_Toc11535"/>
      <w:r>
        <w:rPr>
          <w:rStyle w:val="29"/>
          <w:rFonts w:hint="eastAsia" w:ascii="宋体" w:hAnsi="宋体" w:eastAsia="宋体" w:cs="宋体"/>
          <w:color w:val="auto"/>
          <w:kern w:val="2"/>
          <w:sz w:val="21"/>
          <w:szCs w:val="21"/>
          <w:highlight w:val="none"/>
          <w:lang w:eastAsia="zh-CN"/>
        </w:rPr>
        <w:t>4.2履约担保</w:t>
      </w:r>
      <w:bookmarkEnd w:id="300"/>
      <w:bookmarkEnd w:id="301"/>
      <w:bookmarkEnd w:id="302"/>
      <w:bookmarkEnd w:id="303"/>
      <w:bookmarkEnd w:id="304"/>
      <w:bookmarkEnd w:id="305"/>
    </w:p>
    <w:p w14:paraId="4D050A7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承包人应保证其履约担保在发包人颁发合同工程完工证书前一直有效。发包人应在合同工程完工证书颁发后28天内将履约担保退还给承包人。</w:t>
      </w:r>
    </w:p>
    <w:p w14:paraId="5F74295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06" w:name="_Toc14304"/>
      <w:bookmarkStart w:id="307" w:name="bookmark1008"/>
      <w:bookmarkStart w:id="308" w:name="bookmark1007"/>
      <w:bookmarkStart w:id="309" w:name="_Toc31393"/>
      <w:bookmarkStart w:id="310" w:name="bookmark1009"/>
      <w:bookmarkStart w:id="311" w:name="_Toc256000037"/>
      <w:r>
        <w:rPr>
          <w:rStyle w:val="29"/>
          <w:rFonts w:hint="eastAsia" w:ascii="宋体" w:hAnsi="宋体" w:eastAsia="宋体" w:cs="宋体"/>
          <w:color w:val="auto"/>
          <w:kern w:val="2"/>
          <w:sz w:val="21"/>
          <w:szCs w:val="21"/>
          <w:highlight w:val="none"/>
          <w:lang w:eastAsia="zh-CN"/>
        </w:rPr>
        <w:t>4.3分包</w:t>
      </w:r>
      <w:bookmarkEnd w:id="306"/>
      <w:bookmarkEnd w:id="307"/>
      <w:bookmarkEnd w:id="308"/>
      <w:bookmarkEnd w:id="309"/>
      <w:bookmarkEnd w:id="310"/>
      <w:bookmarkEnd w:id="311"/>
    </w:p>
    <w:p w14:paraId="138503F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4.3.1承包人不得将其承包的全部工程转包给第三人，或将其承包的全部工程肢解后以分包的名义转包给第三人。</w:t>
      </w:r>
    </w:p>
    <w:p w14:paraId="36A0836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4.3.2承包人不得将工程主体、关键性工作分包给第三人。除专用合同条款另有约定外，未经发包人同意，承包人不得将工程的其他部分或工作分包给第三人。</w:t>
      </w:r>
    </w:p>
    <w:p w14:paraId="2589907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4.3.3分包人的资格能力应与其分包工程的标准和规模相适应。</w:t>
      </w:r>
    </w:p>
    <w:p w14:paraId="3C4DA9E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4.3.4按投标函附录约定分包工程的，承包人应向发包人和监理人提交分包合同副本。</w:t>
      </w:r>
    </w:p>
    <w:p w14:paraId="1546BF7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4.3.5承包人应与分包人就分包工程向发包人承担连带责任。</w:t>
      </w:r>
    </w:p>
    <w:p w14:paraId="19CEE3F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4.3.6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5C52861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4.3.7在合同实施过程中，如承包人无力在合同规定的期限内完成合同中的应急防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3AFAB5F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4.3.8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462EDFA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4.3.9除第4.3.7项规定的指定分包外，承包人对其分包项目的实施以及分包人的行为向发包人负全部责任。承包人应对分包项目的工程进度、质量、安全、计量和验收等实施监督和管理。</w:t>
      </w:r>
    </w:p>
    <w:p w14:paraId="5A3E83C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312" w:name="bookmark1010"/>
      <w:bookmarkEnd w:id="312"/>
      <w:r>
        <w:rPr>
          <w:rStyle w:val="29"/>
          <w:rFonts w:hint="eastAsia" w:ascii="宋体" w:hAnsi="宋体" w:eastAsia="宋体" w:cs="宋体"/>
          <w:color w:val="auto"/>
          <w:kern w:val="2"/>
          <w:sz w:val="21"/>
          <w:szCs w:val="21"/>
          <w:highlight w:val="none"/>
          <w:lang w:val="en-US" w:bidi="en-US"/>
        </w:rPr>
        <w:t>4.3.10分包人应按专用合同条款的约定设立项目管理机构组织管理分包工程的施工活动。</w:t>
      </w:r>
    </w:p>
    <w:p w14:paraId="2ABF3FDB">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13" w:name="_Toc27582"/>
      <w:bookmarkStart w:id="314" w:name="_Toc256000038"/>
      <w:bookmarkStart w:id="315" w:name="bookmark1011"/>
      <w:bookmarkStart w:id="316" w:name="bookmark1013"/>
      <w:bookmarkStart w:id="317" w:name="bookmark1012"/>
      <w:bookmarkStart w:id="318" w:name="_Toc20891"/>
      <w:r>
        <w:rPr>
          <w:rStyle w:val="29"/>
          <w:rFonts w:hint="eastAsia" w:ascii="宋体" w:hAnsi="宋体" w:eastAsia="宋体" w:cs="宋体"/>
          <w:color w:val="auto"/>
          <w:kern w:val="2"/>
          <w:sz w:val="21"/>
          <w:szCs w:val="21"/>
          <w:highlight w:val="none"/>
          <w:lang w:eastAsia="zh-CN"/>
        </w:rPr>
        <w:t>4.4联合体</w:t>
      </w:r>
      <w:bookmarkEnd w:id="313"/>
      <w:bookmarkEnd w:id="314"/>
      <w:bookmarkEnd w:id="315"/>
      <w:bookmarkEnd w:id="316"/>
      <w:bookmarkEnd w:id="317"/>
      <w:bookmarkEnd w:id="318"/>
    </w:p>
    <w:p w14:paraId="34DAE75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319" w:name="bookmark1014"/>
      <w:bookmarkEnd w:id="319"/>
      <w:r>
        <w:rPr>
          <w:rStyle w:val="29"/>
          <w:rFonts w:hint="eastAsia" w:ascii="宋体" w:hAnsi="宋体" w:eastAsia="宋体" w:cs="宋体"/>
          <w:color w:val="auto"/>
          <w:kern w:val="2"/>
          <w:sz w:val="21"/>
          <w:szCs w:val="21"/>
          <w:highlight w:val="none"/>
          <w:lang w:val="en-US" w:bidi="en-US"/>
        </w:rPr>
        <w:t>4.4.1联合体各方应共同与发包人签订合同协议书。联合体各方应为履行合同承担连带责任。</w:t>
      </w:r>
    </w:p>
    <w:p w14:paraId="76AC22B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4.4.2联合体协议经发包人确认后作为合同附件。在履行合同过程中，未经发包人同意，不得修改联合体协议。</w:t>
      </w:r>
    </w:p>
    <w:p w14:paraId="12D4A28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4.4.3联合体牵头人负责与发包人和监理人联系，并接受指示，负责组织联合体各成员全面履行合同。</w:t>
      </w:r>
    </w:p>
    <w:p w14:paraId="1935160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20" w:name="_Toc27934"/>
      <w:bookmarkStart w:id="321" w:name="bookmark1017"/>
      <w:bookmarkStart w:id="322" w:name="bookmark1015"/>
      <w:bookmarkStart w:id="323" w:name="_Toc256000039"/>
      <w:bookmarkStart w:id="324" w:name="bookmark1016"/>
      <w:bookmarkStart w:id="325" w:name="_Toc22472"/>
      <w:r>
        <w:rPr>
          <w:rStyle w:val="29"/>
          <w:rFonts w:hint="eastAsia" w:ascii="宋体" w:hAnsi="宋体" w:eastAsia="宋体" w:cs="宋体"/>
          <w:color w:val="auto"/>
          <w:kern w:val="2"/>
          <w:sz w:val="21"/>
          <w:szCs w:val="21"/>
          <w:highlight w:val="none"/>
          <w:lang w:eastAsia="zh-CN"/>
        </w:rPr>
        <w:t>4.5承包人项目经理</w:t>
      </w:r>
      <w:bookmarkEnd w:id="320"/>
      <w:bookmarkEnd w:id="321"/>
      <w:bookmarkEnd w:id="322"/>
      <w:bookmarkEnd w:id="323"/>
      <w:bookmarkEnd w:id="324"/>
      <w:bookmarkEnd w:id="325"/>
    </w:p>
    <w:p w14:paraId="129E7B0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7D575FE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4.5.2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620DDB2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4.5.3承包人为履行合同发出的一切函件均应盖有承包人授权的施工场地管理机构章，并由承包人项目经理或其授权代表签字。</w:t>
      </w:r>
    </w:p>
    <w:p w14:paraId="1DC2F5B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4.5.4承包人项目经理可以授权其下属人员履行其某项职责，但事先应将这些人员的姓名和授权范围通知监理人。</w:t>
      </w:r>
    </w:p>
    <w:p w14:paraId="5E2C8AE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26" w:name="bookmark1020"/>
      <w:bookmarkStart w:id="327" w:name="_Toc1095"/>
      <w:bookmarkStart w:id="328" w:name="_Toc20561"/>
      <w:bookmarkStart w:id="329" w:name="bookmark1018"/>
      <w:bookmarkStart w:id="330" w:name="bookmark1019"/>
      <w:bookmarkStart w:id="331" w:name="_Toc256000040"/>
      <w:r>
        <w:rPr>
          <w:rStyle w:val="29"/>
          <w:rFonts w:hint="eastAsia" w:ascii="宋体" w:hAnsi="宋体" w:eastAsia="宋体" w:cs="宋体"/>
          <w:color w:val="auto"/>
          <w:kern w:val="2"/>
          <w:sz w:val="21"/>
          <w:szCs w:val="21"/>
          <w:highlight w:val="none"/>
          <w:lang w:eastAsia="zh-CN"/>
        </w:rPr>
        <w:t>4.6承包人人员的管理</w:t>
      </w:r>
      <w:bookmarkEnd w:id="326"/>
      <w:bookmarkEnd w:id="327"/>
      <w:bookmarkEnd w:id="328"/>
      <w:bookmarkEnd w:id="329"/>
      <w:bookmarkEnd w:id="330"/>
      <w:bookmarkEnd w:id="331"/>
    </w:p>
    <w:p w14:paraId="6D2E491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4.6.1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086156B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4.6.2为完成合同约定的各项工作，承包人应向施工场地派遣或雇佣足够数量的下列人员：</w:t>
      </w:r>
    </w:p>
    <w:p w14:paraId="1A50CC5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332" w:name="bookmark1021"/>
      <w:bookmarkEnd w:id="332"/>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具有相应资格的专业技工和合格的普工；</w:t>
      </w:r>
    </w:p>
    <w:p w14:paraId="2A8583B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333" w:name="bookmark1022"/>
      <w:bookmarkEnd w:id="333"/>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具有相应施工经验的技术人员；</w:t>
      </w:r>
    </w:p>
    <w:p w14:paraId="5007D30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334" w:name="bookmark1023"/>
      <w:bookmarkEnd w:id="334"/>
      <w:r>
        <w:rPr>
          <w:rStyle w:val="29"/>
          <w:rFonts w:hint="eastAsia" w:ascii="宋体" w:hAnsi="宋体" w:eastAsia="宋体" w:cs="宋体"/>
          <w:color w:val="auto"/>
          <w:kern w:val="2"/>
          <w:sz w:val="21"/>
          <w:szCs w:val="21"/>
          <w:highlight w:val="none"/>
          <w:lang w:val="zh-CN" w:eastAsia="zh-CN" w:bidi="en-US"/>
        </w:rPr>
        <w:t>(3)</w:t>
      </w:r>
      <w:r>
        <w:rPr>
          <w:rStyle w:val="29"/>
          <w:rFonts w:hint="eastAsia" w:ascii="宋体" w:hAnsi="宋体" w:eastAsia="宋体" w:cs="宋体"/>
          <w:color w:val="auto"/>
          <w:kern w:val="2"/>
          <w:sz w:val="21"/>
          <w:szCs w:val="21"/>
          <w:highlight w:val="none"/>
          <w:lang w:val="en-US" w:bidi="en-US"/>
        </w:rPr>
        <w:t>具有相应岗位资格的各级管理人员。</w:t>
      </w:r>
    </w:p>
    <w:p w14:paraId="5563DCF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4.6.3承包人安排在施工场地的主要管理人员和技术骨干应相对稳定。承包人更换主要管理人员和技术骨干时，应取得监理人的同意。</w:t>
      </w:r>
    </w:p>
    <w:p w14:paraId="585D575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4.6.4特殊岗位的工作人员均应持有相应的资格证明，监理人有权随时检查。监理人认为有必要时，可进行现场考核。</w:t>
      </w:r>
    </w:p>
    <w:p w14:paraId="44DC0F9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35" w:name="bookmark1024"/>
      <w:bookmarkStart w:id="336" w:name="bookmark1025"/>
      <w:bookmarkStart w:id="337" w:name="bookmark1026"/>
      <w:bookmarkStart w:id="338" w:name="_Toc24736"/>
      <w:bookmarkStart w:id="339" w:name="_Toc256000041"/>
      <w:bookmarkStart w:id="340" w:name="_Toc30195"/>
      <w:r>
        <w:rPr>
          <w:rStyle w:val="29"/>
          <w:rFonts w:hint="eastAsia" w:ascii="宋体" w:hAnsi="宋体" w:eastAsia="宋体" w:cs="宋体"/>
          <w:color w:val="auto"/>
          <w:kern w:val="2"/>
          <w:sz w:val="21"/>
          <w:szCs w:val="21"/>
          <w:highlight w:val="none"/>
          <w:lang w:eastAsia="zh-CN"/>
        </w:rPr>
        <w:t>4.7撤换承包人项目经理和其他人员</w:t>
      </w:r>
      <w:bookmarkEnd w:id="335"/>
      <w:bookmarkEnd w:id="336"/>
      <w:bookmarkEnd w:id="337"/>
      <w:bookmarkEnd w:id="338"/>
      <w:bookmarkEnd w:id="339"/>
      <w:bookmarkEnd w:id="340"/>
    </w:p>
    <w:p w14:paraId="4964E4D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承包人应对其项目经理和其他人员进行有效管理。监理人要求撤换不能胜任本职工作、行为不端或玩忽职守的承包人项目经理和其他人员的，承包人应予以撤换。</w:t>
      </w:r>
    </w:p>
    <w:p w14:paraId="5737FDA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41" w:name="_Toc256000042"/>
      <w:bookmarkStart w:id="342" w:name="_Toc19207"/>
      <w:bookmarkStart w:id="343" w:name="bookmark1027"/>
      <w:bookmarkStart w:id="344" w:name="_Toc1547"/>
      <w:bookmarkStart w:id="345" w:name="bookmark1029"/>
      <w:bookmarkStart w:id="346" w:name="bookmark1028"/>
      <w:r>
        <w:rPr>
          <w:rStyle w:val="29"/>
          <w:rFonts w:hint="eastAsia" w:ascii="宋体" w:hAnsi="宋体" w:eastAsia="宋体" w:cs="宋体"/>
          <w:color w:val="auto"/>
          <w:kern w:val="2"/>
          <w:sz w:val="21"/>
          <w:szCs w:val="21"/>
          <w:highlight w:val="none"/>
          <w:lang w:eastAsia="zh-CN"/>
        </w:rPr>
        <w:t>4.8保障承包人人员的合法权益</w:t>
      </w:r>
      <w:bookmarkEnd w:id="341"/>
      <w:bookmarkEnd w:id="342"/>
      <w:bookmarkEnd w:id="343"/>
      <w:bookmarkEnd w:id="344"/>
      <w:bookmarkEnd w:id="345"/>
      <w:bookmarkEnd w:id="346"/>
    </w:p>
    <w:p w14:paraId="086A834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4.8.1承包人应与其雇佣的人员签订劳动合同，并按时发放工资。</w:t>
      </w:r>
    </w:p>
    <w:p w14:paraId="6384E23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4.8.2承包人应按劳动法的规定安排工作时间，保证其雇佣人员享有休息和休假的权利。因工程施工的特殊需要占用休假日或延长工作时间的，应不超过法律规定的限度，并按法律规定给予补休或付酬。</w:t>
      </w:r>
    </w:p>
    <w:p w14:paraId="76CB187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4.8.3承包人应为其雇佣人员提供必要的食宿条件，以及符合环境保护和卫生要求的生活环境，在远离城镇的施工场地，还应配备必要的伤病防治和急救的医务人员与医疗设施。</w:t>
      </w:r>
    </w:p>
    <w:p w14:paraId="5F45230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4.8.4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3DBE593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4.8.5承包人应按有关法律规定和合同约定，为其雇佣人员办理保险。</w:t>
      </w:r>
    </w:p>
    <w:p w14:paraId="7EDE428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4.8.6承包人应负责处理其雇佣人员因工伤亡事故的善后事宜。</w:t>
      </w:r>
    </w:p>
    <w:p w14:paraId="78EA866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47" w:name="bookmark1031"/>
      <w:bookmarkStart w:id="348" w:name="bookmark1032"/>
      <w:bookmarkStart w:id="349" w:name="_Toc1725"/>
      <w:bookmarkStart w:id="350" w:name="_Toc7851"/>
      <w:bookmarkStart w:id="351" w:name="bookmark1030"/>
      <w:bookmarkStart w:id="352" w:name="_Toc256000043"/>
      <w:r>
        <w:rPr>
          <w:rStyle w:val="29"/>
          <w:rFonts w:hint="eastAsia" w:ascii="宋体" w:hAnsi="宋体" w:eastAsia="宋体" w:cs="宋体"/>
          <w:color w:val="auto"/>
          <w:kern w:val="2"/>
          <w:sz w:val="21"/>
          <w:szCs w:val="21"/>
          <w:highlight w:val="none"/>
          <w:lang w:eastAsia="zh-CN"/>
        </w:rPr>
        <w:t>4.9工程价款应专款专用</w:t>
      </w:r>
      <w:bookmarkEnd w:id="347"/>
      <w:bookmarkEnd w:id="348"/>
      <w:bookmarkEnd w:id="349"/>
      <w:bookmarkEnd w:id="350"/>
      <w:bookmarkEnd w:id="351"/>
      <w:bookmarkEnd w:id="352"/>
    </w:p>
    <w:p w14:paraId="427B5FC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发包人按合同约定支付给承包人的各项价款应专用于合同工程。</w:t>
      </w:r>
    </w:p>
    <w:p w14:paraId="56EFD9B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53" w:name="_Toc5606"/>
      <w:bookmarkStart w:id="354" w:name="bookmark1035"/>
      <w:bookmarkStart w:id="355" w:name="_Toc256000044"/>
      <w:bookmarkStart w:id="356" w:name="_Toc30630"/>
      <w:bookmarkStart w:id="357" w:name="bookmark1033"/>
      <w:bookmarkStart w:id="358" w:name="bookmark1034"/>
      <w:r>
        <w:rPr>
          <w:rStyle w:val="29"/>
          <w:rFonts w:hint="eastAsia" w:ascii="宋体" w:hAnsi="宋体" w:eastAsia="宋体" w:cs="宋体"/>
          <w:color w:val="auto"/>
          <w:kern w:val="2"/>
          <w:sz w:val="21"/>
          <w:szCs w:val="21"/>
          <w:highlight w:val="none"/>
          <w:lang w:eastAsia="zh-CN"/>
        </w:rPr>
        <w:t>4.10承包人现场查勘</w:t>
      </w:r>
      <w:bookmarkEnd w:id="353"/>
      <w:bookmarkEnd w:id="354"/>
      <w:bookmarkEnd w:id="355"/>
      <w:bookmarkEnd w:id="356"/>
      <w:bookmarkEnd w:id="357"/>
      <w:bookmarkEnd w:id="358"/>
    </w:p>
    <w:p w14:paraId="6C026BA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4.10.1发包人应将其持有的现场地质勘探资料、水文气象资料提供给承包人，并对其准确性负责。但承包人应对其阅读上述有关资料后所作出的解释和推断负责。</w:t>
      </w:r>
    </w:p>
    <w:p w14:paraId="19C2FC7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359" w:name="bookmark1036"/>
      <w:bookmarkEnd w:id="359"/>
      <w:r>
        <w:rPr>
          <w:rStyle w:val="29"/>
          <w:rFonts w:hint="eastAsia" w:ascii="宋体" w:hAnsi="宋体" w:eastAsia="宋体" w:cs="宋体"/>
          <w:color w:val="auto"/>
          <w:kern w:val="2"/>
          <w:sz w:val="21"/>
          <w:szCs w:val="21"/>
          <w:highlight w:val="none"/>
          <w:lang w:val="en-US" w:bidi="en-US"/>
        </w:rPr>
        <w:t>4.10.2承包人应对施工场地和周围环境进行查勘，并收集有关地质、水文、气象条件、交通条件、风俗习惯以及其他为完成合同工作有关的当地资料。在全部合同工作中，应视为承包人已充分估计了应承担的责任和风险。</w:t>
      </w:r>
    </w:p>
    <w:p w14:paraId="79518D7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60" w:name="_Toc2080"/>
      <w:bookmarkStart w:id="361" w:name="bookmark1037"/>
      <w:bookmarkStart w:id="362" w:name="bookmark1039"/>
      <w:bookmarkStart w:id="363" w:name="_Toc256000045"/>
      <w:bookmarkStart w:id="364" w:name="_Toc2993"/>
      <w:bookmarkStart w:id="365" w:name="bookmark1038"/>
      <w:r>
        <w:rPr>
          <w:rStyle w:val="29"/>
          <w:rFonts w:hint="eastAsia" w:ascii="宋体" w:hAnsi="宋体" w:eastAsia="宋体" w:cs="宋体"/>
          <w:color w:val="auto"/>
          <w:kern w:val="2"/>
          <w:sz w:val="21"/>
          <w:szCs w:val="21"/>
          <w:highlight w:val="none"/>
          <w:lang w:eastAsia="zh-CN"/>
        </w:rPr>
        <w:t>4.11不利物质条件</w:t>
      </w:r>
      <w:bookmarkEnd w:id="360"/>
      <w:bookmarkEnd w:id="361"/>
      <w:bookmarkEnd w:id="362"/>
      <w:bookmarkEnd w:id="363"/>
      <w:bookmarkEnd w:id="364"/>
      <w:bookmarkEnd w:id="365"/>
    </w:p>
    <w:p w14:paraId="328E5E1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4.11.1除专用合同条款另有约定外，不利的物质条件是指在施工中遭遇不可预见的外界障碍或自然条件造成施工受阻。</w:t>
      </w:r>
    </w:p>
    <w:p w14:paraId="41C502B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4.11.2承包人遇到不利物质条件时，应采取适应不利物质条件的合理措施继续施工,并及时通知监理人。承包人应有权根据第23.1款的约定，要求延长工期及增加费用。监理人收到此类要求后，应在分析上述外界障碍或自然条件是否不可预见及不可预见程度的基础上，按照通用合同条款第15条的约定办理。</w:t>
      </w:r>
    </w:p>
    <w:p w14:paraId="75DA9FF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66" w:name="bookmark1042"/>
      <w:bookmarkEnd w:id="366"/>
      <w:bookmarkStart w:id="367" w:name="_Toc6145"/>
      <w:bookmarkStart w:id="368" w:name="_Toc256000046"/>
      <w:bookmarkStart w:id="369" w:name="bookmark1041"/>
      <w:bookmarkStart w:id="370" w:name="_Toc25230"/>
      <w:bookmarkStart w:id="371" w:name="bookmark1040"/>
      <w:bookmarkStart w:id="372" w:name="bookmark1043"/>
      <w:r>
        <w:rPr>
          <w:rStyle w:val="29"/>
          <w:rFonts w:hint="eastAsia" w:ascii="宋体" w:hAnsi="宋体" w:eastAsia="宋体" w:cs="宋体"/>
          <w:color w:val="auto"/>
          <w:kern w:val="2"/>
          <w:sz w:val="21"/>
          <w:szCs w:val="21"/>
          <w:highlight w:val="none"/>
          <w:lang w:eastAsia="zh-CN"/>
        </w:rPr>
        <w:t>5.材料和工程设备</w:t>
      </w:r>
      <w:bookmarkEnd w:id="367"/>
      <w:bookmarkEnd w:id="368"/>
      <w:bookmarkEnd w:id="369"/>
      <w:bookmarkEnd w:id="370"/>
      <w:bookmarkEnd w:id="371"/>
      <w:bookmarkEnd w:id="372"/>
    </w:p>
    <w:p w14:paraId="767D7E0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73" w:name="bookmark1045"/>
      <w:bookmarkStart w:id="374" w:name="_Toc256000047"/>
      <w:bookmarkStart w:id="375" w:name="_Toc5421"/>
      <w:bookmarkStart w:id="376" w:name="bookmark1046"/>
      <w:bookmarkStart w:id="377" w:name="bookmark1044"/>
      <w:bookmarkStart w:id="378" w:name="_Toc9121"/>
      <w:r>
        <w:rPr>
          <w:rStyle w:val="29"/>
          <w:rFonts w:hint="eastAsia" w:ascii="宋体" w:hAnsi="宋体" w:eastAsia="宋体" w:cs="宋体"/>
          <w:color w:val="auto"/>
          <w:kern w:val="2"/>
          <w:sz w:val="21"/>
          <w:szCs w:val="21"/>
          <w:highlight w:val="none"/>
          <w:lang w:eastAsia="zh-CN"/>
        </w:rPr>
        <w:t>5.1承包人提供的材料和工程设备</w:t>
      </w:r>
      <w:bookmarkEnd w:id="373"/>
      <w:bookmarkEnd w:id="374"/>
      <w:bookmarkEnd w:id="375"/>
      <w:bookmarkEnd w:id="376"/>
      <w:bookmarkEnd w:id="377"/>
      <w:bookmarkEnd w:id="378"/>
    </w:p>
    <w:p w14:paraId="08A34A0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379" w:name="bookmark1047"/>
      <w:bookmarkEnd w:id="379"/>
      <w:r>
        <w:rPr>
          <w:rStyle w:val="29"/>
          <w:rFonts w:hint="eastAsia" w:ascii="宋体" w:hAnsi="宋体" w:eastAsia="宋体" w:cs="宋体"/>
          <w:color w:val="auto"/>
          <w:kern w:val="2"/>
          <w:sz w:val="21"/>
          <w:szCs w:val="21"/>
          <w:highlight w:val="none"/>
          <w:lang w:val="en-US" w:bidi="en-US"/>
        </w:rPr>
        <w:t>5.1.1除第5.2款约定由发包人提供的材料和工程设备外，承包人负责采购、运输和保管完成本合同工作所需的材料和工程设备。承包人应对其采购的材料和工程设备负责。</w:t>
      </w:r>
    </w:p>
    <w:p w14:paraId="4BC5180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5.1.2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6B19E86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29C6333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80" w:name="bookmark1048"/>
      <w:bookmarkStart w:id="381" w:name="bookmark1049"/>
      <w:bookmarkStart w:id="382" w:name="_Toc16936"/>
      <w:bookmarkStart w:id="383" w:name="_Toc18208"/>
      <w:bookmarkStart w:id="384" w:name="bookmark1050"/>
      <w:bookmarkStart w:id="385" w:name="_Toc256000048"/>
      <w:r>
        <w:rPr>
          <w:rStyle w:val="29"/>
          <w:rFonts w:hint="eastAsia" w:ascii="宋体" w:hAnsi="宋体" w:eastAsia="宋体" w:cs="宋体"/>
          <w:color w:val="auto"/>
          <w:kern w:val="2"/>
          <w:sz w:val="21"/>
          <w:szCs w:val="21"/>
          <w:highlight w:val="none"/>
          <w:lang w:eastAsia="zh-CN"/>
        </w:rPr>
        <w:t>5.2发包人提供的材料和工程设备</w:t>
      </w:r>
      <w:bookmarkEnd w:id="380"/>
      <w:bookmarkEnd w:id="381"/>
      <w:bookmarkEnd w:id="382"/>
      <w:bookmarkEnd w:id="383"/>
      <w:bookmarkEnd w:id="384"/>
      <w:bookmarkEnd w:id="385"/>
    </w:p>
    <w:p w14:paraId="61BEFB4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386" w:name="bookmark1051"/>
      <w:bookmarkEnd w:id="386"/>
      <w:r>
        <w:rPr>
          <w:rStyle w:val="29"/>
          <w:rFonts w:hint="eastAsia" w:ascii="宋体" w:hAnsi="宋体" w:eastAsia="宋体" w:cs="宋体"/>
          <w:color w:val="auto"/>
          <w:kern w:val="2"/>
          <w:sz w:val="21"/>
          <w:szCs w:val="21"/>
          <w:highlight w:val="none"/>
          <w:lang w:val="en-US" w:bidi="en-US"/>
        </w:rPr>
        <w:t>5.2.1发包人提供的材料和工程设备，应在专用合同条款中写明材料和工程设备的名称、规格、数量、价格、交货方式、交货地点和计划交货日期等。</w:t>
      </w:r>
    </w:p>
    <w:p w14:paraId="1685972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5.2.2承包人应根据合同进度计划的安排，向监理人报送要求发包人交货的日期计划。发包人应按照监理人与合同双方当事人商定的交货日期，向承包人提交材料和工程设备。</w:t>
      </w:r>
    </w:p>
    <w:p w14:paraId="3EA8D83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5.2.3发包人应在材料和工程设备到货7天前通知承包人，承包人应会同监理人在约定的时间内，赴交货地点共同进行验收。发包人提供的材料和工程设备运至交货地点验收后，由承包人负责接收、卸货、运输和保管。</w:t>
      </w:r>
    </w:p>
    <w:p w14:paraId="1F64083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5.2.4发包人要求向承包人提前交货的，承包人不得拒绝，但发包人应承担承包人由此增加的费用。</w:t>
      </w:r>
    </w:p>
    <w:p w14:paraId="3B99B15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5.2.5承包人要求更改交货日期或地点的，应事先报请监理人批准。由于承包人要求更改交货时间或地点所增加的费用和（或）工期延误由承包人承担。</w:t>
      </w:r>
    </w:p>
    <w:p w14:paraId="2C6A23D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5.2.6发包人提供的材料和工程设备的规格、数量或质量不符合合同要求，或由于发包人原因发生交货日期延误及交货地点变更等情况的，发包人应承担由此增加的费用和（或）工期延误，并向承包人支付合理利润。</w:t>
      </w:r>
    </w:p>
    <w:p w14:paraId="1C04E5E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87" w:name="bookmark1054"/>
      <w:bookmarkStart w:id="388" w:name="_Toc17795"/>
      <w:bookmarkStart w:id="389" w:name="_Toc2255"/>
      <w:bookmarkStart w:id="390" w:name="_Toc256000049"/>
      <w:bookmarkStart w:id="391" w:name="bookmark1053"/>
      <w:bookmarkStart w:id="392" w:name="bookmark1052"/>
      <w:r>
        <w:rPr>
          <w:rStyle w:val="29"/>
          <w:rFonts w:hint="eastAsia" w:ascii="宋体" w:hAnsi="宋体" w:eastAsia="宋体" w:cs="宋体"/>
          <w:color w:val="auto"/>
          <w:kern w:val="2"/>
          <w:sz w:val="21"/>
          <w:szCs w:val="21"/>
          <w:highlight w:val="none"/>
          <w:lang w:eastAsia="zh-CN"/>
        </w:rPr>
        <w:t>5.3材料和工程设备专用于合同工程</w:t>
      </w:r>
      <w:bookmarkEnd w:id="387"/>
      <w:bookmarkEnd w:id="388"/>
      <w:bookmarkEnd w:id="389"/>
      <w:bookmarkEnd w:id="390"/>
      <w:bookmarkEnd w:id="391"/>
      <w:bookmarkEnd w:id="392"/>
    </w:p>
    <w:p w14:paraId="4CEAA18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5.3.1运入施工场地的材料、工程设备，包括备品备件、安装专用工器具与随机资料，必须专用于合同工程，未经监理人同意，承包人不得运出施工场地或挪作他用。</w:t>
      </w:r>
    </w:p>
    <w:p w14:paraId="5B2DB96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5.3.2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7D66D49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393" w:name="_Toc23254"/>
      <w:bookmarkStart w:id="394" w:name="bookmark1056"/>
      <w:bookmarkStart w:id="395" w:name="_Toc256000050"/>
      <w:bookmarkStart w:id="396" w:name="bookmark1057"/>
      <w:bookmarkStart w:id="397" w:name="bookmark1055"/>
      <w:bookmarkStart w:id="398" w:name="_Toc30864"/>
      <w:r>
        <w:rPr>
          <w:rStyle w:val="29"/>
          <w:rFonts w:hint="eastAsia" w:ascii="宋体" w:hAnsi="宋体" w:eastAsia="宋体" w:cs="宋体"/>
          <w:color w:val="auto"/>
          <w:kern w:val="2"/>
          <w:sz w:val="21"/>
          <w:szCs w:val="21"/>
          <w:highlight w:val="none"/>
          <w:lang w:eastAsia="zh-CN"/>
        </w:rPr>
        <w:t>5.4禁止使用不合格的材料和工程设备</w:t>
      </w:r>
      <w:bookmarkEnd w:id="393"/>
      <w:bookmarkEnd w:id="394"/>
      <w:bookmarkEnd w:id="395"/>
      <w:bookmarkEnd w:id="396"/>
      <w:bookmarkEnd w:id="397"/>
      <w:bookmarkEnd w:id="398"/>
    </w:p>
    <w:p w14:paraId="2EC8CF0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399" w:name="bookmark1058"/>
      <w:bookmarkEnd w:id="399"/>
      <w:r>
        <w:rPr>
          <w:rStyle w:val="29"/>
          <w:rFonts w:hint="eastAsia" w:ascii="宋体" w:hAnsi="宋体" w:eastAsia="宋体" w:cs="宋体"/>
          <w:color w:val="auto"/>
          <w:kern w:val="2"/>
          <w:sz w:val="21"/>
          <w:szCs w:val="21"/>
          <w:highlight w:val="none"/>
          <w:lang w:val="en-US" w:bidi="en-US"/>
        </w:rPr>
        <w:t>5.4.1监理人有权拒绝承包人提供的不合格材料或工程设备，并要求承包人立即进行更换。监理人应在更换后再次进行检查和检验，由此增加的费用和（或）工期延误由承包人承担。</w:t>
      </w:r>
    </w:p>
    <w:p w14:paraId="0A24F5C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400" w:name="bookmark1059"/>
      <w:bookmarkEnd w:id="400"/>
      <w:r>
        <w:rPr>
          <w:rStyle w:val="29"/>
          <w:rFonts w:hint="eastAsia" w:ascii="宋体" w:hAnsi="宋体" w:eastAsia="宋体" w:cs="宋体"/>
          <w:color w:val="auto"/>
          <w:kern w:val="2"/>
          <w:sz w:val="21"/>
          <w:szCs w:val="21"/>
          <w:highlight w:val="none"/>
          <w:lang w:val="en-US" w:bidi="en-US"/>
        </w:rPr>
        <w:t>5.4.2监理人发现承包人使用了不合格的材料和工程设备，应即时发出指示要求承包人立即改正，并禁止在工程中继续使用不合格的材料和工程设备。</w:t>
      </w:r>
    </w:p>
    <w:p w14:paraId="1C94727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5.4.3发包人提供的材料或工程设备不符合合同要求的，承包人有权拒绝，并可要求发包人更换，由此增加的费用和（或）工期延误由发包人承担。</w:t>
      </w:r>
    </w:p>
    <w:p w14:paraId="4F0C736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01" w:name="bookmark1062"/>
      <w:bookmarkEnd w:id="401"/>
      <w:bookmarkStart w:id="402" w:name="bookmark1061"/>
      <w:bookmarkStart w:id="403" w:name="_Toc3256"/>
      <w:bookmarkStart w:id="404" w:name="bookmark1063"/>
      <w:bookmarkStart w:id="405" w:name="_Toc256000051"/>
      <w:bookmarkStart w:id="406" w:name="_Toc21496"/>
      <w:bookmarkStart w:id="407" w:name="bookmark1060"/>
      <w:r>
        <w:rPr>
          <w:rStyle w:val="29"/>
          <w:rFonts w:hint="eastAsia" w:ascii="宋体" w:hAnsi="宋体" w:eastAsia="宋体" w:cs="宋体"/>
          <w:color w:val="auto"/>
          <w:kern w:val="2"/>
          <w:sz w:val="21"/>
          <w:szCs w:val="21"/>
          <w:highlight w:val="none"/>
          <w:lang w:eastAsia="zh-CN"/>
        </w:rPr>
        <w:t>6.施工设备和临时设施</w:t>
      </w:r>
      <w:bookmarkEnd w:id="402"/>
      <w:bookmarkEnd w:id="403"/>
      <w:bookmarkEnd w:id="404"/>
      <w:bookmarkEnd w:id="405"/>
      <w:bookmarkEnd w:id="406"/>
      <w:bookmarkEnd w:id="407"/>
    </w:p>
    <w:p w14:paraId="1416900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08" w:name="bookmark1065"/>
      <w:bookmarkStart w:id="409" w:name="bookmark1064"/>
      <w:bookmarkStart w:id="410" w:name="_Toc9863"/>
      <w:bookmarkStart w:id="411" w:name="bookmark1066"/>
      <w:bookmarkStart w:id="412" w:name="_Toc29023"/>
      <w:bookmarkStart w:id="413" w:name="_Toc256000052"/>
      <w:r>
        <w:rPr>
          <w:rStyle w:val="29"/>
          <w:rFonts w:hint="eastAsia" w:ascii="宋体" w:hAnsi="宋体" w:eastAsia="宋体" w:cs="宋体"/>
          <w:color w:val="auto"/>
          <w:kern w:val="2"/>
          <w:sz w:val="21"/>
          <w:szCs w:val="21"/>
          <w:highlight w:val="none"/>
          <w:lang w:eastAsia="zh-CN"/>
        </w:rPr>
        <w:t>6.1承包人提供的施工设备和临时设施</w:t>
      </w:r>
      <w:bookmarkEnd w:id="408"/>
      <w:bookmarkEnd w:id="409"/>
      <w:bookmarkEnd w:id="410"/>
      <w:bookmarkEnd w:id="411"/>
      <w:bookmarkEnd w:id="412"/>
      <w:bookmarkEnd w:id="413"/>
    </w:p>
    <w:p w14:paraId="322EF90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6.1.1承包人应按合同进度计划的要求，及时配置施工设备和修建临时设施。进入施工场地的承包人设备需经监理人核查后才能投入使用。承包人更换合同约定的承包人设备的，应报监理人批准。</w:t>
      </w:r>
    </w:p>
    <w:p w14:paraId="3D4993A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6.1.2除专用合同条款另有约定外，承包人应自行承担修建临时设施的费用，需要临时占地的，应由发包人办理申请手续并承担相应费用。</w:t>
      </w:r>
    </w:p>
    <w:p w14:paraId="2BA6101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14" w:name="_Toc256000053"/>
      <w:bookmarkStart w:id="415" w:name="bookmark1067"/>
      <w:bookmarkStart w:id="416" w:name="_Toc31030"/>
      <w:bookmarkStart w:id="417" w:name="bookmark1069"/>
      <w:bookmarkStart w:id="418" w:name="bookmark1068"/>
      <w:bookmarkStart w:id="419" w:name="_Toc15863"/>
      <w:r>
        <w:rPr>
          <w:rStyle w:val="29"/>
          <w:rFonts w:hint="eastAsia" w:ascii="宋体" w:hAnsi="宋体" w:eastAsia="宋体" w:cs="宋体"/>
          <w:color w:val="auto"/>
          <w:kern w:val="2"/>
          <w:sz w:val="21"/>
          <w:szCs w:val="21"/>
          <w:highlight w:val="none"/>
          <w:lang w:eastAsia="zh-CN"/>
        </w:rPr>
        <w:t>6.2发包人提供的施工设备和临时设施</w:t>
      </w:r>
      <w:bookmarkEnd w:id="414"/>
      <w:bookmarkEnd w:id="415"/>
      <w:bookmarkEnd w:id="416"/>
      <w:bookmarkEnd w:id="417"/>
      <w:bookmarkEnd w:id="418"/>
      <w:bookmarkEnd w:id="419"/>
    </w:p>
    <w:p w14:paraId="59BC2C9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发包人提供的施工设备或临时设施在专用合同条款中约定。</w:t>
      </w:r>
    </w:p>
    <w:p w14:paraId="2CF2947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20" w:name="_Toc30722"/>
      <w:bookmarkStart w:id="421" w:name="bookmark1071"/>
      <w:bookmarkStart w:id="422" w:name="_Toc27703"/>
      <w:bookmarkStart w:id="423" w:name="bookmark1072"/>
      <w:bookmarkStart w:id="424" w:name="bookmark1070"/>
      <w:bookmarkStart w:id="425" w:name="_Toc256000054"/>
      <w:r>
        <w:rPr>
          <w:rStyle w:val="29"/>
          <w:rFonts w:hint="eastAsia" w:ascii="宋体" w:hAnsi="宋体" w:eastAsia="宋体" w:cs="宋体"/>
          <w:color w:val="auto"/>
          <w:kern w:val="2"/>
          <w:sz w:val="21"/>
          <w:szCs w:val="21"/>
          <w:highlight w:val="none"/>
          <w:lang w:eastAsia="zh-CN"/>
        </w:rPr>
        <w:t>6.3要求承包人增加或更换施工设备</w:t>
      </w:r>
      <w:bookmarkEnd w:id="420"/>
      <w:bookmarkEnd w:id="421"/>
      <w:bookmarkEnd w:id="422"/>
      <w:bookmarkEnd w:id="423"/>
      <w:bookmarkEnd w:id="424"/>
      <w:bookmarkEnd w:id="425"/>
    </w:p>
    <w:p w14:paraId="2E1FF3B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承包人使用的施工设备不能满足合同进度计划和（或）质量要求时，监理人有权要求承包人增加或更换施工设备，承包人应及时增加或更换，由此增加的费用和（或）工期延误由承包人承担。</w:t>
      </w:r>
    </w:p>
    <w:p w14:paraId="4B3B22F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26" w:name="bookmark1073"/>
      <w:bookmarkStart w:id="427" w:name="_Toc23117"/>
      <w:bookmarkStart w:id="428" w:name="_Toc21826"/>
      <w:bookmarkStart w:id="429" w:name="bookmark1074"/>
      <w:bookmarkStart w:id="430" w:name="bookmark1075"/>
      <w:bookmarkStart w:id="431" w:name="_Toc256000055"/>
      <w:r>
        <w:rPr>
          <w:rStyle w:val="29"/>
          <w:rFonts w:hint="eastAsia" w:ascii="宋体" w:hAnsi="宋体" w:eastAsia="宋体" w:cs="宋体"/>
          <w:color w:val="auto"/>
          <w:kern w:val="2"/>
          <w:sz w:val="21"/>
          <w:szCs w:val="21"/>
          <w:highlight w:val="none"/>
          <w:lang w:eastAsia="zh-CN"/>
        </w:rPr>
        <w:t>6.4施工设备和临时设施专用于合同工程</w:t>
      </w:r>
      <w:bookmarkEnd w:id="426"/>
      <w:bookmarkEnd w:id="427"/>
      <w:bookmarkEnd w:id="428"/>
      <w:bookmarkEnd w:id="429"/>
      <w:bookmarkEnd w:id="430"/>
      <w:bookmarkEnd w:id="431"/>
    </w:p>
    <w:p w14:paraId="4CA8D46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432" w:name="bookmark1076"/>
      <w:bookmarkEnd w:id="432"/>
      <w:r>
        <w:rPr>
          <w:rStyle w:val="29"/>
          <w:rFonts w:hint="eastAsia" w:ascii="宋体" w:hAnsi="宋体" w:eastAsia="宋体" w:cs="宋体"/>
          <w:color w:val="auto"/>
          <w:kern w:val="2"/>
          <w:sz w:val="21"/>
          <w:szCs w:val="21"/>
          <w:highlight w:val="none"/>
          <w:lang w:val="en-US" w:bidi="en-US"/>
        </w:rPr>
        <w:t>6.4.1除合同另有约定外，运入施工场地的所有施工设备以及在施工场地建设的临时设施应专用于合同工程。未经监理人同意，不得将上述施工设备和临时设施中的任何部分运出施工场地或挪作他用。</w:t>
      </w:r>
    </w:p>
    <w:p w14:paraId="1427A65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433" w:name="bookmark1077"/>
      <w:bookmarkEnd w:id="433"/>
      <w:r>
        <w:rPr>
          <w:rStyle w:val="29"/>
          <w:rFonts w:hint="eastAsia" w:ascii="宋体" w:hAnsi="宋体" w:eastAsia="宋体" w:cs="宋体"/>
          <w:color w:val="auto"/>
          <w:kern w:val="2"/>
          <w:sz w:val="21"/>
          <w:szCs w:val="21"/>
          <w:highlight w:val="none"/>
          <w:lang w:val="en-US" w:bidi="en-US"/>
        </w:rPr>
        <w:t>6.4.2经监理人同意，承包人可根据合同进度计划撤走闲置的施工设备。</w:t>
      </w:r>
    </w:p>
    <w:p w14:paraId="2AEFCD1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34" w:name="bookmark1080"/>
      <w:bookmarkEnd w:id="434"/>
      <w:bookmarkStart w:id="435" w:name="_Toc256000056"/>
      <w:bookmarkStart w:id="436" w:name="bookmark1079"/>
      <w:bookmarkStart w:id="437" w:name="bookmark1081"/>
      <w:bookmarkStart w:id="438" w:name="bookmark1078"/>
      <w:bookmarkStart w:id="439" w:name="_Toc13833"/>
      <w:bookmarkStart w:id="440" w:name="_Toc18104"/>
      <w:r>
        <w:rPr>
          <w:rStyle w:val="29"/>
          <w:rFonts w:hint="eastAsia" w:ascii="宋体" w:hAnsi="宋体" w:eastAsia="宋体" w:cs="宋体"/>
          <w:color w:val="auto"/>
          <w:kern w:val="2"/>
          <w:sz w:val="21"/>
          <w:szCs w:val="21"/>
          <w:highlight w:val="none"/>
          <w:lang w:eastAsia="zh-CN"/>
        </w:rPr>
        <w:t>7.交通运输</w:t>
      </w:r>
      <w:bookmarkEnd w:id="435"/>
      <w:bookmarkEnd w:id="436"/>
      <w:bookmarkEnd w:id="437"/>
      <w:bookmarkEnd w:id="438"/>
      <w:bookmarkEnd w:id="439"/>
      <w:bookmarkEnd w:id="440"/>
    </w:p>
    <w:p w14:paraId="2D5A340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41" w:name="_Toc256000057"/>
      <w:bookmarkStart w:id="442" w:name="_Toc14817"/>
      <w:bookmarkStart w:id="443" w:name="bookmark1082"/>
      <w:bookmarkStart w:id="444" w:name="_Toc22987"/>
      <w:bookmarkStart w:id="445" w:name="bookmark1083"/>
      <w:bookmarkStart w:id="446" w:name="bookmark1084"/>
      <w:r>
        <w:rPr>
          <w:rStyle w:val="29"/>
          <w:rFonts w:hint="eastAsia" w:ascii="宋体" w:hAnsi="宋体" w:eastAsia="宋体" w:cs="宋体"/>
          <w:color w:val="auto"/>
          <w:kern w:val="2"/>
          <w:sz w:val="21"/>
          <w:szCs w:val="21"/>
          <w:highlight w:val="none"/>
          <w:lang w:eastAsia="zh-CN"/>
        </w:rPr>
        <w:t>7.1道路通行权和场外设施</w:t>
      </w:r>
      <w:bookmarkEnd w:id="441"/>
      <w:bookmarkEnd w:id="442"/>
      <w:bookmarkEnd w:id="443"/>
      <w:bookmarkEnd w:id="444"/>
      <w:bookmarkEnd w:id="445"/>
      <w:bookmarkEnd w:id="446"/>
    </w:p>
    <w:p w14:paraId="03A93C7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38317D3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47" w:name="bookmark1085"/>
      <w:bookmarkStart w:id="448" w:name="bookmark1086"/>
      <w:bookmarkStart w:id="449" w:name="_Toc256000058"/>
      <w:bookmarkStart w:id="450" w:name="_Toc19760"/>
      <w:bookmarkStart w:id="451" w:name="bookmark1087"/>
      <w:bookmarkStart w:id="452" w:name="_Toc25046"/>
      <w:r>
        <w:rPr>
          <w:rStyle w:val="29"/>
          <w:rFonts w:hint="eastAsia" w:ascii="宋体" w:hAnsi="宋体" w:eastAsia="宋体" w:cs="宋体"/>
          <w:color w:val="auto"/>
          <w:kern w:val="2"/>
          <w:sz w:val="21"/>
          <w:szCs w:val="21"/>
          <w:highlight w:val="none"/>
          <w:lang w:eastAsia="zh-CN"/>
        </w:rPr>
        <w:t>7.2场内施工道路</w:t>
      </w:r>
      <w:bookmarkEnd w:id="447"/>
      <w:bookmarkEnd w:id="448"/>
      <w:bookmarkEnd w:id="449"/>
      <w:bookmarkEnd w:id="450"/>
      <w:bookmarkEnd w:id="451"/>
      <w:bookmarkEnd w:id="452"/>
    </w:p>
    <w:p w14:paraId="7F1F114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7.2.1除本合同约定由发包人提供的部分道路和交通设施外，承包人应负责修建、维修、养护和管理其施工所需的全部临时道路和交通设施（包括合同约定由发包人提供的部分道路和交通设施维修、养护和管理），并承担相应费用。</w:t>
      </w:r>
    </w:p>
    <w:p w14:paraId="3FB44F3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7.2.2承包人修建的临时道路和交通设施，应免费提供发包人、监理人，以及与本合同有关的其他承包人使用。</w:t>
      </w:r>
    </w:p>
    <w:p w14:paraId="315A524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53" w:name="_Toc1077"/>
      <w:bookmarkStart w:id="454" w:name="bookmark1088"/>
      <w:bookmarkStart w:id="455" w:name="bookmark1089"/>
      <w:bookmarkStart w:id="456" w:name="_Toc9625"/>
      <w:bookmarkStart w:id="457" w:name="bookmark1090"/>
      <w:bookmarkStart w:id="458" w:name="_Toc256000059"/>
      <w:r>
        <w:rPr>
          <w:rStyle w:val="29"/>
          <w:rFonts w:hint="eastAsia" w:ascii="宋体" w:hAnsi="宋体" w:eastAsia="宋体" w:cs="宋体"/>
          <w:color w:val="auto"/>
          <w:kern w:val="2"/>
          <w:sz w:val="21"/>
          <w:szCs w:val="21"/>
          <w:highlight w:val="none"/>
          <w:lang w:eastAsia="zh-CN"/>
        </w:rPr>
        <w:t>7.3场外交通</w:t>
      </w:r>
      <w:bookmarkEnd w:id="453"/>
      <w:bookmarkEnd w:id="454"/>
      <w:bookmarkEnd w:id="455"/>
      <w:bookmarkEnd w:id="456"/>
      <w:bookmarkEnd w:id="457"/>
      <w:bookmarkEnd w:id="458"/>
    </w:p>
    <w:p w14:paraId="6EEE791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eastAsia="zh-CN" w:bidi="en-US"/>
        </w:rPr>
      </w:pPr>
      <w:r>
        <w:rPr>
          <w:rStyle w:val="29"/>
          <w:rFonts w:hint="eastAsia" w:ascii="宋体" w:hAnsi="宋体" w:eastAsia="宋体" w:cs="宋体"/>
          <w:color w:val="auto"/>
          <w:kern w:val="2"/>
          <w:sz w:val="21"/>
          <w:szCs w:val="21"/>
          <w:highlight w:val="none"/>
          <w:lang w:val="en-US" w:eastAsia="zh-CN" w:bidi="en-US"/>
        </w:rPr>
        <w:t>7.3.1承包人车辆外出行驶所需的场外公共道路的通行费、养路费和税款等由承包人承担。</w:t>
      </w:r>
    </w:p>
    <w:p w14:paraId="3F75A4A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7.3.2承包人应遵守有关交通法规，严格按照道路和桥梁的限制荷重安全行驶，并服从交通管理部门的检查和监督。</w:t>
      </w:r>
    </w:p>
    <w:p w14:paraId="19B64C3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59" w:name="bookmark1092"/>
      <w:bookmarkStart w:id="460" w:name="_Toc256000060"/>
      <w:bookmarkStart w:id="461" w:name="bookmark1093"/>
      <w:bookmarkStart w:id="462" w:name="_Toc25595"/>
      <w:bookmarkStart w:id="463" w:name="_Toc10137"/>
      <w:bookmarkStart w:id="464" w:name="bookmark1091"/>
      <w:r>
        <w:rPr>
          <w:rStyle w:val="29"/>
          <w:rFonts w:hint="eastAsia" w:ascii="宋体" w:hAnsi="宋体" w:eastAsia="宋体" w:cs="宋体"/>
          <w:color w:val="auto"/>
          <w:kern w:val="2"/>
          <w:sz w:val="21"/>
          <w:szCs w:val="21"/>
          <w:highlight w:val="none"/>
          <w:lang w:eastAsia="zh-CN"/>
        </w:rPr>
        <w:t>7.4超大件和超重件的运输</w:t>
      </w:r>
      <w:bookmarkEnd w:id="459"/>
      <w:bookmarkEnd w:id="460"/>
      <w:bookmarkEnd w:id="461"/>
      <w:bookmarkEnd w:id="462"/>
      <w:bookmarkEnd w:id="463"/>
      <w:bookmarkEnd w:id="464"/>
    </w:p>
    <w:p w14:paraId="7CE6E38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69B1525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65" w:name="bookmark1095"/>
      <w:bookmarkStart w:id="466" w:name="bookmark1096"/>
      <w:bookmarkStart w:id="467" w:name="_Toc256000061"/>
      <w:bookmarkStart w:id="468" w:name="bookmark1094"/>
      <w:bookmarkStart w:id="469" w:name="_Toc31023"/>
      <w:bookmarkStart w:id="470" w:name="_Toc19673"/>
      <w:r>
        <w:rPr>
          <w:rStyle w:val="29"/>
          <w:rFonts w:hint="eastAsia" w:ascii="宋体" w:hAnsi="宋体" w:eastAsia="宋体" w:cs="宋体"/>
          <w:color w:val="auto"/>
          <w:kern w:val="2"/>
          <w:sz w:val="21"/>
          <w:szCs w:val="21"/>
          <w:highlight w:val="none"/>
          <w:lang w:eastAsia="zh-CN"/>
        </w:rPr>
        <w:t>7.5道路和桥梁的损坏责任</w:t>
      </w:r>
      <w:bookmarkEnd w:id="465"/>
      <w:bookmarkEnd w:id="466"/>
      <w:bookmarkEnd w:id="467"/>
      <w:bookmarkEnd w:id="468"/>
      <w:bookmarkEnd w:id="469"/>
      <w:bookmarkEnd w:id="470"/>
    </w:p>
    <w:p w14:paraId="778CA2B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因承包人运输造成施工场地内外公共道路和桥梁损坏的，由承包人承担修复损坏的全部费用和可能引起的赔偿。</w:t>
      </w:r>
    </w:p>
    <w:p w14:paraId="7564613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71" w:name="_Toc30116"/>
      <w:bookmarkStart w:id="472" w:name="_Toc256000062"/>
      <w:bookmarkStart w:id="473" w:name="bookmark1097"/>
      <w:bookmarkStart w:id="474" w:name="_Toc32607"/>
      <w:bookmarkStart w:id="475" w:name="bookmark1099"/>
      <w:bookmarkStart w:id="476" w:name="bookmark1098"/>
      <w:r>
        <w:rPr>
          <w:rStyle w:val="29"/>
          <w:rFonts w:hint="eastAsia" w:ascii="宋体" w:hAnsi="宋体" w:eastAsia="宋体" w:cs="宋体"/>
          <w:color w:val="auto"/>
          <w:kern w:val="2"/>
          <w:sz w:val="21"/>
          <w:szCs w:val="21"/>
          <w:highlight w:val="none"/>
          <w:lang w:eastAsia="zh-CN"/>
        </w:rPr>
        <w:t>7.6水路和航空运输</w:t>
      </w:r>
      <w:bookmarkEnd w:id="471"/>
      <w:bookmarkEnd w:id="472"/>
      <w:bookmarkEnd w:id="473"/>
      <w:bookmarkEnd w:id="474"/>
      <w:bookmarkEnd w:id="475"/>
      <w:bookmarkEnd w:id="476"/>
    </w:p>
    <w:p w14:paraId="159136C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本条上述各款的内容适用于水路运输和航空运输，其中“道路”一词的涵义包括河道、航线、船闸、机场、码头、堤防以及水路或航空运输中其他相似结构物；“车辆”一词的涵义包括船舶和飞机等。</w:t>
      </w:r>
    </w:p>
    <w:p w14:paraId="752A2B1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77" w:name="bookmark1102"/>
      <w:bookmarkEnd w:id="477"/>
      <w:bookmarkStart w:id="478" w:name="_Toc14055"/>
      <w:bookmarkStart w:id="479" w:name="bookmark1101"/>
      <w:bookmarkStart w:id="480" w:name="bookmark1103"/>
      <w:bookmarkStart w:id="481" w:name="_Toc7491"/>
      <w:bookmarkStart w:id="482" w:name="bookmark1100"/>
      <w:bookmarkStart w:id="483" w:name="_Toc256000063"/>
      <w:r>
        <w:rPr>
          <w:rStyle w:val="29"/>
          <w:rFonts w:hint="eastAsia" w:ascii="宋体" w:hAnsi="宋体" w:eastAsia="宋体" w:cs="宋体"/>
          <w:color w:val="auto"/>
          <w:kern w:val="2"/>
          <w:sz w:val="21"/>
          <w:szCs w:val="21"/>
          <w:highlight w:val="none"/>
          <w:lang w:eastAsia="zh-CN"/>
        </w:rPr>
        <w:t>8.测量放线</w:t>
      </w:r>
      <w:bookmarkEnd w:id="478"/>
      <w:bookmarkEnd w:id="479"/>
      <w:bookmarkEnd w:id="480"/>
      <w:bookmarkEnd w:id="481"/>
      <w:bookmarkEnd w:id="482"/>
      <w:bookmarkEnd w:id="483"/>
    </w:p>
    <w:p w14:paraId="6E1DB68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84" w:name="bookmark1106"/>
      <w:bookmarkStart w:id="485" w:name="bookmark1104"/>
      <w:bookmarkStart w:id="486" w:name="_Toc256000064"/>
      <w:bookmarkStart w:id="487" w:name="_Toc7125"/>
      <w:bookmarkStart w:id="488" w:name="_Toc16690"/>
      <w:bookmarkStart w:id="489" w:name="bookmark1105"/>
      <w:r>
        <w:rPr>
          <w:rStyle w:val="29"/>
          <w:rFonts w:hint="eastAsia" w:ascii="宋体" w:hAnsi="宋体" w:eastAsia="宋体" w:cs="宋体"/>
          <w:color w:val="auto"/>
          <w:kern w:val="2"/>
          <w:sz w:val="21"/>
          <w:szCs w:val="21"/>
          <w:highlight w:val="none"/>
          <w:lang w:eastAsia="zh-CN"/>
        </w:rPr>
        <w:t>8.1施工控制网</w:t>
      </w:r>
      <w:bookmarkEnd w:id="484"/>
      <w:bookmarkEnd w:id="485"/>
      <w:bookmarkEnd w:id="486"/>
      <w:bookmarkEnd w:id="487"/>
      <w:bookmarkEnd w:id="488"/>
      <w:bookmarkEnd w:id="489"/>
    </w:p>
    <w:p w14:paraId="0B66137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8.1.1除专用条款另有约定外，施工控制网由承包人负责测设，发包人应在本合同协议书签订后的14天内，向承包人提供测量基准点、基准线和水准点及其相关资料。承包人应在收到上述资料后的28天内，将施测的施工控制网资料提交监理人审批。监理人应在收到报批件后的14天内批复承包人。</w:t>
      </w:r>
    </w:p>
    <w:p w14:paraId="3F930DD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8.1.2承包人应负责管理施工控制网点。施工控制网点丢失或损坏的，承包人应及时修复。承包人应承担施工控制网点的管理与修复费用，并在工程竣工后将施工控制网点移交发包人。</w:t>
      </w:r>
    </w:p>
    <w:p w14:paraId="491C371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90" w:name="_Toc256000065"/>
      <w:bookmarkStart w:id="491" w:name="_Toc28033"/>
      <w:bookmarkStart w:id="492" w:name="bookmark1109"/>
      <w:bookmarkStart w:id="493" w:name="_Toc8732"/>
      <w:bookmarkStart w:id="494" w:name="bookmark1108"/>
      <w:bookmarkStart w:id="495" w:name="bookmark1107"/>
      <w:r>
        <w:rPr>
          <w:rStyle w:val="29"/>
          <w:rFonts w:hint="eastAsia" w:ascii="宋体" w:hAnsi="宋体" w:eastAsia="宋体" w:cs="宋体"/>
          <w:color w:val="auto"/>
          <w:kern w:val="2"/>
          <w:sz w:val="21"/>
          <w:szCs w:val="21"/>
          <w:highlight w:val="none"/>
          <w:lang w:eastAsia="zh-CN"/>
        </w:rPr>
        <w:t>8.2施工测量</w:t>
      </w:r>
      <w:bookmarkEnd w:id="490"/>
      <w:bookmarkEnd w:id="491"/>
      <w:bookmarkEnd w:id="492"/>
      <w:bookmarkEnd w:id="493"/>
      <w:bookmarkEnd w:id="494"/>
      <w:bookmarkEnd w:id="495"/>
    </w:p>
    <w:p w14:paraId="53130D1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8.2.1承包人应负责施工过程中的全部施工测量放线工作，并配置合格的人员、仪器、设备和其他物品。</w:t>
      </w:r>
    </w:p>
    <w:p w14:paraId="61F0FD0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8.2.2监理人可以指示承包人进行抽样复测，当复测中发现错误或出现超过合同约定的误差时，承包人应按监理人指示进行修正或补测，并承担相应的复测费用。</w:t>
      </w:r>
    </w:p>
    <w:p w14:paraId="7E1A89E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496" w:name="_Toc18249"/>
      <w:bookmarkStart w:id="497" w:name="bookmark1111"/>
      <w:bookmarkStart w:id="498" w:name="_Toc2222"/>
      <w:bookmarkStart w:id="499" w:name="bookmark1112"/>
      <w:bookmarkStart w:id="500" w:name="bookmark1110"/>
      <w:bookmarkStart w:id="501" w:name="_Toc256000066"/>
      <w:r>
        <w:rPr>
          <w:rStyle w:val="29"/>
          <w:rFonts w:hint="eastAsia" w:ascii="宋体" w:hAnsi="宋体" w:eastAsia="宋体" w:cs="宋体"/>
          <w:color w:val="auto"/>
          <w:kern w:val="2"/>
          <w:sz w:val="21"/>
          <w:szCs w:val="21"/>
          <w:highlight w:val="none"/>
          <w:lang w:eastAsia="zh-CN"/>
        </w:rPr>
        <w:t>8.3基准资料错误的责任</w:t>
      </w:r>
      <w:bookmarkEnd w:id="496"/>
      <w:bookmarkEnd w:id="497"/>
      <w:bookmarkEnd w:id="498"/>
      <w:bookmarkEnd w:id="499"/>
      <w:bookmarkEnd w:id="500"/>
      <w:bookmarkEnd w:id="501"/>
    </w:p>
    <w:p w14:paraId="75E9805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01FFE5A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02" w:name="_Toc24310"/>
      <w:bookmarkStart w:id="503" w:name="bookmark1114"/>
      <w:bookmarkStart w:id="504" w:name="bookmark1113"/>
      <w:bookmarkStart w:id="505" w:name="bookmark1115"/>
      <w:bookmarkStart w:id="506" w:name="_Toc256000067"/>
      <w:bookmarkStart w:id="507" w:name="_Toc26810"/>
      <w:r>
        <w:rPr>
          <w:rStyle w:val="29"/>
          <w:rFonts w:hint="eastAsia" w:ascii="宋体" w:hAnsi="宋体" w:eastAsia="宋体" w:cs="宋体"/>
          <w:color w:val="auto"/>
          <w:kern w:val="2"/>
          <w:sz w:val="21"/>
          <w:szCs w:val="21"/>
          <w:highlight w:val="none"/>
          <w:lang w:eastAsia="zh-CN"/>
        </w:rPr>
        <w:t>8.4监理人使用施工控制网</w:t>
      </w:r>
      <w:bookmarkEnd w:id="502"/>
      <w:bookmarkEnd w:id="503"/>
      <w:bookmarkEnd w:id="504"/>
      <w:bookmarkEnd w:id="505"/>
      <w:bookmarkEnd w:id="506"/>
      <w:bookmarkEnd w:id="507"/>
    </w:p>
    <w:p w14:paraId="6AB2624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监理人需要使用施工控制网的，承包人应提供必要的协助，发包人不再为此支付费用。</w:t>
      </w:r>
    </w:p>
    <w:p w14:paraId="1B3BEE8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08" w:name="bookmark1117"/>
      <w:bookmarkStart w:id="509" w:name="_Toc26237"/>
      <w:bookmarkStart w:id="510" w:name="bookmark1116"/>
      <w:bookmarkStart w:id="511" w:name="_Toc3157"/>
      <w:bookmarkStart w:id="512" w:name="bookmark1118"/>
      <w:bookmarkStart w:id="513" w:name="_Toc256000068"/>
      <w:r>
        <w:rPr>
          <w:rStyle w:val="29"/>
          <w:rFonts w:hint="eastAsia" w:ascii="宋体" w:hAnsi="宋体" w:eastAsia="宋体" w:cs="宋体"/>
          <w:color w:val="auto"/>
          <w:kern w:val="2"/>
          <w:sz w:val="21"/>
          <w:szCs w:val="21"/>
          <w:highlight w:val="none"/>
          <w:lang w:eastAsia="zh-CN"/>
        </w:rPr>
        <w:t>8.5补充地质勘探</w:t>
      </w:r>
      <w:bookmarkEnd w:id="508"/>
      <w:bookmarkEnd w:id="509"/>
      <w:bookmarkEnd w:id="510"/>
      <w:bookmarkEnd w:id="511"/>
      <w:bookmarkEnd w:id="512"/>
      <w:bookmarkEnd w:id="513"/>
    </w:p>
    <w:p w14:paraId="7638312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在合同实施期间，监理人可以指示承包人进行必要的补充地质勘探和提供有关资料</w:t>
      </w:r>
      <w:r>
        <w:rPr>
          <w:rStyle w:val="29"/>
          <w:rFonts w:hint="eastAsia" w:ascii="宋体" w:hAnsi="宋体" w:eastAsia="宋体" w:cs="宋体"/>
          <w:color w:val="auto"/>
          <w:kern w:val="2"/>
          <w:sz w:val="21"/>
          <w:szCs w:val="21"/>
          <w:highlight w:val="none"/>
          <w:lang w:val="en-US" w:eastAsia="zh-CN" w:bidi="en-US"/>
        </w:rPr>
        <w:t>；</w:t>
      </w:r>
      <w:r>
        <w:rPr>
          <w:rStyle w:val="29"/>
          <w:rFonts w:hint="eastAsia" w:ascii="宋体" w:hAnsi="宋体" w:eastAsia="宋体" w:cs="宋体"/>
          <w:color w:val="auto"/>
          <w:kern w:val="2"/>
          <w:sz w:val="21"/>
          <w:szCs w:val="21"/>
          <w:highlight w:val="none"/>
          <w:lang w:val="en-US" w:bidi="en-US"/>
        </w:rPr>
        <w:t>承包人为本合同永久工程施工的需要进行补充地质勘探时，须经监理人批准，并应向监理人提交有关资料，上述补充勘探的费用由发包人承担。承包人为其临时工程所需进行的补充地质勘探，其费用由承包人承担。</w:t>
      </w:r>
    </w:p>
    <w:p w14:paraId="39937BE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14" w:name="bookmark1121"/>
      <w:bookmarkEnd w:id="514"/>
      <w:bookmarkStart w:id="515" w:name="_Toc15267"/>
      <w:bookmarkStart w:id="516" w:name="bookmark1119"/>
      <w:bookmarkStart w:id="517" w:name="bookmark1122"/>
      <w:bookmarkStart w:id="518" w:name="_Toc256000069"/>
      <w:bookmarkStart w:id="519" w:name="bookmark1120"/>
      <w:bookmarkStart w:id="520" w:name="_Toc18693"/>
      <w:r>
        <w:rPr>
          <w:rStyle w:val="29"/>
          <w:rFonts w:hint="eastAsia" w:ascii="宋体" w:hAnsi="宋体" w:eastAsia="宋体" w:cs="宋体"/>
          <w:color w:val="auto"/>
          <w:kern w:val="2"/>
          <w:sz w:val="21"/>
          <w:szCs w:val="21"/>
          <w:highlight w:val="none"/>
          <w:lang w:eastAsia="zh-CN"/>
        </w:rPr>
        <w:t>9.施工安全、治安保卫和环境保护</w:t>
      </w:r>
      <w:bookmarkEnd w:id="515"/>
      <w:bookmarkEnd w:id="516"/>
      <w:bookmarkEnd w:id="517"/>
      <w:bookmarkEnd w:id="518"/>
      <w:bookmarkEnd w:id="519"/>
      <w:bookmarkEnd w:id="520"/>
    </w:p>
    <w:p w14:paraId="05A16D0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21" w:name="bookmark1124"/>
      <w:bookmarkStart w:id="522" w:name="bookmark1125"/>
      <w:bookmarkStart w:id="523" w:name="_Toc256000070"/>
      <w:bookmarkStart w:id="524" w:name="_Toc1087"/>
      <w:bookmarkStart w:id="525" w:name="_Toc13008"/>
      <w:bookmarkStart w:id="526" w:name="bookmark1123"/>
      <w:r>
        <w:rPr>
          <w:rStyle w:val="29"/>
          <w:rFonts w:hint="eastAsia" w:ascii="宋体" w:hAnsi="宋体" w:eastAsia="宋体" w:cs="宋体"/>
          <w:color w:val="auto"/>
          <w:kern w:val="2"/>
          <w:sz w:val="21"/>
          <w:szCs w:val="21"/>
          <w:highlight w:val="none"/>
          <w:lang w:eastAsia="zh-CN"/>
        </w:rPr>
        <w:t>9.1发包人的施工安全责任</w:t>
      </w:r>
      <w:bookmarkEnd w:id="521"/>
      <w:bookmarkEnd w:id="522"/>
      <w:bookmarkEnd w:id="523"/>
      <w:bookmarkEnd w:id="524"/>
      <w:bookmarkEnd w:id="525"/>
      <w:bookmarkEnd w:id="526"/>
    </w:p>
    <w:p w14:paraId="476C568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9.1.1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57200B9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9.1.2发包人应对其现场机构雇佣的全部人员的工伤事故承担责任，但由于承包人原因造成发包人人员工伤的，应由承包人承担责任。</w:t>
      </w:r>
    </w:p>
    <w:p w14:paraId="5FFE6CD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9.1.3发包人应负责赔偿以下各种情况造成的第三者人身伤亡和财产损失：</w:t>
      </w:r>
    </w:p>
    <w:p w14:paraId="662B348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527" w:name="bookmark1126"/>
      <w:bookmarkEnd w:id="527"/>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工程或工程的任何部分对土地的占用所造成的第三者财产损失；</w:t>
      </w:r>
    </w:p>
    <w:p w14:paraId="03E01DC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528" w:name="bookmark1127"/>
      <w:bookmarkEnd w:id="528"/>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由于发包人原因在施工场地及其毗邻地带造成的第三者人身伤亡和财产损失。</w:t>
      </w:r>
    </w:p>
    <w:p w14:paraId="4690CDA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9.1.4除专用合同条款另有约定外，发包人负责向承包人提供施工现场及施工可能影响的毗邻区域内供水、排水、供电、供气、供热、通信、广播电视等地下管线资料，气象和水文观测资料，拟建工程可能影响的相邻建筑物地下工程的有关资料，并保证有关资料的真实、准确、完整，满足有关技术规程的要求。</w:t>
      </w:r>
    </w:p>
    <w:p w14:paraId="6B22375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9.1.5发包人按照已标价工程量清单所列金额和合同约定的计量支付规定，支付安全作业环境及安全施工措施所需费用。</w:t>
      </w:r>
    </w:p>
    <w:p w14:paraId="356F5F6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9.1.6发包人负责组织工程参建单位编制保证安全生产的措施方案。工程开工前，就落实安全生产的措施进行全面系统的布置，进一步明确承包人的安全生产责任。</w:t>
      </w:r>
    </w:p>
    <w:p w14:paraId="03766CC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9.1.7发包人负责在拆除工程和爆破工程施工14天前向有关部门或机构报送相关备案资料。</w:t>
      </w:r>
    </w:p>
    <w:p w14:paraId="3D7BCDA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29" w:name="_Toc256000071"/>
      <w:bookmarkStart w:id="530" w:name="bookmark1128"/>
      <w:bookmarkStart w:id="531" w:name="_Toc32671"/>
      <w:bookmarkStart w:id="532" w:name="_Toc920"/>
      <w:bookmarkStart w:id="533" w:name="bookmark1129"/>
      <w:bookmarkStart w:id="534" w:name="bookmark1130"/>
      <w:r>
        <w:rPr>
          <w:rStyle w:val="29"/>
          <w:rFonts w:hint="eastAsia" w:ascii="宋体" w:hAnsi="宋体" w:eastAsia="宋体" w:cs="宋体"/>
          <w:color w:val="auto"/>
          <w:kern w:val="2"/>
          <w:sz w:val="21"/>
          <w:szCs w:val="21"/>
          <w:highlight w:val="none"/>
          <w:lang w:eastAsia="zh-CN"/>
        </w:rPr>
        <w:t>9.2承包人的施工安全责任</w:t>
      </w:r>
      <w:bookmarkEnd w:id="529"/>
      <w:bookmarkEnd w:id="530"/>
      <w:bookmarkEnd w:id="531"/>
      <w:bookmarkEnd w:id="532"/>
      <w:bookmarkEnd w:id="533"/>
      <w:bookmarkEnd w:id="534"/>
    </w:p>
    <w:p w14:paraId="0CA139A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9.2.1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批复承包人。</w:t>
      </w:r>
    </w:p>
    <w:p w14:paraId="3119713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9.2.2承包人应加强施工作业安全管理，特别应加强易燃、易爆材料、火工器材、有毒与腐蚀性材料和其他危险品的管理，以及对爆破作业和地下工程施工等危险作业的管理。</w:t>
      </w:r>
    </w:p>
    <w:p w14:paraId="20A2085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9.2.3承包人应严格按照国家安全标准制定施工安全操作规程，配备必要的安全生产和劳动保护设施，加强对承包人人员的安全教育，并发放安全工作手册和劳动保护用具。</w:t>
      </w:r>
    </w:p>
    <w:p w14:paraId="4AD3692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9.2.4承包人应按监理人的指示制定应对灾害的紧急预案，报送监理人审批。承包人还应按预案做好安全检查，配置必要的救助物资和器材，切实保护好有关人员的人身和财产安全。</w:t>
      </w:r>
    </w:p>
    <w:p w14:paraId="4B8A8D4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9.2.5合同约定的安全作业环境及安全施工措施所需费用应遵守有关规定，并包括在相关工作的合同价格中。因采取合同未约定的安全作业环境及安全施工措施增加的费用，由监理人按第3.5款商定或确定。</w:t>
      </w:r>
    </w:p>
    <w:p w14:paraId="4E928BB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9.2.6承包人应对其履行合同所雇佣的全部人员，包括分包人人员的工伤事故承担责任，但由于发包人原因造成承包人人员工伤事故的，应由发包人承担责任。</w:t>
      </w:r>
    </w:p>
    <w:p w14:paraId="716AE53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9.2.7由于承包人原因在施工场地内及其毗邻地带造成的第三者人员伤亡和财产损失，由承包人负责赔偿。</w:t>
      </w:r>
    </w:p>
    <w:p w14:paraId="76C852A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9.2.8承包人已标价工程量清单应包含工程安全作业环境及安全施工措施所需费用。</w:t>
      </w:r>
    </w:p>
    <w:p w14:paraId="72715A1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9.2.9承包人应建立健全安全生产责任制度和安全生产教育培训制度，制定安全生产规章制度和操作规程，保证本单位建立和完善安全生产条件所需资金的投入，对本工程进行定期和专项安全检查，并做好安全检查记录。</w:t>
      </w:r>
    </w:p>
    <w:p w14:paraId="29991A2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9.2.10承包人应设立安全生产管理机构，施工现场应有专职安全生产管理人员。</w:t>
      </w:r>
    </w:p>
    <w:p w14:paraId="403C54C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9.2.11承包人应负责对特种作业人员进行专门的安全作业培训，并保证特种作业人员持证上岗。</w:t>
      </w:r>
    </w:p>
    <w:p w14:paraId="6049626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9.2.12承包人应在施工组织设计中编制安全技术措施和施工现场临时用电方案。对专用合同条款约定的工程，应编制专项施工方案报监理人批准。对专用合同条款约定的专项施工方案，还应组织专家进行论证、审查，其中专家1/2人员应经发包人同意。</w:t>
      </w:r>
    </w:p>
    <w:p w14:paraId="2F4FBCA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9.2.13承包人在使用施工起重机构和整体提升脚手架、模板等自升式架设设施前,应组织有关单位进行验收。</w:t>
      </w:r>
    </w:p>
    <w:p w14:paraId="6B63B78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35" w:name="_Toc256000072"/>
      <w:bookmarkStart w:id="536" w:name="_Toc24520"/>
      <w:bookmarkStart w:id="537" w:name="bookmark1131"/>
      <w:bookmarkStart w:id="538" w:name="bookmark1133"/>
      <w:bookmarkStart w:id="539" w:name="bookmark1132"/>
      <w:bookmarkStart w:id="540" w:name="_Toc17287"/>
      <w:r>
        <w:rPr>
          <w:rStyle w:val="29"/>
          <w:rFonts w:hint="eastAsia" w:ascii="宋体" w:hAnsi="宋体" w:eastAsia="宋体" w:cs="宋体"/>
          <w:color w:val="auto"/>
          <w:kern w:val="2"/>
          <w:sz w:val="21"/>
          <w:szCs w:val="21"/>
          <w:highlight w:val="none"/>
          <w:lang w:eastAsia="zh-CN"/>
        </w:rPr>
        <w:t>9.3治安保卫</w:t>
      </w:r>
      <w:bookmarkEnd w:id="535"/>
      <w:bookmarkEnd w:id="536"/>
      <w:bookmarkEnd w:id="537"/>
      <w:bookmarkEnd w:id="538"/>
      <w:bookmarkEnd w:id="539"/>
      <w:bookmarkEnd w:id="540"/>
    </w:p>
    <w:p w14:paraId="46E32D6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9.3.1除合同另有约定外，发包人应与当地公安部门协商，在现场建立治安管理机构或联防组织，统一管理施工场地的治安保卫事项，履行合同工程的治安保卫职责。</w:t>
      </w:r>
    </w:p>
    <w:p w14:paraId="6873255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9.3.2发包人和承包人除应协助现场治安管理机构或联防组织维护施工场地的社会治安外，还应做好包括生活区在内的各自管辖区的治安保卫工作。</w:t>
      </w:r>
    </w:p>
    <w:p w14:paraId="1842F2D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9.3.3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4BBF2EF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41" w:name="bookmark1136"/>
      <w:bookmarkStart w:id="542" w:name="_Toc19282"/>
      <w:bookmarkStart w:id="543" w:name="_Toc256000073"/>
      <w:bookmarkStart w:id="544" w:name="bookmark1135"/>
      <w:bookmarkStart w:id="545" w:name="bookmark1134"/>
      <w:bookmarkStart w:id="546" w:name="_Toc24105"/>
      <w:r>
        <w:rPr>
          <w:rStyle w:val="29"/>
          <w:rFonts w:hint="eastAsia" w:ascii="宋体" w:hAnsi="宋体" w:eastAsia="宋体" w:cs="宋体"/>
          <w:color w:val="auto"/>
          <w:kern w:val="2"/>
          <w:sz w:val="21"/>
          <w:szCs w:val="21"/>
          <w:highlight w:val="none"/>
          <w:lang w:eastAsia="zh-CN"/>
        </w:rPr>
        <w:t>9.4环境保护</w:t>
      </w:r>
      <w:bookmarkEnd w:id="541"/>
      <w:bookmarkEnd w:id="542"/>
      <w:bookmarkEnd w:id="543"/>
      <w:bookmarkEnd w:id="544"/>
      <w:bookmarkEnd w:id="545"/>
      <w:bookmarkEnd w:id="546"/>
    </w:p>
    <w:p w14:paraId="76AA5EE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9.4.1承包人在施工过程中，应遵守有关环境保护的法律，履行合同约定的环境保护义务，并对违反法律和合同约定义务所造成的环境破坏、人身伤害和财产损失负责。</w:t>
      </w:r>
    </w:p>
    <w:p w14:paraId="7EB7351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9.4.2承包人应按合同约定的环保工作内容，编制施工环保措施计划，报送监理人审批。</w:t>
      </w:r>
    </w:p>
    <w:p w14:paraId="47115A3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9.4.3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5DC5954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9.4.4承包人应按合同约定采取有效措施，对施工开挖的边坡及时进行支护，维护排水设施，并进行水土保护，避免因施工造成的地质灾害。</w:t>
      </w:r>
    </w:p>
    <w:p w14:paraId="399F1C3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9.4.5承包人应按国家饮用水管理标准定期对饮用水源进行监测，防止施工活动污染饮用水源。</w:t>
      </w:r>
    </w:p>
    <w:p w14:paraId="64FEC0F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9.4.6承包人应按合同约定，加强对噪声、粉尘、废气、废水和废油的控制，努力降低噪声，控制粉尘和废气浓度，做好废水和废油的治理和排放。</w:t>
      </w:r>
    </w:p>
    <w:p w14:paraId="6B36A17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47" w:name="_Toc486"/>
      <w:bookmarkStart w:id="548" w:name="_Toc1363"/>
      <w:bookmarkStart w:id="549" w:name="bookmark1138"/>
      <w:bookmarkStart w:id="550" w:name="bookmark1137"/>
      <w:bookmarkStart w:id="551" w:name="bookmark1139"/>
      <w:bookmarkStart w:id="552" w:name="_Toc256000074"/>
      <w:r>
        <w:rPr>
          <w:rStyle w:val="29"/>
          <w:rFonts w:hint="eastAsia" w:ascii="宋体" w:hAnsi="宋体" w:eastAsia="宋体" w:cs="宋体"/>
          <w:color w:val="auto"/>
          <w:kern w:val="2"/>
          <w:sz w:val="21"/>
          <w:szCs w:val="21"/>
          <w:highlight w:val="none"/>
          <w:lang w:eastAsia="zh-CN"/>
        </w:rPr>
        <w:t>9.5事故处理</w:t>
      </w:r>
      <w:bookmarkEnd w:id="547"/>
      <w:bookmarkEnd w:id="548"/>
      <w:bookmarkEnd w:id="549"/>
      <w:bookmarkEnd w:id="550"/>
      <w:bookmarkEnd w:id="551"/>
      <w:bookmarkEnd w:id="552"/>
    </w:p>
    <w:p w14:paraId="0C51693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9.5.1发包人负责组织参建单位制定本工程的质量与安全事故应急预案，建立质量与安全事故应急处置指挥部。</w:t>
      </w:r>
    </w:p>
    <w:p w14:paraId="2A51D0A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9.5.2承包人应对施工现场易发生重大事故的部位、环节的进行监控，配备救援器材、设备，并定期组织演练。</w:t>
      </w:r>
    </w:p>
    <w:p w14:paraId="47CAAB0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9.5.3工程开工前，承包人应根据本工程特点制定施工现场施工质量与安全事故应急预案，并报发包人备案。</w:t>
      </w:r>
    </w:p>
    <w:p w14:paraId="12F202A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9.5.4施工过程中发生事故时，发包人、承包人应立即启动应急预案。</w:t>
      </w:r>
    </w:p>
    <w:p w14:paraId="12E696D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9.5.5事故调查处理由发包人按相关规定履行手续，承包人应配合。</w:t>
      </w:r>
    </w:p>
    <w:p w14:paraId="7864997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53" w:name="bookmark1142"/>
      <w:bookmarkStart w:id="554" w:name="bookmark1141"/>
      <w:bookmarkStart w:id="555" w:name="_Toc1975"/>
      <w:bookmarkStart w:id="556" w:name="bookmark1140"/>
      <w:bookmarkStart w:id="557" w:name="_Toc10912"/>
      <w:bookmarkStart w:id="558" w:name="_Toc256000075"/>
      <w:r>
        <w:rPr>
          <w:rStyle w:val="29"/>
          <w:rFonts w:hint="eastAsia" w:ascii="宋体" w:hAnsi="宋体" w:eastAsia="宋体" w:cs="宋体"/>
          <w:color w:val="auto"/>
          <w:kern w:val="2"/>
          <w:sz w:val="21"/>
          <w:szCs w:val="21"/>
          <w:highlight w:val="none"/>
          <w:lang w:eastAsia="zh-CN"/>
        </w:rPr>
        <w:t>9.6水土保持</w:t>
      </w:r>
      <w:bookmarkEnd w:id="553"/>
      <w:bookmarkEnd w:id="554"/>
      <w:bookmarkEnd w:id="555"/>
      <w:bookmarkEnd w:id="556"/>
      <w:bookmarkEnd w:id="557"/>
      <w:bookmarkEnd w:id="558"/>
    </w:p>
    <w:p w14:paraId="1DDBF32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9.6.1发包人应及时向承包人提供水土保持方案。</w:t>
      </w:r>
    </w:p>
    <w:p w14:paraId="44DD9FF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9.6.2承包人在施工过程中，应遵守有关水土保持的法律法规和规章，履行合同约定的水土保持义务，并对其违反法律和合同约定义务所造成的水土流失灾害、人身伤害和财产损失负责。</w:t>
      </w:r>
    </w:p>
    <w:p w14:paraId="494B73E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9.6.3承包人的水土保持措施计划，应满足技术标准和要求（合同技术条款）约定的要求。</w:t>
      </w:r>
    </w:p>
    <w:p w14:paraId="100C1FF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59" w:name="bookmark1144"/>
      <w:bookmarkStart w:id="560" w:name="bookmark1145"/>
      <w:bookmarkStart w:id="561" w:name="_Toc9534"/>
      <w:bookmarkStart w:id="562" w:name="bookmark1143"/>
      <w:bookmarkStart w:id="563" w:name="_Toc32599"/>
      <w:bookmarkStart w:id="564" w:name="_Toc256000076"/>
      <w:r>
        <w:rPr>
          <w:rStyle w:val="29"/>
          <w:rFonts w:hint="eastAsia" w:ascii="宋体" w:hAnsi="宋体" w:eastAsia="宋体" w:cs="宋体"/>
          <w:color w:val="auto"/>
          <w:kern w:val="2"/>
          <w:sz w:val="21"/>
          <w:szCs w:val="21"/>
          <w:highlight w:val="none"/>
          <w:lang w:eastAsia="zh-CN"/>
        </w:rPr>
        <w:t>9.7文明工地</w:t>
      </w:r>
      <w:bookmarkEnd w:id="559"/>
      <w:bookmarkEnd w:id="560"/>
      <w:bookmarkEnd w:id="561"/>
      <w:bookmarkEnd w:id="562"/>
      <w:bookmarkEnd w:id="563"/>
      <w:bookmarkEnd w:id="564"/>
    </w:p>
    <w:p w14:paraId="182E6E9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9.7.1发包人应按专用合同条款的约定，负责建立创建文明建设工地的组织机构，制定创建文明建设工地的规划和办法。</w:t>
      </w:r>
    </w:p>
    <w:p w14:paraId="26193C3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9.7.2承包人应按创建文明建设工地的规划和办法，履行职责，承担相应责任。所需费用应含在已标价工程量清单中。</w:t>
      </w:r>
    </w:p>
    <w:p w14:paraId="7E60E08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65" w:name="_Toc256000077"/>
      <w:bookmarkStart w:id="566" w:name="bookmark1148"/>
      <w:bookmarkStart w:id="567" w:name="_Toc2182"/>
      <w:bookmarkStart w:id="568" w:name="bookmark1146"/>
      <w:bookmarkStart w:id="569" w:name="bookmark1147"/>
      <w:bookmarkStart w:id="570" w:name="_Toc10413"/>
      <w:r>
        <w:rPr>
          <w:rStyle w:val="29"/>
          <w:rFonts w:hint="eastAsia" w:ascii="宋体" w:hAnsi="宋体" w:eastAsia="宋体" w:cs="宋体"/>
          <w:color w:val="auto"/>
          <w:kern w:val="2"/>
          <w:sz w:val="21"/>
          <w:szCs w:val="21"/>
          <w:highlight w:val="none"/>
          <w:lang w:eastAsia="zh-CN"/>
        </w:rPr>
        <w:t>9.8防汛度汛</w:t>
      </w:r>
      <w:bookmarkEnd w:id="565"/>
      <w:bookmarkEnd w:id="566"/>
      <w:bookmarkEnd w:id="567"/>
      <w:bookmarkEnd w:id="568"/>
      <w:bookmarkEnd w:id="569"/>
      <w:bookmarkEnd w:id="570"/>
    </w:p>
    <w:p w14:paraId="4063FC5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9.8.1发包人负责组织工程参建单位编制本工程的度汛方案和措施。</w:t>
      </w:r>
    </w:p>
    <w:p w14:paraId="016E877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9.8.2承包人应根据发包人编制的本工程度汛方案和措施，制定相应的度汛方案，报发包人批准后实施。</w:t>
      </w:r>
    </w:p>
    <w:p w14:paraId="6323B99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71" w:name="bookmark1151"/>
      <w:bookmarkStart w:id="572" w:name="_Toc27960"/>
      <w:bookmarkStart w:id="573" w:name="_Toc14784"/>
      <w:bookmarkStart w:id="574" w:name="bookmark1150"/>
      <w:bookmarkStart w:id="575" w:name="bookmark1149"/>
      <w:bookmarkStart w:id="576" w:name="_Toc256000078"/>
      <w:r>
        <w:rPr>
          <w:rStyle w:val="29"/>
          <w:rFonts w:hint="eastAsia" w:ascii="宋体" w:hAnsi="宋体" w:eastAsia="宋体" w:cs="宋体"/>
          <w:color w:val="auto"/>
          <w:kern w:val="2"/>
          <w:sz w:val="21"/>
          <w:szCs w:val="21"/>
          <w:highlight w:val="none"/>
          <w:lang w:eastAsia="zh-CN"/>
        </w:rPr>
        <w:t>10.进度计划</w:t>
      </w:r>
      <w:bookmarkEnd w:id="571"/>
      <w:bookmarkEnd w:id="572"/>
      <w:bookmarkEnd w:id="573"/>
      <w:bookmarkEnd w:id="574"/>
      <w:bookmarkEnd w:id="575"/>
      <w:bookmarkEnd w:id="576"/>
    </w:p>
    <w:p w14:paraId="53F8C67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77" w:name="_Toc15277"/>
      <w:bookmarkStart w:id="578" w:name="_Toc26167"/>
      <w:bookmarkStart w:id="579" w:name="bookmark1154"/>
      <w:bookmarkStart w:id="580" w:name="bookmark1153"/>
      <w:bookmarkStart w:id="581" w:name="bookmark1152"/>
      <w:bookmarkStart w:id="582" w:name="_Toc256000079"/>
      <w:r>
        <w:rPr>
          <w:rStyle w:val="29"/>
          <w:rFonts w:hint="eastAsia" w:ascii="宋体" w:hAnsi="宋体" w:eastAsia="宋体" w:cs="宋体"/>
          <w:color w:val="auto"/>
          <w:kern w:val="2"/>
          <w:sz w:val="21"/>
          <w:szCs w:val="21"/>
          <w:highlight w:val="none"/>
          <w:lang w:eastAsia="zh-CN"/>
        </w:rPr>
        <w:t>10.1合同进度计划</w:t>
      </w:r>
      <w:bookmarkEnd w:id="577"/>
      <w:bookmarkEnd w:id="578"/>
      <w:bookmarkEnd w:id="579"/>
      <w:bookmarkEnd w:id="580"/>
      <w:bookmarkEnd w:id="581"/>
      <w:bookmarkEnd w:id="582"/>
    </w:p>
    <w:p w14:paraId="33CF10D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按技术标准和要求（合同技术条款）约定的内容和期限以及监理人的指示,编制详细的施工总进度计划及其说明提交监理人审批。监理人应在技术标准和要求（合同技术条款）约定的期限内批复承包人，否则该进度计划视为已得到批准。经监理人批准的施工进度计划称为合同进度计划，是控制合同工程进度的依据。承包人还应根据合同进度计划，编制更为详细的分阶段或单位工程或分部工程进度计划，报监理人审批。</w:t>
      </w:r>
    </w:p>
    <w:p w14:paraId="34F5E8A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83" w:name="bookmark1157"/>
      <w:bookmarkStart w:id="584" w:name="_Toc27886"/>
      <w:bookmarkStart w:id="585" w:name="_Toc8733"/>
      <w:bookmarkStart w:id="586" w:name="bookmark1155"/>
      <w:bookmarkStart w:id="587" w:name="bookmark1156"/>
      <w:bookmarkStart w:id="588" w:name="_Toc256000080"/>
      <w:r>
        <w:rPr>
          <w:rStyle w:val="29"/>
          <w:rFonts w:hint="eastAsia" w:ascii="宋体" w:hAnsi="宋体" w:eastAsia="宋体" w:cs="宋体"/>
          <w:color w:val="auto"/>
          <w:kern w:val="2"/>
          <w:sz w:val="21"/>
          <w:szCs w:val="21"/>
          <w:highlight w:val="none"/>
          <w:lang w:eastAsia="zh-CN"/>
        </w:rPr>
        <w:t>10.2合同进度计划的修订</w:t>
      </w:r>
      <w:bookmarkEnd w:id="583"/>
      <w:bookmarkEnd w:id="584"/>
      <w:bookmarkEnd w:id="585"/>
      <w:bookmarkEnd w:id="586"/>
      <w:bookmarkEnd w:id="587"/>
      <w:bookmarkEnd w:id="588"/>
    </w:p>
    <w:p w14:paraId="163A2C9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不论何种原因造成工程的实际进度与第10.1款的合同进度计划不符时，承包人均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p>
    <w:p w14:paraId="21EA6D0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11.3款的约定办理；由于承包人原因造成施工进度延迟，应按第11.5款的约定办理。</w:t>
      </w:r>
    </w:p>
    <w:p w14:paraId="38A2F62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89" w:name="bookmark1160"/>
      <w:bookmarkStart w:id="590" w:name="_Toc25361"/>
      <w:bookmarkStart w:id="591" w:name="_Toc29411"/>
      <w:bookmarkStart w:id="592" w:name="_Toc256000081"/>
      <w:bookmarkStart w:id="593" w:name="bookmark1158"/>
      <w:bookmarkStart w:id="594" w:name="bookmark1159"/>
      <w:r>
        <w:rPr>
          <w:rStyle w:val="29"/>
          <w:rFonts w:hint="eastAsia" w:ascii="宋体" w:hAnsi="宋体" w:eastAsia="宋体" w:cs="宋体"/>
          <w:color w:val="auto"/>
          <w:kern w:val="2"/>
          <w:sz w:val="21"/>
          <w:szCs w:val="21"/>
          <w:highlight w:val="none"/>
          <w:lang w:eastAsia="zh-CN"/>
        </w:rPr>
        <w:t>10.3单位工程进度计划</w:t>
      </w:r>
      <w:bookmarkEnd w:id="589"/>
      <w:bookmarkEnd w:id="590"/>
      <w:bookmarkEnd w:id="591"/>
      <w:bookmarkEnd w:id="592"/>
      <w:bookmarkEnd w:id="593"/>
      <w:bookmarkEnd w:id="594"/>
    </w:p>
    <w:p w14:paraId="7294576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监理人认为有必要时，承包人应按监理人指示的内容和期限，并根据合同进度计划的进度控制要求，编制单位工程进度计划，提交监理人审批。</w:t>
      </w:r>
    </w:p>
    <w:p w14:paraId="077F5FE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595" w:name="bookmark1163"/>
      <w:bookmarkStart w:id="596" w:name="bookmark1161"/>
      <w:bookmarkStart w:id="597" w:name="_Toc256000082"/>
      <w:bookmarkStart w:id="598" w:name="bookmark1162"/>
      <w:bookmarkStart w:id="599" w:name="_Toc18009"/>
      <w:bookmarkStart w:id="600" w:name="_Toc5993"/>
      <w:r>
        <w:rPr>
          <w:rStyle w:val="29"/>
          <w:rFonts w:hint="eastAsia" w:ascii="宋体" w:hAnsi="宋体" w:eastAsia="宋体" w:cs="宋体"/>
          <w:color w:val="auto"/>
          <w:kern w:val="2"/>
          <w:sz w:val="21"/>
          <w:szCs w:val="21"/>
          <w:highlight w:val="none"/>
          <w:lang w:eastAsia="zh-CN"/>
        </w:rPr>
        <w:t>10.4提交资金流估算表</w:t>
      </w:r>
      <w:bookmarkEnd w:id="595"/>
      <w:bookmarkEnd w:id="596"/>
      <w:bookmarkEnd w:id="597"/>
      <w:bookmarkEnd w:id="598"/>
      <w:bookmarkEnd w:id="599"/>
      <w:bookmarkEnd w:id="600"/>
    </w:p>
    <w:p w14:paraId="0893402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在按第10.1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4D7697F7">
      <w:pPr>
        <w:pStyle w:val="100"/>
        <w:shd w:val="clear" w:color="auto"/>
        <w:tabs>
          <w:tab w:val="left" w:pos="3329"/>
        </w:tabs>
        <w:spacing w:after="100" w:line="350" w:lineRule="exact"/>
        <w:ind w:firstLine="0"/>
        <w:jc w:val="center"/>
        <w:rPr>
          <w:rStyle w:val="29"/>
          <w:rFonts w:hint="eastAsia"/>
          <w:color w:val="auto"/>
          <w:sz w:val="21"/>
          <w:szCs w:val="21"/>
          <w:highlight w:val="none"/>
        </w:rPr>
      </w:pPr>
      <w:r>
        <w:rPr>
          <w:rStyle w:val="29"/>
          <w:rFonts w:hint="eastAsia" w:ascii="Times New Roman" w:hAnsi="Times New Roman" w:cs="Times New Roman"/>
          <w:color w:val="auto"/>
          <w:kern w:val="2"/>
          <w:sz w:val="21"/>
          <w:szCs w:val="21"/>
          <w:highlight w:val="none"/>
          <w:lang w:val="en-US" w:bidi="ar-SA"/>
        </w:rPr>
        <w:t xml:space="preserve">                          </w:t>
      </w:r>
      <w:r>
        <w:rPr>
          <w:rStyle w:val="29"/>
          <w:rFonts w:ascii="Times New Roman" w:hAnsi="Times New Roman" w:cs="Times New Roman"/>
          <w:color w:val="auto"/>
          <w:kern w:val="2"/>
          <w:sz w:val="21"/>
          <w:szCs w:val="21"/>
          <w:highlight w:val="none"/>
          <w:lang w:val="en-US" w:bidi="ar-SA"/>
        </w:rPr>
        <w:t>资金流估算表（参考格式）</w:t>
      </w:r>
      <w:r>
        <w:rPr>
          <w:rStyle w:val="29"/>
          <w:rFonts w:hint="eastAsia" w:ascii="Times New Roman" w:hAnsi="Times New Roman" w:cs="Times New Roman"/>
          <w:color w:val="auto"/>
          <w:kern w:val="2"/>
          <w:sz w:val="21"/>
          <w:szCs w:val="21"/>
          <w:highlight w:val="none"/>
          <w:lang w:val="en-US" w:bidi="ar-SA"/>
        </w:rPr>
        <w:t xml:space="preserve">                   </w:t>
      </w:r>
      <w:r>
        <w:rPr>
          <w:rStyle w:val="29"/>
          <w:rFonts w:ascii="Times New Roman" w:hAnsi="Times New Roman" w:cs="Times New Roman"/>
          <w:color w:val="auto"/>
          <w:kern w:val="2"/>
          <w:sz w:val="21"/>
          <w:szCs w:val="21"/>
          <w:highlight w:val="none"/>
          <w:lang w:val="en-US" w:bidi="ar-SA"/>
        </w:rPr>
        <w:t>金额单位</w:t>
      </w:r>
      <w:r>
        <w:rPr>
          <w:rStyle w:val="29"/>
          <w:rFonts w:hint="eastAsia" w:ascii="Times New Roman" w:hAnsi="Times New Roman" w:cs="Times New Roman"/>
          <w:color w:val="auto"/>
          <w:kern w:val="2"/>
          <w:sz w:val="21"/>
          <w:szCs w:val="21"/>
          <w:highlight w:val="none"/>
          <w:lang w:val="en-US" w:bidi="ar-SA"/>
        </w:rPr>
        <w:t>：</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37"/>
        <w:gridCol w:w="326"/>
        <w:gridCol w:w="1180"/>
        <w:gridCol w:w="1639"/>
        <w:gridCol w:w="1181"/>
        <w:gridCol w:w="1177"/>
        <w:gridCol w:w="1181"/>
        <w:gridCol w:w="520"/>
        <w:gridCol w:w="788"/>
        <w:gridCol w:w="1320"/>
      </w:tblGrid>
      <w:tr w14:paraId="50F8CF36">
        <w:trPr>
          <w:trHeight w:val="456" w:hRule="exact"/>
          <w:jc w:val="center"/>
        </w:trPr>
        <w:tc>
          <w:tcPr>
            <w:tcW w:w="175" w:type="pct"/>
            <w:tcBorders>
              <w:tl2br w:val="nil"/>
              <w:tr2bl w:val="nil"/>
            </w:tcBorders>
            <w:shd w:val="clear" w:color="auto" w:fill="FFFFFF"/>
            <w:noWrap w:val="0"/>
            <w:vAlign w:val="center"/>
          </w:tcPr>
          <w:p w14:paraId="39D77DEA">
            <w:pPr>
              <w:pStyle w:val="102"/>
              <w:keepNext w:val="0"/>
              <w:keepLines w:val="0"/>
              <w:pageBreakBefore w:val="0"/>
              <w:widowControl w:val="0"/>
              <w:shd w:val="clear" w:color="auto"/>
              <w:kinsoku/>
              <w:wordWrap/>
              <w:overflowPunct/>
              <w:topLinePunct w:val="0"/>
              <w:autoSpaceDE/>
              <w:autoSpaceDN/>
              <w:bidi w:val="0"/>
              <w:adjustRightInd/>
              <w:snapToGrid/>
              <w:spacing w:line="400" w:lineRule="exact"/>
              <w:ind w:firstLine="0"/>
              <w:jc w:val="center"/>
              <w:textAlignment w:val="auto"/>
              <w:rPr>
                <w:rStyle w:val="29"/>
                <w:color w:val="auto"/>
                <w:sz w:val="21"/>
                <w:szCs w:val="21"/>
                <w:highlight w:val="none"/>
              </w:rPr>
            </w:pPr>
            <w:r>
              <w:rPr>
                <w:rStyle w:val="29"/>
                <w:rFonts w:ascii="Times New Roman" w:hAnsi="Times New Roman" w:cs="Times New Roman"/>
                <w:color w:val="auto"/>
                <w:kern w:val="2"/>
                <w:sz w:val="21"/>
                <w:szCs w:val="21"/>
                <w:highlight w:val="none"/>
                <w:lang w:val="en-US" w:bidi="ar-SA"/>
              </w:rPr>
              <w:t>年</w:t>
            </w:r>
          </w:p>
        </w:tc>
        <w:tc>
          <w:tcPr>
            <w:tcW w:w="169" w:type="pct"/>
            <w:tcBorders>
              <w:tl2br w:val="nil"/>
              <w:tr2bl w:val="nil"/>
            </w:tcBorders>
            <w:shd w:val="clear" w:color="auto" w:fill="FFFFFF"/>
            <w:noWrap w:val="0"/>
            <w:vAlign w:val="center"/>
          </w:tcPr>
          <w:p w14:paraId="1FC1BA9B">
            <w:pPr>
              <w:pStyle w:val="102"/>
              <w:keepNext w:val="0"/>
              <w:keepLines w:val="0"/>
              <w:pageBreakBefore w:val="0"/>
              <w:widowControl w:val="0"/>
              <w:shd w:val="clear" w:color="auto"/>
              <w:kinsoku/>
              <w:wordWrap/>
              <w:overflowPunct/>
              <w:topLinePunct w:val="0"/>
              <w:autoSpaceDE/>
              <w:autoSpaceDN/>
              <w:bidi w:val="0"/>
              <w:adjustRightInd/>
              <w:snapToGrid/>
              <w:spacing w:line="400" w:lineRule="exact"/>
              <w:ind w:firstLine="0"/>
              <w:jc w:val="center"/>
              <w:textAlignment w:val="auto"/>
              <w:rPr>
                <w:rStyle w:val="29"/>
                <w:color w:val="auto"/>
                <w:sz w:val="21"/>
                <w:szCs w:val="21"/>
                <w:highlight w:val="none"/>
              </w:rPr>
            </w:pPr>
            <w:r>
              <w:rPr>
                <w:rStyle w:val="29"/>
                <w:rFonts w:ascii="Times New Roman" w:hAnsi="Times New Roman" w:cs="Times New Roman"/>
                <w:color w:val="auto"/>
                <w:kern w:val="2"/>
                <w:sz w:val="21"/>
                <w:szCs w:val="21"/>
                <w:highlight w:val="none"/>
                <w:lang w:val="en-US" w:bidi="ar-SA"/>
              </w:rPr>
              <w:t>月</w:t>
            </w:r>
          </w:p>
        </w:tc>
        <w:tc>
          <w:tcPr>
            <w:tcW w:w="611" w:type="pct"/>
            <w:tcBorders>
              <w:tl2br w:val="nil"/>
              <w:tr2bl w:val="nil"/>
            </w:tcBorders>
            <w:shd w:val="clear" w:color="auto" w:fill="FFFFFF"/>
            <w:noWrap w:val="0"/>
            <w:vAlign w:val="center"/>
          </w:tcPr>
          <w:p w14:paraId="168B0B97">
            <w:pPr>
              <w:pStyle w:val="102"/>
              <w:keepNext w:val="0"/>
              <w:keepLines w:val="0"/>
              <w:pageBreakBefore w:val="0"/>
              <w:widowControl w:val="0"/>
              <w:shd w:val="clear" w:color="auto"/>
              <w:kinsoku/>
              <w:wordWrap/>
              <w:overflowPunct/>
              <w:topLinePunct w:val="0"/>
              <w:autoSpaceDE/>
              <w:autoSpaceDN/>
              <w:bidi w:val="0"/>
              <w:adjustRightInd/>
              <w:snapToGrid/>
              <w:spacing w:line="400" w:lineRule="exact"/>
              <w:ind w:firstLine="0"/>
              <w:jc w:val="center"/>
              <w:textAlignment w:val="auto"/>
              <w:rPr>
                <w:rStyle w:val="29"/>
                <w:color w:val="auto"/>
                <w:sz w:val="21"/>
                <w:szCs w:val="21"/>
                <w:highlight w:val="none"/>
              </w:rPr>
            </w:pPr>
            <w:r>
              <w:rPr>
                <w:rStyle w:val="29"/>
                <w:rFonts w:ascii="Times New Roman" w:hAnsi="Times New Roman" w:cs="Times New Roman"/>
                <w:color w:val="auto"/>
                <w:kern w:val="2"/>
                <w:sz w:val="21"/>
                <w:szCs w:val="21"/>
                <w:highlight w:val="none"/>
                <w:lang w:val="en-US" w:bidi="ar-SA"/>
              </w:rPr>
              <w:t>工程预付款</w:t>
            </w:r>
          </w:p>
        </w:tc>
        <w:tc>
          <w:tcPr>
            <w:tcW w:w="848" w:type="pct"/>
            <w:tcBorders>
              <w:tl2br w:val="nil"/>
              <w:tr2bl w:val="nil"/>
            </w:tcBorders>
            <w:shd w:val="clear" w:color="auto" w:fill="FFFFFF"/>
            <w:noWrap w:val="0"/>
            <w:vAlign w:val="center"/>
          </w:tcPr>
          <w:p w14:paraId="21548427">
            <w:pPr>
              <w:pStyle w:val="102"/>
              <w:keepNext w:val="0"/>
              <w:keepLines w:val="0"/>
              <w:pageBreakBefore w:val="0"/>
              <w:widowControl w:val="0"/>
              <w:shd w:val="clear" w:color="auto"/>
              <w:kinsoku/>
              <w:wordWrap/>
              <w:overflowPunct/>
              <w:topLinePunct w:val="0"/>
              <w:autoSpaceDE/>
              <w:autoSpaceDN/>
              <w:bidi w:val="0"/>
              <w:adjustRightInd/>
              <w:snapToGrid/>
              <w:spacing w:line="400" w:lineRule="exact"/>
              <w:ind w:firstLine="0"/>
              <w:jc w:val="center"/>
              <w:textAlignment w:val="auto"/>
              <w:rPr>
                <w:rStyle w:val="29"/>
                <w:color w:val="auto"/>
                <w:sz w:val="21"/>
                <w:szCs w:val="21"/>
                <w:highlight w:val="none"/>
              </w:rPr>
            </w:pPr>
            <w:r>
              <w:rPr>
                <w:rStyle w:val="29"/>
                <w:rFonts w:ascii="Times New Roman" w:hAnsi="Times New Roman" w:cs="Times New Roman"/>
                <w:color w:val="auto"/>
                <w:kern w:val="2"/>
                <w:sz w:val="21"/>
                <w:szCs w:val="21"/>
                <w:highlight w:val="none"/>
                <w:lang w:val="en-US" w:bidi="ar-SA"/>
              </w:rPr>
              <w:t>完成工作量付款</w:t>
            </w:r>
          </w:p>
        </w:tc>
        <w:tc>
          <w:tcPr>
            <w:tcW w:w="611" w:type="pct"/>
            <w:tcBorders>
              <w:tl2br w:val="nil"/>
              <w:tr2bl w:val="nil"/>
            </w:tcBorders>
            <w:shd w:val="clear" w:color="auto" w:fill="FFFFFF"/>
            <w:noWrap w:val="0"/>
            <w:vAlign w:val="center"/>
          </w:tcPr>
          <w:p w14:paraId="030B3F25">
            <w:pPr>
              <w:pStyle w:val="102"/>
              <w:keepNext w:val="0"/>
              <w:keepLines w:val="0"/>
              <w:pageBreakBefore w:val="0"/>
              <w:widowControl w:val="0"/>
              <w:shd w:val="clear" w:color="auto"/>
              <w:kinsoku/>
              <w:wordWrap/>
              <w:overflowPunct/>
              <w:topLinePunct w:val="0"/>
              <w:autoSpaceDE/>
              <w:autoSpaceDN/>
              <w:bidi w:val="0"/>
              <w:adjustRightInd/>
              <w:snapToGrid/>
              <w:spacing w:line="400" w:lineRule="exact"/>
              <w:ind w:firstLine="0"/>
              <w:jc w:val="center"/>
              <w:textAlignment w:val="auto"/>
              <w:rPr>
                <w:rStyle w:val="29"/>
                <w:color w:val="auto"/>
                <w:sz w:val="21"/>
                <w:szCs w:val="21"/>
                <w:highlight w:val="none"/>
              </w:rPr>
            </w:pPr>
            <w:r>
              <w:rPr>
                <w:rStyle w:val="29"/>
                <w:rFonts w:ascii="Times New Roman" w:hAnsi="Times New Roman" w:cs="Times New Roman"/>
                <w:color w:val="auto"/>
                <w:kern w:val="2"/>
                <w:sz w:val="21"/>
                <w:szCs w:val="21"/>
                <w:highlight w:val="none"/>
                <w:lang w:val="en-US" w:bidi="ar-SA"/>
              </w:rPr>
              <w:t>保留金扣留</w:t>
            </w:r>
          </w:p>
        </w:tc>
        <w:tc>
          <w:tcPr>
            <w:tcW w:w="609" w:type="pct"/>
            <w:tcBorders>
              <w:tl2br w:val="nil"/>
              <w:tr2bl w:val="nil"/>
            </w:tcBorders>
            <w:shd w:val="clear" w:color="auto" w:fill="FFFFFF"/>
            <w:noWrap w:val="0"/>
            <w:vAlign w:val="center"/>
          </w:tcPr>
          <w:p w14:paraId="3A957F95">
            <w:pPr>
              <w:pStyle w:val="102"/>
              <w:keepNext w:val="0"/>
              <w:keepLines w:val="0"/>
              <w:pageBreakBefore w:val="0"/>
              <w:widowControl w:val="0"/>
              <w:shd w:val="clear" w:color="auto"/>
              <w:kinsoku/>
              <w:wordWrap/>
              <w:overflowPunct/>
              <w:topLinePunct w:val="0"/>
              <w:autoSpaceDE/>
              <w:autoSpaceDN/>
              <w:bidi w:val="0"/>
              <w:adjustRightInd/>
              <w:snapToGrid/>
              <w:spacing w:line="400" w:lineRule="exact"/>
              <w:ind w:firstLine="0"/>
              <w:jc w:val="center"/>
              <w:textAlignment w:val="auto"/>
              <w:rPr>
                <w:rStyle w:val="29"/>
                <w:color w:val="auto"/>
                <w:sz w:val="21"/>
                <w:szCs w:val="21"/>
                <w:highlight w:val="none"/>
              </w:rPr>
            </w:pPr>
            <w:r>
              <w:rPr>
                <w:rStyle w:val="29"/>
                <w:rFonts w:ascii="Times New Roman" w:hAnsi="Times New Roman" w:cs="Times New Roman"/>
                <w:color w:val="auto"/>
                <w:kern w:val="2"/>
                <w:sz w:val="21"/>
                <w:szCs w:val="21"/>
                <w:highlight w:val="none"/>
                <w:lang w:val="en-US" w:bidi="ar-SA"/>
              </w:rPr>
              <w:t>材料款扣除</w:t>
            </w:r>
          </w:p>
        </w:tc>
        <w:tc>
          <w:tcPr>
            <w:tcW w:w="611" w:type="pct"/>
            <w:tcBorders>
              <w:tl2br w:val="nil"/>
              <w:tr2bl w:val="nil"/>
            </w:tcBorders>
            <w:shd w:val="clear" w:color="auto" w:fill="FFFFFF"/>
            <w:noWrap w:val="0"/>
            <w:vAlign w:val="center"/>
          </w:tcPr>
          <w:p w14:paraId="395CF982">
            <w:pPr>
              <w:pStyle w:val="102"/>
              <w:keepNext w:val="0"/>
              <w:keepLines w:val="0"/>
              <w:pageBreakBefore w:val="0"/>
              <w:widowControl w:val="0"/>
              <w:shd w:val="clear" w:color="auto"/>
              <w:kinsoku/>
              <w:wordWrap/>
              <w:overflowPunct/>
              <w:topLinePunct w:val="0"/>
              <w:autoSpaceDE/>
              <w:autoSpaceDN/>
              <w:bidi w:val="0"/>
              <w:adjustRightInd/>
              <w:snapToGrid/>
              <w:spacing w:line="400" w:lineRule="exact"/>
              <w:ind w:firstLine="0"/>
              <w:jc w:val="center"/>
              <w:textAlignment w:val="auto"/>
              <w:rPr>
                <w:rStyle w:val="29"/>
                <w:color w:val="auto"/>
                <w:sz w:val="21"/>
                <w:szCs w:val="21"/>
                <w:highlight w:val="none"/>
              </w:rPr>
            </w:pPr>
            <w:r>
              <w:rPr>
                <w:rStyle w:val="29"/>
                <w:rFonts w:ascii="Times New Roman" w:hAnsi="Times New Roman" w:cs="Times New Roman"/>
                <w:color w:val="auto"/>
                <w:kern w:val="2"/>
                <w:sz w:val="21"/>
                <w:szCs w:val="21"/>
                <w:highlight w:val="none"/>
                <w:lang w:val="en-US" w:bidi="ar-SA"/>
              </w:rPr>
              <w:t>预付款扣还</w:t>
            </w:r>
          </w:p>
        </w:tc>
        <w:tc>
          <w:tcPr>
            <w:tcW w:w="269" w:type="pct"/>
            <w:tcBorders>
              <w:tl2br w:val="nil"/>
              <w:tr2bl w:val="nil"/>
            </w:tcBorders>
            <w:shd w:val="clear" w:color="auto" w:fill="FFFFFF"/>
            <w:noWrap w:val="0"/>
            <w:vAlign w:val="center"/>
          </w:tcPr>
          <w:p w14:paraId="1D4DB114">
            <w:pPr>
              <w:pStyle w:val="102"/>
              <w:keepNext w:val="0"/>
              <w:keepLines w:val="0"/>
              <w:pageBreakBefore w:val="0"/>
              <w:widowControl w:val="0"/>
              <w:shd w:val="clear" w:color="auto"/>
              <w:kinsoku/>
              <w:wordWrap/>
              <w:overflowPunct/>
              <w:topLinePunct w:val="0"/>
              <w:autoSpaceDE/>
              <w:autoSpaceDN/>
              <w:bidi w:val="0"/>
              <w:adjustRightInd/>
              <w:snapToGrid/>
              <w:spacing w:line="400" w:lineRule="exact"/>
              <w:ind w:firstLine="0"/>
              <w:jc w:val="center"/>
              <w:textAlignment w:val="auto"/>
              <w:rPr>
                <w:rStyle w:val="29"/>
                <w:color w:val="auto"/>
                <w:sz w:val="21"/>
                <w:szCs w:val="21"/>
                <w:highlight w:val="none"/>
              </w:rPr>
            </w:pPr>
            <w:r>
              <w:rPr>
                <w:rStyle w:val="29"/>
                <w:rFonts w:ascii="Times New Roman" w:hAnsi="Times New Roman" w:cs="Times New Roman"/>
                <w:color w:val="auto"/>
                <w:kern w:val="2"/>
                <w:sz w:val="21"/>
                <w:szCs w:val="21"/>
                <w:highlight w:val="none"/>
                <w:lang w:val="en-US" w:bidi="ar-SA"/>
              </w:rPr>
              <w:t>其他</w:t>
            </w:r>
          </w:p>
        </w:tc>
        <w:tc>
          <w:tcPr>
            <w:tcW w:w="408" w:type="pct"/>
            <w:tcBorders>
              <w:tl2br w:val="nil"/>
              <w:tr2bl w:val="nil"/>
            </w:tcBorders>
            <w:shd w:val="clear" w:color="auto" w:fill="FFFFFF"/>
            <w:noWrap w:val="0"/>
            <w:vAlign w:val="center"/>
          </w:tcPr>
          <w:p w14:paraId="379CBFF0">
            <w:pPr>
              <w:pStyle w:val="102"/>
              <w:keepNext w:val="0"/>
              <w:keepLines w:val="0"/>
              <w:pageBreakBefore w:val="0"/>
              <w:widowControl w:val="0"/>
              <w:shd w:val="clear" w:color="auto"/>
              <w:kinsoku/>
              <w:wordWrap/>
              <w:overflowPunct/>
              <w:topLinePunct w:val="0"/>
              <w:autoSpaceDE/>
              <w:autoSpaceDN/>
              <w:bidi w:val="0"/>
              <w:adjustRightInd/>
              <w:snapToGrid/>
              <w:spacing w:line="400" w:lineRule="exact"/>
              <w:ind w:firstLine="0"/>
              <w:jc w:val="center"/>
              <w:textAlignment w:val="auto"/>
              <w:rPr>
                <w:rStyle w:val="29"/>
                <w:color w:val="auto"/>
                <w:sz w:val="21"/>
                <w:szCs w:val="21"/>
                <w:highlight w:val="none"/>
              </w:rPr>
            </w:pPr>
            <w:r>
              <w:rPr>
                <w:rStyle w:val="29"/>
                <w:rFonts w:ascii="Times New Roman" w:hAnsi="Times New Roman" w:cs="Times New Roman"/>
                <w:color w:val="auto"/>
                <w:kern w:val="2"/>
                <w:sz w:val="21"/>
                <w:szCs w:val="21"/>
                <w:highlight w:val="none"/>
                <w:lang w:val="en-US" w:bidi="ar-SA"/>
              </w:rPr>
              <w:t>应收款</w:t>
            </w:r>
          </w:p>
        </w:tc>
        <w:tc>
          <w:tcPr>
            <w:tcW w:w="683" w:type="pct"/>
            <w:tcBorders>
              <w:tl2br w:val="nil"/>
              <w:tr2bl w:val="nil"/>
            </w:tcBorders>
            <w:shd w:val="clear" w:color="auto" w:fill="FFFFFF"/>
            <w:noWrap w:val="0"/>
            <w:vAlign w:val="center"/>
          </w:tcPr>
          <w:p w14:paraId="7D90229F">
            <w:pPr>
              <w:pStyle w:val="102"/>
              <w:keepNext w:val="0"/>
              <w:keepLines w:val="0"/>
              <w:pageBreakBefore w:val="0"/>
              <w:widowControl w:val="0"/>
              <w:shd w:val="clear" w:color="auto"/>
              <w:kinsoku/>
              <w:wordWrap/>
              <w:overflowPunct/>
              <w:topLinePunct w:val="0"/>
              <w:autoSpaceDE/>
              <w:autoSpaceDN/>
              <w:bidi w:val="0"/>
              <w:adjustRightInd/>
              <w:snapToGrid/>
              <w:spacing w:line="400" w:lineRule="exact"/>
              <w:ind w:firstLine="0"/>
              <w:jc w:val="center"/>
              <w:textAlignment w:val="auto"/>
              <w:rPr>
                <w:rStyle w:val="29"/>
                <w:color w:val="auto"/>
                <w:sz w:val="21"/>
                <w:szCs w:val="21"/>
                <w:highlight w:val="none"/>
              </w:rPr>
            </w:pPr>
            <w:r>
              <w:rPr>
                <w:rStyle w:val="29"/>
                <w:rFonts w:ascii="Times New Roman" w:hAnsi="Times New Roman" w:cs="Times New Roman"/>
                <w:color w:val="auto"/>
                <w:kern w:val="2"/>
                <w:sz w:val="21"/>
                <w:szCs w:val="21"/>
                <w:highlight w:val="none"/>
                <w:lang w:val="en-US" w:bidi="ar-SA"/>
              </w:rPr>
              <w:t>累计应收款</w:t>
            </w:r>
          </w:p>
        </w:tc>
      </w:tr>
      <w:tr w14:paraId="4A91695B">
        <w:trPr>
          <w:trHeight w:val="456" w:hRule="exact"/>
          <w:jc w:val="center"/>
        </w:trPr>
        <w:tc>
          <w:tcPr>
            <w:tcW w:w="175" w:type="pct"/>
            <w:tcBorders>
              <w:tl2br w:val="nil"/>
              <w:tr2bl w:val="nil"/>
            </w:tcBorders>
            <w:shd w:val="clear" w:color="auto" w:fill="FFFFFF"/>
            <w:noWrap w:val="0"/>
            <w:vAlign w:val="center"/>
          </w:tcPr>
          <w:p w14:paraId="52CED36E">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169" w:type="pct"/>
            <w:tcBorders>
              <w:tl2br w:val="nil"/>
              <w:tr2bl w:val="nil"/>
            </w:tcBorders>
            <w:shd w:val="clear" w:color="auto" w:fill="FFFFFF"/>
            <w:noWrap w:val="0"/>
            <w:vAlign w:val="center"/>
          </w:tcPr>
          <w:p w14:paraId="4F6C95BB">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11" w:type="pct"/>
            <w:tcBorders>
              <w:tl2br w:val="nil"/>
              <w:tr2bl w:val="nil"/>
            </w:tcBorders>
            <w:shd w:val="clear" w:color="auto" w:fill="FFFFFF"/>
            <w:noWrap w:val="0"/>
            <w:vAlign w:val="center"/>
          </w:tcPr>
          <w:p w14:paraId="5D1B441C">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848" w:type="pct"/>
            <w:tcBorders>
              <w:tl2br w:val="nil"/>
              <w:tr2bl w:val="nil"/>
            </w:tcBorders>
            <w:shd w:val="clear" w:color="auto" w:fill="FFFFFF"/>
            <w:noWrap w:val="0"/>
            <w:vAlign w:val="center"/>
          </w:tcPr>
          <w:p w14:paraId="1D54A7FC">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11" w:type="pct"/>
            <w:tcBorders>
              <w:tl2br w:val="nil"/>
              <w:tr2bl w:val="nil"/>
            </w:tcBorders>
            <w:shd w:val="clear" w:color="auto" w:fill="FFFFFF"/>
            <w:noWrap w:val="0"/>
            <w:vAlign w:val="center"/>
          </w:tcPr>
          <w:p w14:paraId="5F5E4B2D">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09" w:type="pct"/>
            <w:tcBorders>
              <w:tl2br w:val="nil"/>
              <w:tr2bl w:val="nil"/>
            </w:tcBorders>
            <w:shd w:val="clear" w:color="auto" w:fill="FFFFFF"/>
            <w:noWrap w:val="0"/>
            <w:vAlign w:val="center"/>
          </w:tcPr>
          <w:p w14:paraId="45C98CE6">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11" w:type="pct"/>
            <w:tcBorders>
              <w:tl2br w:val="nil"/>
              <w:tr2bl w:val="nil"/>
            </w:tcBorders>
            <w:shd w:val="clear" w:color="auto" w:fill="FFFFFF"/>
            <w:noWrap w:val="0"/>
            <w:vAlign w:val="center"/>
          </w:tcPr>
          <w:p w14:paraId="3670ECE4">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269" w:type="pct"/>
            <w:tcBorders>
              <w:tl2br w:val="nil"/>
              <w:tr2bl w:val="nil"/>
            </w:tcBorders>
            <w:shd w:val="clear" w:color="auto" w:fill="FFFFFF"/>
            <w:noWrap w:val="0"/>
            <w:vAlign w:val="center"/>
          </w:tcPr>
          <w:p w14:paraId="78B52E4B">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408" w:type="pct"/>
            <w:tcBorders>
              <w:tl2br w:val="nil"/>
              <w:tr2bl w:val="nil"/>
            </w:tcBorders>
            <w:shd w:val="clear" w:color="auto" w:fill="FFFFFF"/>
            <w:noWrap w:val="0"/>
            <w:vAlign w:val="center"/>
          </w:tcPr>
          <w:p w14:paraId="2280E327">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83" w:type="pct"/>
            <w:tcBorders>
              <w:tl2br w:val="nil"/>
              <w:tr2bl w:val="nil"/>
            </w:tcBorders>
            <w:shd w:val="clear" w:color="auto" w:fill="FFFFFF"/>
            <w:noWrap w:val="0"/>
            <w:vAlign w:val="center"/>
          </w:tcPr>
          <w:p w14:paraId="6A3CEE89">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r>
      <w:tr w14:paraId="73ECCEC6">
        <w:trPr>
          <w:trHeight w:val="456" w:hRule="exact"/>
          <w:jc w:val="center"/>
        </w:trPr>
        <w:tc>
          <w:tcPr>
            <w:tcW w:w="175" w:type="pct"/>
            <w:tcBorders>
              <w:tl2br w:val="nil"/>
              <w:tr2bl w:val="nil"/>
            </w:tcBorders>
            <w:shd w:val="clear" w:color="auto" w:fill="FFFFFF"/>
            <w:noWrap w:val="0"/>
            <w:vAlign w:val="center"/>
          </w:tcPr>
          <w:p w14:paraId="2A42F230">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169" w:type="pct"/>
            <w:tcBorders>
              <w:tl2br w:val="nil"/>
              <w:tr2bl w:val="nil"/>
            </w:tcBorders>
            <w:shd w:val="clear" w:color="auto" w:fill="FFFFFF"/>
            <w:noWrap w:val="0"/>
            <w:vAlign w:val="center"/>
          </w:tcPr>
          <w:p w14:paraId="28C90013">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11" w:type="pct"/>
            <w:tcBorders>
              <w:tl2br w:val="nil"/>
              <w:tr2bl w:val="nil"/>
            </w:tcBorders>
            <w:shd w:val="clear" w:color="auto" w:fill="FFFFFF"/>
            <w:noWrap w:val="0"/>
            <w:vAlign w:val="center"/>
          </w:tcPr>
          <w:p w14:paraId="4BE05148">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848" w:type="pct"/>
            <w:tcBorders>
              <w:tl2br w:val="nil"/>
              <w:tr2bl w:val="nil"/>
            </w:tcBorders>
            <w:shd w:val="clear" w:color="auto" w:fill="FFFFFF"/>
            <w:noWrap w:val="0"/>
            <w:vAlign w:val="center"/>
          </w:tcPr>
          <w:p w14:paraId="550AFE1B">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11" w:type="pct"/>
            <w:tcBorders>
              <w:tl2br w:val="nil"/>
              <w:tr2bl w:val="nil"/>
            </w:tcBorders>
            <w:shd w:val="clear" w:color="auto" w:fill="FFFFFF"/>
            <w:noWrap w:val="0"/>
            <w:vAlign w:val="center"/>
          </w:tcPr>
          <w:p w14:paraId="24D6B8DC">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09" w:type="pct"/>
            <w:tcBorders>
              <w:tl2br w:val="nil"/>
              <w:tr2bl w:val="nil"/>
            </w:tcBorders>
            <w:shd w:val="clear" w:color="auto" w:fill="FFFFFF"/>
            <w:noWrap w:val="0"/>
            <w:vAlign w:val="center"/>
          </w:tcPr>
          <w:p w14:paraId="5DEFD2FA">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11" w:type="pct"/>
            <w:tcBorders>
              <w:tl2br w:val="nil"/>
              <w:tr2bl w:val="nil"/>
            </w:tcBorders>
            <w:shd w:val="clear" w:color="auto" w:fill="FFFFFF"/>
            <w:noWrap w:val="0"/>
            <w:vAlign w:val="center"/>
          </w:tcPr>
          <w:p w14:paraId="2EB3044D">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269" w:type="pct"/>
            <w:tcBorders>
              <w:tl2br w:val="nil"/>
              <w:tr2bl w:val="nil"/>
            </w:tcBorders>
            <w:shd w:val="clear" w:color="auto" w:fill="FFFFFF"/>
            <w:noWrap w:val="0"/>
            <w:vAlign w:val="center"/>
          </w:tcPr>
          <w:p w14:paraId="11771AD8">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408" w:type="pct"/>
            <w:tcBorders>
              <w:tl2br w:val="nil"/>
              <w:tr2bl w:val="nil"/>
            </w:tcBorders>
            <w:shd w:val="clear" w:color="auto" w:fill="FFFFFF"/>
            <w:noWrap w:val="0"/>
            <w:vAlign w:val="center"/>
          </w:tcPr>
          <w:p w14:paraId="37DE5EA0">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83" w:type="pct"/>
            <w:tcBorders>
              <w:tl2br w:val="nil"/>
              <w:tr2bl w:val="nil"/>
            </w:tcBorders>
            <w:shd w:val="clear" w:color="auto" w:fill="FFFFFF"/>
            <w:noWrap w:val="0"/>
            <w:vAlign w:val="center"/>
          </w:tcPr>
          <w:p w14:paraId="11B69344">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r>
      <w:tr w14:paraId="764A1206">
        <w:trPr>
          <w:trHeight w:val="461" w:hRule="exact"/>
          <w:jc w:val="center"/>
        </w:trPr>
        <w:tc>
          <w:tcPr>
            <w:tcW w:w="175" w:type="pct"/>
            <w:tcBorders>
              <w:tl2br w:val="nil"/>
              <w:tr2bl w:val="nil"/>
            </w:tcBorders>
            <w:shd w:val="clear" w:color="auto" w:fill="FFFFFF"/>
            <w:noWrap w:val="0"/>
            <w:vAlign w:val="center"/>
          </w:tcPr>
          <w:p w14:paraId="19B958CE">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169" w:type="pct"/>
            <w:tcBorders>
              <w:tl2br w:val="nil"/>
              <w:tr2bl w:val="nil"/>
            </w:tcBorders>
            <w:shd w:val="clear" w:color="auto" w:fill="FFFFFF"/>
            <w:noWrap w:val="0"/>
            <w:vAlign w:val="center"/>
          </w:tcPr>
          <w:p w14:paraId="13CB563D">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11" w:type="pct"/>
            <w:tcBorders>
              <w:tl2br w:val="nil"/>
              <w:tr2bl w:val="nil"/>
            </w:tcBorders>
            <w:shd w:val="clear" w:color="auto" w:fill="FFFFFF"/>
            <w:noWrap w:val="0"/>
            <w:vAlign w:val="center"/>
          </w:tcPr>
          <w:p w14:paraId="24B13C94">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848" w:type="pct"/>
            <w:tcBorders>
              <w:tl2br w:val="nil"/>
              <w:tr2bl w:val="nil"/>
            </w:tcBorders>
            <w:shd w:val="clear" w:color="auto" w:fill="FFFFFF"/>
            <w:noWrap w:val="0"/>
            <w:vAlign w:val="center"/>
          </w:tcPr>
          <w:p w14:paraId="318BAB0B">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11" w:type="pct"/>
            <w:tcBorders>
              <w:tl2br w:val="nil"/>
              <w:tr2bl w:val="nil"/>
            </w:tcBorders>
            <w:shd w:val="clear" w:color="auto" w:fill="FFFFFF"/>
            <w:noWrap w:val="0"/>
            <w:vAlign w:val="center"/>
          </w:tcPr>
          <w:p w14:paraId="537EA3CE">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09" w:type="pct"/>
            <w:tcBorders>
              <w:tl2br w:val="nil"/>
              <w:tr2bl w:val="nil"/>
            </w:tcBorders>
            <w:shd w:val="clear" w:color="auto" w:fill="FFFFFF"/>
            <w:noWrap w:val="0"/>
            <w:vAlign w:val="center"/>
          </w:tcPr>
          <w:p w14:paraId="5E4841BD">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11" w:type="pct"/>
            <w:tcBorders>
              <w:tl2br w:val="nil"/>
              <w:tr2bl w:val="nil"/>
            </w:tcBorders>
            <w:shd w:val="clear" w:color="auto" w:fill="FFFFFF"/>
            <w:noWrap w:val="0"/>
            <w:vAlign w:val="center"/>
          </w:tcPr>
          <w:p w14:paraId="6DC9F980">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269" w:type="pct"/>
            <w:tcBorders>
              <w:tl2br w:val="nil"/>
              <w:tr2bl w:val="nil"/>
            </w:tcBorders>
            <w:shd w:val="clear" w:color="auto" w:fill="FFFFFF"/>
            <w:noWrap w:val="0"/>
            <w:vAlign w:val="center"/>
          </w:tcPr>
          <w:p w14:paraId="7FFED407">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408" w:type="pct"/>
            <w:tcBorders>
              <w:tl2br w:val="nil"/>
              <w:tr2bl w:val="nil"/>
            </w:tcBorders>
            <w:shd w:val="clear" w:color="auto" w:fill="FFFFFF"/>
            <w:noWrap w:val="0"/>
            <w:vAlign w:val="center"/>
          </w:tcPr>
          <w:p w14:paraId="41F81616">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c>
          <w:tcPr>
            <w:tcW w:w="683" w:type="pct"/>
            <w:tcBorders>
              <w:tl2br w:val="nil"/>
              <w:tr2bl w:val="nil"/>
            </w:tcBorders>
            <w:shd w:val="clear" w:color="auto" w:fill="FFFFFF"/>
            <w:noWrap w:val="0"/>
            <w:vAlign w:val="center"/>
          </w:tcPr>
          <w:p w14:paraId="26AA9094">
            <w:pPr>
              <w:keepNext w:val="0"/>
              <w:keepLines w:val="0"/>
              <w:pageBreakBefore w:val="0"/>
              <w:widowControl w:val="0"/>
              <w:shd w:val="clear" w:color="auto"/>
              <w:kinsoku/>
              <w:wordWrap/>
              <w:overflowPunct/>
              <w:topLinePunct w:val="0"/>
              <w:autoSpaceDE/>
              <w:autoSpaceDN/>
              <w:bidi w:val="0"/>
              <w:adjustRightInd/>
              <w:snapToGrid/>
              <w:spacing w:line="400" w:lineRule="exact"/>
              <w:jc w:val="center"/>
              <w:textAlignment w:val="auto"/>
              <w:rPr>
                <w:rStyle w:val="29"/>
                <w:rFonts w:ascii="Times New Roman" w:hAnsi="Times New Roman" w:eastAsia="Times New Roman" w:cs="Times New Roman"/>
                <w:color w:val="auto"/>
                <w:sz w:val="21"/>
                <w:szCs w:val="21"/>
                <w:highlight w:val="none"/>
                <w:lang w:val="en-US" w:eastAsia="en-US" w:bidi="en-US"/>
              </w:rPr>
            </w:pPr>
          </w:p>
        </w:tc>
      </w:tr>
    </w:tbl>
    <w:p w14:paraId="59F93B7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01" w:name="bookmark1166"/>
      <w:bookmarkEnd w:id="601"/>
      <w:bookmarkStart w:id="602" w:name="_Toc256000083"/>
      <w:bookmarkStart w:id="603" w:name="bookmark1165"/>
      <w:bookmarkStart w:id="604" w:name="_Toc14490"/>
      <w:bookmarkStart w:id="605" w:name="_Toc24903"/>
      <w:bookmarkStart w:id="606" w:name="bookmark1167"/>
      <w:bookmarkStart w:id="607" w:name="bookmark1164"/>
      <w:r>
        <w:rPr>
          <w:rStyle w:val="29"/>
          <w:rFonts w:hint="eastAsia" w:ascii="宋体" w:hAnsi="宋体" w:eastAsia="宋体" w:cs="宋体"/>
          <w:color w:val="auto"/>
          <w:kern w:val="2"/>
          <w:sz w:val="21"/>
          <w:szCs w:val="21"/>
          <w:highlight w:val="none"/>
          <w:lang w:eastAsia="zh-CN"/>
        </w:rPr>
        <w:t>11. 开工和竣工（完工）</w:t>
      </w:r>
      <w:bookmarkEnd w:id="602"/>
      <w:bookmarkEnd w:id="603"/>
      <w:bookmarkEnd w:id="604"/>
      <w:bookmarkEnd w:id="605"/>
      <w:bookmarkEnd w:id="606"/>
      <w:bookmarkEnd w:id="607"/>
    </w:p>
    <w:p w14:paraId="35CC1BE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08" w:name="bookmark1170"/>
      <w:bookmarkStart w:id="609" w:name="bookmark1169"/>
      <w:bookmarkStart w:id="610" w:name="bookmark1168"/>
      <w:bookmarkStart w:id="611" w:name="_Toc21224"/>
      <w:bookmarkStart w:id="612" w:name="_Toc23713"/>
      <w:bookmarkStart w:id="613" w:name="_Toc256000084"/>
      <w:r>
        <w:rPr>
          <w:rStyle w:val="29"/>
          <w:rFonts w:hint="eastAsia" w:ascii="宋体" w:hAnsi="宋体" w:eastAsia="宋体" w:cs="宋体"/>
          <w:color w:val="auto"/>
          <w:kern w:val="2"/>
          <w:sz w:val="21"/>
          <w:szCs w:val="21"/>
          <w:highlight w:val="none"/>
          <w:lang w:eastAsia="zh-CN"/>
        </w:rPr>
        <w:t>11.1开工</w:t>
      </w:r>
      <w:bookmarkEnd w:id="608"/>
      <w:bookmarkEnd w:id="609"/>
      <w:bookmarkEnd w:id="610"/>
      <w:bookmarkEnd w:id="611"/>
      <w:bookmarkEnd w:id="612"/>
      <w:bookmarkEnd w:id="613"/>
    </w:p>
    <w:p w14:paraId="41401D3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11.1.1监理人应在开工日期7天前向承包人发出开工通知。监理人在发出开工通知前应获得发包人同意。工期自监理人发出的开工通知中载明的开工日期起计算。承包人应在开工日期后尽快施工。</w:t>
      </w:r>
    </w:p>
    <w:p w14:paraId="6E91B30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11.1.2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1FA0E9B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11.1.3若发包人未能按合同约定向承包人提供开工的必要条件，承包人有权要求延长工期。监理人应在收到承包人的书面要求后，按第3.5款的约定，与合同双方商定或确定增加的费用和延长的工期。</w:t>
      </w:r>
    </w:p>
    <w:p w14:paraId="1A2B8CD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11.1.4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4D454F2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14" w:name="bookmark1171"/>
      <w:bookmarkStart w:id="615" w:name="_Toc19403"/>
      <w:bookmarkStart w:id="616" w:name="_Toc256000085"/>
      <w:bookmarkStart w:id="617" w:name="bookmark1172"/>
      <w:bookmarkStart w:id="618" w:name="bookmark1173"/>
      <w:bookmarkStart w:id="619" w:name="_Toc29025"/>
      <w:r>
        <w:rPr>
          <w:rStyle w:val="29"/>
          <w:rFonts w:hint="eastAsia" w:ascii="宋体" w:hAnsi="宋体" w:eastAsia="宋体" w:cs="宋体"/>
          <w:color w:val="auto"/>
          <w:kern w:val="2"/>
          <w:sz w:val="21"/>
          <w:szCs w:val="21"/>
          <w:highlight w:val="none"/>
          <w:lang w:eastAsia="zh-CN"/>
        </w:rPr>
        <w:t>11.2竣工(完工)</w:t>
      </w:r>
      <w:bookmarkEnd w:id="614"/>
      <w:bookmarkEnd w:id="615"/>
      <w:bookmarkEnd w:id="616"/>
      <w:bookmarkEnd w:id="617"/>
      <w:bookmarkEnd w:id="618"/>
      <w:bookmarkEnd w:id="619"/>
    </w:p>
    <w:p w14:paraId="7AA8BD9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在第1.1.4.3目约定的期限内完成合同工程。合同工程实际完工时间在合同工程完工证书中明确（以完工验收鉴定书或竣工验收鉴定书标明的验收日期为准，没有标明验收日期的则以印发鉴定书的日期为准）。</w:t>
      </w:r>
    </w:p>
    <w:p w14:paraId="1506739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20" w:name="bookmark1176"/>
      <w:bookmarkStart w:id="621" w:name="_Toc7284"/>
      <w:bookmarkStart w:id="622" w:name="_Toc1391"/>
      <w:bookmarkStart w:id="623" w:name="_Toc256000086"/>
      <w:bookmarkStart w:id="624" w:name="bookmark1174"/>
      <w:bookmarkStart w:id="625" w:name="bookmark1175"/>
      <w:r>
        <w:rPr>
          <w:rStyle w:val="29"/>
          <w:rFonts w:hint="eastAsia" w:ascii="宋体" w:hAnsi="宋体" w:eastAsia="宋体" w:cs="宋体"/>
          <w:color w:val="auto"/>
          <w:kern w:val="2"/>
          <w:sz w:val="21"/>
          <w:szCs w:val="21"/>
          <w:highlight w:val="none"/>
          <w:lang w:eastAsia="zh-CN"/>
        </w:rPr>
        <w:t>11.3发包人的工期延误</w:t>
      </w:r>
      <w:bookmarkEnd w:id="620"/>
      <w:bookmarkEnd w:id="621"/>
      <w:bookmarkEnd w:id="622"/>
      <w:bookmarkEnd w:id="623"/>
      <w:bookmarkEnd w:id="624"/>
      <w:bookmarkEnd w:id="625"/>
    </w:p>
    <w:p w14:paraId="24D96C9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在履行合同过程中，由于发包人的下列原因造成工期延误的，承包人有权要求发包人延长工期和(或)增加费用，并支付合理利润。需要修订合同进度计划的，按照第10.2款的约定办理。</w:t>
      </w:r>
    </w:p>
    <w:p w14:paraId="229520C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26" w:name="bookmark1177"/>
      <w:bookmarkEnd w:id="626"/>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增加合同工作内容；</w:t>
      </w:r>
    </w:p>
    <w:p w14:paraId="2B23362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27" w:name="bookmark1178"/>
      <w:bookmarkEnd w:id="627"/>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改变合同中任何一项工作的质量要求或其他特性；</w:t>
      </w:r>
    </w:p>
    <w:p w14:paraId="6931714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28" w:name="bookmark1179"/>
      <w:bookmarkEnd w:id="628"/>
      <w:r>
        <w:rPr>
          <w:rStyle w:val="29"/>
          <w:rFonts w:hint="eastAsia" w:ascii="宋体" w:hAnsi="宋体" w:eastAsia="宋体" w:cs="宋体"/>
          <w:color w:val="auto"/>
          <w:kern w:val="2"/>
          <w:sz w:val="21"/>
          <w:szCs w:val="21"/>
          <w:highlight w:val="none"/>
          <w:lang w:val="zh-CN" w:eastAsia="zh-CN" w:bidi="en-US"/>
        </w:rPr>
        <w:t>(3)</w:t>
      </w:r>
      <w:r>
        <w:rPr>
          <w:rStyle w:val="29"/>
          <w:rFonts w:hint="eastAsia" w:ascii="宋体" w:hAnsi="宋体" w:eastAsia="宋体" w:cs="宋体"/>
          <w:color w:val="auto"/>
          <w:kern w:val="2"/>
          <w:sz w:val="21"/>
          <w:szCs w:val="21"/>
          <w:highlight w:val="none"/>
          <w:lang w:val="en-US" w:bidi="en-US"/>
        </w:rPr>
        <w:t>发包人迟延提供材料、工程设备或变更交货地点的；</w:t>
      </w:r>
    </w:p>
    <w:p w14:paraId="0CF37C4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29" w:name="bookmark1180"/>
      <w:bookmarkEnd w:id="629"/>
      <w:r>
        <w:rPr>
          <w:rStyle w:val="29"/>
          <w:rFonts w:hint="eastAsia" w:ascii="宋体" w:hAnsi="宋体" w:eastAsia="宋体" w:cs="宋体"/>
          <w:color w:val="auto"/>
          <w:kern w:val="2"/>
          <w:sz w:val="21"/>
          <w:szCs w:val="21"/>
          <w:highlight w:val="none"/>
          <w:lang w:val="zh-CN" w:eastAsia="zh-CN" w:bidi="en-US"/>
        </w:rPr>
        <w:t>(4)</w:t>
      </w:r>
      <w:r>
        <w:rPr>
          <w:rStyle w:val="29"/>
          <w:rFonts w:hint="eastAsia" w:ascii="宋体" w:hAnsi="宋体" w:eastAsia="宋体" w:cs="宋体"/>
          <w:color w:val="auto"/>
          <w:kern w:val="2"/>
          <w:sz w:val="21"/>
          <w:szCs w:val="21"/>
          <w:highlight w:val="none"/>
          <w:lang w:val="en-US" w:bidi="en-US"/>
        </w:rPr>
        <w:t>因发包人原因导致的暂停施工；</w:t>
      </w:r>
    </w:p>
    <w:p w14:paraId="4FA2457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30" w:name="bookmark1181"/>
      <w:bookmarkEnd w:id="630"/>
      <w:r>
        <w:rPr>
          <w:rStyle w:val="29"/>
          <w:rFonts w:hint="eastAsia" w:ascii="宋体" w:hAnsi="宋体" w:eastAsia="宋体" w:cs="宋体"/>
          <w:color w:val="auto"/>
          <w:kern w:val="2"/>
          <w:sz w:val="21"/>
          <w:szCs w:val="21"/>
          <w:highlight w:val="none"/>
          <w:lang w:val="zh-CN" w:eastAsia="zh-CN" w:bidi="en-US"/>
        </w:rPr>
        <w:t>(5)</w:t>
      </w:r>
      <w:r>
        <w:rPr>
          <w:rStyle w:val="29"/>
          <w:rFonts w:hint="eastAsia" w:ascii="宋体" w:hAnsi="宋体" w:eastAsia="宋体" w:cs="宋体"/>
          <w:color w:val="auto"/>
          <w:kern w:val="2"/>
          <w:sz w:val="21"/>
          <w:szCs w:val="21"/>
          <w:highlight w:val="none"/>
          <w:lang w:val="en-US" w:bidi="en-US"/>
        </w:rPr>
        <w:t>提供图纸延误；</w:t>
      </w:r>
    </w:p>
    <w:p w14:paraId="710BE39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31" w:name="bookmark1182"/>
      <w:bookmarkEnd w:id="631"/>
      <w:r>
        <w:rPr>
          <w:rStyle w:val="29"/>
          <w:rFonts w:hint="eastAsia" w:ascii="宋体" w:hAnsi="宋体" w:eastAsia="宋体" w:cs="宋体"/>
          <w:color w:val="auto"/>
          <w:kern w:val="2"/>
          <w:sz w:val="21"/>
          <w:szCs w:val="21"/>
          <w:highlight w:val="none"/>
          <w:lang w:val="zh-CN" w:eastAsia="zh-CN" w:bidi="en-US"/>
        </w:rPr>
        <w:t>(6)</w:t>
      </w:r>
      <w:r>
        <w:rPr>
          <w:rStyle w:val="29"/>
          <w:rFonts w:hint="eastAsia" w:ascii="宋体" w:hAnsi="宋体" w:eastAsia="宋体" w:cs="宋体"/>
          <w:color w:val="auto"/>
          <w:kern w:val="2"/>
          <w:sz w:val="21"/>
          <w:szCs w:val="21"/>
          <w:highlight w:val="none"/>
          <w:lang w:val="en-US" w:bidi="en-US"/>
        </w:rPr>
        <w:t>未按合同约定及时支付预付款、进度款；</w:t>
      </w:r>
    </w:p>
    <w:p w14:paraId="44CFF82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32" w:name="bookmark1183"/>
      <w:bookmarkEnd w:id="632"/>
      <w:r>
        <w:rPr>
          <w:rStyle w:val="29"/>
          <w:rFonts w:hint="eastAsia" w:ascii="宋体" w:hAnsi="宋体" w:eastAsia="宋体" w:cs="宋体"/>
          <w:color w:val="auto"/>
          <w:kern w:val="2"/>
          <w:sz w:val="21"/>
          <w:szCs w:val="21"/>
          <w:highlight w:val="none"/>
          <w:lang w:val="zh-CN" w:eastAsia="zh-CN" w:bidi="en-US"/>
        </w:rPr>
        <w:t>(7)</w:t>
      </w:r>
      <w:r>
        <w:rPr>
          <w:rStyle w:val="29"/>
          <w:rFonts w:hint="eastAsia" w:ascii="宋体" w:hAnsi="宋体" w:eastAsia="宋体" w:cs="宋体"/>
          <w:color w:val="auto"/>
          <w:kern w:val="2"/>
          <w:sz w:val="21"/>
          <w:szCs w:val="21"/>
          <w:highlight w:val="none"/>
          <w:lang w:val="en-US" w:bidi="en-US"/>
        </w:rPr>
        <w:t>发包人造成工期延误的其他原因。</w:t>
      </w:r>
    </w:p>
    <w:p w14:paraId="07A3FC0B">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33" w:name="bookmark1184"/>
      <w:bookmarkStart w:id="634" w:name="bookmark1186"/>
      <w:bookmarkStart w:id="635" w:name="_Toc14471"/>
      <w:bookmarkStart w:id="636" w:name="bookmark1185"/>
      <w:bookmarkStart w:id="637" w:name="_Toc10371"/>
      <w:bookmarkStart w:id="638" w:name="_Toc256000087"/>
      <w:r>
        <w:rPr>
          <w:rStyle w:val="29"/>
          <w:rFonts w:hint="eastAsia" w:ascii="宋体" w:hAnsi="宋体" w:eastAsia="宋体" w:cs="宋体"/>
          <w:color w:val="auto"/>
          <w:kern w:val="2"/>
          <w:sz w:val="21"/>
          <w:szCs w:val="21"/>
          <w:highlight w:val="none"/>
          <w:lang w:eastAsia="zh-CN"/>
        </w:rPr>
        <w:t>11.4异常恶劣的气候条件</w:t>
      </w:r>
      <w:bookmarkEnd w:id="633"/>
      <w:bookmarkEnd w:id="634"/>
      <w:bookmarkEnd w:id="635"/>
      <w:bookmarkEnd w:id="636"/>
      <w:bookmarkEnd w:id="637"/>
      <w:bookmarkEnd w:id="638"/>
    </w:p>
    <w:p w14:paraId="613DE3F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11.4.1当工程所在地发生危及施工安全的异常恶劣气候时，发包人和承包人应按本合同通用合同条款第12条的约定，及时采取暂停施工或部分暂停施工措施。异常恶劣气候条件解除后，承包人应及时安排复工。</w:t>
      </w:r>
    </w:p>
    <w:p w14:paraId="641AFA7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11.4.2异常恶劣气候条件造成的工期延误和工程损坏，应由发包人与承包人参照本合同通用合同条款第21.3款的约定共同协商处理。</w:t>
      </w:r>
    </w:p>
    <w:p w14:paraId="54EE1E0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11.4.3本合同工程界定异常恶劣气候条件的范围在专用合同条款中约定。</w:t>
      </w:r>
    </w:p>
    <w:p w14:paraId="6EEB86D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39" w:name="bookmark1188"/>
      <w:bookmarkStart w:id="640" w:name="_Toc256000088"/>
      <w:bookmarkStart w:id="641" w:name="_Toc22626"/>
      <w:bookmarkStart w:id="642" w:name="bookmark1187"/>
      <w:bookmarkStart w:id="643" w:name="_Toc1075"/>
      <w:bookmarkStart w:id="644" w:name="bookmark1189"/>
      <w:r>
        <w:rPr>
          <w:rStyle w:val="29"/>
          <w:rFonts w:hint="eastAsia" w:ascii="宋体" w:hAnsi="宋体" w:eastAsia="宋体" w:cs="宋体"/>
          <w:color w:val="auto"/>
          <w:kern w:val="2"/>
          <w:sz w:val="21"/>
          <w:szCs w:val="21"/>
          <w:highlight w:val="none"/>
          <w:lang w:eastAsia="zh-CN"/>
        </w:rPr>
        <w:t>11.5承包人工期延误</w:t>
      </w:r>
      <w:bookmarkEnd w:id="639"/>
      <w:bookmarkEnd w:id="640"/>
      <w:bookmarkEnd w:id="641"/>
      <w:bookmarkEnd w:id="642"/>
      <w:bookmarkEnd w:id="643"/>
      <w:bookmarkEnd w:id="644"/>
    </w:p>
    <w:p w14:paraId="46894FE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5484331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45" w:name="bookmark1192"/>
      <w:bookmarkStart w:id="646" w:name="bookmark1191"/>
      <w:bookmarkStart w:id="647" w:name="_Toc14969"/>
      <w:bookmarkStart w:id="648" w:name="_Toc256000089"/>
      <w:bookmarkStart w:id="649" w:name="bookmark1190"/>
      <w:bookmarkStart w:id="650" w:name="_Toc474"/>
      <w:r>
        <w:rPr>
          <w:rStyle w:val="29"/>
          <w:rFonts w:hint="eastAsia" w:ascii="宋体" w:hAnsi="宋体" w:eastAsia="宋体" w:cs="宋体"/>
          <w:color w:val="auto"/>
          <w:kern w:val="2"/>
          <w:sz w:val="21"/>
          <w:szCs w:val="21"/>
          <w:highlight w:val="none"/>
          <w:lang w:eastAsia="zh-CN"/>
        </w:rPr>
        <w:t>11.6工期提前</w:t>
      </w:r>
      <w:bookmarkEnd w:id="645"/>
      <w:bookmarkEnd w:id="646"/>
      <w:bookmarkEnd w:id="647"/>
      <w:bookmarkEnd w:id="648"/>
      <w:bookmarkEnd w:id="649"/>
      <w:bookmarkEnd w:id="650"/>
    </w:p>
    <w:p w14:paraId="2B09FFA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要求承包人提前完工，或承包人提出提前完工的建议能够给发包人带来效益的，应由监理人与承包人共同协商采取加快工程进度的措施和修订合同进度计划。发包人应承担承包人由此增加的费用，并向承包人支付专用合同条款约定的相应奖金。</w:t>
      </w:r>
    </w:p>
    <w:p w14:paraId="52C4333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发包人要求提前完工的，双方协商一致后应签订提前完工协议，协议内容包括：</w:t>
      </w:r>
    </w:p>
    <w:p w14:paraId="739CE37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51" w:name="bookmark1193"/>
      <w:bookmarkEnd w:id="651"/>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提前的时间和修订后的进度计划。</w:t>
      </w:r>
    </w:p>
    <w:p w14:paraId="5561108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52" w:name="bookmark1194"/>
      <w:bookmarkEnd w:id="652"/>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承包人的赶工措施。</w:t>
      </w:r>
    </w:p>
    <w:p w14:paraId="322B003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zh-CN" w:eastAsia="zh-CN" w:bidi="en-US"/>
        </w:rPr>
        <w:t>(3)</w:t>
      </w:r>
      <w:r>
        <w:rPr>
          <w:rStyle w:val="29"/>
          <w:rFonts w:hint="eastAsia" w:ascii="宋体" w:hAnsi="宋体" w:eastAsia="宋体" w:cs="宋体"/>
          <w:color w:val="auto"/>
          <w:kern w:val="2"/>
          <w:sz w:val="21"/>
          <w:szCs w:val="21"/>
          <w:highlight w:val="none"/>
          <w:lang w:val="en-US" w:bidi="en-US"/>
        </w:rPr>
        <w:t>发包人为赶工提供的条件。</w:t>
      </w:r>
    </w:p>
    <w:p w14:paraId="1539A04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53" w:name="bookmark1196"/>
      <w:bookmarkEnd w:id="653"/>
      <w:r>
        <w:rPr>
          <w:rStyle w:val="29"/>
          <w:rFonts w:hint="eastAsia" w:ascii="宋体" w:hAnsi="宋体" w:eastAsia="宋体" w:cs="宋体"/>
          <w:color w:val="auto"/>
          <w:kern w:val="2"/>
          <w:sz w:val="21"/>
          <w:szCs w:val="21"/>
          <w:highlight w:val="none"/>
          <w:lang w:val="zh-CN" w:eastAsia="zh-CN" w:bidi="en-US"/>
        </w:rPr>
        <w:t>(4)</w:t>
      </w:r>
      <w:r>
        <w:rPr>
          <w:rStyle w:val="29"/>
          <w:rFonts w:hint="eastAsia" w:ascii="宋体" w:hAnsi="宋体" w:eastAsia="宋体" w:cs="宋体"/>
          <w:color w:val="auto"/>
          <w:kern w:val="2"/>
          <w:sz w:val="21"/>
          <w:szCs w:val="21"/>
          <w:highlight w:val="none"/>
          <w:lang w:val="en-US" w:bidi="en-US"/>
        </w:rPr>
        <w:t>赶工费用(包括利润和奖金)</w:t>
      </w:r>
    </w:p>
    <w:p w14:paraId="2040894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54" w:name="bookmark1197"/>
      <w:bookmarkStart w:id="655" w:name="_Toc8400"/>
      <w:bookmarkStart w:id="656" w:name="_Toc256000090"/>
      <w:bookmarkStart w:id="657" w:name="_Toc3335"/>
      <w:bookmarkStart w:id="658" w:name="bookmark1199"/>
      <w:bookmarkStart w:id="659" w:name="bookmark1198"/>
      <w:r>
        <w:rPr>
          <w:rStyle w:val="29"/>
          <w:rFonts w:hint="eastAsia" w:ascii="宋体" w:hAnsi="宋体" w:eastAsia="宋体" w:cs="宋体"/>
          <w:color w:val="auto"/>
          <w:kern w:val="2"/>
          <w:sz w:val="21"/>
          <w:szCs w:val="21"/>
          <w:highlight w:val="none"/>
          <w:lang w:eastAsia="zh-CN"/>
        </w:rPr>
        <w:t>12.暂停施工</w:t>
      </w:r>
      <w:bookmarkEnd w:id="654"/>
      <w:bookmarkEnd w:id="655"/>
      <w:bookmarkEnd w:id="656"/>
      <w:bookmarkEnd w:id="657"/>
      <w:bookmarkEnd w:id="658"/>
      <w:bookmarkEnd w:id="659"/>
    </w:p>
    <w:p w14:paraId="108A1E7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60" w:name="bookmark1201"/>
      <w:bookmarkStart w:id="661" w:name="_Toc11440"/>
      <w:bookmarkStart w:id="662" w:name="_Toc25279"/>
      <w:bookmarkStart w:id="663" w:name="bookmark1200"/>
      <w:bookmarkStart w:id="664" w:name="bookmark1202"/>
      <w:bookmarkStart w:id="665" w:name="_Toc256000091"/>
      <w:r>
        <w:rPr>
          <w:rStyle w:val="29"/>
          <w:rFonts w:hint="eastAsia" w:ascii="宋体" w:hAnsi="宋体" w:eastAsia="宋体" w:cs="宋体"/>
          <w:color w:val="auto"/>
          <w:kern w:val="2"/>
          <w:sz w:val="21"/>
          <w:szCs w:val="21"/>
          <w:highlight w:val="none"/>
          <w:lang w:eastAsia="zh-CN"/>
        </w:rPr>
        <w:t>12.1承包人暂停施工的责任</w:t>
      </w:r>
      <w:bookmarkEnd w:id="660"/>
      <w:bookmarkEnd w:id="661"/>
      <w:bookmarkEnd w:id="662"/>
      <w:bookmarkEnd w:id="663"/>
      <w:bookmarkEnd w:id="664"/>
      <w:bookmarkEnd w:id="665"/>
    </w:p>
    <w:p w14:paraId="79A0EF9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因下列暂停施工增加的费用和(或)工期延误由承包人承担：</w:t>
      </w:r>
    </w:p>
    <w:p w14:paraId="3C90185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66" w:name="bookmark1203"/>
      <w:bookmarkEnd w:id="666"/>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承包人违约引起的暂停施工；</w:t>
      </w:r>
    </w:p>
    <w:p w14:paraId="24EBC8C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67" w:name="bookmark1204"/>
      <w:bookmarkEnd w:id="667"/>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由于承包人原因为工程合理施工和安全保障所必需的暂停施工；</w:t>
      </w:r>
    </w:p>
    <w:p w14:paraId="1E648DB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68" w:name="bookmark1205"/>
      <w:bookmarkEnd w:id="668"/>
      <w:r>
        <w:rPr>
          <w:rStyle w:val="29"/>
          <w:rFonts w:hint="eastAsia" w:ascii="宋体" w:hAnsi="宋体" w:eastAsia="宋体" w:cs="宋体"/>
          <w:color w:val="auto"/>
          <w:kern w:val="2"/>
          <w:sz w:val="21"/>
          <w:szCs w:val="21"/>
          <w:highlight w:val="none"/>
          <w:lang w:val="zh-CN" w:eastAsia="zh-CN" w:bidi="en-US"/>
        </w:rPr>
        <w:t>(3)</w:t>
      </w:r>
      <w:r>
        <w:rPr>
          <w:rStyle w:val="29"/>
          <w:rFonts w:hint="eastAsia" w:ascii="宋体" w:hAnsi="宋体" w:eastAsia="宋体" w:cs="宋体"/>
          <w:color w:val="auto"/>
          <w:kern w:val="2"/>
          <w:sz w:val="21"/>
          <w:szCs w:val="21"/>
          <w:highlight w:val="none"/>
          <w:lang w:val="en-US" w:bidi="en-US"/>
        </w:rPr>
        <w:t>承包人擅自暂停施工；</w:t>
      </w:r>
    </w:p>
    <w:p w14:paraId="38DF244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69" w:name="bookmark1206"/>
      <w:bookmarkEnd w:id="669"/>
      <w:r>
        <w:rPr>
          <w:rStyle w:val="29"/>
          <w:rFonts w:hint="eastAsia" w:ascii="宋体" w:hAnsi="宋体" w:eastAsia="宋体" w:cs="宋体"/>
          <w:color w:val="auto"/>
          <w:kern w:val="2"/>
          <w:sz w:val="21"/>
          <w:szCs w:val="21"/>
          <w:highlight w:val="none"/>
          <w:lang w:val="zh-CN" w:eastAsia="zh-CN" w:bidi="en-US"/>
        </w:rPr>
        <w:t>(4)</w:t>
      </w:r>
      <w:r>
        <w:rPr>
          <w:rStyle w:val="29"/>
          <w:rFonts w:hint="eastAsia" w:ascii="宋体" w:hAnsi="宋体" w:eastAsia="宋体" w:cs="宋体"/>
          <w:color w:val="auto"/>
          <w:kern w:val="2"/>
          <w:sz w:val="21"/>
          <w:szCs w:val="21"/>
          <w:highlight w:val="none"/>
          <w:lang w:val="en-US" w:bidi="en-US"/>
        </w:rPr>
        <w:t>承包人其他原因引起的暂停施工；</w:t>
      </w:r>
    </w:p>
    <w:p w14:paraId="647539A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70" w:name="bookmark1207"/>
      <w:bookmarkEnd w:id="670"/>
      <w:r>
        <w:rPr>
          <w:rStyle w:val="29"/>
          <w:rFonts w:hint="eastAsia" w:ascii="宋体" w:hAnsi="宋体" w:eastAsia="宋体" w:cs="宋体"/>
          <w:color w:val="auto"/>
          <w:kern w:val="2"/>
          <w:sz w:val="21"/>
          <w:szCs w:val="21"/>
          <w:highlight w:val="none"/>
          <w:lang w:val="zh-CN" w:eastAsia="zh-CN" w:bidi="en-US"/>
        </w:rPr>
        <w:t>(5)</w:t>
      </w:r>
      <w:r>
        <w:rPr>
          <w:rStyle w:val="29"/>
          <w:rFonts w:hint="eastAsia" w:ascii="宋体" w:hAnsi="宋体" w:eastAsia="宋体" w:cs="宋体"/>
          <w:color w:val="auto"/>
          <w:kern w:val="2"/>
          <w:sz w:val="21"/>
          <w:szCs w:val="21"/>
          <w:highlight w:val="none"/>
          <w:lang w:val="en-US" w:bidi="en-US"/>
        </w:rPr>
        <w:t>专用合同条款约定由承包人承担的其他暂停施工。</w:t>
      </w:r>
    </w:p>
    <w:p w14:paraId="64D8495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71" w:name="_Toc256000092"/>
      <w:bookmarkStart w:id="672" w:name="bookmark1208"/>
      <w:bookmarkStart w:id="673" w:name="bookmark1210"/>
      <w:bookmarkStart w:id="674" w:name="_Toc19655"/>
      <w:bookmarkStart w:id="675" w:name="_Toc16980"/>
      <w:bookmarkStart w:id="676" w:name="bookmark1209"/>
      <w:r>
        <w:rPr>
          <w:rStyle w:val="29"/>
          <w:rFonts w:hint="eastAsia" w:ascii="宋体" w:hAnsi="宋体" w:eastAsia="宋体" w:cs="宋体"/>
          <w:color w:val="auto"/>
          <w:kern w:val="2"/>
          <w:sz w:val="21"/>
          <w:szCs w:val="21"/>
          <w:highlight w:val="none"/>
          <w:lang w:eastAsia="zh-CN"/>
        </w:rPr>
        <w:t>12.2发包人暂停施工的责任</w:t>
      </w:r>
      <w:bookmarkEnd w:id="671"/>
      <w:bookmarkEnd w:id="672"/>
      <w:bookmarkEnd w:id="673"/>
      <w:bookmarkEnd w:id="674"/>
      <w:bookmarkEnd w:id="675"/>
      <w:bookmarkEnd w:id="676"/>
    </w:p>
    <w:p w14:paraId="50403A9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由于发包人原因引起的暂停施工造成工期延误的，承包人有权要求发包人延长工期和(或)增加费用，并支付合理利润。属于下列任何一种情况引起的暂停施工，均为发包人的责任：</w:t>
      </w:r>
    </w:p>
    <w:p w14:paraId="4025EBC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77" w:name="bookmark1211"/>
      <w:bookmarkEnd w:id="677"/>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由于发包人违约引起的暂停施工。</w:t>
      </w:r>
    </w:p>
    <w:p w14:paraId="5A296F4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78" w:name="bookmark1212"/>
      <w:bookmarkEnd w:id="678"/>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由于不可抗力的自然或社会因素引起的暂停施工。</w:t>
      </w:r>
    </w:p>
    <w:p w14:paraId="57F823E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79" w:name="bookmark1213"/>
      <w:bookmarkEnd w:id="679"/>
      <w:r>
        <w:rPr>
          <w:rStyle w:val="29"/>
          <w:rFonts w:hint="eastAsia" w:ascii="宋体" w:hAnsi="宋体" w:eastAsia="宋体" w:cs="宋体"/>
          <w:color w:val="auto"/>
          <w:kern w:val="2"/>
          <w:sz w:val="21"/>
          <w:szCs w:val="21"/>
          <w:highlight w:val="none"/>
          <w:lang w:val="zh-CN" w:eastAsia="zh-CN" w:bidi="en-US"/>
        </w:rPr>
        <w:t>(3)</w:t>
      </w:r>
      <w:r>
        <w:rPr>
          <w:rStyle w:val="29"/>
          <w:rFonts w:hint="eastAsia" w:ascii="宋体" w:hAnsi="宋体" w:eastAsia="宋体" w:cs="宋体"/>
          <w:color w:val="auto"/>
          <w:kern w:val="2"/>
          <w:sz w:val="21"/>
          <w:szCs w:val="21"/>
          <w:highlight w:val="none"/>
          <w:lang w:val="en-US" w:bidi="en-US"/>
        </w:rPr>
        <w:t>专用合同条款中约定的其它由于发包人原因引起的暂停施工。</w:t>
      </w:r>
    </w:p>
    <w:p w14:paraId="25914E1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80" w:name="bookmark1214"/>
      <w:bookmarkStart w:id="681" w:name="_Toc4901"/>
      <w:bookmarkStart w:id="682" w:name="bookmark1216"/>
      <w:bookmarkStart w:id="683" w:name="bookmark1215"/>
      <w:bookmarkStart w:id="684" w:name="_Toc256000093"/>
      <w:bookmarkStart w:id="685" w:name="_Toc15099"/>
      <w:r>
        <w:rPr>
          <w:rStyle w:val="29"/>
          <w:rFonts w:hint="eastAsia" w:ascii="宋体" w:hAnsi="宋体" w:eastAsia="宋体" w:cs="宋体"/>
          <w:color w:val="auto"/>
          <w:kern w:val="2"/>
          <w:sz w:val="21"/>
          <w:szCs w:val="21"/>
          <w:highlight w:val="none"/>
          <w:lang w:eastAsia="zh-CN"/>
        </w:rPr>
        <w:t>12.3监理人暂停施工指示</w:t>
      </w:r>
      <w:bookmarkEnd w:id="680"/>
      <w:bookmarkEnd w:id="681"/>
      <w:bookmarkEnd w:id="682"/>
      <w:bookmarkEnd w:id="683"/>
      <w:bookmarkEnd w:id="684"/>
      <w:bookmarkEnd w:id="685"/>
    </w:p>
    <w:p w14:paraId="7594F9D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12.3.1监理人认为有必要时，可向承包人作出暂停施工的指示，承包人应按监理人指示暂停施工。不论由于何种原因引起的暂停施工，暂停施工期间承包人应负责妥善保护工程并提供安全保障。</w:t>
      </w:r>
    </w:p>
    <w:p w14:paraId="7B1C42F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12.3.2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1B2F84E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86" w:name="_Toc256000094"/>
      <w:bookmarkStart w:id="687" w:name="bookmark1219"/>
      <w:bookmarkStart w:id="688" w:name="_Toc14048"/>
      <w:bookmarkStart w:id="689" w:name="bookmark1218"/>
      <w:bookmarkStart w:id="690" w:name="_Toc7679"/>
      <w:bookmarkStart w:id="691" w:name="bookmark1217"/>
      <w:r>
        <w:rPr>
          <w:rStyle w:val="29"/>
          <w:rFonts w:hint="eastAsia" w:ascii="宋体" w:hAnsi="宋体" w:eastAsia="宋体" w:cs="宋体"/>
          <w:color w:val="auto"/>
          <w:kern w:val="2"/>
          <w:sz w:val="21"/>
          <w:szCs w:val="21"/>
          <w:highlight w:val="none"/>
          <w:lang w:eastAsia="zh-CN"/>
        </w:rPr>
        <w:t>12.4暂停施工后的复工</w:t>
      </w:r>
      <w:bookmarkEnd w:id="686"/>
      <w:bookmarkEnd w:id="687"/>
      <w:bookmarkEnd w:id="688"/>
      <w:bookmarkEnd w:id="689"/>
      <w:bookmarkEnd w:id="690"/>
      <w:bookmarkEnd w:id="691"/>
    </w:p>
    <w:p w14:paraId="123B58F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92" w:name="bookmark1220"/>
      <w:bookmarkEnd w:id="692"/>
      <w:r>
        <w:rPr>
          <w:rStyle w:val="29"/>
          <w:rFonts w:hint="eastAsia" w:ascii="宋体" w:hAnsi="宋体" w:eastAsia="宋体" w:cs="宋体"/>
          <w:color w:val="auto"/>
          <w:kern w:val="2"/>
          <w:sz w:val="21"/>
          <w:szCs w:val="21"/>
          <w:highlight w:val="none"/>
          <w:lang w:val="en-US" w:bidi="en-US"/>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2FD3FF6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693" w:name="bookmark1221"/>
      <w:bookmarkEnd w:id="693"/>
      <w:r>
        <w:rPr>
          <w:rStyle w:val="29"/>
          <w:rFonts w:hint="eastAsia" w:ascii="宋体" w:hAnsi="宋体" w:eastAsia="宋体" w:cs="宋体"/>
          <w:color w:val="auto"/>
          <w:kern w:val="2"/>
          <w:sz w:val="21"/>
          <w:szCs w:val="21"/>
          <w:highlight w:val="none"/>
          <w:lang w:val="en-US" w:bidi="en-US"/>
        </w:rPr>
        <w:t>12.4.2承包人无故拖延和拒绝复工的，由此增加的费用和工期延误由承包人承担；因发包人原因无法按时复工的，承包人有权要求发包人延长工期和(或)增加费用，并支付合理利润。</w:t>
      </w:r>
    </w:p>
    <w:p w14:paraId="741681E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694" w:name="bookmark1195"/>
      <w:bookmarkEnd w:id="694"/>
      <w:bookmarkStart w:id="695" w:name="bookmark1222"/>
      <w:bookmarkStart w:id="696" w:name="bookmark1224"/>
      <w:bookmarkStart w:id="697" w:name="_Toc256000095"/>
      <w:bookmarkStart w:id="698" w:name="_Toc6811"/>
      <w:bookmarkStart w:id="699" w:name="_Toc24826"/>
      <w:bookmarkStart w:id="700" w:name="bookmark1223"/>
      <w:r>
        <w:rPr>
          <w:rStyle w:val="29"/>
          <w:rFonts w:hint="eastAsia" w:ascii="宋体" w:hAnsi="宋体" w:eastAsia="宋体" w:cs="宋体"/>
          <w:color w:val="auto"/>
          <w:kern w:val="2"/>
          <w:sz w:val="21"/>
          <w:szCs w:val="21"/>
          <w:highlight w:val="none"/>
          <w:lang w:eastAsia="zh-CN"/>
        </w:rPr>
        <w:t>12.5暂停施工持续56天以上</w:t>
      </w:r>
      <w:bookmarkEnd w:id="695"/>
      <w:bookmarkEnd w:id="696"/>
      <w:bookmarkEnd w:id="697"/>
      <w:bookmarkEnd w:id="698"/>
      <w:bookmarkEnd w:id="699"/>
      <w:bookmarkEnd w:id="700"/>
    </w:p>
    <w:p w14:paraId="1CC71FD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12.5.1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约定办理。</w:t>
      </w:r>
    </w:p>
    <w:p w14:paraId="7675DF2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12.5.2由于承包人责任引起的暂停施工，如承包人在收到监理人暂停施工指示后56天内不认真采取有效的复工措施，造成工期延误，可视为承包人违约，应按第22.1款的约定办理。</w:t>
      </w:r>
    </w:p>
    <w:p w14:paraId="38D96E2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01" w:name="bookmark1227"/>
      <w:bookmarkStart w:id="702" w:name="bookmark1225"/>
      <w:bookmarkStart w:id="703" w:name="_Toc10322"/>
      <w:bookmarkStart w:id="704" w:name="_Toc256000096"/>
      <w:bookmarkStart w:id="705" w:name="bookmark1226"/>
      <w:bookmarkStart w:id="706" w:name="_Toc6946"/>
      <w:r>
        <w:rPr>
          <w:rStyle w:val="29"/>
          <w:rFonts w:hint="eastAsia" w:ascii="宋体" w:hAnsi="宋体" w:eastAsia="宋体" w:cs="宋体"/>
          <w:color w:val="auto"/>
          <w:kern w:val="2"/>
          <w:sz w:val="21"/>
          <w:szCs w:val="21"/>
          <w:highlight w:val="none"/>
          <w:lang w:eastAsia="zh-CN"/>
        </w:rPr>
        <w:t>13.工程质量</w:t>
      </w:r>
      <w:bookmarkEnd w:id="701"/>
      <w:bookmarkEnd w:id="702"/>
      <w:bookmarkEnd w:id="703"/>
      <w:bookmarkEnd w:id="704"/>
      <w:bookmarkEnd w:id="705"/>
      <w:bookmarkEnd w:id="706"/>
    </w:p>
    <w:p w14:paraId="4FCE6ADB">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07" w:name="_Toc256000097"/>
      <w:bookmarkStart w:id="708" w:name="bookmark1230"/>
      <w:bookmarkStart w:id="709" w:name="_Toc9064"/>
      <w:bookmarkStart w:id="710" w:name="_Toc19924"/>
      <w:bookmarkStart w:id="711" w:name="bookmark1229"/>
      <w:bookmarkStart w:id="712" w:name="bookmark1228"/>
      <w:r>
        <w:rPr>
          <w:rStyle w:val="29"/>
          <w:rFonts w:hint="eastAsia" w:ascii="宋体" w:hAnsi="宋体" w:eastAsia="宋体" w:cs="宋体"/>
          <w:color w:val="auto"/>
          <w:kern w:val="2"/>
          <w:sz w:val="21"/>
          <w:szCs w:val="21"/>
          <w:highlight w:val="none"/>
          <w:lang w:eastAsia="zh-CN"/>
        </w:rPr>
        <w:t>13.1工程质量要求</w:t>
      </w:r>
      <w:bookmarkEnd w:id="707"/>
      <w:bookmarkEnd w:id="708"/>
      <w:bookmarkEnd w:id="709"/>
      <w:bookmarkEnd w:id="710"/>
      <w:bookmarkEnd w:id="711"/>
      <w:bookmarkEnd w:id="712"/>
    </w:p>
    <w:p w14:paraId="475A019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13" w:name="bookmark1231"/>
      <w:bookmarkEnd w:id="713"/>
      <w:r>
        <w:rPr>
          <w:rStyle w:val="29"/>
          <w:rFonts w:hint="eastAsia" w:ascii="宋体" w:hAnsi="宋体" w:eastAsia="宋体" w:cs="宋体"/>
          <w:color w:val="auto"/>
          <w:kern w:val="2"/>
          <w:sz w:val="21"/>
          <w:szCs w:val="21"/>
          <w:highlight w:val="none"/>
          <w:lang w:val="en-US" w:bidi="en-US"/>
        </w:rPr>
        <w:t>13.1.1工程质量验收按合同约定验收标准执行。</w:t>
      </w:r>
    </w:p>
    <w:p w14:paraId="512864D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13.1.2因承包人原因造成工程质量达不到合同约定验收标准的，监理人有权要求承包人返工直至符合合同要求为止，由此造成的费用增加和（或）工期延误由承包人承担。</w:t>
      </w:r>
    </w:p>
    <w:p w14:paraId="5368180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13.1.3因发包人原因造成工程质量达不到合同约定验收标准的，发包人应承担由于承包人返工造成的费用增加和（或）工期延误，并支付承包人合理利润。</w:t>
      </w:r>
    </w:p>
    <w:p w14:paraId="7EA4D4B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14" w:name="_Toc6308"/>
      <w:bookmarkStart w:id="715" w:name="_Toc256000098"/>
      <w:bookmarkStart w:id="716" w:name="bookmark1233"/>
      <w:bookmarkStart w:id="717" w:name="bookmark1232"/>
      <w:bookmarkStart w:id="718" w:name="bookmark1234"/>
      <w:bookmarkStart w:id="719" w:name="_Toc4852"/>
      <w:r>
        <w:rPr>
          <w:rStyle w:val="29"/>
          <w:rFonts w:hint="eastAsia" w:ascii="宋体" w:hAnsi="宋体" w:eastAsia="宋体" w:cs="宋体"/>
          <w:color w:val="auto"/>
          <w:kern w:val="2"/>
          <w:sz w:val="21"/>
          <w:szCs w:val="21"/>
          <w:highlight w:val="none"/>
          <w:lang w:eastAsia="zh-CN"/>
        </w:rPr>
        <w:t>13.2承包人的质量管理</w:t>
      </w:r>
      <w:bookmarkEnd w:id="714"/>
      <w:bookmarkEnd w:id="715"/>
      <w:bookmarkEnd w:id="716"/>
      <w:bookmarkEnd w:id="717"/>
      <w:bookmarkEnd w:id="718"/>
      <w:bookmarkEnd w:id="719"/>
    </w:p>
    <w:p w14:paraId="312FA3B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13.2.1承包人应在施工场地设置专门的质量检查机构，配备专职质量检查人员，建立完善的质量检查制度。承包人应按技术标准和要求（合同技术条款）约定的内容和期限,编制工程质量保证措施文件，包括质量检查机构的组织和岗位责任、质量检查人员的组成、质量检查程序和实施细则等，提交监理人监批。监理人应在技术标准和要求（合同技术条款）约定期限内批复承包人。</w:t>
      </w:r>
    </w:p>
    <w:p w14:paraId="2A48C97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20" w:name="bookmark1235"/>
      <w:bookmarkEnd w:id="720"/>
      <w:r>
        <w:rPr>
          <w:rStyle w:val="29"/>
          <w:rFonts w:hint="eastAsia" w:ascii="宋体" w:hAnsi="宋体" w:eastAsia="宋体" w:cs="宋体"/>
          <w:color w:val="auto"/>
          <w:kern w:val="2"/>
          <w:sz w:val="21"/>
          <w:szCs w:val="21"/>
          <w:highlight w:val="none"/>
          <w:lang w:val="en-US" w:bidi="en-US"/>
        </w:rPr>
        <w:t>13.2.2承包人应加强对施工人员的质量教育和技术培训，定期考核施工人员的劳动技能，严格执行规范和操作规程。</w:t>
      </w:r>
    </w:p>
    <w:p w14:paraId="5AFAE5D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21" w:name="bookmark1238"/>
      <w:bookmarkStart w:id="722" w:name="_Toc19429"/>
      <w:bookmarkStart w:id="723" w:name="bookmark1236"/>
      <w:bookmarkStart w:id="724" w:name="bookmark1237"/>
      <w:bookmarkStart w:id="725" w:name="_Toc256000099"/>
      <w:bookmarkStart w:id="726" w:name="_Toc27102"/>
      <w:r>
        <w:rPr>
          <w:rStyle w:val="29"/>
          <w:rFonts w:hint="eastAsia" w:ascii="宋体" w:hAnsi="宋体" w:eastAsia="宋体" w:cs="宋体"/>
          <w:color w:val="auto"/>
          <w:kern w:val="2"/>
          <w:sz w:val="21"/>
          <w:szCs w:val="21"/>
          <w:highlight w:val="none"/>
          <w:lang w:eastAsia="zh-CN"/>
        </w:rPr>
        <w:t>13.3承包人的质量检查</w:t>
      </w:r>
      <w:bookmarkEnd w:id="721"/>
      <w:bookmarkEnd w:id="722"/>
      <w:bookmarkEnd w:id="723"/>
      <w:bookmarkEnd w:id="724"/>
      <w:bookmarkEnd w:id="725"/>
      <w:bookmarkEnd w:id="726"/>
    </w:p>
    <w:p w14:paraId="59A87D7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承包人应按合同约定对材料、工程设备以及工程的所有部位及其施工工艺进行全过程的质量检查和检验，并作详细记录，编制工程质量报表，报送监理人审查。</w:t>
      </w:r>
    </w:p>
    <w:p w14:paraId="2C545F7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27" w:name="bookmark1241"/>
      <w:bookmarkStart w:id="728" w:name="_Toc26103"/>
      <w:bookmarkStart w:id="729" w:name="bookmark1239"/>
      <w:bookmarkStart w:id="730" w:name="bookmark1240"/>
      <w:bookmarkStart w:id="731" w:name="_Toc30829"/>
      <w:bookmarkStart w:id="732" w:name="_Toc256000100"/>
      <w:r>
        <w:rPr>
          <w:rStyle w:val="29"/>
          <w:rFonts w:hint="eastAsia" w:ascii="宋体" w:hAnsi="宋体" w:eastAsia="宋体" w:cs="宋体"/>
          <w:color w:val="auto"/>
          <w:kern w:val="2"/>
          <w:sz w:val="21"/>
          <w:szCs w:val="21"/>
          <w:highlight w:val="none"/>
          <w:lang w:eastAsia="zh-CN"/>
        </w:rPr>
        <w:t>13.4监理人的质量检查</w:t>
      </w:r>
      <w:bookmarkEnd w:id="727"/>
      <w:bookmarkEnd w:id="728"/>
      <w:bookmarkEnd w:id="729"/>
      <w:bookmarkEnd w:id="730"/>
      <w:bookmarkEnd w:id="731"/>
      <w:bookmarkEnd w:id="732"/>
    </w:p>
    <w:p w14:paraId="0AAFD4E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6273BA9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33" w:name="_Toc16458"/>
      <w:bookmarkStart w:id="734" w:name="bookmark1244"/>
      <w:bookmarkStart w:id="735" w:name="bookmark1242"/>
      <w:bookmarkStart w:id="736" w:name="bookmark1243"/>
      <w:bookmarkStart w:id="737" w:name="_Toc256000101"/>
      <w:bookmarkStart w:id="738" w:name="_Toc30255"/>
      <w:r>
        <w:rPr>
          <w:rStyle w:val="29"/>
          <w:rFonts w:hint="eastAsia" w:ascii="宋体" w:hAnsi="宋体" w:eastAsia="宋体" w:cs="宋体"/>
          <w:color w:val="auto"/>
          <w:kern w:val="2"/>
          <w:sz w:val="21"/>
          <w:szCs w:val="21"/>
          <w:highlight w:val="none"/>
          <w:lang w:eastAsia="zh-CN"/>
        </w:rPr>
        <w:t>13.5工程隐蔽部位覆盖前的检查</w:t>
      </w:r>
      <w:bookmarkEnd w:id="733"/>
      <w:bookmarkEnd w:id="734"/>
      <w:bookmarkEnd w:id="735"/>
      <w:bookmarkEnd w:id="736"/>
      <w:bookmarkEnd w:id="737"/>
      <w:bookmarkEnd w:id="738"/>
    </w:p>
    <w:p w14:paraId="338927B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39" w:name="bookmark1245"/>
      <w:bookmarkEnd w:id="739"/>
      <w:r>
        <w:rPr>
          <w:rStyle w:val="29"/>
          <w:rFonts w:hint="eastAsia" w:ascii="宋体" w:hAnsi="宋体" w:eastAsia="宋体" w:cs="宋体"/>
          <w:color w:val="auto"/>
          <w:kern w:val="2"/>
          <w:sz w:val="21"/>
          <w:szCs w:val="21"/>
          <w:highlight w:val="none"/>
          <w:lang w:val="en-US" w:bidi="en-US"/>
        </w:rPr>
        <w:t>13.5.1通知监理人检查</w:t>
      </w:r>
    </w:p>
    <w:p w14:paraId="35FB79C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46DBA7C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13.5.2监理人未到场检查</w:t>
      </w:r>
    </w:p>
    <w:p w14:paraId="28C5148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67795F9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13.5.3监理人重新检查</w:t>
      </w:r>
    </w:p>
    <w:p w14:paraId="4DACD17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45B47EA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13.5.4承包人私自覆盖</w:t>
      </w:r>
    </w:p>
    <w:p w14:paraId="5D2AE01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承包人未通知监理人到场检查，私自将工程隐蔽部位覆盖的，监理人有权指示承包人钻孔探测或揭开检查，由此增加的费用和（或）工期延误由承包人承担。</w:t>
      </w:r>
    </w:p>
    <w:p w14:paraId="140DCA5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40" w:name="_Toc31851"/>
      <w:bookmarkStart w:id="741" w:name="_Toc256000102"/>
      <w:bookmarkStart w:id="742" w:name="bookmark1247"/>
      <w:bookmarkStart w:id="743" w:name="bookmark1246"/>
      <w:bookmarkStart w:id="744" w:name="_Toc17861"/>
      <w:bookmarkStart w:id="745" w:name="bookmark1248"/>
      <w:r>
        <w:rPr>
          <w:rStyle w:val="29"/>
          <w:rFonts w:hint="eastAsia" w:ascii="宋体" w:hAnsi="宋体" w:eastAsia="宋体" w:cs="宋体"/>
          <w:color w:val="auto"/>
          <w:kern w:val="2"/>
          <w:sz w:val="21"/>
          <w:szCs w:val="21"/>
          <w:highlight w:val="none"/>
          <w:lang w:eastAsia="zh-CN"/>
        </w:rPr>
        <w:t>13.6清除不合格工程</w:t>
      </w:r>
      <w:bookmarkEnd w:id="740"/>
      <w:bookmarkEnd w:id="741"/>
      <w:bookmarkEnd w:id="742"/>
      <w:bookmarkEnd w:id="743"/>
      <w:bookmarkEnd w:id="744"/>
      <w:bookmarkEnd w:id="745"/>
    </w:p>
    <w:p w14:paraId="79F23D6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13.6.1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376A155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13.6.2由于发包人提供的材料或工程设备不合格造成的工程不合格，需要承包人采取措施补救的，发包人应承担由此增加的费用和（或）工期延误，并支付承包人合理利润。</w:t>
      </w:r>
    </w:p>
    <w:p w14:paraId="171067F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46" w:name="_Toc256000103"/>
      <w:bookmarkStart w:id="747" w:name="_Toc3708"/>
      <w:bookmarkStart w:id="748" w:name="_Toc14095"/>
      <w:r>
        <w:rPr>
          <w:rStyle w:val="29"/>
          <w:rFonts w:hint="eastAsia" w:ascii="宋体" w:hAnsi="宋体" w:eastAsia="宋体" w:cs="宋体"/>
          <w:color w:val="auto"/>
          <w:kern w:val="2"/>
          <w:sz w:val="21"/>
          <w:szCs w:val="21"/>
          <w:highlight w:val="none"/>
          <w:lang w:eastAsia="zh-CN"/>
        </w:rPr>
        <w:t>13.7质量评定</w:t>
      </w:r>
      <w:bookmarkEnd w:id="746"/>
      <w:bookmarkEnd w:id="747"/>
      <w:bookmarkEnd w:id="748"/>
    </w:p>
    <w:p w14:paraId="385AD60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13.7.1发包人应组织承包人进行工程项目划分，并确定单位工程、主要分部工程、重要隐蔽单元工程和关键部位单元工程。</w:t>
      </w:r>
    </w:p>
    <w:p w14:paraId="344F9F2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13.7.2工程实施过程中，单位工程、主要分部工程、重要隐蔽单元工程和关键部位单元工程的项目划分需要调整时，承包人应报发包人确认。</w:t>
      </w:r>
    </w:p>
    <w:p w14:paraId="11F1E97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13.7.3承包人应在单元（工序）工程质量自评合格后，报监理人核定质量等级并签证认可。</w:t>
      </w:r>
    </w:p>
    <w:p w14:paraId="4EF0D715">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13.7.4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3EBCC55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13.7.5承包人应在分部工程质量自评合格后，报监理人复核和发包人认定。发包人负责按有关规定完成分部工程质量结论报工程质量监督机构核备（核定）手续。</w:t>
      </w:r>
    </w:p>
    <w:p w14:paraId="07A33A6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13.7.6承包人应在单位工程质量自评合格后，报监理人复核和发包人认定。发包人负责按有关规定完成单位工程质量结论报工程质量监督机构核定手续。</w:t>
      </w:r>
    </w:p>
    <w:p w14:paraId="3DCC534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13.7.7除专用合同条款另有约定外，工程质量等级分为合格和优良，应分别达到约定的标准。</w:t>
      </w:r>
    </w:p>
    <w:p w14:paraId="31DA1CC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49" w:name="_Toc256000104"/>
      <w:bookmarkStart w:id="750" w:name="bookmark1250"/>
      <w:bookmarkStart w:id="751" w:name="_Toc21295"/>
      <w:bookmarkStart w:id="752" w:name="_Toc19883"/>
      <w:bookmarkStart w:id="753" w:name="bookmark1251"/>
      <w:bookmarkStart w:id="754" w:name="bookmark1249"/>
      <w:r>
        <w:rPr>
          <w:rStyle w:val="29"/>
          <w:rFonts w:hint="eastAsia" w:ascii="宋体" w:hAnsi="宋体" w:eastAsia="宋体" w:cs="宋体"/>
          <w:color w:val="auto"/>
          <w:kern w:val="2"/>
          <w:sz w:val="21"/>
          <w:szCs w:val="21"/>
          <w:highlight w:val="none"/>
          <w:lang w:eastAsia="zh-CN"/>
        </w:rPr>
        <w:t>13.8质量事故处理</w:t>
      </w:r>
      <w:bookmarkEnd w:id="749"/>
      <w:bookmarkEnd w:id="750"/>
      <w:bookmarkEnd w:id="751"/>
      <w:bookmarkEnd w:id="752"/>
      <w:bookmarkEnd w:id="753"/>
      <w:bookmarkEnd w:id="754"/>
    </w:p>
    <w:p w14:paraId="1B68C63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13.8.1发生质量事故时，承包人应及时向发包人和监理人报告。</w:t>
      </w:r>
    </w:p>
    <w:p w14:paraId="53FAB2C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13.8.2质量事故调查处理由发包人按相关规定履行手续，承包人应配合。</w:t>
      </w:r>
    </w:p>
    <w:p w14:paraId="12F1494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13.8.3承包人应对质量缺陷进行备案。发包人委托监理人对质量缺陷备案情况进行监督检查并履行相关手续。</w:t>
      </w:r>
    </w:p>
    <w:p w14:paraId="2366007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13.8.4除专用合同条款另有约定外，工程竣工验收时，发包人负责向竣工验收委员会汇报并提交历次质量缺陷处理的备案资料。</w:t>
      </w:r>
    </w:p>
    <w:p w14:paraId="7D93419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55" w:name="_Toc3911"/>
      <w:bookmarkStart w:id="756" w:name="bookmark1252"/>
      <w:bookmarkStart w:id="757" w:name="bookmark1253"/>
      <w:bookmarkStart w:id="758" w:name="bookmark1254"/>
      <w:bookmarkStart w:id="759" w:name="_Toc17645"/>
      <w:bookmarkStart w:id="760" w:name="_Toc256000105"/>
      <w:r>
        <w:rPr>
          <w:rStyle w:val="29"/>
          <w:rFonts w:hint="eastAsia" w:ascii="宋体" w:hAnsi="宋体" w:eastAsia="宋体" w:cs="宋体"/>
          <w:color w:val="auto"/>
          <w:kern w:val="2"/>
          <w:sz w:val="21"/>
          <w:szCs w:val="21"/>
          <w:highlight w:val="none"/>
          <w:lang w:eastAsia="zh-CN"/>
        </w:rPr>
        <w:t>14.试验和检验</w:t>
      </w:r>
      <w:bookmarkEnd w:id="755"/>
      <w:bookmarkEnd w:id="756"/>
      <w:bookmarkEnd w:id="757"/>
      <w:bookmarkEnd w:id="758"/>
      <w:bookmarkEnd w:id="759"/>
      <w:bookmarkEnd w:id="760"/>
    </w:p>
    <w:p w14:paraId="79B6914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61" w:name="_Toc18503"/>
      <w:bookmarkStart w:id="762" w:name="bookmark1255"/>
      <w:bookmarkStart w:id="763" w:name="bookmark1256"/>
      <w:bookmarkStart w:id="764" w:name="_Toc16875"/>
      <w:bookmarkStart w:id="765" w:name="bookmark1257"/>
      <w:bookmarkStart w:id="766" w:name="_Toc256000106"/>
      <w:r>
        <w:rPr>
          <w:rStyle w:val="29"/>
          <w:rFonts w:hint="eastAsia" w:ascii="宋体" w:hAnsi="宋体" w:eastAsia="宋体" w:cs="宋体"/>
          <w:color w:val="auto"/>
          <w:kern w:val="2"/>
          <w:sz w:val="21"/>
          <w:szCs w:val="21"/>
          <w:highlight w:val="none"/>
          <w:lang w:eastAsia="zh-CN"/>
        </w:rPr>
        <w:t>14.1材料、工程设备和工程的试验和检验</w:t>
      </w:r>
      <w:bookmarkEnd w:id="761"/>
      <w:bookmarkEnd w:id="762"/>
      <w:bookmarkEnd w:id="763"/>
      <w:bookmarkEnd w:id="764"/>
      <w:bookmarkEnd w:id="765"/>
      <w:bookmarkEnd w:id="766"/>
    </w:p>
    <w:p w14:paraId="19DAD35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67" w:name="bookmark1258"/>
      <w:bookmarkEnd w:id="767"/>
      <w:r>
        <w:rPr>
          <w:rStyle w:val="29"/>
          <w:rFonts w:hint="eastAsia" w:ascii="宋体" w:hAnsi="宋体" w:eastAsia="宋体" w:cs="宋体"/>
          <w:color w:val="auto"/>
          <w:kern w:val="2"/>
          <w:sz w:val="21"/>
          <w:szCs w:val="21"/>
          <w:highlight w:val="none"/>
          <w:lang w:val="en-US" w:bidi="en-US"/>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1ACB09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14.1.2监理人未按合同约定派员参加试验和检验的，除监理人另有指示外，承包人可自行试验和检验，并应立即将试验和检验结果报送监理人，监理人应签字确认。</w:t>
      </w:r>
    </w:p>
    <w:p w14:paraId="7BE4ABC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14.1.3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3C3EBC0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14.1.4承包人应按相关规定和标准对水泥、钢材等原材料与中间产品质量进行检验,并报监理人复核。</w:t>
      </w:r>
    </w:p>
    <w:p w14:paraId="608B2FD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14.1.5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0A160EF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14.1.6对专用合同条款约定的试块、试件及有关材料，监理人实行见证取样。见证取样资料由承包人制备，记录应真实齐全，监理人、承包人等参与见证取样人员均应在相关文件上签字。</w:t>
      </w:r>
    </w:p>
    <w:p w14:paraId="2113433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68" w:name="bookmark1261"/>
      <w:bookmarkStart w:id="769" w:name="_Toc14685"/>
      <w:bookmarkStart w:id="770" w:name="bookmark1260"/>
      <w:bookmarkStart w:id="771" w:name="bookmark1259"/>
      <w:bookmarkStart w:id="772" w:name="_Toc24338"/>
      <w:bookmarkStart w:id="773" w:name="_Toc256000107"/>
      <w:r>
        <w:rPr>
          <w:rStyle w:val="29"/>
          <w:rFonts w:hint="eastAsia" w:ascii="宋体" w:hAnsi="宋体" w:eastAsia="宋体" w:cs="宋体"/>
          <w:color w:val="auto"/>
          <w:kern w:val="2"/>
          <w:sz w:val="21"/>
          <w:szCs w:val="21"/>
          <w:highlight w:val="none"/>
          <w:lang w:eastAsia="zh-CN"/>
        </w:rPr>
        <w:t>14.2现场材料试验</w:t>
      </w:r>
      <w:bookmarkEnd w:id="768"/>
      <w:bookmarkEnd w:id="769"/>
      <w:bookmarkEnd w:id="770"/>
      <w:bookmarkEnd w:id="771"/>
      <w:bookmarkEnd w:id="772"/>
      <w:bookmarkEnd w:id="773"/>
    </w:p>
    <w:p w14:paraId="5F60AA8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74" w:name="bookmark1262"/>
      <w:bookmarkEnd w:id="774"/>
      <w:r>
        <w:rPr>
          <w:rStyle w:val="29"/>
          <w:rFonts w:hint="eastAsia" w:ascii="宋体" w:hAnsi="宋体" w:eastAsia="宋体" w:cs="宋体"/>
          <w:color w:val="auto"/>
          <w:kern w:val="2"/>
          <w:sz w:val="21"/>
          <w:szCs w:val="21"/>
          <w:highlight w:val="none"/>
          <w:lang w:val="en-US" w:bidi="en-US"/>
        </w:rPr>
        <w:t>14.2.1承包人根据合同约定或监理人指示进行的现场材料试验，应由承包人提供试验场所、试验人员、试验设备器材以及其他必要的试验条件。</w:t>
      </w:r>
    </w:p>
    <w:p w14:paraId="3A3E8D5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75" w:name="bookmark1263"/>
      <w:bookmarkEnd w:id="775"/>
      <w:r>
        <w:rPr>
          <w:rStyle w:val="29"/>
          <w:rFonts w:hint="eastAsia" w:ascii="宋体" w:hAnsi="宋体" w:eastAsia="宋体" w:cs="宋体"/>
          <w:color w:val="auto"/>
          <w:kern w:val="2"/>
          <w:sz w:val="21"/>
          <w:szCs w:val="21"/>
          <w:highlight w:val="none"/>
          <w:lang w:val="en-US" w:bidi="en-US"/>
        </w:rPr>
        <w:t>14.2.2监理人在必要时可以使用承包人的试验场所、试验设备器材以及其他试验条件，进行以工程质量检查为目的的复核性材料试验，承包人应予以协助。</w:t>
      </w:r>
    </w:p>
    <w:p w14:paraId="7DC4664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76" w:name="bookmark1266"/>
      <w:bookmarkStart w:id="777" w:name="bookmark1265"/>
      <w:bookmarkStart w:id="778" w:name="_Toc256000108"/>
      <w:bookmarkStart w:id="779" w:name="bookmark1264"/>
      <w:bookmarkStart w:id="780" w:name="_Toc9735"/>
      <w:bookmarkStart w:id="781" w:name="_Toc21991"/>
      <w:r>
        <w:rPr>
          <w:rStyle w:val="29"/>
          <w:rFonts w:hint="eastAsia" w:ascii="宋体" w:hAnsi="宋体" w:eastAsia="宋体" w:cs="宋体"/>
          <w:color w:val="auto"/>
          <w:kern w:val="2"/>
          <w:sz w:val="21"/>
          <w:szCs w:val="21"/>
          <w:highlight w:val="none"/>
          <w:lang w:eastAsia="zh-CN"/>
        </w:rPr>
        <w:t>14.3现场工艺试验</w:t>
      </w:r>
      <w:bookmarkEnd w:id="776"/>
      <w:bookmarkEnd w:id="777"/>
      <w:bookmarkEnd w:id="778"/>
      <w:bookmarkEnd w:id="779"/>
      <w:bookmarkEnd w:id="780"/>
      <w:bookmarkEnd w:id="781"/>
    </w:p>
    <w:p w14:paraId="536742E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承包人应按合同约定或监理人指示进行现场工艺试验。对大型的现场工艺试验，监理人认为必要时，应由承包人根据监理人提出的工艺试验要求，编制工艺试验措施计划，报送监理人审批。</w:t>
      </w:r>
    </w:p>
    <w:p w14:paraId="06417AB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82" w:name="_Toc256000109"/>
      <w:bookmarkStart w:id="783" w:name="_Toc5435"/>
      <w:bookmarkStart w:id="784" w:name="_Toc9858"/>
      <w:bookmarkStart w:id="785" w:name="bookmark1269"/>
      <w:bookmarkStart w:id="786" w:name="bookmark1268"/>
      <w:bookmarkStart w:id="787" w:name="bookmark1267"/>
      <w:r>
        <w:rPr>
          <w:rStyle w:val="29"/>
          <w:rFonts w:hint="eastAsia" w:ascii="宋体" w:hAnsi="宋体" w:eastAsia="宋体" w:cs="宋体"/>
          <w:color w:val="auto"/>
          <w:kern w:val="2"/>
          <w:sz w:val="21"/>
          <w:szCs w:val="21"/>
          <w:highlight w:val="none"/>
          <w:lang w:eastAsia="zh-CN"/>
        </w:rPr>
        <w:t>15.变更</w:t>
      </w:r>
      <w:bookmarkEnd w:id="782"/>
      <w:bookmarkEnd w:id="783"/>
      <w:bookmarkEnd w:id="784"/>
      <w:bookmarkEnd w:id="785"/>
    </w:p>
    <w:p w14:paraId="472CF07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88" w:name="bookmark1270"/>
      <w:bookmarkStart w:id="789" w:name="_Toc30097"/>
      <w:bookmarkStart w:id="790" w:name="_Toc256000110"/>
      <w:bookmarkStart w:id="791" w:name="_Toc8153"/>
      <w:r>
        <w:rPr>
          <w:rStyle w:val="29"/>
          <w:rFonts w:hint="eastAsia" w:ascii="宋体" w:hAnsi="宋体" w:eastAsia="宋体" w:cs="宋体"/>
          <w:color w:val="auto"/>
          <w:kern w:val="2"/>
          <w:sz w:val="21"/>
          <w:szCs w:val="21"/>
          <w:highlight w:val="none"/>
          <w:lang w:eastAsia="zh-CN"/>
        </w:rPr>
        <w:t>15.1变更的范围和内容</w:t>
      </w:r>
      <w:bookmarkEnd w:id="786"/>
      <w:bookmarkEnd w:id="787"/>
      <w:bookmarkEnd w:id="788"/>
      <w:bookmarkEnd w:id="789"/>
      <w:bookmarkEnd w:id="790"/>
      <w:bookmarkEnd w:id="791"/>
    </w:p>
    <w:p w14:paraId="463C87D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在履行合同中发生以下情形之一，应按照本条规定进行变更。</w:t>
      </w:r>
    </w:p>
    <w:p w14:paraId="0B6DA5C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92" w:name="bookmark1271"/>
      <w:bookmarkEnd w:id="792"/>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取消合同中任何一项工作，但被取消的工作不能转由发包人或其它人实施；</w:t>
      </w:r>
    </w:p>
    <w:p w14:paraId="1D50818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93" w:name="bookmark1272"/>
      <w:bookmarkEnd w:id="793"/>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改变合同中任何一项工作的质量或其它特性；</w:t>
      </w:r>
    </w:p>
    <w:p w14:paraId="47BE9E9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94" w:name="bookmark1273"/>
      <w:bookmarkEnd w:id="794"/>
      <w:r>
        <w:rPr>
          <w:rStyle w:val="29"/>
          <w:rFonts w:hint="eastAsia" w:ascii="宋体" w:hAnsi="宋体" w:eastAsia="宋体" w:cs="宋体"/>
          <w:color w:val="auto"/>
          <w:kern w:val="2"/>
          <w:sz w:val="21"/>
          <w:szCs w:val="21"/>
          <w:highlight w:val="none"/>
          <w:lang w:val="zh-CN" w:eastAsia="zh-CN" w:bidi="en-US"/>
        </w:rPr>
        <w:t>(3)</w:t>
      </w:r>
      <w:r>
        <w:rPr>
          <w:rStyle w:val="29"/>
          <w:rFonts w:hint="eastAsia" w:ascii="宋体" w:hAnsi="宋体" w:eastAsia="宋体" w:cs="宋体"/>
          <w:color w:val="auto"/>
          <w:kern w:val="2"/>
          <w:sz w:val="21"/>
          <w:szCs w:val="21"/>
          <w:highlight w:val="none"/>
          <w:lang w:val="en-US" w:bidi="en-US"/>
        </w:rPr>
        <w:t>改变合同工程的基线、标高、位置或尺寸；</w:t>
      </w:r>
    </w:p>
    <w:p w14:paraId="5D216F0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95" w:name="bookmark1274"/>
      <w:bookmarkEnd w:id="795"/>
      <w:r>
        <w:rPr>
          <w:rStyle w:val="29"/>
          <w:rFonts w:hint="eastAsia" w:ascii="宋体" w:hAnsi="宋体" w:eastAsia="宋体" w:cs="宋体"/>
          <w:color w:val="auto"/>
          <w:kern w:val="2"/>
          <w:sz w:val="21"/>
          <w:szCs w:val="21"/>
          <w:highlight w:val="none"/>
          <w:lang w:val="zh-CN" w:eastAsia="zh-CN" w:bidi="en-US"/>
        </w:rPr>
        <w:t>(4)</w:t>
      </w:r>
      <w:r>
        <w:rPr>
          <w:rStyle w:val="29"/>
          <w:rFonts w:hint="eastAsia" w:ascii="宋体" w:hAnsi="宋体" w:eastAsia="宋体" w:cs="宋体"/>
          <w:color w:val="auto"/>
          <w:kern w:val="2"/>
          <w:sz w:val="21"/>
          <w:szCs w:val="21"/>
          <w:highlight w:val="none"/>
          <w:lang w:val="en-US" w:bidi="en-US"/>
        </w:rPr>
        <w:t>改变合同中任何一项工作的施工时间或改变已批准的施工工艺或顺序；</w:t>
      </w:r>
    </w:p>
    <w:p w14:paraId="5C1D870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96" w:name="bookmark1275"/>
      <w:bookmarkEnd w:id="796"/>
      <w:r>
        <w:rPr>
          <w:rStyle w:val="29"/>
          <w:rFonts w:hint="eastAsia" w:ascii="宋体" w:hAnsi="宋体" w:eastAsia="宋体" w:cs="宋体"/>
          <w:color w:val="auto"/>
          <w:kern w:val="2"/>
          <w:sz w:val="21"/>
          <w:szCs w:val="21"/>
          <w:highlight w:val="none"/>
          <w:lang w:val="zh-CN" w:eastAsia="zh-CN" w:bidi="en-US"/>
        </w:rPr>
        <w:t>(5)</w:t>
      </w:r>
      <w:r>
        <w:rPr>
          <w:rStyle w:val="29"/>
          <w:rFonts w:hint="eastAsia" w:ascii="宋体" w:hAnsi="宋体" w:eastAsia="宋体" w:cs="宋体"/>
          <w:color w:val="auto"/>
          <w:kern w:val="2"/>
          <w:sz w:val="21"/>
          <w:szCs w:val="21"/>
          <w:highlight w:val="none"/>
          <w:lang w:val="en-US" w:bidi="en-US"/>
        </w:rPr>
        <w:t>为完成工程需要追加的额外工作；</w:t>
      </w:r>
    </w:p>
    <w:p w14:paraId="22D33F7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797" w:name="bookmark1276"/>
      <w:bookmarkEnd w:id="797"/>
      <w:r>
        <w:rPr>
          <w:rStyle w:val="29"/>
          <w:rFonts w:hint="eastAsia" w:ascii="宋体" w:hAnsi="宋体" w:eastAsia="宋体" w:cs="宋体"/>
          <w:color w:val="auto"/>
          <w:kern w:val="2"/>
          <w:sz w:val="21"/>
          <w:szCs w:val="21"/>
          <w:highlight w:val="none"/>
          <w:lang w:val="zh-CN" w:eastAsia="zh-CN" w:bidi="en-US"/>
        </w:rPr>
        <w:t>(6)</w:t>
      </w:r>
      <w:r>
        <w:rPr>
          <w:rStyle w:val="29"/>
          <w:rFonts w:hint="eastAsia" w:ascii="宋体" w:hAnsi="宋体" w:eastAsia="宋体" w:cs="宋体"/>
          <w:color w:val="auto"/>
          <w:kern w:val="2"/>
          <w:sz w:val="21"/>
          <w:szCs w:val="21"/>
          <w:highlight w:val="none"/>
          <w:lang w:val="en-US" w:bidi="en-US"/>
        </w:rPr>
        <w:t>增加或减少专用合同条款中约定的关键项目工程量超过其工程总量的一定数量的百分比。</w:t>
      </w:r>
    </w:p>
    <w:p w14:paraId="5A13C5F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上述第(1)</w:t>
      </w:r>
      <w:r>
        <w:rPr>
          <w:rStyle w:val="29"/>
          <w:rFonts w:hint="eastAsia" w:ascii="宋体" w:hAnsi="宋体" w:eastAsia="宋体" w:cs="宋体"/>
          <w:color w:val="auto"/>
          <w:kern w:val="2"/>
          <w:sz w:val="21"/>
          <w:szCs w:val="21"/>
          <w:highlight w:val="none"/>
          <w:lang w:val="en-US" w:eastAsia="zh-CN" w:bidi="en-US"/>
        </w:rPr>
        <w:t>～</w:t>
      </w:r>
      <w:r>
        <w:rPr>
          <w:rStyle w:val="29"/>
          <w:rFonts w:hint="eastAsia" w:ascii="宋体" w:hAnsi="宋体" w:eastAsia="宋体" w:cs="宋体"/>
          <w:color w:val="auto"/>
          <w:kern w:val="2"/>
          <w:sz w:val="21"/>
          <w:szCs w:val="21"/>
          <w:highlight w:val="none"/>
          <w:lang w:val="en-US" w:bidi="en-US"/>
        </w:rPr>
        <w:t>(6)目的变更内容引起工程施工组织和进度计划发生实质性变动和影响其原定的价格时，才予调整该项目的单价。第(6)目情形下单价调整方式在专用合同条款中约定。</w:t>
      </w:r>
    </w:p>
    <w:p w14:paraId="61D0956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798" w:name="_Toc256000111"/>
      <w:bookmarkStart w:id="799" w:name="_Toc17873"/>
      <w:bookmarkStart w:id="800" w:name="bookmark1277"/>
      <w:bookmarkStart w:id="801" w:name="bookmark1278"/>
      <w:bookmarkStart w:id="802" w:name="bookmark1279"/>
      <w:bookmarkStart w:id="803" w:name="_Toc25903"/>
      <w:r>
        <w:rPr>
          <w:rStyle w:val="29"/>
          <w:rFonts w:hint="eastAsia" w:ascii="宋体" w:hAnsi="宋体" w:eastAsia="宋体" w:cs="宋体"/>
          <w:color w:val="auto"/>
          <w:kern w:val="2"/>
          <w:sz w:val="21"/>
          <w:szCs w:val="21"/>
          <w:highlight w:val="none"/>
          <w:lang w:eastAsia="zh-CN"/>
        </w:rPr>
        <w:t>15.2变更权</w:t>
      </w:r>
      <w:bookmarkEnd w:id="798"/>
      <w:bookmarkEnd w:id="799"/>
      <w:bookmarkEnd w:id="800"/>
      <w:bookmarkEnd w:id="801"/>
      <w:bookmarkEnd w:id="802"/>
      <w:bookmarkEnd w:id="803"/>
    </w:p>
    <w:p w14:paraId="7BE41BB8">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在履行合同过程中，经发包人同意，监理人可按第15.3款约定的变更程序向承包人作出变更指示，承包人应遵照执行。没有监理人的变更指示，承包人不得擅自变更。</w:t>
      </w:r>
    </w:p>
    <w:p w14:paraId="1A6D652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04" w:name="_Toc256000112"/>
      <w:bookmarkStart w:id="805" w:name="bookmark1280"/>
      <w:bookmarkStart w:id="806" w:name="_Toc6368"/>
      <w:bookmarkStart w:id="807" w:name="bookmark1281"/>
      <w:bookmarkStart w:id="808" w:name="bookmark1282"/>
      <w:bookmarkStart w:id="809" w:name="_Toc24991"/>
      <w:r>
        <w:rPr>
          <w:rStyle w:val="29"/>
          <w:rFonts w:hint="eastAsia" w:ascii="宋体" w:hAnsi="宋体" w:eastAsia="宋体" w:cs="宋体"/>
          <w:color w:val="auto"/>
          <w:kern w:val="2"/>
          <w:sz w:val="21"/>
          <w:szCs w:val="21"/>
          <w:highlight w:val="none"/>
          <w:lang w:eastAsia="zh-CN"/>
        </w:rPr>
        <w:t>15.3变更程序</w:t>
      </w:r>
      <w:bookmarkEnd w:id="804"/>
      <w:bookmarkEnd w:id="805"/>
      <w:bookmarkEnd w:id="806"/>
      <w:bookmarkEnd w:id="807"/>
      <w:bookmarkEnd w:id="808"/>
      <w:bookmarkEnd w:id="809"/>
    </w:p>
    <w:p w14:paraId="481D8A1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eastAsia="en-US" w:bidi="en-US"/>
        </w:rPr>
        <w:t>15.3.1</w:t>
      </w:r>
      <w:r>
        <w:rPr>
          <w:rStyle w:val="29"/>
          <w:rFonts w:hint="eastAsia" w:ascii="宋体" w:hAnsi="宋体" w:eastAsia="宋体" w:cs="宋体"/>
          <w:color w:val="auto"/>
          <w:kern w:val="2"/>
          <w:sz w:val="21"/>
          <w:szCs w:val="21"/>
          <w:highlight w:val="none"/>
          <w:lang w:val="en-US" w:bidi="en-US"/>
        </w:rPr>
        <w:t>变更的提出</w:t>
      </w:r>
    </w:p>
    <w:p w14:paraId="1CEA9E1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10" w:name="bookmark1283"/>
      <w:bookmarkEnd w:id="810"/>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w:t>
      </w:r>
      <w:r>
        <w:rPr>
          <w:rStyle w:val="29"/>
          <w:rFonts w:hint="eastAsia" w:ascii="宋体" w:hAnsi="宋体" w:eastAsia="宋体" w:cs="宋体"/>
          <w:color w:val="auto"/>
          <w:kern w:val="2"/>
          <w:sz w:val="21"/>
          <w:szCs w:val="21"/>
          <w:highlight w:val="none"/>
          <w:lang w:val="en-US" w:eastAsia="en-US" w:bidi="en-US"/>
        </w:rPr>
        <w:t>3.</w:t>
      </w:r>
      <w:r>
        <w:rPr>
          <w:rStyle w:val="29"/>
          <w:rFonts w:hint="eastAsia" w:ascii="宋体" w:hAnsi="宋体" w:eastAsia="宋体" w:cs="宋体"/>
          <w:color w:val="auto"/>
          <w:kern w:val="2"/>
          <w:sz w:val="21"/>
          <w:szCs w:val="21"/>
          <w:highlight w:val="none"/>
          <w:lang w:val="en-US" w:bidi="en-US"/>
        </w:rPr>
        <w:t>3项约定发出变更指示。</w:t>
      </w:r>
    </w:p>
    <w:p w14:paraId="1F0B9C9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11" w:name="bookmark1284"/>
      <w:bookmarkEnd w:id="811"/>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在合同履行过程中，发生第15.1款约定情形的，监理人应按照第15.3.3项约定向承包人发出变更指示。</w:t>
      </w:r>
    </w:p>
    <w:p w14:paraId="1C66AED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12" w:name="bookmark1285"/>
      <w:bookmarkEnd w:id="812"/>
      <w:r>
        <w:rPr>
          <w:rStyle w:val="29"/>
          <w:rFonts w:hint="eastAsia" w:ascii="宋体" w:hAnsi="宋体" w:eastAsia="宋体" w:cs="宋体"/>
          <w:color w:val="auto"/>
          <w:kern w:val="2"/>
          <w:sz w:val="21"/>
          <w:szCs w:val="21"/>
          <w:highlight w:val="none"/>
          <w:lang w:val="zh-CN" w:eastAsia="zh-CN" w:bidi="en-US"/>
        </w:rPr>
        <w:t>(3)</w:t>
      </w:r>
      <w:r>
        <w:rPr>
          <w:rStyle w:val="29"/>
          <w:rFonts w:hint="eastAsia" w:ascii="宋体" w:hAnsi="宋体" w:eastAsia="宋体" w:cs="宋体"/>
          <w:color w:val="auto"/>
          <w:kern w:val="2"/>
          <w:sz w:val="21"/>
          <w:szCs w:val="21"/>
          <w:highlight w:val="none"/>
          <w:lang w:val="en-US" w:bidi="en-US"/>
        </w:rPr>
        <w:t>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7DA88C9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13" w:name="bookmark1286"/>
      <w:bookmarkEnd w:id="813"/>
      <w:r>
        <w:rPr>
          <w:rStyle w:val="29"/>
          <w:rFonts w:hint="eastAsia" w:ascii="宋体" w:hAnsi="宋体" w:eastAsia="宋体" w:cs="宋体"/>
          <w:color w:val="auto"/>
          <w:kern w:val="2"/>
          <w:sz w:val="21"/>
          <w:szCs w:val="21"/>
          <w:highlight w:val="none"/>
          <w:lang w:val="zh-CN" w:eastAsia="zh-CN" w:bidi="en-US"/>
        </w:rPr>
        <w:t>(4)</w:t>
      </w:r>
      <w:r>
        <w:rPr>
          <w:rStyle w:val="29"/>
          <w:rFonts w:hint="eastAsia" w:ascii="宋体" w:hAnsi="宋体" w:eastAsia="宋体" w:cs="宋体"/>
          <w:color w:val="auto"/>
          <w:kern w:val="2"/>
          <w:sz w:val="21"/>
          <w:szCs w:val="21"/>
          <w:highlight w:val="none"/>
          <w:lang w:val="en-US" w:bidi="en-US"/>
        </w:rPr>
        <w:t>若承包人收到监理人的变更意向书后认为难以实施此项变更，应立即通知监理人,说明原因并附详细依据。监理人与承包人和发包人协商后确定撤销、改变或不改变原变更意向书。</w:t>
      </w:r>
    </w:p>
    <w:p w14:paraId="2FDF93E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15.3.2</w:t>
      </w:r>
      <w:r>
        <w:rPr>
          <w:rStyle w:val="29"/>
          <w:rFonts w:hint="eastAsia" w:ascii="宋体" w:hAnsi="宋体" w:eastAsia="宋体" w:cs="宋体"/>
          <w:color w:val="auto"/>
          <w:kern w:val="2"/>
          <w:sz w:val="21"/>
          <w:szCs w:val="21"/>
          <w:highlight w:val="none"/>
          <w:lang w:val="zh-CN" w:eastAsia="zh-CN" w:bidi="en-US"/>
        </w:rPr>
        <w:t>变更估价</w:t>
      </w:r>
    </w:p>
    <w:p w14:paraId="00EBA74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14" w:name="bookmark1287"/>
      <w:bookmarkEnd w:id="814"/>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187742E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15" w:name="bookmark1288"/>
      <w:bookmarkEnd w:id="815"/>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变更工作影响工期的，承包人应提出调整工期的具体细节。监理人认为有必要时,可要求承包人提交要求提前或延长工期的施工进度计划及相应施工措施等详细资料。</w:t>
      </w:r>
    </w:p>
    <w:p w14:paraId="098950A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16" w:name="bookmark1289"/>
      <w:bookmarkEnd w:id="816"/>
      <w:r>
        <w:rPr>
          <w:rStyle w:val="29"/>
          <w:rFonts w:hint="eastAsia" w:ascii="宋体" w:hAnsi="宋体" w:eastAsia="宋体" w:cs="宋体"/>
          <w:color w:val="auto"/>
          <w:kern w:val="2"/>
          <w:sz w:val="21"/>
          <w:szCs w:val="21"/>
          <w:highlight w:val="none"/>
          <w:lang w:val="zh-CN" w:eastAsia="zh-CN" w:bidi="en-US"/>
        </w:rPr>
        <w:t>(3)</w:t>
      </w:r>
      <w:r>
        <w:rPr>
          <w:rStyle w:val="29"/>
          <w:rFonts w:hint="eastAsia" w:ascii="宋体" w:hAnsi="宋体" w:eastAsia="宋体" w:cs="宋体"/>
          <w:color w:val="auto"/>
          <w:kern w:val="2"/>
          <w:sz w:val="21"/>
          <w:szCs w:val="21"/>
          <w:highlight w:val="none"/>
          <w:lang w:val="en-US" w:bidi="en-US"/>
        </w:rPr>
        <w:t>除专用合同条款对期限另有约定外，监理人收到承包人变更报价书后的14天内，根据第15.4款约定的估价原则，按照第3.5款商定或确定变更价格。</w:t>
      </w:r>
    </w:p>
    <w:p w14:paraId="1F55F8C4">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15.3.3</w:t>
      </w:r>
      <w:r>
        <w:rPr>
          <w:rStyle w:val="29"/>
          <w:rFonts w:hint="eastAsia" w:ascii="宋体" w:hAnsi="宋体" w:eastAsia="宋体" w:cs="宋体"/>
          <w:color w:val="auto"/>
          <w:kern w:val="2"/>
          <w:sz w:val="21"/>
          <w:szCs w:val="21"/>
          <w:highlight w:val="none"/>
          <w:lang w:val="zh-CN" w:eastAsia="zh-CN" w:bidi="en-US"/>
        </w:rPr>
        <w:t>变更指示</w:t>
      </w:r>
    </w:p>
    <w:p w14:paraId="5A95FA5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17" w:name="bookmark1290"/>
      <w:bookmarkEnd w:id="817"/>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变更指示只能由监理人发出。</w:t>
      </w:r>
    </w:p>
    <w:p w14:paraId="5D830BD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18" w:name="bookmark1291"/>
      <w:bookmarkEnd w:id="818"/>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变更指示应说明变更的目的、范围、变更内容以及变更的工程量及其进度和技术要求，并附有关图纸和文件。承包人收到变更指示后，应按变更指示进行变更工作。</w:t>
      </w:r>
    </w:p>
    <w:p w14:paraId="716C38F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19" w:name="bookmark1292"/>
      <w:bookmarkStart w:id="820" w:name="bookmark1293"/>
      <w:bookmarkStart w:id="821" w:name="bookmark1294"/>
      <w:bookmarkStart w:id="822" w:name="_Toc9569"/>
      <w:bookmarkStart w:id="823" w:name="_Toc256000113"/>
      <w:bookmarkStart w:id="824" w:name="_Toc19837"/>
      <w:r>
        <w:rPr>
          <w:rStyle w:val="29"/>
          <w:rFonts w:hint="eastAsia" w:ascii="宋体" w:hAnsi="宋体" w:eastAsia="宋体" w:cs="宋体"/>
          <w:color w:val="auto"/>
          <w:kern w:val="2"/>
          <w:sz w:val="21"/>
          <w:szCs w:val="21"/>
          <w:highlight w:val="none"/>
          <w:lang w:eastAsia="zh-CN"/>
        </w:rPr>
        <w:t>15.4变更的估价原则</w:t>
      </w:r>
      <w:bookmarkEnd w:id="819"/>
      <w:bookmarkEnd w:id="820"/>
      <w:bookmarkEnd w:id="821"/>
      <w:bookmarkEnd w:id="822"/>
      <w:bookmarkEnd w:id="823"/>
      <w:bookmarkEnd w:id="824"/>
    </w:p>
    <w:p w14:paraId="26DB12D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除专用合同条款另有约定外，因变更引起的价格调整按照本款约定处理。</w:t>
      </w:r>
    </w:p>
    <w:p w14:paraId="72350F3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15.4.1已标价工程量清单中有适用于变更工作的子目的，采用该子目的单价。</w:t>
      </w:r>
    </w:p>
    <w:p w14:paraId="4B12188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15.4.2已标价工程量清单中无适用于变更工作的子目，但有类似子目的，可在合理范围内参照类似子目的单价，由监理人按第3.5款商定或确定变更工作的单价。</w:t>
      </w:r>
    </w:p>
    <w:p w14:paraId="713041A0">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15.4.3已标价工程量清单中无适用或类似子目的单价，可按照成本加利润的原则，由监理人按第3.5款商定或确定变更工作的单价。</w:t>
      </w:r>
    </w:p>
    <w:p w14:paraId="0D63E3B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25" w:name="bookmark1296"/>
      <w:bookmarkStart w:id="826" w:name="bookmark1297"/>
      <w:bookmarkStart w:id="827" w:name="bookmark1295"/>
      <w:bookmarkStart w:id="828" w:name="_Toc28730"/>
      <w:bookmarkStart w:id="829" w:name="_Toc256000114"/>
      <w:r>
        <w:rPr>
          <w:rStyle w:val="29"/>
          <w:rFonts w:hint="eastAsia" w:ascii="宋体" w:hAnsi="宋体" w:eastAsia="宋体" w:cs="宋体"/>
          <w:color w:val="auto"/>
          <w:kern w:val="2"/>
          <w:sz w:val="21"/>
          <w:szCs w:val="21"/>
          <w:highlight w:val="none"/>
          <w:lang w:eastAsia="zh-CN"/>
        </w:rPr>
        <w:t>15.5承包人的合理化建议</w:t>
      </w:r>
      <w:bookmarkEnd w:id="825"/>
      <w:bookmarkEnd w:id="826"/>
      <w:bookmarkEnd w:id="827"/>
      <w:bookmarkEnd w:id="828"/>
      <w:bookmarkEnd w:id="829"/>
    </w:p>
    <w:p w14:paraId="352404F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30" w:name="bookmark1298"/>
      <w:bookmarkEnd w:id="830"/>
      <w:r>
        <w:rPr>
          <w:rStyle w:val="29"/>
          <w:rFonts w:hint="eastAsia" w:ascii="宋体" w:hAnsi="宋体" w:eastAsia="宋体" w:cs="宋体"/>
          <w:color w:val="auto"/>
          <w:kern w:val="2"/>
          <w:sz w:val="21"/>
          <w:szCs w:val="21"/>
          <w:highlight w:val="none"/>
          <w:lang w:val="en-US" w:bidi="en-US"/>
        </w:rPr>
        <w:t>15.5.1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2E95A98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15.5.2承包人提出的合理化建议降低了合同价格、缩短了工期或者提高了工程经济效益的，发包人可按国家有关规定在专用合同条款中约定给予奖励。</w:t>
      </w:r>
    </w:p>
    <w:p w14:paraId="0817B5D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31" w:name="bookmark1300"/>
      <w:bookmarkStart w:id="832" w:name="_Toc256000115"/>
      <w:bookmarkStart w:id="833" w:name="_Toc10362"/>
      <w:bookmarkStart w:id="834" w:name="bookmark1301"/>
      <w:bookmarkStart w:id="835" w:name="bookmark1299"/>
      <w:bookmarkStart w:id="836" w:name="_Toc7702"/>
      <w:r>
        <w:rPr>
          <w:rStyle w:val="29"/>
          <w:rFonts w:hint="eastAsia" w:ascii="宋体" w:hAnsi="宋体" w:eastAsia="宋体" w:cs="宋体"/>
          <w:color w:val="auto"/>
          <w:kern w:val="2"/>
          <w:sz w:val="21"/>
          <w:szCs w:val="21"/>
          <w:highlight w:val="none"/>
          <w:lang w:eastAsia="zh-CN"/>
        </w:rPr>
        <w:t>15.6暂列金额</w:t>
      </w:r>
      <w:bookmarkEnd w:id="831"/>
      <w:bookmarkEnd w:id="832"/>
      <w:bookmarkEnd w:id="833"/>
      <w:bookmarkEnd w:id="834"/>
      <w:bookmarkEnd w:id="835"/>
      <w:bookmarkEnd w:id="836"/>
    </w:p>
    <w:p w14:paraId="6281859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暂列金额只能按照监理人的指示使用，并对合同价格进行相应调整。</w:t>
      </w:r>
    </w:p>
    <w:p w14:paraId="3C6EAAB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37" w:name="bookmark1302"/>
      <w:bookmarkStart w:id="838" w:name="bookmark1304"/>
      <w:bookmarkStart w:id="839" w:name="bookmark1303"/>
      <w:bookmarkStart w:id="840" w:name="_Toc14275"/>
      <w:bookmarkStart w:id="841" w:name="_Toc23161"/>
      <w:bookmarkStart w:id="842" w:name="_Toc256000116"/>
      <w:r>
        <w:rPr>
          <w:rStyle w:val="29"/>
          <w:rFonts w:hint="eastAsia" w:ascii="宋体" w:hAnsi="宋体" w:eastAsia="宋体" w:cs="宋体"/>
          <w:color w:val="auto"/>
          <w:kern w:val="2"/>
          <w:sz w:val="21"/>
          <w:szCs w:val="21"/>
          <w:highlight w:val="none"/>
          <w:lang w:eastAsia="zh-CN"/>
        </w:rPr>
        <w:t>15.7计日工</w:t>
      </w:r>
      <w:bookmarkEnd w:id="837"/>
      <w:bookmarkEnd w:id="838"/>
      <w:bookmarkEnd w:id="839"/>
      <w:bookmarkEnd w:id="840"/>
      <w:bookmarkEnd w:id="841"/>
      <w:bookmarkEnd w:id="842"/>
    </w:p>
    <w:p w14:paraId="191C2C5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15.7.1发包人认为有必要时，由监理人通知承包人以计日工方式实施变更的零星工作。其价款按列入已标价工程量清单中的计日工计价子目及其单价进行计算。</w:t>
      </w:r>
    </w:p>
    <w:p w14:paraId="4E0351F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15.7.2采用计日工计价的任何一项变更工作，应从暂列金额中支付，承包人应在该项变更的实施过程中，每天提交以下报表和有关凭证报送监理人审批：</w:t>
      </w:r>
    </w:p>
    <w:p w14:paraId="1C0BC7C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43" w:name="bookmark1305"/>
      <w:bookmarkEnd w:id="843"/>
      <w:r>
        <w:rPr>
          <w:rStyle w:val="29"/>
          <w:rFonts w:hint="eastAsia" w:ascii="宋体" w:hAnsi="宋体" w:eastAsia="宋体" w:cs="宋体"/>
          <w:color w:val="auto"/>
          <w:kern w:val="2"/>
          <w:sz w:val="21"/>
          <w:szCs w:val="21"/>
          <w:highlight w:val="none"/>
          <w:lang w:val="zh-CN" w:eastAsia="zh-CN" w:bidi="en-US"/>
        </w:rPr>
        <w:t>(1)</w:t>
      </w:r>
      <w:r>
        <w:rPr>
          <w:rStyle w:val="29"/>
          <w:rFonts w:hint="eastAsia" w:ascii="宋体" w:hAnsi="宋体" w:eastAsia="宋体" w:cs="宋体"/>
          <w:color w:val="auto"/>
          <w:kern w:val="2"/>
          <w:sz w:val="21"/>
          <w:szCs w:val="21"/>
          <w:highlight w:val="none"/>
          <w:lang w:val="en-US" w:bidi="en-US"/>
        </w:rPr>
        <w:t>工作名称、内容和数量；</w:t>
      </w:r>
    </w:p>
    <w:p w14:paraId="0D5894F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44" w:name="bookmark1306"/>
      <w:bookmarkEnd w:id="844"/>
      <w:r>
        <w:rPr>
          <w:rStyle w:val="29"/>
          <w:rFonts w:hint="eastAsia" w:ascii="宋体" w:hAnsi="宋体" w:eastAsia="宋体" w:cs="宋体"/>
          <w:color w:val="auto"/>
          <w:kern w:val="2"/>
          <w:sz w:val="21"/>
          <w:szCs w:val="21"/>
          <w:highlight w:val="none"/>
          <w:lang w:val="zh-CN" w:eastAsia="zh-CN" w:bidi="en-US"/>
        </w:rPr>
        <w:t>(2)</w:t>
      </w:r>
      <w:r>
        <w:rPr>
          <w:rStyle w:val="29"/>
          <w:rFonts w:hint="eastAsia" w:ascii="宋体" w:hAnsi="宋体" w:eastAsia="宋体" w:cs="宋体"/>
          <w:color w:val="auto"/>
          <w:kern w:val="2"/>
          <w:sz w:val="21"/>
          <w:szCs w:val="21"/>
          <w:highlight w:val="none"/>
          <w:lang w:val="en-US" w:bidi="en-US"/>
        </w:rPr>
        <w:t>投入该工作所有人员的姓名、工种、级别和耗用工时；</w:t>
      </w:r>
    </w:p>
    <w:p w14:paraId="5A3C191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45" w:name="bookmark1307"/>
      <w:bookmarkEnd w:id="845"/>
      <w:r>
        <w:rPr>
          <w:rStyle w:val="29"/>
          <w:rFonts w:hint="eastAsia" w:ascii="宋体" w:hAnsi="宋体" w:eastAsia="宋体" w:cs="宋体"/>
          <w:color w:val="auto"/>
          <w:kern w:val="2"/>
          <w:sz w:val="21"/>
          <w:szCs w:val="21"/>
          <w:highlight w:val="none"/>
          <w:lang w:val="zh-CN" w:eastAsia="zh-CN" w:bidi="en-US"/>
        </w:rPr>
        <w:t>(3)</w:t>
      </w:r>
      <w:r>
        <w:rPr>
          <w:rStyle w:val="29"/>
          <w:rFonts w:hint="eastAsia" w:ascii="宋体" w:hAnsi="宋体" w:eastAsia="宋体" w:cs="宋体"/>
          <w:color w:val="auto"/>
          <w:kern w:val="2"/>
          <w:sz w:val="21"/>
          <w:szCs w:val="21"/>
          <w:highlight w:val="none"/>
          <w:lang w:val="en-US" w:bidi="en-US"/>
        </w:rPr>
        <w:t>投入该工作的材料类别和数量；</w:t>
      </w:r>
    </w:p>
    <w:p w14:paraId="55692B9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46" w:name="bookmark1308"/>
      <w:bookmarkEnd w:id="846"/>
      <w:r>
        <w:rPr>
          <w:rStyle w:val="29"/>
          <w:rFonts w:hint="eastAsia" w:ascii="宋体" w:hAnsi="宋体" w:eastAsia="宋体" w:cs="宋体"/>
          <w:color w:val="auto"/>
          <w:kern w:val="2"/>
          <w:sz w:val="21"/>
          <w:szCs w:val="21"/>
          <w:highlight w:val="none"/>
          <w:lang w:val="zh-CN" w:eastAsia="zh-CN" w:bidi="en-US"/>
        </w:rPr>
        <w:t>(4)</w:t>
      </w:r>
      <w:r>
        <w:rPr>
          <w:rStyle w:val="29"/>
          <w:rFonts w:hint="eastAsia" w:ascii="宋体" w:hAnsi="宋体" w:eastAsia="宋体" w:cs="宋体"/>
          <w:color w:val="auto"/>
          <w:kern w:val="2"/>
          <w:sz w:val="21"/>
          <w:szCs w:val="21"/>
          <w:highlight w:val="none"/>
          <w:lang w:val="en-US" w:bidi="en-US"/>
        </w:rPr>
        <w:t>投入该工作的施工设备型号、台数和耗用台时；</w:t>
      </w:r>
    </w:p>
    <w:p w14:paraId="1586B591">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47" w:name="bookmark1309"/>
      <w:bookmarkEnd w:id="847"/>
      <w:r>
        <w:rPr>
          <w:rStyle w:val="29"/>
          <w:rFonts w:hint="eastAsia" w:ascii="宋体" w:hAnsi="宋体" w:eastAsia="宋体" w:cs="宋体"/>
          <w:color w:val="auto"/>
          <w:kern w:val="2"/>
          <w:sz w:val="21"/>
          <w:szCs w:val="21"/>
          <w:highlight w:val="none"/>
          <w:lang w:val="zh-CN" w:eastAsia="zh-CN" w:bidi="en-US"/>
        </w:rPr>
        <w:t>(5)</w:t>
      </w:r>
      <w:r>
        <w:rPr>
          <w:rStyle w:val="29"/>
          <w:rFonts w:hint="eastAsia" w:ascii="宋体" w:hAnsi="宋体" w:eastAsia="宋体" w:cs="宋体"/>
          <w:color w:val="auto"/>
          <w:kern w:val="2"/>
          <w:sz w:val="21"/>
          <w:szCs w:val="21"/>
          <w:highlight w:val="none"/>
          <w:lang w:val="en-US" w:bidi="en-US"/>
        </w:rPr>
        <w:t>监理人要求提交的其他资料和凭证。</w:t>
      </w:r>
    </w:p>
    <w:p w14:paraId="64F575A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15.7.3计日工由承包人汇总后，按第17.3.2项的约定列入进度付款申请单，由监理人复核并经发包人同意后列入进度付款。</w:t>
      </w:r>
    </w:p>
    <w:p w14:paraId="062912D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48" w:name="bookmark1311"/>
      <w:bookmarkStart w:id="849" w:name="bookmark1312"/>
      <w:bookmarkStart w:id="850" w:name="_Toc6776"/>
      <w:bookmarkStart w:id="851" w:name="_Toc256000117"/>
      <w:bookmarkStart w:id="852" w:name="_Toc21886"/>
      <w:bookmarkStart w:id="853" w:name="bookmark1310"/>
      <w:r>
        <w:rPr>
          <w:rStyle w:val="29"/>
          <w:rFonts w:hint="eastAsia" w:ascii="宋体" w:hAnsi="宋体" w:eastAsia="宋体" w:cs="宋体"/>
          <w:color w:val="auto"/>
          <w:kern w:val="2"/>
          <w:sz w:val="21"/>
          <w:szCs w:val="21"/>
          <w:highlight w:val="none"/>
          <w:lang w:eastAsia="zh-CN"/>
        </w:rPr>
        <w:t>15.8暂估价</w:t>
      </w:r>
      <w:bookmarkEnd w:id="848"/>
      <w:bookmarkEnd w:id="849"/>
      <w:bookmarkEnd w:id="850"/>
      <w:bookmarkEnd w:id="851"/>
      <w:bookmarkEnd w:id="852"/>
      <w:bookmarkEnd w:id="853"/>
    </w:p>
    <w:p w14:paraId="1D6153A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54" w:name="bookmark1313"/>
      <w:bookmarkEnd w:id="854"/>
      <w:r>
        <w:rPr>
          <w:rStyle w:val="29"/>
          <w:rFonts w:hint="eastAsia" w:ascii="宋体" w:hAnsi="宋体" w:eastAsia="宋体" w:cs="宋体"/>
          <w:color w:val="auto"/>
          <w:kern w:val="2"/>
          <w:sz w:val="21"/>
          <w:szCs w:val="21"/>
          <w:highlight w:val="none"/>
          <w:lang w:val="en-US" w:bidi="en-US"/>
        </w:rPr>
        <w:t>15.8.1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量清单中所列金额差以及相应的税金等其他费用列入合同价格。必须招标的暂估价项目招标组织形式、发包人和承包人组织招标时双方的权利义务关系在专用合同条款中约定。</w:t>
      </w:r>
    </w:p>
    <w:p w14:paraId="2CFB4DB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55" w:name="bookmark1314"/>
      <w:bookmarkEnd w:id="855"/>
      <w:r>
        <w:rPr>
          <w:rStyle w:val="29"/>
          <w:rFonts w:hint="eastAsia" w:ascii="宋体" w:hAnsi="宋体" w:eastAsia="宋体" w:cs="宋体"/>
          <w:color w:val="auto"/>
          <w:kern w:val="2"/>
          <w:sz w:val="21"/>
          <w:szCs w:val="21"/>
          <w:highlight w:val="none"/>
          <w:lang w:val="en-US" w:bidi="en-US"/>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1FD503A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56" w:name="bookmark1315"/>
      <w:bookmarkEnd w:id="856"/>
      <w:r>
        <w:rPr>
          <w:rStyle w:val="29"/>
          <w:rFonts w:hint="eastAsia" w:ascii="宋体" w:hAnsi="宋体" w:eastAsia="宋体" w:cs="宋体"/>
          <w:color w:val="auto"/>
          <w:kern w:val="2"/>
          <w:sz w:val="21"/>
          <w:szCs w:val="21"/>
          <w:highlight w:val="none"/>
          <w:lang w:val="en-US" w:bidi="en-US"/>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5D2E479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57" w:name="bookmark1317"/>
      <w:bookmarkStart w:id="858" w:name="bookmark1316"/>
      <w:bookmarkStart w:id="859" w:name="_Toc256000118"/>
      <w:bookmarkStart w:id="860" w:name="_Toc242"/>
      <w:bookmarkStart w:id="861" w:name="bookmark1318"/>
      <w:bookmarkStart w:id="862" w:name="_Toc32383"/>
      <w:r>
        <w:rPr>
          <w:rStyle w:val="29"/>
          <w:rFonts w:hint="eastAsia" w:ascii="宋体" w:hAnsi="宋体" w:eastAsia="宋体" w:cs="宋体"/>
          <w:color w:val="auto"/>
          <w:kern w:val="2"/>
          <w:sz w:val="21"/>
          <w:szCs w:val="21"/>
          <w:highlight w:val="none"/>
          <w:lang w:eastAsia="zh-CN"/>
        </w:rPr>
        <w:t>16.价格调整</w:t>
      </w:r>
      <w:bookmarkEnd w:id="857"/>
      <w:bookmarkEnd w:id="858"/>
      <w:bookmarkEnd w:id="859"/>
      <w:bookmarkEnd w:id="860"/>
      <w:bookmarkEnd w:id="861"/>
      <w:bookmarkEnd w:id="862"/>
    </w:p>
    <w:p w14:paraId="6B30EDF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63" w:name="bookmark1320"/>
      <w:bookmarkStart w:id="864" w:name="_Toc2131"/>
      <w:bookmarkStart w:id="865" w:name="_Toc256000119"/>
      <w:bookmarkStart w:id="866" w:name="_Toc3602"/>
      <w:bookmarkStart w:id="867" w:name="bookmark1319"/>
      <w:bookmarkStart w:id="868" w:name="bookmark1321"/>
      <w:r>
        <w:rPr>
          <w:rStyle w:val="29"/>
          <w:rFonts w:hint="eastAsia" w:ascii="宋体" w:hAnsi="宋体" w:eastAsia="宋体" w:cs="宋体"/>
          <w:color w:val="auto"/>
          <w:kern w:val="2"/>
          <w:sz w:val="21"/>
          <w:szCs w:val="21"/>
          <w:highlight w:val="none"/>
          <w:lang w:eastAsia="zh-CN"/>
        </w:rPr>
        <w:t>16.1物价波动引起的价格调整</w:t>
      </w:r>
      <w:bookmarkEnd w:id="863"/>
      <w:bookmarkEnd w:id="864"/>
      <w:bookmarkEnd w:id="865"/>
      <w:bookmarkEnd w:id="866"/>
      <w:bookmarkEnd w:id="867"/>
      <w:bookmarkEnd w:id="868"/>
    </w:p>
    <w:p w14:paraId="27A2BA5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由于物价波动原因引起合同价格需要调整的，其价格调整方式在专用合同条款中约定；除专用合同条款另有约定外，因物价波动引起的价格调整按照本款约定处理。</w:t>
      </w:r>
    </w:p>
    <w:p w14:paraId="4A8FAC4B">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69" w:name="bookmark1322"/>
      <w:bookmarkEnd w:id="869"/>
      <w:r>
        <w:rPr>
          <w:rStyle w:val="29"/>
          <w:rFonts w:hint="eastAsia" w:ascii="宋体" w:hAnsi="宋体" w:eastAsia="宋体" w:cs="宋体"/>
          <w:color w:val="auto"/>
          <w:kern w:val="2"/>
          <w:sz w:val="21"/>
          <w:szCs w:val="21"/>
          <w:highlight w:val="none"/>
          <w:lang w:val="en-US" w:bidi="en-US"/>
        </w:rPr>
        <w:t>16.1.1采用价格指数调整价格差额</w:t>
      </w:r>
    </w:p>
    <w:p w14:paraId="47565B5E">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eastAsia="zh-CN" w:bidi="en-US"/>
        </w:rPr>
      </w:pPr>
      <w:bookmarkStart w:id="870" w:name="bookmark1323"/>
      <w:bookmarkEnd w:id="870"/>
      <w:r>
        <w:rPr>
          <w:rStyle w:val="29"/>
          <w:rFonts w:hint="eastAsia" w:ascii="宋体" w:hAnsi="宋体" w:eastAsia="宋体" w:cs="宋体"/>
          <w:color w:val="auto"/>
          <w:kern w:val="2"/>
          <w:sz w:val="21"/>
          <w:szCs w:val="21"/>
          <w:highlight w:val="none"/>
          <w:lang w:val="en-US" w:eastAsia="zh-CN" w:bidi="en-US"/>
        </w:rPr>
        <w:t>16.1.1.</w:t>
      </w:r>
      <w:r>
        <w:rPr>
          <w:rStyle w:val="29"/>
          <w:rFonts w:hint="eastAsia" w:ascii="宋体" w:hAnsi="宋体" w:eastAsia="宋体" w:cs="宋体"/>
          <w:color w:val="auto"/>
          <w:kern w:val="2"/>
          <w:sz w:val="21"/>
          <w:szCs w:val="21"/>
          <w:highlight w:val="none"/>
          <w:lang w:val="zh-CN" w:eastAsia="zh-CN" w:bidi="en-US"/>
        </w:rPr>
        <w:t>1价格调整公式</w:t>
      </w:r>
    </w:p>
    <w:p w14:paraId="78769D7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因人工、材料和设备等价格波动影响合同价格时，根据投标函附录中的价格指数和权重表约定的数据，按以下公式计算差额并调整合同价格。</w:t>
      </w:r>
    </w:p>
    <w:p w14:paraId="17D7AA64">
      <w:pPr>
        <w:pStyle w:val="100"/>
        <w:shd w:val="clear" w:color="auto"/>
        <w:spacing w:line="240" w:lineRule="auto"/>
        <w:ind w:firstLine="420"/>
        <w:rPr>
          <w:rStyle w:val="29"/>
          <w:color w:val="auto"/>
          <w:highlight w:val="none"/>
          <w:lang w:val="en-US"/>
        </w:rPr>
      </w:pPr>
      <w:r>
        <w:rPr>
          <w:rFonts w:hint="eastAsia"/>
          <w:color w:val="auto"/>
          <w:position w:val="-34"/>
          <w:sz w:val="24"/>
          <w:highlight w:val="none"/>
        </w:rPr>
        <w:object>
          <v:shape id="_x0000_i1025" o:spt="75" type="#_x0000_t75" style="height:49.5pt;width:324.05pt;" o:ole="t" filled="f" o:preferrelative="t" stroked="f" coordsize="21600,21600">
            <v:path/>
            <v:fill on="f" focussize="0,0"/>
            <v:stroke on="f"/>
            <v:imagedata r:id="rId18" o:title=""/>
            <o:lock v:ext="edit" aspectratio="t"/>
            <w10:wrap type="none"/>
            <w10:anchorlock/>
          </v:shape>
          <o:OLEObject Type="Embed" ProgID="Equation.3" ShapeID="_x0000_i1025" DrawAspect="Content" ObjectID="_1468075725" r:id="rId17">
            <o:LockedField>false</o:LockedField>
          </o:OLEObject>
        </w:object>
      </w:r>
    </w:p>
    <w:p w14:paraId="40337D3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式中：△P</w:t>
      </w:r>
      <w:r>
        <w:rPr>
          <w:rStyle w:val="29"/>
          <w:rFonts w:hint="eastAsia" w:ascii="宋体" w:hAnsi="宋体" w:eastAsia="宋体" w:cs="宋体"/>
          <w:color w:val="auto"/>
          <w:kern w:val="2"/>
          <w:sz w:val="21"/>
          <w:szCs w:val="21"/>
          <w:highlight w:val="none"/>
          <w:lang w:val="en-US" w:eastAsia="zh-CN" w:bidi="en-US"/>
        </w:rPr>
        <w:t xml:space="preserve"> </w:t>
      </w:r>
      <w:r>
        <w:rPr>
          <w:rStyle w:val="29"/>
          <w:rFonts w:hint="eastAsia" w:ascii="宋体" w:hAnsi="宋体" w:eastAsia="宋体" w:cs="宋体"/>
          <w:color w:val="auto"/>
          <w:kern w:val="2"/>
          <w:sz w:val="21"/>
          <w:szCs w:val="21"/>
          <w:highlight w:val="none"/>
          <w:lang w:val="en-US" w:bidi="en-US"/>
        </w:rPr>
        <w:t>--</w:t>
      </w:r>
      <w:r>
        <w:rPr>
          <w:rStyle w:val="29"/>
          <w:rFonts w:hint="eastAsia" w:ascii="宋体" w:hAnsi="宋体" w:eastAsia="宋体" w:cs="宋体"/>
          <w:color w:val="auto"/>
          <w:kern w:val="2"/>
          <w:sz w:val="21"/>
          <w:szCs w:val="21"/>
          <w:highlight w:val="none"/>
          <w:lang w:val="en-US" w:eastAsia="zh-CN" w:bidi="en-US"/>
        </w:rPr>
        <w:t xml:space="preserve"> </w:t>
      </w:r>
      <w:r>
        <w:rPr>
          <w:rStyle w:val="29"/>
          <w:rFonts w:hint="eastAsia" w:ascii="宋体" w:hAnsi="宋体" w:eastAsia="宋体" w:cs="宋体"/>
          <w:color w:val="auto"/>
          <w:kern w:val="2"/>
          <w:sz w:val="21"/>
          <w:szCs w:val="21"/>
          <w:highlight w:val="none"/>
          <w:lang w:val="en-US" w:bidi="en-US"/>
        </w:rPr>
        <w:t>需调整的价格差额；</w:t>
      </w:r>
    </w:p>
    <w:p w14:paraId="461C723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P0</w:t>
      </w:r>
      <w:r>
        <w:rPr>
          <w:rStyle w:val="29"/>
          <w:rFonts w:hint="eastAsia" w:ascii="宋体" w:hAnsi="宋体" w:eastAsia="宋体" w:cs="宋体"/>
          <w:color w:val="auto"/>
          <w:kern w:val="2"/>
          <w:sz w:val="21"/>
          <w:szCs w:val="21"/>
          <w:highlight w:val="none"/>
          <w:lang w:val="en-US" w:eastAsia="zh-CN" w:bidi="en-US"/>
        </w:rPr>
        <w:t xml:space="preserve"> </w:t>
      </w:r>
      <w:r>
        <w:rPr>
          <w:rStyle w:val="29"/>
          <w:rFonts w:hint="eastAsia" w:ascii="宋体" w:hAnsi="宋体" w:eastAsia="宋体" w:cs="宋体"/>
          <w:color w:val="auto"/>
          <w:kern w:val="2"/>
          <w:sz w:val="21"/>
          <w:szCs w:val="21"/>
          <w:highlight w:val="none"/>
          <w:lang w:val="en-US" w:bidi="en-US"/>
        </w:rPr>
        <w:t>--</w:t>
      </w:r>
      <w:r>
        <w:rPr>
          <w:rStyle w:val="29"/>
          <w:rFonts w:hint="eastAsia" w:ascii="宋体" w:hAnsi="宋体" w:eastAsia="宋体" w:cs="宋体"/>
          <w:color w:val="auto"/>
          <w:kern w:val="2"/>
          <w:sz w:val="21"/>
          <w:szCs w:val="21"/>
          <w:highlight w:val="none"/>
          <w:lang w:val="en-US" w:eastAsia="zh-CN" w:bidi="en-US"/>
        </w:rPr>
        <w:t xml:space="preserve"> </w:t>
      </w:r>
      <w:r>
        <w:rPr>
          <w:rStyle w:val="29"/>
          <w:rFonts w:hint="eastAsia" w:ascii="宋体" w:hAnsi="宋体" w:eastAsia="宋体" w:cs="宋体"/>
          <w:color w:val="auto"/>
          <w:kern w:val="2"/>
          <w:sz w:val="21"/>
          <w:szCs w:val="21"/>
          <w:highlight w:val="none"/>
          <w:lang w:val="en-US" w:bidi="en-US"/>
        </w:rPr>
        <w:t>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6A8673B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71" w:name="_Toc152042495"/>
      <w:bookmarkStart w:id="872" w:name="_Toc144974686"/>
      <w:r>
        <w:rPr>
          <w:rStyle w:val="29"/>
          <w:rFonts w:hint="eastAsia" w:ascii="宋体" w:hAnsi="宋体" w:eastAsia="宋体" w:cs="宋体"/>
          <w:color w:val="auto"/>
          <w:kern w:val="2"/>
          <w:sz w:val="21"/>
          <w:szCs w:val="21"/>
          <w:highlight w:val="none"/>
          <w:lang w:val="en-US" w:bidi="en-US"/>
        </w:rPr>
        <w:t>A</w:t>
      </w:r>
      <w:r>
        <w:rPr>
          <w:rStyle w:val="29"/>
          <w:rFonts w:hint="eastAsia" w:ascii="宋体" w:hAnsi="宋体" w:eastAsia="宋体" w:cs="宋体"/>
          <w:color w:val="auto"/>
          <w:kern w:val="2"/>
          <w:sz w:val="21"/>
          <w:szCs w:val="21"/>
          <w:highlight w:val="none"/>
          <w:lang w:val="en-US" w:eastAsia="zh-CN" w:bidi="en-US"/>
        </w:rPr>
        <w:t xml:space="preserve"> </w:t>
      </w:r>
      <w:r>
        <w:rPr>
          <w:rStyle w:val="29"/>
          <w:rFonts w:hint="eastAsia" w:ascii="宋体" w:hAnsi="宋体" w:eastAsia="宋体" w:cs="宋体"/>
          <w:color w:val="auto"/>
          <w:kern w:val="2"/>
          <w:sz w:val="21"/>
          <w:szCs w:val="21"/>
          <w:highlight w:val="none"/>
          <w:lang w:val="en-US" w:bidi="en-US"/>
        </w:rPr>
        <w:t>--</w:t>
      </w:r>
      <w:r>
        <w:rPr>
          <w:rStyle w:val="29"/>
          <w:rFonts w:hint="eastAsia" w:ascii="宋体" w:hAnsi="宋体" w:eastAsia="宋体" w:cs="宋体"/>
          <w:color w:val="auto"/>
          <w:kern w:val="2"/>
          <w:sz w:val="21"/>
          <w:szCs w:val="21"/>
          <w:highlight w:val="none"/>
          <w:lang w:val="en-US" w:eastAsia="zh-CN" w:bidi="en-US"/>
        </w:rPr>
        <w:t xml:space="preserve"> </w:t>
      </w:r>
      <w:r>
        <w:rPr>
          <w:rStyle w:val="29"/>
          <w:rFonts w:hint="eastAsia" w:ascii="宋体" w:hAnsi="宋体" w:eastAsia="宋体" w:cs="宋体"/>
          <w:color w:val="auto"/>
          <w:kern w:val="2"/>
          <w:sz w:val="21"/>
          <w:szCs w:val="21"/>
          <w:highlight w:val="none"/>
          <w:lang w:val="en-US" w:bidi="en-US"/>
        </w:rPr>
        <w:t>定值权重(即不调部分的权重)；</w:t>
      </w:r>
      <w:bookmarkEnd w:id="871"/>
      <w:bookmarkEnd w:id="872"/>
    </w:p>
    <w:p w14:paraId="01F3E53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B1；B2；B3·····Bn</w:t>
      </w:r>
      <w:r>
        <w:rPr>
          <w:rStyle w:val="29"/>
          <w:rFonts w:hint="eastAsia" w:ascii="宋体" w:hAnsi="宋体" w:eastAsia="宋体" w:cs="宋体"/>
          <w:color w:val="auto"/>
          <w:kern w:val="2"/>
          <w:sz w:val="21"/>
          <w:szCs w:val="21"/>
          <w:highlight w:val="none"/>
          <w:lang w:val="en-US" w:eastAsia="zh-CN" w:bidi="en-US"/>
        </w:rPr>
        <w:t xml:space="preserve"> </w:t>
      </w:r>
      <w:r>
        <w:rPr>
          <w:rStyle w:val="29"/>
          <w:rFonts w:hint="eastAsia" w:ascii="宋体" w:hAnsi="宋体" w:eastAsia="宋体" w:cs="宋体"/>
          <w:color w:val="auto"/>
          <w:kern w:val="2"/>
          <w:sz w:val="21"/>
          <w:szCs w:val="21"/>
          <w:highlight w:val="none"/>
          <w:lang w:val="en-US" w:bidi="en-US"/>
        </w:rPr>
        <w:t>--</w:t>
      </w:r>
      <w:r>
        <w:rPr>
          <w:rStyle w:val="29"/>
          <w:rFonts w:hint="eastAsia" w:ascii="宋体" w:hAnsi="宋体" w:eastAsia="宋体" w:cs="宋体"/>
          <w:color w:val="auto"/>
          <w:kern w:val="2"/>
          <w:sz w:val="21"/>
          <w:szCs w:val="21"/>
          <w:highlight w:val="none"/>
          <w:lang w:val="en-US" w:eastAsia="zh-CN" w:bidi="en-US"/>
        </w:rPr>
        <w:t xml:space="preserve"> </w:t>
      </w:r>
      <w:r>
        <w:rPr>
          <w:rStyle w:val="29"/>
          <w:rFonts w:hint="eastAsia" w:ascii="宋体" w:hAnsi="宋体" w:eastAsia="宋体" w:cs="宋体"/>
          <w:color w:val="auto"/>
          <w:kern w:val="2"/>
          <w:sz w:val="21"/>
          <w:szCs w:val="21"/>
          <w:highlight w:val="none"/>
          <w:lang w:val="en-US" w:bidi="en-US"/>
        </w:rPr>
        <w:t>各可调因子的变值权重(即可调部分的权重)为各可调因子在投标函投标总报价中所占的比例；</w:t>
      </w:r>
    </w:p>
    <w:p w14:paraId="0D8AE31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Ft1；Ft2；Ft3·····Ftn</w:t>
      </w:r>
      <w:r>
        <w:rPr>
          <w:rStyle w:val="29"/>
          <w:rFonts w:hint="eastAsia" w:ascii="宋体" w:hAnsi="宋体" w:eastAsia="宋体" w:cs="宋体"/>
          <w:color w:val="auto"/>
          <w:kern w:val="2"/>
          <w:sz w:val="21"/>
          <w:szCs w:val="21"/>
          <w:highlight w:val="none"/>
          <w:lang w:val="en-US" w:eastAsia="zh-CN" w:bidi="en-US"/>
        </w:rPr>
        <w:t xml:space="preserve"> </w:t>
      </w:r>
      <w:r>
        <w:rPr>
          <w:rStyle w:val="29"/>
          <w:rFonts w:hint="eastAsia" w:ascii="宋体" w:hAnsi="宋体" w:eastAsia="宋体" w:cs="宋体"/>
          <w:color w:val="auto"/>
          <w:kern w:val="2"/>
          <w:sz w:val="21"/>
          <w:szCs w:val="21"/>
          <w:highlight w:val="none"/>
          <w:lang w:val="en-US" w:bidi="en-US"/>
        </w:rPr>
        <w:t>--</w:t>
      </w:r>
      <w:r>
        <w:rPr>
          <w:rStyle w:val="29"/>
          <w:rFonts w:hint="eastAsia" w:ascii="宋体" w:hAnsi="宋体" w:eastAsia="宋体" w:cs="宋体"/>
          <w:color w:val="auto"/>
          <w:kern w:val="2"/>
          <w:sz w:val="21"/>
          <w:szCs w:val="21"/>
          <w:highlight w:val="none"/>
          <w:lang w:val="en-US" w:eastAsia="zh-CN" w:bidi="en-US"/>
        </w:rPr>
        <w:t xml:space="preserve"> </w:t>
      </w:r>
      <w:r>
        <w:rPr>
          <w:rStyle w:val="29"/>
          <w:rFonts w:hint="eastAsia" w:ascii="宋体" w:hAnsi="宋体" w:eastAsia="宋体" w:cs="宋体"/>
          <w:color w:val="auto"/>
          <w:kern w:val="2"/>
          <w:sz w:val="21"/>
          <w:szCs w:val="21"/>
          <w:highlight w:val="none"/>
          <w:lang w:val="en-US" w:bidi="en-US"/>
        </w:rPr>
        <w:t>各可调因子的现行价格指数，指第17.3.3项、第17.5.2项和第17.6.2项约定的付款证书相关周期最后一天的前42天的各可调因子的价格指数；</w:t>
      </w:r>
    </w:p>
    <w:p w14:paraId="7BBD3F82">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Fo1；Fo2</w:t>
      </w:r>
      <w:r>
        <w:rPr>
          <w:rStyle w:val="29"/>
          <w:rFonts w:hint="eastAsia" w:ascii="宋体" w:hAnsi="宋体" w:eastAsia="宋体" w:cs="宋体"/>
          <w:color w:val="auto"/>
          <w:kern w:val="2"/>
          <w:sz w:val="21"/>
          <w:szCs w:val="21"/>
          <w:highlight w:val="none"/>
          <w:lang w:val="en-US" w:eastAsia="zh-CN" w:bidi="en-US"/>
        </w:rPr>
        <w:t>；</w:t>
      </w:r>
      <w:r>
        <w:rPr>
          <w:rStyle w:val="29"/>
          <w:rFonts w:hint="eastAsia" w:ascii="宋体" w:hAnsi="宋体" w:eastAsia="宋体" w:cs="宋体"/>
          <w:color w:val="auto"/>
          <w:kern w:val="2"/>
          <w:sz w:val="21"/>
          <w:szCs w:val="21"/>
          <w:highlight w:val="none"/>
          <w:lang w:val="en-US" w:bidi="en-US"/>
        </w:rPr>
        <w:t>Fo3·····Fon -- 各可调因子的基本价格指数，指基准日期的各可调因子的价格指数。</w:t>
      </w:r>
    </w:p>
    <w:p w14:paraId="7023A9C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050EE0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16.1.1.2暂时确定调整差额</w:t>
      </w:r>
    </w:p>
    <w:p w14:paraId="27011E7C">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在计算调整差额时得不到现行价格指数的，可暂用上一次价格指数计算，并在以后的付款中再按实际价格指数进行调整。</w:t>
      </w:r>
    </w:p>
    <w:p w14:paraId="14EED58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eastAsia="zh-CN" w:bidi="en-US"/>
        </w:rPr>
      </w:pPr>
      <w:r>
        <w:rPr>
          <w:rStyle w:val="29"/>
          <w:rFonts w:hint="eastAsia" w:ascii="宋体" w:hAnsi="宋体" w:eastAsia="宋体" w:cs="宋体"/>
          <w:color w:val="auto"/>
          <w:kern w:val="2"/>
          <w:sz w:val="21"/>
          <w:szCs w:val="21"/>
          <w:highlight w:val="none"/>
          <w:lang w:val="en-US" w:eastAsia="zh-CN" w:bidi="en-US"/>
        </w:rPr>
        <w:t>16.1.1.3</w:t>
      </w:r>
      <w:r>
        <w:rPr>
          <w:rStyle w:val="29"/>
          <w:rFonts w:hint="eastAsia" w:ascii="宋体" w:hAnsi="宋体" w:eastAsia="宋体" w:cs="宋体"/>
          <w:color w:val="auto"/>
          <w:kern w:val="2"/>
          <w:sz w:val="21"/>
          <w:szCs w:val="21"/>
          <w:highlight w:val="none"/>
          <w:lang w:val="zh-CN" w:eastAsia="zh-CN" w:bidi="en-US"/>
        </w:rPr>
        <w:t>权重的调整</w:t>
      </w:r>
    </w:p>
    <w:p w14:paraId="4FF89C1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按第15.1款约定的变更导致原定合同中的权重不合理时，由监理人与承包人和发包人协商后进行调整。</w:t>
      </w:r>
    </w:p>
    <w:p w14:paraId="4B7A0519">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16.1.1.4承包人工期延误后的价格调整</w:t>
      </w:r>
    </w:p>
    <w:p w14:paraId="2047E40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18D281ED">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bookmarkStart w:id="873" w:name="bookmark1325"/>
      <w:bookmarkEnd w:id="873"/>
      <w:r>
        <w:rPr>
          <w:rStyle w:val="29"/>
          <w:rFonts w:hint="eastAsia" w:ascii="宋体" w:hAnsi="宋体" w:eastAsia="宋体" w:cs="宋体"/>
          <w:color w:val="auto"/>
          <w:kern w:val="2"/>
          <w:sz w:val="21"/>
          <w:szCs w:val="21"/>
          <w:highlight w:val="none"/>
          <w:lang w:val="en-US" w:bidi="en-US"/>
        </w:rPr>
        <w:t>16.1.2采用造价信息调整价格差额</w:t>
      </w:r>
    </w:p>
    <w:p w14:paraId="3EDCC773">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6F5E9A6F">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工程造价信息的来源以及价格调整的项目和系数在专用合同条款中约定。</w:t>
      </w:r>
    </w:p>
    <w:p w14:paraId="29FE6B7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74" w:name="bookmark1327"/>
      <w:bookmarkStart w:id="875" w:name="bookmark1328"/>
      <w:bookmarkStart w:id="876" w:name="bookmark1326"/>
      <w:bookmarkStart w:id="877" w:name="_Toc256000120"/>
      <w:bookmarkStart w:id="878" w:name="_Toc30516"/>
      <w:bookmarkStart w:id="879" w:name="_Toc19456"/>
      <w:r>
        <w:rPr>
          <w:rStyle w:val="29"/>
          <w:rFonts w:hint="eastAsia" w:ascii="宋体" w:hAnsi="宋体" w:eastAsia="宋体" w:cs="宋体"/>
          <w:color w:val="auto"/>
          <w:kern w:val="2"/>
          <w:sz w:val="21"/>
          <w:szCs w:val="21"/>
          <w:highlight w:val="none"/>
          <w:lang w:eastAsia="zh-CN"/>
        </w:rPr>
        <w:t>16.2法律变化引起的价格调整</w:t>
      </w:r>
      <w:bookmarkEnd w:id="874"/>
      <w:bookmarkEnd w:id="875"/>
      <w:bookmarkEnd w:id="876"/>
      <w:bookmarkEnd w:id="877"/>
      <w:bookmarkEnd w:id="878"/>
      <w:bookmarkEnd w:id="879"/>
    </w:p>
    <w:p w14:paraId="5222D067">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54B7F47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80" w:name="_Toc15158"/>
      <w:bookmarkStart w:id="881" w:name="_Toc26355"/>
      <w:bookmarkStart w:id="882" w:name="_Toc256000121"/>
      <w:bookmarkStart w:id="883" w:name="bookmark1331"/>
      <w:bookmarkStart w:id="884" w:name="bookmark1330"/>
      <w:bookmarkStart w:id="885" w:name="bookmark1329"/>
      <w:r>
        <w:rPr>
          <w:rStyle w:val="29"/>
          <w:rFonts w:hint="eastAsia" w:ascii="宋体" w:hAnsi="宋体" w:eastAsia="宋体" w:cs="宋体"/>
          <w:color w:val="auto"/>
          <w:kern w:val="2"/>
          <w:sz w:val="21"/>
          <w:szCs w:val="21"/>
          <w:highlight w:val="none"/>
          <w:lang w:eastAsia="zh-CN"/>
        </w:rPr>
        <w:t>17.计量与支付</w:t>
      </w:r>
      <w:bookmarkEnd w:id="880"/>
      <w:bookmarkEnd w:id="881"/>
      <w:bookmarkEnd w:id="882"/>
      <w:bookmarkEnd w:id="883"/>
      <w:bookmarkEnd w:id="884"/>
      <w:bookmarkEnd w:id="885"/>
    </w:p>
    <w:p w14:paraId="2E2EF29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886" w:name="_Toc2006"/>
      <w:bookmarkStart w:id="887" w:name="bookmark1332"/>
      <w:bookmarkStart w:id="888" w:name="bookmark1333"/>
      <w:bookmarkStart w:id="889" w:name="_Toc7733"/>
      <w:bookmarkStart w:id="890" w:name="_Toc256000122"/>
      <w:bookmarkStart w:id="891" w:name="bookmark1334"/>
      <w:r>
        <w:rPr>
          <w:rStyle w:val="29"/>
          <w:rFonts w:hint="eastAsia" w:ascii="宋体" w:hAnsi="宋体" w:eastAsia="宋体" w:cs="宋体"/>
          <w:color w:val="auto"/>
          <w:kern w:val="2"/>
          <w:sz w:val="21"/>
          <w:szCs w:val="21"/>
          <w:highlight w:val="none"/>
          <w:lang w:eastAsia="zh-CN"/>
        </w:rPr>
        <w:t>17.1计量</w:t>
      </w:r>
      <w:bookmarkEnd w:id="886"/>
      <w:bookmarkEnd w:id="887"/>
      <w:bookmarkEnd w:id="888"/>
      <w:bookmarkEnd w:id="889"/>
      <w:bookmarkEnd w:id="890"/>
      <w:bookmarkEnd w:id="891"/>
    </w:p>
    <w:p w14:paraId="43FC6AE6">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eastAsia="zh-CN" w:bidi="en-US"/>
        </w:rPr>
      </w:pPr>
      <w:bookmarkStart w:id="892" w:name="bookmark1335"/>
      <w:bookmarkEnd w:id="892"/>
      <w:r>
        <w:rPr>
          <w:rStyle w:val="29"/>
          <w:rFonts w:hint="eastAsia" w:ascii="宋体" w:hAnsi="宋体" w:eastAsia="宋体" w:cs="宋体"/>
          <w:color w:val="auto"/>
          <w:kern w:val="2"/>
          <w:sz w:val="21"/>
          <w:szCs w:val="21"/>
          <w:highlight w:val="none"/>
          <w:lang w:val="en-US" w:eastAsia="zh-CN" w:bidi="en-US"/>
        </w:rPr>
        <w:t>17.1.</w:t>
      </w:r>
      <w:r>
        <w:rPr>
          <w:rStyle w:val="29"/>
          <w:rFonts w:hint="eastAsia" w:ascii="宋体" w:hAnsi="宋体" w:eastAsia="宋体" w:cs="宋体"/>
          <w:color w:val="auto"/>
          <w:kern w:val="2"/>
          <w:sz w:val="21"/>
          <w:szCs w:val="21"/>
          <w:highlight w:val="none"/>
          <w:lang w:val="zh-CN" w:eastAsia="zh-CN" w:bidi="en-US"/>
        </w:rPr>
        <w:t>1计量单位</w:t>
      </w:r>
    </w:p>
    <w:p w14:paraId="2A4077AA">
      <w:pPr>
        <w:pStyle w:val="100"/>
        <w:keepNext w:val="0"/>
        <w:keepLines w:val="0"/>
        <w:pageBreakBefore w:val="0"/>
        <w:widowControl w:val="0"/>
        <w:shd w:val="clear" w:color="auto"/>
        <w:kinsoku/>
        <w:wordWrap/>
        <w:overflowPunct/>
        <w:topLinePunct w:val="0"/>
        <w:autoSpaceDE/>
        <w:autoSpaceDN/>
        <w:bidi w:val="0"/>
        <w:adjustRightInd/>
        <w:snapToGrid/>
        <w:spacing w:line="400" w:lineRule="exact"/>
        <w:ind w:left="0" w:firstLine="420" w:firstLineChars="200"/>
        <w:jc w:val="both"/>
        <w:textAlignment w:val="auto"/>
        <w:rPr>
          <w:rStyle w:val="29"/>
          <w:rFonts w:hint="eastAsia" w:ascii="宋体" w:hAnsi="宋体" w:eastAsia="宋体" w:cs="宋体"/>
          <w:color w:val="auto"/>
          <w:sz w:val="21"/>
          <w:szCs w:val="21"/>
          <w:highlight w:val="none"/>
          <w:lang w:val="en-US" w:bidi="en-US"/>
        </w:rPr>
      </w:pPr>
      <w:r>
        <w:rPr>
          <w:rStyle w:val="29"/>
          <w:rFonts w:hint="eastAsia" w:ascii="宋体" w:hAnsi="宋体" w:eastAsia="宋体" w:cs="宋体"/>
          <w:color w:val="auto"/>
          <w:kern w:val="2"/>
          <w:sz w:val="21"/>
          <w:szCs w:val="21"/>
          <w:highlight w:val="none"/>
          <w:lang w:val="en-US" w:bidi="en-US"/>
        </w:rPr>
        <w:t>计量采用国家法定的计量单位。</w:t>
      </w:r>
    </w:p>
    <w:p w14:paraId="473E050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893" w:name="bookmark1336"/>
      <w:bookmarkEnd w:id="893"/>
      <w:r>
        <w:rPr>
          <w:rStyle w:val="29"/>
          <w:rFonts w:hint="eastAsia" w:ascii="宋体" w:hAnsi="宋体" w:eastAsia="宋体" w:cs="宋体"/>
          <w:color w:val="auto"/>
          <w:kern w:val="2"/>
          <w:sz w:val="21"/>
          <w:szCs w:val="21"/>
          <w:highlight w:val="none"/>
          <w:lang w:val="en-US" w:bidi="ar-SA"/>
        </w:rPr>
        <w:t>17.1.2计量方法</w:t>
      </w:r>
    </w:p>
    <w:p w14:paraId="1D0624F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bidi="ar-SA"/>
        </w:rPr>
        <w:t>结算工程量应按工程量清单中约定的方法计算。</w:t>
      </w:r>
    </w:p>
    <w:p w14:paraId="3EE06D7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eastAsia="zh-CN"/>
        </w:rPr>
      </w:pPr>
      <w:r>
        <w:rPr>
          <w:rStyle w:val="29"/>
          <w:rFonts w:hint="eastAsia" w:ascii="宋体" w:hAnsi="宋体" w:eastAsia="宋体" w:cs="宋体"/>
          <w:color w:val="auto"/>
          <w:kern w:val="2"/>
          <w:sz w:val="21"/>
          <w:szCs w:val="21"/>
          <w:highlight w:val="none"/>
          <w:lang w:val="en-US" w:eastAsia="zh-CN" w:bidi="ar-SA"/>
        </w:rPr>
        <w:t>17.1.</w:t>
      </w:r>
      <w:r>
        <w:rPr>
          <w:rStyle w:val="29"/>
          <w:rFonts w:hint="eastAsia" w:ascii="宋体" w:hAnsi="宋体" w:eastAsia="宋体" w:cs="宋体"/>
          <w:color w:val="auto"/>
          <w:kern w:val="2"/>
          <w:sz w:val="21"/>
          <w:szCs w:val="21"/>
          <w:highlight w:val="none"/>
          <w:lang w:val="zh-CN" w:eastAsia="zh-CN" w:bidi="ar-SA"/>
        </w:rPr>
        <w:t>3计量周期</w:t>
      </w:r>
    </w:p>
    <w:p w14:paraId="6845ED2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bidi="ar-SA"/>
        </w:rPr>
        <w:t>除专用合同条款另有约定外，单价子目已完成工程量按月计量，总价子目的计量周期按批准的支付分解报告确定。</w:t>
      </w:r>
    </w:p>
    <w:p w14:paraId="315462D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eastAsia="en-US" w:bidi="ar-SA"/>
        </w:rPr>
        <w:t>17.1.4</w:t>
      </w:r>
      <w:r>
        <w:rPr>
          <w:rStyle w:val="29"/>
          <w:rFonts w:hint="eastAsia" w:ascii="宋体" w:hAnsi="宋体" w:eastAsia="宋体" w:cs="宋体"/>
          <w:color w:val="auto"/>
          <w:kern w:val="2"/>
          <w:sz w:val="21"/>
          <w:szCs w:val="21"/>
          <w:highlight w:val="none"/>
          <w:lang w:val="en-US" w:bidi="ar-SA"/>
        </w:rPr>
        <w:t>单价子目的计量</w:t>
      </w:r>
    </w:p>
    <w:p w14:paraId="27AC288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894" w:name="bookmark1337"/>
      <w:bookmarkEnd w:id="894"/>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已标价工程量清单中的单价子目工程量为估算工程量。结算工程量是承包人实际完成的，并按合同约定的计量方法进行计量的工程量。</w:t>
      </w:r>
    </w:p>
    <w:p w14:paraId="05A8670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895" w:name="bookmark1338"/>
      <w:bookmarkEnd w:id="895"/>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承包人对已完成的工程进行计量，向监理人提交进度付款申请单、已完成工程量报表和有关计量资料。</w:t>
      </w:r>
    </w:p>
    <w:p w14:paraId="374029A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监理人对承包人提交的工程量报表进行复核，以确定实际完成的工程量。对数量</w:t>
      </w:r>
      <w:bookmarkStart w:id="896" w:name="bookmark1339"/>
      <w:bookmarkEnd w:id="896"/>
      <w:r>
        <w:rPr>
          <w:rStyle w:val="29"/>
          <w:rFonts w:hint="eastAsia" w:ascii="宋体" w:hAnsi="宋体" w:eastAsia="宋体" w:cs="宋体"/>
          <w:color w:val="auto"/>
          <w:kern w:val="2"/>
          <w:sz w:val="21"/>
          <w:szCs w:val="21"/>
          <w:highlight w:val="none"/>
          <w:lang w:val="en-US" w:bidi="ar-SA"/>
        </w:rPr>
        <w:t>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15A42B6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897" w:name="bookmark1340"/>
      <w:bookmarkEnd w:id="897"/>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监理人认为有必要时，可通知承包人共同进行联合测量、计量，承包人应遵照执行。</w:t>
      </w:r>
    </w:p>
    <w:p w14:paraId="46708888">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898" w:name="bookmark1341"/>
      <w:bookmarkEnd w:id="898"/>
      <w:r>
        <w:rPr>
          <w:rStyle w:val="29"/>
          <w:rFonts w:hint="eastAsia" w:ascii="宋体" w:hAnsi="宋体" w:eastAsia="宋体" w:cs="宋体"/>
          <w:color w:val="auto"/>
          <w:kern w:val="2"/>
          <w:sz w:val="21"/>
          <w:szCs w:val="21"/>
          <w:highlight w:val="none"/>
          <w:lang w:val="zh-CN" w:eastAsia="zh-CN" w:bidi="ar-SA"/>
        </w:rPr>
        <w:t>(5)</w:t>
      </w:r>
      <w:r>
        <w:rPr>
          <w:rStyle w:val="29"/>
          <w:rFonts w:hint="eastAsia" w:ascii="宋体" w:hAnsi="宋体" w:eastAsia="宋体" w:cs="宋体"/>
          <w:color w:val="auto"/>
          <w:kern w:val="2"/>
          <w:sz w:val="21"/>
          <w:szCs w:val="21"/>
          <w:highlight w:val="none"/>
          <w:lang w:val="en-US" w:bidi="ar-SA"/>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3EFA273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899" w:name="bookmark1342"/>
      <w:bookmarkEnd w:id="899"/>
      <w:r>
        <w:rPr>
          <w:rStyle w:val="29"/>
          <w:rFonts w:hint="eastAsia" w:ascii="宋体" w:hAnsi="宋体" w:eastAsia="宋体" w:cs="宋体"/>
          <w:color w:val="auto"/>
          <w:kern w:val="2"/>
          <w:sz w:val="21"/>
          <w:szCs w:val="21"/>
          <w:highlight w:val="none"/>
          <w:lang w:val="zh-CN" w:eastAsia="zh-CN" w:bidi="ar-SA"/>
        </w:rPr>
        <w:t>(6)</w:t>
      </w:r>
      <w:r>
        <w:rPr>
          <w:rStyle w:val="29"/>
          <w:rFonts w:hint="eastAsia" w:ascii="宋体" w:hAnsi="宋体" w:eastAsia="宋体" w:cs="宋体"/>
          <w:color w:val="auto"/>
          <w:kern w:val="2"/>
          <w:sz w:val="21"/>
          <w:szCs w:val="21"/>
          <w:highlight w:val="none"/>
          <w:lang w:val="en-US" w:bidi="ar-SA"/>
        </w:rPr>
        <w:t>监理人应在收到承包人提交的工程量报表后的7天内进行复核，监理人未在约定时间内复核的，承包人提交的工程量报表中的工程量视为承包人实际完成的工程量，据此计算工程价款。</w:t>
      </w:r>
    </w:p>
    <w:p w14:paraId="0B36CCA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bidi="ar-SA"/>
        </w:rPr>
        <w:t>17.1.5总价子目的计量</w:t>
      </w:r>
    </w:p>
    <w:p w14:paraId="16B26A0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bidi="ar-SA"/>
        </w:rPr>
        <w:t>总价子目的分解和计量按照下述约定进行。</w:t>
      </w:r>
    </w:p>
    <w:p w14:paraId="10B8A67D">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900" w:name="bookmark1343"/>
      <w:bookmarkEnd w:id="900"/>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总价子目的计量和支付应以总价为基础，不因第16.1款中的因素而进行调整。承包人实际完成的工程量，是进行工程目标管理和控制进度支付的依据。</w:t>
      </w:r>
    </w:p>
    <w:p w14:paraId="655733A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901" w:name="bookmark1344"/>
      <w:bookmarkEnd w:id="901"/>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2A6A881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902" w:name="bookmark1345"/>
      <w:bookmarkEnd w:id="902"/>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监理人对承包人提交的上述资料进行复核，以确定分阶段实际完成的工程量和工程形象目标。对其有异议的，可要求承包人按第8.2款约定进行共同复核和抽样复测。</w:t>
      </w:r>
    </w:p>
    <w:p w14:paraId="597C074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903" w:name="bookmark1346"/>
      <w:bookmarkEnd w:id="903"/>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除按照第15条约定的变更外，总价子目的工程量是承包人用于结算的最终工程量。</w:t>
      </w:r>
    </w:p>
    <w:p w14:paraId="26ADFCB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04" w:name="_Toc1366"/>
      <w:bookmarkStart w:id="905" w:name="bookmark1348"/>
      <w:bookmarkStart w:id="906" w:name="_Toc16419"/>
      <w:bookmarkStart w:id="907" w:name="bookmark1349"/>
      <w:bookmarkStart w:id="908" w:name="_Toc256000123"/>
      <w:bookmarkStart w:id="909" w:name="bookmark1347"/>
      <w:r>
        <w:rPr>
          <w:rStyle w:val="29"/>
          <w:rFonts w:hint="eastAsia" w:ascii="宋体" w:hAnsi="宋体" w:eastAsia="宋体" w:cs="宋体"/>
          <w:color w:val="auto"/>
          <w:kern w:val="2"/>
          <w:sz w:val="21"/>
          <w:szCs w:val="21"/>
          <w:highlight w:val="none"/>
          <w:lang w:eastAsia="zh-CN"/>
        </w:rPr>
        <w:t>17.2预付款</w:t>
      </w:r>
      <w:bookmarkEnd w:id="904"/>
      <w:bookmarkEnd w:id="905"/>
      <w:bookmarkEnd w:id="906"/>
      <w:bookmarkEnd w:id="907"/>
      <w:bookmarkEnd w:id="908"/>
      <w:bookmarkEnd w:id="909"/>
    </w:p>
    <w:p w14:paraId="62900E0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eastAsia="zh-CN"/>
        </w:rPr>
      </w:pPr>
      <w:r>
        <w:rPr>
          <w:rStyle w:val="29"/>
          <w:rFonts w:hint="eastAsia" w:ascii="宋体" w:hAnsi="宋体" w:eastAsia="宋体" w:cs="宋体"/>
          <w:color w:val="auto"/>
          <w:kern w:val="2"/>
          <w:sz w:val="21"/>
          <w:szCs w:val="21"/>
          <w:highlight w:val="none"/>
          <w:lang w:val="en-US" w:eastAsia="zh-CN" w:bidi="ar-SA"/>
        </w:rPr>
        <w:t>17.2.1</w:t>
      </w:r>
      <w:r>
        <w:rPr>
          <w:rStyle w:val="29"/>
          <w:rFonts w:hint="eastAsia" w:ascii="宋体" w:hAnsi="宋体" w:eastAsia="宋体" w:cs="宋体"/>
          <w:color w:val="auto"/>
          <w:kern w:val="2"/>
          <w:sz w:val="21"/>
          <w:szCs w:val="21"/>
          <w:highlight w:val="none"/>
          <w:lang w:val="zh-CN" w:eastAsia="zh-CN" w:bidi="ar-SA"/>
        </w:rPr>
        <w:t>预付款</w:t>
      </w:r>
    </w:p>
    <w:p w14:paraId="10BADC9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bidi="ar-SA"/>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58B3FD08">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eastAsia="en-US" w:bidi="ar-SA"/>
        </w:rPr>
        <w:t>17.2.2</w:t>
      </w:r>
      <w:r>
        <w:rPr>
          <w:rStyle w:val="29"/>
          <w:rFonts w:hint="eastAsia" w:ascii="宋体" w:hAnsi="宋体" w:eastAsia="宋体" w:cs="宋体"/>
          <w:color w:val="auto"/>
          <w:kern w:val="2"/>
          <w:sz w:val="21"/>
          <w:szCs w:val="21"/>
          <w:highlight w:val="none"/>
          <w:lang w:val="en-US" w:bidi="ar-SA"/>
        </w:rPr>
        <w:t>预付款保函(担保)</w:t>
      </w:r>
    </w:p>
    <w:p w14:paraId="44C98738">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10" w:name="bookmark1350"/>
      <w:bookmarkEnd w:id="910"/>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承包人应在收到第一次工程预付款的同时向发包人提交工程预付款担保，担保金额应与第一次工程预付款金额相同，工程预付款担保在第一次工程预付款被发包人扣回前一直有效。</w:t>
      </w:r>
    </w:p>
    <w:p w14:paraId="03541EB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11" w:name="bookmark1351"/>
      <w:bookmarkEnd w:id="911"/>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工程材料预付款的担保在专用合同条款中约定。</w:t>
      </w:r>
    </w:p>
    <w:p w14:paraId="6382575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12" w:name="bookmark1352"/>
      <w:bookmarkEnd w:id="912"/>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预付款担保的担保金额可根据预付款扣回的金额相应递减。</w:t>
      </w:r>
    </w:p>
    <w:p w14:paraId="7BED3F1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17.2.3预付款的扣回与还清</w:t>
      </w:r>
    </w:p>
    <w:p w14:paraId="0FF3926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预付款在进度付款中扣回，扣回与还清办法在专用合同条款中约定。在颁发合同工程完工证书前，由于不可抗力或其它原因解除合同时，预付款尚未扣清的，尚未扣清的预付款余额应作为承包人的到期应付款。</w:t>
      </w:r>
    </w:p>
    <w:p w14:paraId="5077002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13" w:name="_Toc13772"/>
      <w:bookmarkStart w:id="914" w:name="bookmark1354"/>
      <w:bookmarkStart w:id="915" w:name="_Toc2053"/>
      <w:bookmarkStart w:id="916" w:name="_Toc256000124"/>
      <w:bookmarkStart w:id="917" w:name="bookmark1355"/>
      <w:bookmarkStart w:id="918" w:name="bookmark1353"/>
      <w:r>
        <w:rPr>
          <w:rStyle w:val="29"/>
          <w:rFonts w:hint="eastAsia" w:ascii="宋体" w:hAnsi="宋体" w:eastAsia="宋体" w:cs="宋体"/>
          <w:color w:val="auto"/>
          <w:kern w:val="2"/>
          <w:sz w:val="21"/>
          <w:szCs w:val="21"/>
          <w:highlight w:val="none"/>
          <w:lang w:eastAsia="zh-CN"/>
        </w:rPr>
        <w:t>17.3工程进度付款</w:t>
      </w:r>
      <w:bookmarkEnd w:id="913"/>
      <w:bookmarkEnd w:id="914"/>
      <w:bookmarkEnd w:id="915"/>
      <w:bookmarkEnd w:id="916"/>
      <w:bookmarkEnd w:id="917"/>
      <w:bookmarkEnd w:id="918"/>
    </w:p>
    <w:p w14:paraId="22B58E6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eastAsia="zh-CN"/>
        </w:rPr>
      </w:pPr>
      <w:r>
        <w:rPr>
          <w:rStyle w:val="29"/>
          <w:rFonts w:hint="eastAsia" w:ascii="宋体" w:hAnsi="宋体" w:eastAsia="宋体" w:cs="宋体"/>
          <w:color w:val="auto"/>
          <w:kern w:val="2"/>
          <w:sz w:val="21"/>
          <w:szCs w:val="21"/>
          <w:highlight w:val="none"/>
          <w:lang w:val="en-US" w:eastAsia="zh-CN" w:bidi="ar-SA"/>
        </w:rPr>
        <w:t>17.3.1</w:t>
      </w:r>
      <w:r>
        <w:rPr>
          <w:rStyle w:val="29"/>
          <w:rFonts w:hint="eastAsia" w:ascii="宋体" w:hAnsi="宋体" w:eastAsia="宋体" w:cs="宋体"/>
          <w:color w:val="auto"/>
          <w:kern w:val="2"/>
          <w:sz w:val="21"/>
          <w:szCs w:val="21"/>
          <w:highlight w:val="none"/>
          <w:lang w:val="zh-CN" w:eastAsia="zh-CN" w:bidi="ar-SA"/>
        </w:rPr>
        <w:t>付款周期</w:t>
      </w:r>
    </w:p>
    <w:p w14:paraId="52C8389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bidi="ar-SA"/>
        </w:rPr>
        <w:t>付款周期同计量周期。</w:t>
      </w:r>
    </w:p>
    <w:p w14:paraId="15F34FB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bidi="ar-SA"/>
        </w:rPr>
        <w:t>17.3.2进度付款申请单</w:t>
      </w:r>
    </w:p>
    <w:p w14:paraId="401F0D7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bidi="ar-SA"/>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6C665AD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19" w:name="bookmark1356"/>
      <w:bookmarkEnd w:id="919"/>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截至本次付款周期末已实施工程的价款；</w:t>
      </w:r>
    </w:p>
    <w:p w14:paraId="76CF585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20" w:name="bookmark1357"/>
      <w:bookmarkEnd w:id="920"/>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根据第15条应增加和扣减的变更金额；</w:t>
      </w:r>
    </w:p>
    <w:p w14:paraId="7F011E6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21" w:name="bookmark1358"/>
      <w:bookmarkEnd w:id="921"/>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根据第23条应增加和扣减的索赔金额；</w:t>
      </w:r>
    </w:p>
    <w:p w14:paraId="367851E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22" w:name="bookmark1359"/>
      <w:bookmarkEnd w:id="922"/>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根据第17.2款约定应支付的预付款和扣减的返还预付款；</w:t>
      </w:r>
    </w:p>
    <w:p w14:paraId="034990E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23" w:name="bookmark1360"/>
      <w:bookmarkEnd w:id="923"/>
      <w:r>
        <w:rPr>
          <w:rStyle w:val="29"/>
          <w:rFonts w:hint="eastAsia" w:ascii="宋体" w:hAnsi="宋体" w:eastAsia="宋体" w:cs="宋体"/>
          <w:color w:val="auto"/>
          <w:kern w:val="2"/>
          <w:sz w:val="21"/>
          <w:szCs w:val="21"/>
          <w:highlight w:val="none"/>
          <w:lang w:val="zh-CN" w:eastAsia="zh-CN" w:bidi="ar-SA"/>
        </w:rPr>
        <w:t>(5)</w:t>
      </w:r>
      <w:r>
        <w:rPr>
          <w:rStyle w:val="29"/>
          <w:rFonts w:hint="eastAsia" w:ascii="宋体" w:hAnsi="宋体" w:eastAsia="宋体" w:cs="宋体"/>
          <w:color w:val="auto"/>
          <w:kern w:val="2"/>
          <w:sz w:val="21"/>
          <w:szCs w:val="21"/>
          <w:highlight w:val="none"/>
          <w:lang w:val="en-US" w:bidi="ar-SA"/>
        </w:rPr>
        <w:t>根据第17.4.1项约定应扣减的质量保证金；</w:t>
      </w:r>
    </w:p>
    <w:p w14:paraId="7E07B4A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24" w:name="bookmark1361"/>
      <w:bookmarkEnd w:id="924"/>
      <w:r>
        <w:rPr>
          <w:rStyle w:val="29"/>
          <w:rFonts w:hint="eastAsia" w:ascii="宋体" w:hAnsi="宋体" w:eastAsia="宋体" w:cs="宋体"/>
          <w:color w:val="auto"/>
          <w:kern w:val="2"/>
          <w:sz w:val="21"/>
          <w:szCs w:val="21"/>
          <w:highlight w:val="none"/>
          <w:lang w:val="zh-CN" w:eastAsia="zh-CN" w:bidi="ar-SA"/>
        </w:rPr>
        <w:t>(6)</w:t>
      </w:r>
      <w:r>
        <w:rPr>
          <w:rStyle w:val="29"/>
          <w:rFonts w:hint="eastAsia" w:ascii="宋体" w:hAnsi="宋体" w:eastAsia="宋体" w:cs="宋体"/>
          <w:color w:val="auto"/>
          <w:kern w:val="2"/>
          <w:sz w:val="21"/>
          <w:szCs w:val="21"/>
          <w:highlight w:val="none"/>
          <w:lang w:val="en-US" w:bidi="ar-SA"/>
        </w:rPr>
        <w:t>根据合同应增加和扣减的其他金额。</w:t>
      </w:r>
    </w:p>
    <w:p w14:paraId="2189046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17.3.3进度付款证书和支付时间</w:t>
      </w:r>
    </w:p>
    <w:p w14:paraId="53C575F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25" w:name="bookmark1362"/>
      <w:bookmarkEnd w:id="925"/>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1FF771C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26" w:name="bookmark1363"/>
      <w:bookmarkEnd w:id="926"/>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发包人应在监理人收到进度付款申请单后的28天内，将进度应付款支付给承包人。发包人不按期支付的，按专用合同条款的约定支付逾期付款违约金。</w:t>
      </w:r>
    </w:p>
    <w:p w14:paraId="5FCB03D0">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27" w:name="bookmark1364"/>
      <w:bookmarkEnd w:id="927"/>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监理人出具进度付款证书，不应视为监理人已同意、批准或接受了承包人完成的该部分工作。</w:t>
      </w:r>
    </w:p>
    <w:p w14:paraId="0454338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28" w:name="bookmark1365"/>
      <w:bookmarkEnd w:id="928"/>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进度付款涉及政府投资资金的，按照国库集中支付等国家相关规定和专用合同条款的约定办理。</w:t>
      </w:r>
    </w:p>
    <w:p w14:paraId="08A9971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17.3.4工程进度付款的修正</w:t>
      </w:r>
    </w:p>
    <w:p w14:paraId="41DB5C3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在对以往历次已签发的进度付款证书进行汇总和复核中发现错、漏或重复的，监理人有权予以修正，承包人也有权提出修正申请。经双方复核同意的修正，应在本次进度付款中支付或扣除。</w:t>
      </w:r>
    </w:p>
    <w:p w14:paraId="143A0E1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29" w:name="_Toc27343"/>
      <w:bookmarkStart w:id="930" w:name="bookmark1368"/>
      <w:bookmarkStart w:id="931" w:name="bookmark1366"/>
      <w:bookmarkStart w:id="932" w:name="_Toc24179"/>
      <w:bookmarkStart w:id="933" w:name="_Toc256000125"/>
      <w:bookmarkStart w:id="934" w:name="bookmark1367"/>
      <w:r>
        <w:rPr>
          <w:rStyle w:val="29"/>
          <w:rFonts w:hint="eastAsia" w:ascii="宋体" w:hAnsi="宋体" w:eastAsia="宋体" w:cs="宋体"/>
          <w:color w:val="auto"/>
          <w:kern w:val="2"/>
          <w:sz w:val="21"/>
          <w:szCs w:val="21"/>
          <w:highlight w:val="none"/>
          <w:lang w:eastAsia="zh-CN"/>
        </w:rPr>
        <w:t>17.4质量保证金</w:t>
      </w:r>
      <w:bookmarkEnd w:id="929"/>
      <w:bookmarkEnd w:id="930"/>
      <w:bookmarkEnd w:id="931"/>
      <w:bookmarkEnd w:id="932"/>
      <w:bookmarkEnd w:id="933"/>
      <w:bookmarkEnd w:id="934"/>
    </w:p>
    <w:p w14:paraId="1348F02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17.4.1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0AD5421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17.4.2竣工验收鉴定书签署后14天内，发包人将质量保证金总额的一半支付给承包人。在第1.1.4.5目约定的缺陷责任期(工程质量保修期)满时，发包人将在30个工作日内会同承包人按照合同约定的内容核实承包人是否完成保修责任。如无异议，发包人应当在核实后将剩余的质量保证金支付给承包人。</w:t>
      </w:r>
    </w:p>
    <w:p w14:paraId="218973B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17.4.3在第1.1.4.5目约定的缺陷责任期满时，承包人没有完成缺陷责任的，发包人有权扣留与未履行责任剩余工作所需金额相应的质量保证金余额，并有权根据第19.3款约定要求延长缺陷责任期，直至完成剩余工作为止。</w:t>
      </w:r>
    </w:p>
    <w:p w14:paraId="65C8C04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35" w:name="bookmark1369"/>
      <w:bookmarkStart w:id="936" w:name="_Toc256000126"/>
      <w:bookmarkStart w:id="937" w:name="bookmark1371"/>
      <w:bookmarkStart w:id="938" w:name="bookmark1370"/>
      <w:bookmarkStart w:id="939" w:name="_Toc23362"/>
      <w:bookmarkStart w:id="940" w:name="_Toc27561"/>
      <w:r>
        <w:rPr>
          <w:rStyle w:val="29"/>
          <w:rFonts w:hint="eastAsia" w:ascii="宋体" w:hAnsi="宋体" w:eastAsia="宋体" w:cs="宋体"/>
          <w:color w:val="auto"/>
          <w:kern w:val="2"/>
          <w:sz w:val="21"/>
          <w:szCs w:val="21"/>
          <w:highlight w:val="none"/>
          <w:lang w:eastAsia="zh-CN"/>
        </w:rPr>
        <w:t>17.5竣工结算(完工结算)</w:t>
      </w:r>
      <w:bookmarkEnd w:id="935"/>
      <w:bookmarkEnd w:id="936"/>
      <w:bookmarkEnd w:id="937"/>
      <w:bookmarkEnd w:id="938"/>
      <w:bookmarkEnd w:id="939"/>
      <w:bookmarkEnd w:id="940"/>
    </w:p>
    <w:p w14:paraId="16CDA3A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17.5.1竣工(完工)付款申请单</w:t>
      </w:r>
    </w:p>
    <w:p w14:paraId="6CA0E3E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41" w:name="bookmark1372"/>
      <w:bookmarkEnd w:id="941"/>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承包人应在合同工程完工证书颁发后28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5B4A662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42" w:name="bookmark1373"/>
      <w:bookmarkEnd w:id="942"/>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监理人对完工付款申请单有异议的，有权要求承包人进行修正和提供补充资料。经监理人和承包人协商后，由承包人向监理人提交修正后的完工付款申请单。</w:t>
      </w:r>
    </w:p>
    <w:p w14:paraId="27C53B9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17.5.2竣工(完工)付款证书及支付时间</w:t>
      </w:r>
    </w:p>
    <w:p w14:paraId="104771C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43" w:name="bookmark1374"/>
      <w:bookmarkEnd w:id="943"/>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监理人在收到承包人提交的完工付款申请单后的14天内完成核查，提出发包人到期应支付给承包人的价款送发包人审核并抄送承包人。发包人应在收到后14天内审核完毕，由监理人向承包人出具经发包人签认的完工付款证书。监理人未在约定时间内核查,又未提出具体意见的，视为承包人提交的完工付款申请单已经监理人核查同意。发包人未在约定时间内审核又未提出具体意见的，监理人提出发包人到期应支付给承包人的价款视为已经发包人同意。</w:t>
      </w:r>
    </w:p>
    <w:p w14:paraId="3D289CC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44" w:name="bookmark1375"/>
      <w:bookmarkEnd w:id="944"/>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发包人应在监理人出具完工付款证书后的14天内，将应支付款支付给承包人。发包人不按期支付的，按第17.3.3(2)目的约定，将逾期付款违约金支付给承包人。</w:t>
      </w:r>
    </w:p>
    <w:p w14:paraId="1BDF701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45" w:name="bookmark1376"/>
      <w:bookmarkEnd w:id="945"/>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承包人对发包人签认的完工付款证书有异议的，发包人可出具完工付款申请单中承包人已同意部分的临时付款证书。存在争议的部分，按第24条的约定办理。</w:t>
      </w:r>
    </w:p>
    <w:p w14:paraId="72FEBA9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46" w:name="bookmark1377"/>
      <w:bookmarkEnd w:id="946"/>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完工付款涉及政府投资资金的，按第17.3.3(4)目的约定办理。</w:t>
      </w:r>
    </w:p>
    <w:p w14:paraId="7DC2A11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47" w:name="_Toc256000127"/>
      <w:bookmarkStart w:id="948" w:name="bookmark1380"/>
      <w:bookmarkStart w:id="949" w:name="_Toc20149"/>
      <w:bookmarkStart w:id="950" w:name="bookmark1379"/>
      <w:bookmarkStart w:id="951" w:name="_Toc12143"/>
      <w:bookmarkStart w:id="952" w:name="bookmark1378"/>
      <w:r>
        <w:rPr>
          <w:rStyle w:val="29"/>
          <w:rFonts w:hint="eastAsia" w:ascii="宋体" w:hAnsi="宋体" w:eastAsia="宋体" w:cs="宋体"/>
          <w:color w:val="auto"/>
          <w:kern w:val="2"/>
          <w:sz w:val="21"/>
          <w:szCs w:val="21"/>
          <w:highlight w:val="none"/>
          <w:lang w:eastAsia="zh-CN"/>
        </w:rPr>
        <w:t>17.6最终结清</w:t>
      </w:r>
      <w:bookmarkEnd w:id="947"/>
      <w:bookmarkEnd w:id="948"/>
      <w:bookmarkEnd w:id="949"/>
      <w:bookmarkEnd w:id="950"/>
      <w:bookmarkEnd w:id="951"/>
      <w:bookmarkEnd w:id="952"/>
    </w:p>
    <w:p w14:paraId="155BD18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17.6.1最终结清申请单</w:t>
      </w:r>
    </w:p>
    <w:p w14:paraId="26AB568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53" w:name="bookmark1381"/>
      <w:bookmarkEnd w:id="953"/>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工程质量保修责任终止证书签发后，承包人应按监理人批准的格式提交最终结清申请单。提交最终结清申请单的份数在专用合同条款中约定。</w:t>
      </w:r>
    </w:p>
    <w:p w14:paraId="0368066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54" w:name="bookmark1382"/>
      <w:bookmarkEnd w:id="954"/>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发包人对最终结清申请单内容有异议的，有权要求承包人进行修正和提供补充资料，由承包人向监理人提交修正后的最终结清申请单。</w:t>
      </w:r>
    </w:p>
    <w:p w14:paraId="276F904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17.6.2最终结清证书和支付时间</w:t>
      </w:r>
    </w:p>
    <w:p w14:paraId="56E2C5F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55" w:name="bookmark1383"/>
      <w:bookmarkEnd w:id="955"/>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45AF1B98">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56" w:name="bookmark1384"/>
      <w:bookmarkEnd w:id="956"/>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发包人应在监理人出具最终结清证书后的14天内，将应支付款支付给承包人。发包人不按期支付的，按第17.3.3(2)目的约定，将逾期付款违约金支付给承包人。</w:t>
      </w:r>
    </w:p>
    <w:p w14:paraId="5D284CA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57" w:name="bookmark1385"/>
      <w:bookmarkEnd w:id="957"/>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承包人对发包人签认的最终结清证书有异议的，按第24条的约定办理。</w:t>
      </w:r>
    </w:p>
    <w:p w14:paraId="054E052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958" w:name="bookmark1386"/>
      <w:bookmarkEnd w:id="958"/>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最终结清付款涉及政府投资资金的，按第17.3.3(4)目的约定办理。</w:t>
      </w:r>
    </w:p>
    <w:p w14:paraId="79D3929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59" w:name="bookmark1388"/>
      <w:bookmarkStart w:id="960" w:name="_Toc256000128"/>
      <w:bookmarkStart w:id="961" w:name="_Toc4347"/>
      <w:bookmarkStart w:id="962" w:name="bookmark1387"/>
      <w:bookmarkStart w:id="963" w:name="bookmark1389"/>
      <w:bookmarkStart w:id="964" w:name="_Toc1639"/>
      <w:r>
        <w:rPr>
          <w:rStyle w:val="29"/>
          <w:rFonts w:hint="eastAsia" w:ascii="宋体" w:hAnsi="宋体" w:eastAsia="宋体" w:cs="宋体"/>
          <w:color w:val="auto"/>
          <w:kern w:val="2"/>
          <w:sz w:val="21"/>
          <w:szCs w:val="21"/>
          <w:highlight w:val="none"/>
          <w:lang w:eastAsia="zh-CN"/>
        </w:rPr>
        <w:t>17.7竣工财务决算</w:t>
      </w:r>
      <w:bookmarkEnd w:id="959"/>
      <w:bookmarkEnd w:id="960"/>
      <w:bookmarkEnd w:id="961"/>
      <w:bookmarkEnd w:id="962"/>
      <w:bookmarkEnd w:id="963"/>
      <w:bookmarkEnd w:id="964"/>
    </w:p>
    <w:p w14:paraId="3D5EB74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发包人负责编制本工程项目竣工财务决算，承包人应按专用合同条款的约定提供竣工财务决算编制所需的相关材料。</w:t>
      </w:r>
    </w:p>
    <w:p w14:paraId="1C257A4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65" w:name="_Toc9623"/>
      <w:bookmarkStart w:id="966" w:name="bookmark1391"/>
      <w:bookmarkStart w:id="967" w:name="_Toc22243"/>
      <w:bookmarkStart w:id="968" w:name="bookmark1392"/>
      <w:bookmarkStart w:id="969" w:name="bookmark1390"/>
      <w:bookmarkStart w:id="970" w:name="_Toc256000129"/>
      <w:r>
        <w:rPr>
          <w:rStyle w:val="29"/>
          <w:rFonts w:hint="eastAsia" w:ascii="宋体" w:hAnsi="宋体" w:eastAsia="宋体" w:cs="宋体"/>
          <w:color w:val="auto"/>
          <w:kern w:val="2"/>
          <w:sz w:val="21"/>
          <w:szCs w:val="21"/>
          <w:highlight w:val="none"/>
          <w:lang w:eastAsia="zh-CN"/>
        </w:rPr>
        <w:t>17.8竣工审计</w:t>
      </w:r>
      <w:bookmarkEnd w:id="965"/>
      <w:bookmarkEnd w:id="966"/>
      <w:bookmarkEnd w:id="967"/>
      <w:bookmarkEnd w:id="968"/>
      <w:bookmarkEnd w:id="969"/>
      <w:bookmarkEnd w:id="970"/>
    </w:p>
    <w:p w14:paraId="0D43557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发包人负责完成本工程竣工审计手续，承包人应完成相关配合工作。</w:t>
      </w:r>
    </w:p>
    <w:p w14:paraId="6126649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71" w:name="_Toc27318"/>
      <w:bookmarkStart w:id="972" w:name="bookmark1395"/>
      <w:bookmarkStart w:id="973" w:name="_Toc15468"/>
      <w:bookmarkStart w:id="974" w:name="bookmark1393"/>
      <w:bookmarkStart w:id="975" w:name="bookmark1394"/>
      <w:bookmarkStart w:id="976" w:name="_Toc256000130"/>
      <w:r>
        <w:rPr>
          <w:rStyle w:val="29"/>
          <w:rFonts w:hint="eastAsia" w:ascii="宋体" w:hAnsi="宋体" w:eastAsia="宋体" w:cs="宋体"/>
          <w:color w:val="auto"/>
          <w:kern w:val="2"/>
          <w:sz w:val="21"/>
          <w:szCs w:val="21"/>
          <w:highlight w:val="none"/>
          <w:lang w:eastAsia="zh-CN"/>
        </w:rPr>
        <w:t>18.竣工验收（验收）</w:t>
      </w:r>
      <w:bookmarkEnd w:id="971"/>
      <w:bookmarkEnd w:id="972"/>
      <w:bookmarkEnd w:id="973"/>
      <w:bookmarkEnd w:id="974"/>
      <w:bookmarkEnd w:id="975"/>
      <w:bookmarkEnd w:id="976"/>
    </w:p>
    <w:p w14:paraId="49BEEB8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77" w:name="bookmark1398"/>
      <w:bookmarkStart w:id="978" w:name="_Toc1314"/>
      <w:bookmarkStart w:id="979" w:name="_Toc20245"/>
      <w:bookmarkStart w:id="980" w:name="bookmark1396"/>
      <w:bookmarkStart w:id="981" w:name="bookmark1397"/>
      <w:bookmarkStart w:id="982" w:name="_Toc256000131"/>
      <w:r>
        <w:rPr>
          <w:rStyle w:val="29"/>
          <w:rFonts w:hint="eastAsia" w:ascii="宋体" w:hAnsi="宋体" w:eastAsia="宋体" w:cs="宋体"/>
          <w:color w:val="auto"/>
          <w:kern w:val="2"/>
          <w:sz w:val="21"/>
          <w:szCs w:val="21"/>
          <w:highlight w:val="none"/>
          <w:lang w:eastAsia="zh-CN"/>
        </w:rPr>
        <w:t>18.1验收工作分类</w:t>
      </w:r>
      <w:bookmarkEnd w:id="977"/>
      <w:bookmarkEnd w:id="978"/>
      <w:bookmarkEnd w:id="979"/>
      <w:bookmarkEnd w:id="980"/>
      <w:bookmarkEnd w:id="981"/>
      <w:bookmarkEnd w:id="982"/>
    </w:p>
    <w:p w14:paraId="54F9ADE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2E146E8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83" w:name="bookmark1400"/>
      <w:bookmarkStart w:id="984" w:name="_Toc29537"/>
      <w:bookmarkStart w:id="985" w:name="_Toc256000132"/>
      <w:bookmarkStart w:id="986" w:name="bookmark1401"/>
      <w:bookmarkStart w:id="987" w:name="_Toc8655"/>
      <w:bookmarkStart w:id="988" w:name="bookmark1399"/>
      <w:r>
        <w:rPr>
          <w:rStyle w:val="29"/>
          <w:rFonts w:hint="eastAsia" w:ascii="宋体" w:hAnsi="宋体" w:eastAsia="宋体" w:cs="宋体"/>
          <w:color w:val="auto"/>
          <w:kern w:val="2"/>
          <w:sz w:val="21"/>
          <w:szCs w:val="21"/>
          <w:highlight w:val="none"/>
          <w:lang w:eastAsia="zh-CN"/>
        </w:rPr>
        <w:t>18.2分部工程验收</w:t>
      </w:r>
      <w:bookmarkEnd w:id="983"/>
      <w:bookmarkEnd w:id="984"/>
      <w:bookmarkEnd w:id="985"/>
      <w:bookmarkEnd w:id="986"/>
      <w:bookmarkEnd w:id="987"/>
      <w:bookmarkEnd w:id="988"/>
    </w:p>
    <w:p w14:paraId="316272D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18.2.1分部工程具备验收条件时，承包人应向发包人提交验收申请报告，发包人应在收到验收申请报告之日起10个工作日内决定是否同意进行验收。</w:t>
      </w:r>
    </w:p>
    <w:p w14:paraId="7B5FAD5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18.2.2除专用合同条款另有约定外，监理人主持分部工程验收，承包人应派符合条件的代表参加验收工作组。</w:t>
      </w:r>
    </w:p>
    <w:p w14:paraId="7D503FA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18.2.3分部工程验收通过后，发包人向承包人发送分部工程验收鉴定书。承包人应及时完成分部工程验收鉴定书载明应由承包人处理的遗留问题。</w:t>
      </w:r>
    </w:p>
    <w:p w14:paraId="477CEAD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89" w:name="bookmark1402"/>
      <w:bookmarkStart w:id="990" w:name="_Toc256000133"/>
      <w:bookmarkStart w:id="991" w:name="_Toc16242"/>
      <w:bookmarkStart w:id="992" w:name="_Toc19460"/>
      <w:bookmarkStart w:id="993" w:name="bookmark1404"/>
      <w:bookmarkStart w:id="994" w:name="bookmark1403"/>
      <w:r>
        <w:rPr>
          <w:rStyle w:val="29"/>
          <w:rFonts w:hint="eastAsia" w:ascii="宋体" w:hAnsi="宋体" w:eastAsia="宋体" w:cs="宋体"/>
          <w:color w:val="auto"/>
          <w:kern w:val="2"/>
          <w:sz w:val="21"/>
          <w:szCs w:val="21"/>
          <w:highlight w:val="none"/>
          <w:lang w:eastAsia="zh-CN"/>
        </w:rPr>
        <w:t>18.3单位工程验收</w:t>
      </w:r>
      <w:bookmarkEnd w:id="989"/>
      <w:bookmarkEnd w:id="990"/>
      <w:bookmarkEnd w:id="991"/>
      <w:bookmarkEnd w:id="992"/>
      <w:bookmarkEnd w:id="993"/>
      <w:bookmarkEnd w:id="994"/>
    </w:p>
    <w:p w14:paraId="6D91712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18.3.1单位工程具备验收条件时，承包人应向发包人提交验收申请报告，发包人应在收到验收申请报告之日起10个工作日内决定是否同意进行验收。</w:t>
      </w:r>
    </w:p>
    <w:p w14:paraId="019AF77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18.3.2发包人主持单位工程验收，承包人应派符合条件的代表参加验收工作组。</w:t>
      </w:r>
    </w:p>
    <w:p w14:paraId="7F45E84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18.3.3单位工程验收通过后，发包人向承包人发送单位工程验收鉴定书。承包人应及时完成单位工程验收鉴定书载明应由承包人处理的遗留问题。</w:t>
      </w:r>
    </w:p>
    <w:p w14:paraId="3186991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18.3.4需提前投入使用的单位工程在专用合同条款中明确。</w:t>
      </w:r>
    </w:p>
    <w:p w14:paraId="18430C7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995" w:name="bookmark1407"/>
      <w:bookmarkStart w:id="996" w:name="bookmark1406"/>
      <w:bookmarkStart w:id="997" w:name="bookmark1405"/>
      <w:bookmarkStart w:id="998" w:name="_Toc24227"/>
      <w:bookmarkStart w:id="999" w:name="_Toc23192"/>
      <w:bookmarkStart w:id="1000" w:name="_Toc256000134"/>
      <w:r>
        <w:rPr>
          <w:rStyle w:val="29"/>
          <w:rFonts w:hint="eastAsia" w:ascii="宋体" w:hAnsi="宋体" w:eastAsia="宋体" w:cs="宋体"/>
          <w:color w:val="auto"/>
          <w:kern w:val="2"/>
          <w:sz w:val="21"/>
          <w:szCs w:val="21"/>
          <w:highlight w:val="none"/>
          <w:lang w:eastAsia="zh-CN"/>
        </w:rPr>
        <w:t>18.4合同工程完工验收</w:t>
      </w:r>
      <w:bookmarkEnd w:id="995"/>
      <w:bookmarkEnd w:id="996"/>
      <w:bookmarkEnd w:id="997"/>
      <w:bookmarkEnd w:id="998"/>
      <w:bookmarkEnd w:id="999"/>
      <w:bookmarkEnd w:id="1000"/>
    </w:p>
    <w:p w14:paraId="10DA1E3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18.4.1合同工程具备验收条件时，承包人应向发包人提交验收申请报告，发包人应在收到验收申请报告之日起20个工作日内决定是否同意进行验收。</w:t>
      </w:r>
    </w:p>
    <w:p w14:paraId="6C2BF52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18.4.2发包人主持合同工程完工验收，承包人应派项目经理参加验收工作组。</w:t>
      </w:r>
    </w:p>
    <w:p w14:paraId="0589F55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18.4.3合同工程完工验收通过后，发包人向承包人发送合同工程完工验收鉴定书。承包人应及时完成合同工程完工验收鉴定书载明应由承包人处理的遗留问题。</w:t>
      </w:r>
    </w:p>
    <w:p w14:paraId="0867952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18.4.4合同工程完工验收通过后，发包人与承包人应在30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30个工作日内向承包人颁发合同工程完工证书。</w:t>
      </w:r>
    </w:p>
    <w:p w14:paraId="6473A16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01" w:name="_Toc32064"/>
      <w:bookmarkStart w:id="1002" w:name="bookmark1409"/>
      <w:bookmarkStart w:id="1003" w:name="bookmark1408"/>
      <w:bookmarkStart w:id="1004" w:name="_Toc256000135"/>
      <w:bookmarkStart w:id="1005" w:name="bookmark1410"/>
      <w:bookmarkStart w:id="1006" w:name="_Toc14197"/>
      <w:r>
        <w:rPr>
          <w:rStyle w:val="29"/>
          <w:rFonts w:hint="eastAsia" w:ascii="宋体" w:hAnsi="宋体" w:eastAsia="宋体" w:cs="宋体"/>
          <w:color w:val="auto"/>
          <w:kern w:val="2"/>
          <w:sz w:val="21"/>
          <w:szCs w:val="21"/>
          <w:highlight w:val="none"/>
          <w:lang w:eastAsia="zh-CN"/>
        </w:rPr>
        <w:t>18.5阶段验收</w:t>
      </w:r>
      <w:bookmarkEnd w:id="1001"/>
      <w:bookmarkEnd w:id="1002"/>
      <w:bookmarkEnd w:id="1003"/>
      <w:bookmarkEnd w:id="1004"/>
      <w:bookmarkEnd w:id="1005"/>
      <w:bookmarkEnd w:id="1006"/>
    </w:p>
    <w:p w14:paraId="71FCBE0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18.5.1工程建设具备阶段验收条件时，发包人负责提出阶段验收申请报告。承包人应派代表参加阶段验收，并作为被验收单位在验收鉴定书上签字。阶段验收的具体类别在专用合同条款中约定。</w:t>
      </w:r>
    </w:p>
    <w:p w14:paraId="411376C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18.5.2承包人应及时完成阶段验收鉴定书载明应由承包人处理的遗留问题。</w:t>
      </w:r>
    </w:p>
    <w:p w14:paraId="0D5A9AB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07" w:name="bookmark1412"/>
      <w:bookmarkStart w:id="1008" w:name="bookmark1414"/>
      <w:bookmarkStart w:id="1009" w:name="_Toc16235"/>
      <w:bookmarkStart w:id="1010" w:name="bookmark1413"/>
      <w:bookmarkStart w:id="1011" w:name="_Toc22175"/>
      <w:bookmarkStart w:id="1012" w:name="_Toc256000136"/>
      <w:r>
        <w:rPr>
          <w:rStyle w:val="29"/>
          <w:rFonts w:hint="eastAsia" w:ascii="宋体" w:hAnsi="宋体" w:eastAsia="宋体" w:cs="宋体"/>
          <w:color w:val="auto"/>
          <w:kern w:val="2"/>
          <w:sz w:val="21"/>
          <w:szCs w:val="21"/>
          <w:highlight w:val="none"/>
          <w:lang w:eastAsia="zh-CN"/>
        </w:rPr>
        <w:t>18.6专项验收</w:t>
      </w:r>
      <w:bookmarkEnd w:id="1007"/>
      <w:bookmarkEnd w:id="1008"/>
      <w:bookmarkEnd w:id="1009"/>
      <w:bookmarkEnd w:id="1010"/>
      <w:bookmarkEnd w:id="1011"/>
      <w:bookmarkEnd w:id="1012"/>
    </w:p>
    <w:p w14:paraId="5B16CBA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18.6.1发包人负责提出专项验收申请报告。承包人应按专项验收的相关规定参加专项验收。专项验收的具体类别在专用合同条款中约定。</w:t>
      </w:r>
    </w:p>
    <w:p w14:paraId="2C1EC6A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18.6.2承包应及时完成专项验收成果性文件载明应由承包人处理的遗留问题。</w:t>
      </w:r>
    </w:p>
    <w:p w14:paraId="70C41A1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13" w:name="_Toc31377"/>
      <w:bookmarkStart w:id="1014" w:name="_Toc13138"/>
      <w:bookmarkStart w:id="1015" w:name="_Toc256000137"/>
      <w:bookmarkStart w:id="1016" w:name="bookmark1415"/>
      <w:bookmarkStart w:id="1017" w:name="bookmark1416"/>
      <w:bookmarkStart w:id="1018" w:name="bookmark1417"/>
      <w:r>
        <w:rPr>
          <w:rStyle w:val="29"/>
          <w:rFonts w:hint="eastAsia" w:ascii="宋体" w:hAnsi="宋体" w:eastAsia="宋体" w:cs="宋体"/>
          <w:color w:val="auto"/>
          <w:kern w:val="2"/>
          <w:sz w:val="21"/>
          <w:szCs w:val="21"/>
          <w:highlight w:val="none"/>
          <w:lang w:eastAsia="zh-CN"/>
        </w:rPr>
        <w:t>18.7竣工验收</w:t>
      </w:r>
      <w:bookmarkEnd w:id="1013"/>
      <w:bookmarkEnd w:id="1014"/>
      <w:bookmarkEnd w:id="1015"/>
      <w:bookmarkEnd w:id="1016"/>
      <w:bookmarkEnd w:id="1017"/>
      <w:bookmarkEnd w:id="1018"/>
    </w:p>
    <w:p w14:paraId="35F96EA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18.7.1申请竣工验收前，发包人组织竣工验收自查，承包人应派项目经理或技术负责人参加。</w:t>
      </w:r>
    </w:p>
    <w:p w14:paraId="54429B9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18.7.2竣工验收分为竣工技术预验收和竣工验收两个阶段，发包人应通知承包人派法定代表人或项目经理参加技术预验收和竣工验收。</w:t>
      </w:r>
    </w:p>
    <w:p w14:paraId="4DEF46E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18.7.3专用合同条款约定工程需要进行技术鉴定的，承包人应提交有关资料并完成配合工作。</w:t>
      </w:r>
    </w:p>
    <w:p w14:paraId="7F8C54C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18.7.4竣工验收需要进行质量检测的，所需费用由发包人承担，但因承包人原因造成质量不合格的除外。</w:t>
      </w:r>
    </w:p>
    <w:p w14:paraId="440A4D4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18.7.5工程质量保修期满以及竣工验收遗留问题和尾工处理完成并通过验收后，发包人负责将处理情况和验收成果报送竣工验收主持单位，申请领取工程竣工证书，并发送承包人。</w:t>
      </w:r>
    </w:p>
    <w:p w14:paraId="3522DC6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19" w:name="bookmark1420"/>
      <w:bookmarkStart w:id="1020" w:name="_Toc28956"/>
      <w:bookmarkStart w:id="1021" w:name="_Toc7258"/>
      <w:bookmarkStart w:id="1022" w:name="bookmark1418"/>
      <w:bookmarkStart w:id="1023" w:name="bookmark1419"/>
      <w:bookmarkStart w:id="1024" w:name="_Toc256000138"/>
      <w:r>
        <w:rPr>
          <w:rStyle w:val="29"/>
          <w:rFonts w:hint="eastAsia" w:ascii="宋体" w:hAnsi="宋体" w:eastAsia="宋体" w:cs="宋体"/>
          <w:color w:val="auto"/>
          <w:kern w:val="2"/>
          <w:sz w:val="21"/>
          <w:szCs w:val="21"/>
          <w:highlight w:val="none"/>
          <w:lang w:eastAsia="zh-CN"/>
        </w:rPr>
        <w:t>18.8施工期运行</w:t>
      </w:r>
      <w:bookmarkEnd w:id="1019"/>
      <w:bookmarkEnd w:id="1020"/>
      <w:bookmarkEnd w:id="1021"/>
      <w:bookmarkEnd w:id="1022"/>
      <w:bookmarkEnd w:id="1023"/>
      <w:bookmarkEnd w:id="1024"/>
    </w:p>
    <w:p w14:paraId="0F429F5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18.8.1施工期运行是指合同工程尚未全部完工，其中某单位工程或部分工程已完工,需要投入施工期运行的，经发包人按第18.2款或第18.3款的约定验收合格，证明能确保安全后，才能在施工期投入运行。需要在施工期运行的单位工程或部分工程在专用合同条款中约定。</w:t>
      </w:r>
    </w:p>
    <w:p w14:paraId="75D5D65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18.8.2在施工期运行中发现工程或工程设备损坏或存在缺陷的，由承包人按第19.2款约定进行修复。</w:t>
      </w:r>
    </w:p>
    <w:p w14:paraId="2F98768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25" w:name="bookmark1422"/>
      <w:bookmarkStart w:id="1026" w:name="_Toc20150"/>
      <w:bookmarkStart w:id="1027" w:name="_Toc256000139"/>
      <w:bookmarkStart w:id="1028" w:name="bookmark1423"/>
      <w:bookmarkStart w:id="1029" w:name="bookmark1421"/>
      <w:bookmarkStart w:id="1030" w:name="_Toc6863"/>
      <w:r>
        <w:rPr>
          <w:rStyle w:val="29"/>
          <w:rFonts w:hint="eastAsia" w:ascii="宋体" w:hAnsi="宋体" w:eastAsia="宋体" w:cs="宋体"/>
          <w:color w:val="auto"/>
          <w:kern w:val="2"/>
          <w:sz w:val="21"/>
          <w:szCs w:val="21"/>
          <w:highlight w:val="none"/>
          <w:lang w:eastAsia="zh-CN"/>
        </w:rPr>
        <w:t>18.9试运行</w:t>
      </w:r>
      <w:bookmarkEnd w:id="1025"/>
      <w:bookmarkEnd w:id="1026"/>
      <w:bookmarkEnd w:id="1027"/>
      <w:bookmarkEnd w:id="1028"/>
      <w:bookmarkEnd w:id="1029"/>
      <w:bookmarkEnd w:id="1030"/>
    </w:p>
    <w:p w14:paraId="2222136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18.9.1除专用合同条款另有约定外，承包人应按规定进行工程及工程设备试运行,负责提供试运行所需的人员、器材和必要的条件，并承担全部试运行费用。</w:t>
      </w:r>
    </w:p>
    <w:p w14:paraId="22C687AD">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18.9.2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bookmarkStart w:id="1031" w:name="bookmark1411"/>
      <w:bookmarkEnd w:id="1031"/>
    </w:p>
    <w:p w14:paraId="32D99A1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32" w:name="_Toc1706"/>
      <w:bookmarkStart w:id="1033" w:name="_Toc256000140"/>
      <w:bookmarkStart w:id="1034" w:name="bookmark1426"/>
      <w:bookmarkStart w:id="1035" w:name="_Toc3577"/>
      <w:bookmarkStart w:id="1036" w:name="bookmark1425"/>
      <w:bookmarkStart w:id="1037" w:name="bookmark1424"/>
      <w:r>
        <w:rPr>
          <w:rStyle w:val="29"/>
          <w:rFonts w:hint="eastAsia" w:ascii="宋体" w:hAnsi="宋体" w:eastAsia="宋体" w:cs="宋体"/>
          <w:color w:val="auto"/>
          <w:kern w:val="2"/>
          <w:sz w:val="21"/>
          <w:szCs w:val="21"/>
          <w:highlight w:val="none"/>
          <w:lang w:eastAsia="zh-CN"/>
        </w:rPr>
        <w:t>18.10竣工（完工）清场</w:t>
      </w:r>
      <w:bookmarkEnd w:id="1032"/>
      <w:bookmarkEnd w:id="1033"/>
      <w:bookmarkEnd w:id="1034"/>
      <w:bookmarkEnd w:id="1035"/>
      <w:bookmarkEnd w:id="1036"/>
      <w:bookmarkEnd w:id="1037"/>
    </w:p>
    <w:p w14:paraId="16D9BFB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18.10.1工程项目竣工（完工）清场的工作范围和内容在技术标准和要求（合同技术条款）中约定。</w:t>
      </w:r>
    </w:p>
    <w:p w14:paraId="0C06B500">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18.10.2承包未按监理人的要求恢复临时占地，或者场地清理未达到合同约定的，发包人有权委托其它人恢复或清理，所发生的金额从拟支付给承包人的款项中扣除。</w:t>
      </w:r>
    </w:p>
    <w:p w14:paraId="6944638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38" w:name="_Toc28474"/>
      <w:bookmarkStart w:id="1039" w:name="bookmark1427"/>
      <w:bookmarkStart w:id="1040" w:name="_Toc22352"/>
      <w:bookmarkStart w:id="1041" w:name="bookmark1428"/>
      <w:bookmarkStart w:id="1042" w:name="bookmark1429"/>
      <w:bookmarkStart w:id="1043" w:name="_Toc256000141"/>
      <w:r>
        <w:rPr>
          <w:rStyle w:val="29"/>
          <w:rFonts w:hint="eastAsia" w:ascii="宋体" w:hAnsi="宋体" w:eastAsia="宋体" w:cs="宋体"/>
          <w:color w:val="auto"/>
          <w:kern w:val="2"/>
          <w:sz w:val="21"/>
          <w:szCs w:val="21"/>
          <w:highlight w:val="none"/>
          <w:lang w:eastAsia="zh-CN"/>
        </w:rPr>
        <w:t>18.11施工队伍的撤离</w:t>
      </w:r>
      <w:bookmarkEnd w:id="1038"/>
      <w:bookmarkEnd w:id="1039"/>
      <w:bookmarkEnd w:id="1040"/>
      <w:bookmarkEnd w:id="1041"/>
      <w:bookmarkEnd w:id="1042"/>
      <w:bookmarkEnd w:id="1043"/>
    </w:p>
    <w:p w14:paraId="586F6FFD">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合同工程完工证书颁发后的56天内，除了经监理人同意需在缺陷责任期（工程质量保修期）内继续工作和使用的人员、施工设备和临时工程外，其余的人员、施工设备和临时工程均应撤离施工场地或拆除。除合同另有约定外，缺陷责任期（工程质量保修期）满时,承包人的人员和施工设备应全部撤离施工场地。</w:t>
      </w:r>
    </w:p>
    <w:p w14:paraId="65AFE60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44" w:name="bookmark1432"/>
      <w:bookmarkStart w:id="1045" w:name="bookmark1430"/>
      <w:bookmarkStart w:id="1046" w:name="_Toc256000142"/>
      <w:bookmarkStart w:id="1047" w:name="bookmark1431"/>
      <w:bookmarkStart w:id="1048" w:name="_Toc15410"/>
      <w:bookmarkStart w:id="1049" w:name="_Toc1913"/>
      <w:r>
        <w:rPr>
          <w:rStyle w:val="29"/>
          <w:rFonts w:hint="eastAsia" w:ascii="宋体" w:hAnsi="宋体" w:eastAsia="宋体" w:cs="宋体"/>
          <w:color w:val="auto"/>
          <w:kern w:val="2"/>
          <w:sz w:val="21"/>
          <w:szCs w:val="21"/>
          <w:highlight w:val="none"/>
          <w:lang w:eastAsia="zh-CN"/>
        </w:rPr>
        <w:t>19.缺陷责任与保修责任</w:t>
      </w:r>
      <w:bookmarkEnd w:id="1044"/>
      <w:bookmarkEnd w:id="1045"/>
      <w:bookmarkEnd w:id="1046"/>
      <w:bookmarkEnd w:id="1047"/>
      <w:bookmarkEnd w:id="1048"/>
      <w:bookmarkEnd w:id="1049"/>
    </w:p>
    <w:p w14:paraId="4E8FE74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50" w:name="_Toc256000143"/>
      <w:bookmarkStart w:id="1051" w:name="bookmark1434"/>
      <w:bookmarkStart w:id="1052" w:name="bookmark1433"/>
      <w:bookmarkStart w:id="1053" w:name="_Toc13406"/>
      <w:bookmarkStart w:id="1054" w:name="bookmark1435"/>
      <w:bookmarkStart w:id="1055" w:name="_Toc22913"/>
      <w:r>
        <w:rPr>
          <w:rStyle w:val="29"/>
          <w:rFonts w:hint="eastAsia" w:ascii="宋体" w:hAnsi="宋体" w:eastAsia="宋体" w:cs="宋体"/>
          <w:color w:val="auto"/>
          <w:kern w:val="2"/>
          <w:sz w:val="21"/>
          <w:szCs w:val="21"/>
          <w:highlight w:val="none"/>
          <w:lang w:eastAsia="zh-CN"/>
        </w:rPr>
        <w:t>19.1缺陷责任期（工程质量保修期）的起算时间</w:t>
      </w:r>
      <w:bookmarkEnd w:id="1050"/>
      <w:bookmarkEnd w:id="1051"/>
      <w:bookmarkEnd w:id="1052"/>
      <w:bookmarkEnd w:id="1053"/>
      <w:bookmarkEnd w:id="1054"/>
      <w:bookmarkEnd w:id="1055"/>
    </w:p>
    <w:p w14:paraId="2B9C4F6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除专用合同条款另有约定外，缺陷责任期（工程质量保修期）从工程通过合同工程完工验收后开始计算。在合同工程完工验收前，已经发包人提前验收的单位工程或部分工程,若未投入使用，其缺陷责任期（工程质量保修期）亦从工程通过合同工程完工验收后开始计算；若已投入使用，其缺陷责任期（工程质量保修期）从通过单位工程或部分工程投入使用验收后开始计算。缺陷责任期（工程质量保修期）的期限在专用合同条款中约定。</w:t>
      </w:r>
    </w:p>
    <w:p w14:paraId="5D1E019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56" w:name="bookmark1436"/>
      <w:bookmarkStart w:id="1057" w:name="_Toc4030"/>
      <w:bookmarkStart w:id="1058" w:name="bookmark1438"/>
      <w:bookmarkStart w:id="1059" w:name="_Toc27743"/>
      <w:bookmarkStart w:id="1060" w:name="bookmark1437"/>
      <w:bookmarkStart w:id="1061" w:name="_Toc256000144"/>
      <w:r>
        <w:rPr>
          <w:rStyle w:val="29"/>
          <w:rFonts w:hint="eastAsia" w:ascii="宋体" w:hAnsi="宋体" w:eastAsia="宋体" w:cs="宋体"/>
          <w:color w:val="auto"/>
          <w:kern w:val="2"/>
          <w:sz w:val="21"/>
          <w:szCs w:val="21"/>
          <w:highlight w:val="none"/>
          <w:lang w:eastAsia="zh-CN"/>
        </w:rPr>
        <w:t>19.2缺陷责任</w:t>
      </w:r>
      <w:bookmarkEnd w:id="1056"/>
      <w:bookmarkEnd w:id="1057"/>
      <w:bookmarkEnd w:id="1058"/>
      <w:bookmarkEnd w:id="1059"/>
      <w:bookmarkEnd w:id="1060"/>
      <w:bookmarkEnd w:id="1061"/>
    </w:p>
    <w:p w14:paraId="67057AB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062" w:name="bookmark1439"/>
      <w:bookmarkEnd w:id="1062"/>
      <w:r>
        <w:rPr>
          <w:rStyle w:val="29"/>
          <w:rFonts w:hint="eastAsia" w:ascii="宋体" w:hAnsi="宋体" w:eastAsia="宋体" w:cs="宋体"/>
          <w:color w:val="auto"/>
          <w:kern w:val="2"/>
          <w:sz w:val="21"/>
          <w:szCs w:val="21"/>
          <w:highlight w:val="none"/>
          <w:lang w:val="en-US" w:bidi="ar-SA"/>
        </w:rPr>
        <w:t>19.2.1承包人应在缺陷责任期内对已交付使用的工程承担缺陷责任。</w:t>
      </w:r>
    </w:p>
    <w:p w14:paraId="3604DF4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19.2.2缺陷责任期内，发包人对已接收使用的工程负责日常维护工作。发包人在使用过程中，发现已接收的工程存在新的缺陷或已修复的缺陷部位或部件又遭损坏的，承包人应负责修复，直至检验合格为止。</w:t>
      </w:r>
    </w:p>
    <w:p w14:paraId="74887A18">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19.2.3监理人和承包人应共同查清缺陷和（或）损坏的原因。经查明属承包人原因造成的，应由承包人承担修复和查验的费用。经查验属发包人原因造成的，发包人应承担修复和查验的费用，并支付承包人合理利润。</w:t>
      </w:r>
    </w:p>
    <w:p w14:paraId="54E1B590">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19.2.4承包人不能在合理时间内修复缺陷的，发包人可自行修复或委托其他人修复,所需费用和利润的承担，按第19.2.3项约定办理。</w:t>
      </w:r>
    </w:p>
    <w:p w14:paraId="027FDC8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63" w:name="_Toc256000145"/>
      <w:bookmarkStart w:id="1064" w:name="bookmark1441"/>
      <w:bookmarkStart w:id="1065" w:name="_Toc18661"/>
      <w:bookmarkStart w:id="1066" w:name="bookmark1442"/>
      <w:bookmarkStart w:id="1067" w:name="_Toc19734"/>
      <w:bookmarkStart w:id="1068" w:name="bookmark1440"/>
      <w:r>
        <w:rPr>
          <w:rStyle w:val="29"/>
          <w:rFonts w:hint="eastAsia" w:ascii="宋体" w:hAnsi="宋体" w:eastAsia="宋体" w:cs="宋体"/>
          <w:color w:val="auto"/>
          <w:kern w:val="2"/>
          <w:sz w:val="21"/>
          <w:szCs w:val="21"/>
          <w:highlight w:val="none"/>
          <w:lang w:eastAsia="zh-CN"/>
        </w:rPr>
        <w:t>19.3缺陷责任期的延长</w:t>
      </w:r>
      <w:bookmarkEnd w:id="1063"/>
      <w:bookmarkEnd w:id="1064"/>
      <w:bookmarkEnd w:id="1065"/>
      <w:bookmarkEnd w:id="1066"/>
      <w:bookmarkEnd w:id="1067"/>
      <w:bookmarkEnd w:id="1068"/>
    </w:p>
    <w:p w14:paraId="788E34C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由于承包人原因造成某项缺陷或损坏使某项工程或工程设备不能按原定目标使用而需要再次检查、检验和修复的，发包人有权要求承包人相应延长缺陷责任期，但缺陷责任期最长不超过2年。</w:t>
      </w:r>
    </w:p>
    <w:p w14:paraId="1B29D6B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69" w:name="_Toc10058"/>
      <w:bookmarkStart w:id="1070" w:name="_Toc4593"/>
      <w:bookmarkStart w:id="1071" w:name="bookmark1444"/>
      <w:bookmarkStart w:id="1072" w:name="bookmark1445"/>
      <w:bookmarkStart w:id="1073" w:name="_Toc256000146"/>
      <w:bookmarkStart w:id="1074" w:name="bookmark1443"/>
      <w:r>
        <w:rPr>
          <w:rStyle w:val="29"/>
          <w:rFonts w:hint="eastAsia" w:ascii="宋体" w:hAnsi="宋体" w:eastAsia="宋体" w:cs="宋体"/>
          <w:color w:val="auto"/>
          <w:kern w:val="2"/>
          <w:sz w:val="21"/>
          <w:szCs w:val="21"/>
          <w:highlight w:val="none"/>
          <w:lang w:eastAsia="zh-CN"/>
        </w:rPr>
        <w:t>19.4进一步试验和试运行</w:t>
      </w:r>
      <w:bookmarkEnd w:id="1069"/>
      <w:bookmarkEnd w:id="1070"/>
      <w:bookmarkEnd w:id="1071"/>
      <w:bookmarkEnd w:id="1072"/>
      <w:bookmarkEnd w:id="1073"/>
      <w:bookmarkEnd w:id="1074"/>
    </w:p>
    <w:p w14:paraId="652AA75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任何一项缺陷或损坏修复后，经检查证明其影响了工程或工程设备的使用性能，承包人应重新进行合同约定的试验和试运行，试验和试运行的全部费用应由责任方承担。</w:t>
      </w:r>
    </w:p>
    <w:p w14:paraId="329FE55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75" w:name="_Toc27517"/>
      <w:bookmarkStart w:id="1076" w:name="bookmark1448"/>
      <w:bookmarkStart w:id="1077" w:name="bookmark1447"/>
      <w:bookmarkStart w:id="1078" w:name="_Toc13710"/>
      <w:bookmarkStart w:id="1079" w:name="bookmark1446"/>
      <w:bookmarkStart w:id="1080" w:name="_Toc256000147"/>
      <w:r>
        <w:rPr>
          <w:rStyle w:val="29"/>
          <w:rFonts w:hint="eastAsia" w:ascii="宋体" w:hAnsi="宋体" w:eastAsia="宋体" w:cs="宋体"/>
          <w:color w:val="auto"/>
          <w:kern w:val="2"/>
          <w:sz w:val="21"/>
          <w:szCs w:val="21"/>
          <w:highlight w:val="none"/>
          <w:lang w:eastAsia="zh-CN"/>
        </w:rPr>
        <w:t>19.5承包人的进入权</w:t>
      </w:r>
      <w:bookmarkEnd w:id="1075"/>
      <w:bookmarkEnd w:id="1076"/>
      <w:bookmarkEnd w:id="1077"/>
      <w:bookmarkEnd w:id="1078"/>
      <w:bookmarkEnd w:id="1079"/>
      <w:bookmarkEnd w:id="1080"/>
    </w:p>
    <w:p w14:paraId="5A88060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缺陷责任期内承包人为缺陷修复工作需要，有权进入工程现场，但应遵守发包人的保安和保密规定。</w:t>
      </w:r>
    </w:p>
    <w:p w14:paraId="2C59BAB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81" w:name="bookmark1450"/>
      <w:bookmarkStart w:id="1082" w:name="bookmark1449"/>
      <w:bookmarkStart w:id="1083" w:name="_Toc16024"/>
      <w:bookmarkStart w:id="1084" w:name="_Toc256000148"/>
      <w:bookmarkStart w:id="1085" w:name="_Toc18929"/>
      <w:bookmarkStart w:id="1086" w:name="bookmark1451"/>
      <w:r>
        <w:rPr>
          <w:rStyle w:val="29"/>
          <w:rFonts w:hint="eastAsia" w:ascii="宋体" w:hAnsi="宋体" w:eastAsia="宋体" w:cs="宋体"/>
          <w:color w:val="auto"/>
          <w:kern w:val="2"/>
          <w:sz w:val="21"/>
          <w:szCs w:val="21"/>
          <w:highlight w:val="none"/>
          <w:lang w:eastAsia="zh-CN"/>
        </w:rPr>
        <w:t>19.6缺陷责任期终止证书（工程质量保修责任终止证书）</w:t>
      </w:r>
      <w:bookmarkEnd w:id="1081"/>
      <w:bookmarkEnd w:id="1082"/>
      <w:bookmarkEnd w:id="1083"/>
      <w:bookmarkEnd w:id="1084"/>
      <w:bookmarkEnd w:id="1085"/>
      <w:bookmarkEnd w:id="1086"/>
    </w:p>
    <w:p w14:paraId="484F2F5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合同工程完工验收后，发包人与承包人应办理工程交接手续，承包人应向发包人递交工程质量保修书。</w:t>
      </w:r>
    </w:p>
    <w:p w14:paraId="4073065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缺陷责任期（工程质量保修期）满后30个工作日内，发包人应向承包人颁发工程质量保修责任终止证书，并退还剩余的质量保证金，但保修责任范围内的质量缺陷未处理完成的应除外。</w:t>
      </w:r>
    </w:p>
    <w:p w14:paraId="1970856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87" w:name="bookmark1453"/>
      <w:bookmarkStart w:id="1088" w:name="bookmark1452"/>
      <w:bookmarkStart w:id="1089" w:name="_Toc10377"/>
      <w:bookmarkStart w:id="1090" w:name="_Toc256000149"/>
      <w:bookmarkStart w:id="1091" w:name="_Toc4569"/>
      <w:bookmarkStart w:id="1092" w:name="bookmark1454"/>
      <w:r>
        <w:rPr>
          <w:rStyle w:val="29"/>
          <w:rFonts w:hint="eastAsia" w:ascii="宋体" w:hAnsi="宋体" w:eastAsia="宋体" w:cs="宋体"/>
          <w:color w:val="auto"/>
          <w:kern w:val="2"/>
          <w:sz w:val="21"/>
          <w:szCs w:val="21"/>
          <w:highlight w:val="none"/>
          <w:lang w:eastAsia="zh-CN"/>
        </w:rPr>
        <w:t>19.7保修责任</w:t>
      </w:r>
      <w:bookmarkEnd w:id="1087"/>
      <w:bookmarkEnd w:id="1088"/>
      <w:bookmarkEnd w:id="1089"/>
      <w:bookmarkEnd w:id="1090"/>
      <w:bookmarkEnd w:id="1091"/>
      <w:bookmarkEnd w:id="1092"/>
    </w:p>
    <w:p w14:paraId="4461A66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合同当事人根据有关法律规定，在专用合同条款中约定工程质量保修范围、期限和责任。保修期自实际完工验收日期起计算。在全部工程竣工验收前，已经发包人提前验收的单位工程，其保修期的起算日期相应提前。</w:t>
      </w:r>
    </w:p>
    <w:p w14:paraId="3E5BE7A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93" w:name="_Toc31099"/>
      <w:bookmarkStart w:id="1094" w:name="bookmark1457"/>
      <w:bookmarkStart w:id="1095" w:name="_Toc8963"/>
      <w:bookmarkStart w:id="1096" w:name="_Toc256000150"/>
      <w:bookmarkStart w:id="1097" w:name="bookmark1455"/>
      <w:bookmarkStart w:id="1098" w:name="bookmark1456"/>
      <w:r>
        <w:rPr>
          <w:rStyle w:val="29"/>
          <w:rFonts w:hint="eastAsia" w:ascii="宋体" w:hAnsi="宋体" w:eastAsia="宋体" w:cs="宋体"/>
          <w:color w:val="auto"/>
          <w:kern w:val="2"/>
          <w:sz w:val="21"/>
          <w:szCs w:val="21"/>
          <w:highlight w:val="none"/>
          <w:lang w:eastAsia="zh-CN"/>
        </w:rPr>
        <w:t>20.保险</w:t>
      </w:r>
      <w:bookmarkEnd w:id="1093"/>
      <w:bookmarkEnd w:id="1094"/>
      <w:bookmarkEnd w:id="1095"/>
      <w:bookmarkEnd w:id="1096"/>
    </w:p>
    <w:p w14:paraId="12CB411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099" w:name="bookmark1458"/>
      <w:bookmarkStart w:id="1100" w:name="_Toc256000151"/>
      <w:bookmarkStart w:id="1101" w:name="_Toc15571"/>
      <w:bookmarkStart w:id="1102" w:name="_Toc16520"/>
      <w:r>
        <w:rPr>
          <w:rStyle w:val="29"/>
          <w:rFonts w:hint="eastAsia" w:ascii="宋体" w:hAnsi="宋体" w:eastAsia="宋体" w:cs="宋体"/>
          <w:color w:val="auto"/>
          <w:kern w:val="2"/>
          <w:sz w:val="21"/>
          <w:szCs w:val="21"/>
          <w:highlight w:val="none"/>
          <w:lang w:eastAsia="zh-CN"/>
        </w:rPr>
        <w:t>20.1工程保险</w:t>
      </w:r>
      <w:bookmarkEnd w:id="1097"/>
      <w:bookmarkEnd w:id="1098"/>
      <w:bookmarkEnd w:id="1099"/>
      <w:bookmarkEnd w:id="1100"/>
      <w:bookmarkEnd w:id="1101"/>
      <w:bookmarkEnd w:id="1102"/>
    </w:p>
    <w:p w14:paraId="7378A9B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3C38652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03" w:name="bookmark1461"/>
      <w:bookmarkStart w:id="1104" w:name="_Toc12206"/>
      <w:bookmarkStart w:id="1105" w:name="bookmark1459"/>
      <w:bookmarkStart w:id="1106" w:name="bookmark1460"/>
      <w:bookmarkStart w:id="1107" w:name="_Toc256000152"/>
      <w:bookmarkStart w:id="1108" w:name="_Toc19236"/>
      <w:r>
        <w:rPr>
          <w:rStyle w:val="29"/>
          <w:rFonts w:hint="eastAsia" w:ascii="宋体" w:hAnsi="宋体" w:eastAsia="宋体" w:cs="宋体"/>
          <w:color w:val="auto"/>
          <w:kern w:val="2"/>
          <w:sz w:val="21"/>
          <w:szCs w:val="21"/>
          <w:highlight w:val="none"/>
          <w:lang w:eastAsia="zh-CN"/>
        </w:rPr>
        <w:t>20.2人员工伤事故的保险</w:t>
      </w:r>
      <w:bookmarkEnd w:id="1103"/>
      <w:bookmarkEnd w:id="1104"/>
      <w:bookmarkEnd w:id="1105"/>
      <w:bookmarkEnd w:id="1106"/>
      <w:bookmarkEnd w:id="1107"/>
      <w:bookmarkEnd w:id="1108"/>
    </w:p>
    <w:p w14:paraId="2DA63A9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09" w:name="bookmark1462"/>
      <w:bookmarkEnd w:id="1109"/>
      <w:r>
        <w:rPr>
          <w:rStyle w:val="29"/>
          <w:rFonts w:hint="eastAsia" w:ascii="宋体" w:hAnsi="宋体" w:eastAsia="宋体" w:cs="宋体"/>
          <w:color w:val="auto"/>
          <w:kern w:val="2"/>
          <w:sz w:val="21"/>
          <w:szCs w:val="21"/>
          <w:highlight w:val="none"/>
          <w:lang w:val="en-US" w:bidi="ar-SA"/>
        </w:rPr>
        <w:t>20.2.1承包人员工伤事故的保险</w:t>
      </w:r>
    </w:p>
    <w:p w14:paraId="06DFF72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承包人应依照有关法律规定参加工伤保险，为其履行合同所雇佣的全部人员，缴纳工伤保险费，并要求其分包人也进行此项保险。</w:t>
      </w:r>
    </w:p>
    <w:p w14:paraId="1751033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20.2.2发包人员工伤事故的保险</w:t>
      </w:r>
    </w:p>
    <w:p w14:paraId="741554B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发包人应依照有关法律规定参加工伤保险，为其现场机构雇佣的全部人员，缴纳工伤保险费，并要求其监理人也进行此项保险。</w:t>
      </w:r>
    </w:p>
    <w:p w14:paraId="16F3E1A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10" w:name="bookmark1464"/>
      <w:bookmarkStart w:id="1111" w:name="bookmark1465"/>
      <w:bookmarkStart w:id="1112" w:name="bookmark1463"/>
      <w:bookmarkStart w:id="1113" w:name="_Toc23979"/>
      <w:bookmarkStart w:id="1114" w:name="_Toc256000153"/>
      <w:bookmarkStart w:id="1115" w:name="_Toc9146"/>
      <w:r>
        <w:rPr>
          <w:rStyle w:val="29"/>
          <w:rFonts w:hint="eastAsia" w:ascii="宋体" w:hAnsi="宋体" w:eastAsia="宋体" w:cs="宋体"/>
          <w:color w:val="auto"/>
          <w:kern w:val="2"/>
          <w:sz w:val="21"/>
          <w:szCs w:val="21"/>
          <w:highlight w:val="none"/>
          <w:lang w:eastAsia="zh-CN"/>
        </w:rPr>
        <w:t>20.3人身意外伤害险</w:t>
      </w:r>
      <w:bookmarkEnd w:id="1110"/>
      <w:bookmarkEnd w:id="1111"/>
      <w:bookmarkEnd w:id="1112"/>
      <w:bookmarkEnd w:id="1113"/>
      <w:bookmarkEnd w:id="1114"/>
      <w:bookmarkEnd w:id="1115"/>
    </w:p>
    <w:p w14:paraId="59938A2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20.3.1发包人应在整个施工期间为其现场机构雇用的全部人员，投保人身意外伤害险，缴纳保险费，并要求其监理人也进行此项保险。</w:t>
      </w:r>
    </w:p>
    <w:p w14:paraId="4444142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20.3.2承包人应在整个施工期间为其现场机构雇用的全部人员，投保人身意外伤害险，缴纳保险费，并要求其分包人也进行此项保险。</w:t>
      </w:r>
    </w:p>
    <w:p w14:paraId="27D5CE2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16" w:name="bookmark1467"/>
      <w:bookmarkStart w:id="1117" w:name="_Toc256000154"/>
      <w:bookmarkStart w:id="1118" w:name="_Toc10679"/>
      <w:bookmarkStart w:id="1119" w:name="bookmark1466"/>
      <w:bookmarkStart w:id="1120" w:name="bookmark1468"/>
      <w:bookmarkStart w:id="1121" w:name="_Toc10666"/>
      <w:r>
        <w:rPr>
          <w:rStyle w:val="29"/>
          <w:rFonts w:hint="eastAsia" w:ascii="宋体" w:hAnsi="宋体" w:eastAsia="宋体" w:cs="宋体"/>
          <w:color w:val="auto"/>
          <w:kern w:val="2"/>
          <w:sz w:val="21"/>
          <w:szCs w:val="21"/>
          <w:highlight w:val="none"/>
          <w:lang w:eastAsia="zh-CN"/>
        </w:rPr>
        <w:t>20.4第三者责任险</w:t>
      </w:r>
      <w:bookmarkEnd w:id="1116"/>
      <w:bookmarkEnd w:id="1117"/>
      <w:bookmarkEnd w:id="1118"/>
      <w:bookmarkEnd w:id="1119"/>
      <w:bookmarkEnd w:id="1120"/>
      <w:bookmarkEnd w:id="1121"/>
    </w:p>
    <w:p w14:paraId="226D32D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20.4.1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7E751148">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20.4.2在缺陷责任期终止证书颁发前，承包人应以承包人和发包人的共同名义，投保第20.4.1项约定的第三者责任险，其保险费率、保险金额等有关内容在专用合同条款中约定。</w:t>
      </w:r>
    </w:p>
    <w:p w14:paraId="77F109B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22" w:name="_Toc15855"/>
      <w:bookmarkStart w:id="1123" w:name="bookmark1471"/>
      <w:bookmarkStart w:id="1124" w:name="_Toc256000155"/>
      <w:bookmarkStart w:id="1125" w:name="bookmark1470"/>
      <w:bookmarkStart w:id="1126" w:name="_Toc18039"/>
      <w:bookmarkStart w:id="1127" w:name="bookmark1469"/>
      <w:r>
        <w:rPr>
          <w:rStyle w:val="29"/>
          <w:rFonts w:hint="eastAsia" w:ascii="宋体" w:hAnsi="宋体" w:eastAsia="宋体" w:cs="宋体"/>
          <w:color w:val="auto"/>
          <w:kern w:val="2"/>
          <w:sz w:val="21"/>
          <w:szCs w:val="21"/>
          <w:highlight w:val="none"/>
          <w:lang w:eastAsia="zh-CN"/>
        </w:rPr>
        <w:t>20.5其他保险</w:t>
      </w:r>
      <w:bookmarkEnd w:id="1122"/>
      <w:bookmarkEnd w:id="1123"/>
      <w:bookmarkEnd w:id="1124"/>
      <w:bookmarkEnd w:id="1125"/>
      <w:bookmarkEnd w:id="1126"/>
      <w:bookmarkEnd w:id="1127"/>
    </w:p>
    <w:p w14:paraId="191E0580">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除专用合同条款另有约定外，承包人应为其施工设备、进场的材料和工程设备等办理保险。</w:t>
      </w:r>
    </w:p>
    <w:p w14:paraId="3E67275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28" w:name="_Toc256000156"/>
      <w:bookmarkStart w:id="1129" w:name="bookmark1472"/>
      <w:bookmarkStart w:id="1130" w:name="_Toc9403"/>
      <w:bookmarkStart w:id="1131" w:name="bookmark1473"/>
      <w:bookmarkStart w:id="1132" w:name="_Toc20306"/>
      <w:bookmarkStart w:id="1133" w:name="bookmark1474"/>
      <w:r>
        <w:rPr>
          <w:rStyle w:val="29"/>
          <w:rFonts w:hint="eastAsia" w:ascii="宋体" w:hAnsi="宋体" w:eastAsia="宋体" w:cs="宋体"/>
          <w:color w:val="auto"/>
          <w:kern w:val="2"/>
          <w:sz w:val="21"/>
          <w:szCs w:val="21"/>
          <w:highlight w:val="none"/>
          <w:lang w:eastAsia="zh-CN"/>
        </w:rPr>
        <w:t>20.6对各项保险的一般要求</w:t>
      </w:r>
      <w:bookmarkEnd w:id="1128"/>
      <w:bookmarkEnd w:id="1129"/>
      <w:bookmarkEnd w:id="1130"/>
      <w:bookmarkEnd w:id="1131"/>
      <w:bookmarkEnd w:id="1132"/>
      <w:bookmarkEnd w:id="1133"/>
    </w:p>
    <w:p w14:paraId="1FCC343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en-US" w:eastAsia="zh-CN" w:bidi="ar-SA"/>
        </w:rPr>
        <w:t>20.6.</w:t>
      </w:r>
      <w:r>
        <w:rPr>
          <w:rStyle w:val="29"/>
          <w:rFonts w:hint="eastAsia" w:ascii="宋体" w:hAnsi="宋体" w:eastAsia="宋体" w:cs="宋体"/>
          <w:color w:val="auto"/>
          <w:kern w:val="2"/>
          <w:sz w:val="21"/>
          <w:szCs w:val="21"/>
          <w:highlight w:val="none"/>
          <w:lang w:val="zh-CN" w:eastAsia="zh-CN" w:bidi="ar-SA"/>
        </w:rPr>
        <w:t>1保险凭证</w:t>
      </w:r>
    </w:p>
    <w:p w14:paraId="59705C0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承包人应在专用合同条款约定的期限内向发包人提交各项保险生效的证据和保险单副本，保险单必须与专用合同条款约定的条件保持一致。</w:t>
      </w:r>
    </w:p>
    <w:p w14:paraId="59AAEC8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20.6.2保险合同条款的变动</w:t>
      </w:r>
    </w:p>
    <w:p w14:paraId="4CF7271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承包人需要变动保险合同条款时，应事先征得发包人同意，并通知监理人。保险人作出变动的，承包人应在收到保险人通知后立即通知发包人和监理人。</w:t>
      </w:r>
    </w:p>
    <w:p w14:paraId="07B9D92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en-US" w:eastAsia="zh-CN" w:bidi="ar-SA"/>
        </w:rPr>
        <w:t>20.6.</w:t>
      </w:r>
      <w:r>
        <w:rPr>
          <w:rStyle w:val="29"/>
          <w:rFonts w:hint="eastAsia" w:ascii="宋体" w:hAnsi="宋体" w:eastAsia="宋体" w:cs="宋体"/>
          <w:color w:val="auto"/>
          <w:kern w:val="2"/>
          <w:sz w:val="21"/>
          <w:szCs w:val="21"/>
          <w:highlight w:val="none"/>
          <w:lang w:val="zh-CN" w:eastAsia="zh-CN" w:bidi="ar-SA"/>
        </w:rPr>
        <w:t>3持续保险</w:t>
      </w:r>
    </w:p>
    <w:p w14:paraId="6E33806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承包人应与保险人保持联系，使保险人能够随时了解工程实施中的变动，并确保按保险合同条款要求持续保险。</w:t>
      </w:r>
    </w:p>
    <w:p w14:paraId="6A5CCBD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20.6.4保险金不足的补偿</w:t>
      </w:r>
    </w:p>
    <w:p w14:paraId="49A9752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保险金不足以补偿损失时，应由承包人和发包人各自负责补偿的范围和金额在专用合同条款中约定。</w:t>
      </w:r>
    </w:p>
    <w:p w14:paraId="7ADC8A9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eastAsia="en-US" w:bidi="ar-SA"/>
        </w:rPr>
        <w:t>20.6.</w:t>
      </w:r>
      <w:r>
        <w:rPr>
          <w:rStyle w:val="29"/>
          <w:rFonts w:hint="eastAsia" w:ascii="宋体" w:hAnsi="宋体" w:eastAsia="宋体" w:cs="宋体"/>
          <w:color w:val="auto"/>
          <w:kern w:val="2"/>
          <w:sz w:val="21"/>
          <w:szCs w:val="21"/>
          <w:highlight w:val="none"/>
          <w:lang w:val="en-US" w:bidi="ar-SA"/>
        </w:rPr>
        <w:t>5未按约定投保的补救</w:t>
      </w:r>
    </w:p>
    <w:p w14:paraId="79A0EE90">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34" w:name="bookmark1475"/>
      <w:bookmarkEnd w:id="1134"/>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由于负有投保义务的一方当事人未按合同约定办理保险，或未能使保险持续有效的，另一方当事人可代为办理，所需费用由对方当事人承担。</w:t>
      </w:r>
    </w:p>
    <w:p w14:paraId="0E4EDAB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35" w:name="bookmark1476"/>
      <w:bookmarkEnd w:id="1135"/>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由于负有投保义务的一方当事人未按合同约定办理某项保险，导致受益人未能得到保险人的赔偿，原应从该项保险得到的保险金应由负有投保义务的一方当事人支付。</w:t>
      </w:r>
    </w:p>
    <w:p w14:paraId="51B4C0A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en-US" w:eastAsia="zh-CN" w:bidi="ar-SA"/>
        </w:rPr>
        <w:t>20.6.6</w:t>
      </w:r>
      <w:r>
        <w:rPr>
          <w:rStyle w:val="29"/>
          <w:rFonts w:hint="eastAsia" w:ascii="宋体" w:hAnsi="宋体" w:eastAsia="宋体" w:cs="宋体"/>
          <w:color w:val="auto"/>
          <w:kern w:val="2"/>
          <w:sz w:val="21"/>
          <w:szCs w:val="21"/>
          <w:highlight w:val="none"/>
          <w:lang w:val="zh-CN" w:eastAsia="zh-CN" w:bidi="ar-SA"/>
        </w:rPr>
        <w:t>报告义务</w:t>
      </w:r>
    </w:p>
    <w:p w14:paraId="5A118CA8">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当保险事故发生时，投保人应按照保险单规定的条件和期限及时向保险人报告。</w:t>
      </w:r>
    </w:p>
    <w:p w14:paraId="26A0E86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36" w:name="bookmark1477"/>
      <w:bookmarkStart w:id="1137" w:name="bookmark1479"/>
      <w:bookmarkStart w:id="1138" w:name="_Toc12103"/>
      <w:bookmarkStart w:id="1139" w:name="_Toc256000157"/>
      <w:bookmarkStart w:id="1140" w:name="_Toc1749"/>
      <w:bookmarkStart w:id="1141" w:name="bookmark1478"/>
      <w:r>
        <w:rPr>
          <w:rStyle w:val="29"/>
          <w:rFonts w:hint="eastAsia" w:ascii="宋体" w:hAnsi="宋体" w:eastAsia="宋体" w:cs="宋体"/>
          <w:color w:val="auto"/>
          <w:kern w:val="2"/>
          <w:sz w:val="21"/>
          <w:szCs w:val="21"/>
          <w:highlight w:val="none"/>
          <w:lang w:eastAsia="zh-CN"/>
        </w:rPr>
        <w:t>20.7风险责任的转移</w:t>
      </w:r>
      <w:bookmarkEnd w:id="1136"/>
      <w:bookmarkEnd w:id="1137"/>
      <w:bookmarkEnd w:id="1138"/>
      <w:bookmarkEnd w:id="1139"/>
      <w:bookmarkEnd w:id="1140"/>
      <w:bookmarkEnd w:id="1141"/>
    </w:p>
    <w:p w14:paraId="66E9AE6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工程通过合同工程完工验收并移交给发包人后，原由承包人应承担的风险责任，以及保险的责任、权利和义务同时转移给发包人，但承包人在缺陷责任期(工程质量保修期)前造成损失和损坏情形除外。</w:t>
      </w:r>
    </w:p>
    <w:p w14:paraId="7A01965B">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42" w:name="bookmark1481"/>
      <w:bookmarkStart w:id="1143" w:name="_Toc5879"/>
      <w:bookmarkStart w:id="1144" w:name="bookmark1482"/>
      <w:bookmarkStart w:id="1145" w:name="_Toc256000158"/>
      <w:bookmarkStart w:id="1146" w:name="bookmark1480"/>
      <w:bookmarkStart w:id="1147" w:name="_Toc24408"/>
      <w:r>
        <w:rPr>
          <w:rStyle w:val="29"/>
          <w:rFonts w:hint="eastAsia" w:ascii="宋体" w:hAnsi="宋体" w:eastAsia="宋体" w:cs="宋体"/>
          <w:color w:val="auto"/>
          <w:kern w:val="2"/>
          <w:sz w:val="21"/>
          <w:szCs w:val="21"/>
          <w:highlight w:val="none"/>
          <w:lang w:eastAsia="zh-CN"/>
        </w:rPr>
        <w:t>21.不可抗力</w:t>
      </w:r>
      <w:bookmarkEnd w:id="1142"/>
      <w:bookmarkEnd w:id="1143"/>
      <w:bookmarkEnd w:id="1144"/>
      <w:bookmarkEnd w:id="1145"/>
      <w:bookmarkEnd w:id="1146"/>
      <w:bookmarkEnd w:id="1147"/>
    </w:p>
    <w:p w14:paraId="69CBDE7B">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48" w:name="bookmark1484"/>
      <w:bookmarkStart w:id="1149" w:name="_Toc256000159"/>
      <w:bookmarkStart w:id="1150" w:name="_Toc15722"/>
      <w:bookmarkStart w:id="1151" w:name="bookmark1485"/>
      <w:bookmarkStart w:id="1152" w:name="_Toc18271"/>
      <w:bookmarkStart w:id="1153" w:name="bookmark1483"/>
      <w:r>
        <w:rPr>
          <w:rStyle w:val="29"/>
          <w:rFonts w:hint="eastAsia" w:ascii="宋体" w:hAnsi="宋体" w:eastAsia="宋体" w:cs="宋体"/>
          <w:color w:val="auto"/>
          <w:kern w:val="2"/>
          <w:sz w:val="21"/>
          <w:szCs w:val="21"/>
          <w:highlight w:val="none"/>
          <w:lang w:eastAsia="zh-CN"/>
        </w:rPr>
        <w:t>21.1不可抗力的确认</w:t>
      </w:r>
      <w:bookmarkEnd w:id="1148"/>
      <w:bookmarkEnd w:id="1149"/>
      <w:bookmarkEnd w:id="1150"/>
      <w:bookmarkEnd w:id="1151"/>
      <w:bookmarkEnd w:id="1152"/>
      <w:bookmarkEnd w:id="1153"/>
    </w:p>
    <w:p w14:paraId="5DEF999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21.1.1不可抗力是指承包人和发包人在订立合同时不可预见，在工程施工过程中不可避免发生并不能克服的自然灾害和社会性突发事件，如地震、海啸、瘟疫、水灾、骚乱、暴动、战争和专用合同条款约定的其他情形。</w:t>
      </w:r>
    </w:p>
    <w:p w14:paraId="0E1747D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21.1.2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2B8253C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54" w:name="_Toc256000160"/>
      <w:bookmarkStart w:id="1155" w:name="_Toc2385"/>
      <w:bookmarkStart w:id="1156" w:name="bookmark1486"/>
      <w:bookmarkStart w:id="1157" w:name="bookmark1487"/>
      <w:bookmarkStart w:id="1158" w:name="_Toc5372"/>
      <w:bookmarkStart w:id="1159" w:name="bookmark1488"/>
      <w:r>
        <w:rPr>
          <w:rStyle w:val="29"/>
          <w:rFonts w:hint="eastAsia" w:ascii="宋体" w:hAnsi="宋体" w:eastAsia="宋体" w:cs="宋体"/>
          <w:color w:val="auto"/>
          <w:kern w:val="2"/>
          <w:sz w:val="21"/>
          <w:szCs w:val="21"/>
          <w:highlight w:val="none"/>
          <w:lang w:eastAsia="zh-CN"/>
        </w:rPr>
        <w:t>21.2不可抗力的通知</w:t>
      </w:r>
      <w:bookmarkEnd w:id="1154"/>
      <w:bookmarkEnd w:id="1155"/>
      <w:bookmarkEnd w:id="1156"/>
      <w:bookmarkEnd w:id="1157"/>
      <w:bookmarkEnd w:id="1158"/>
      <w:bookmarkEnd w:id="1159"/>
    </w:p>
    <w:p w14:paraId="59EDB39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21.2.1合同一方当事人遇到不可抗力事件，使其履行合同义务受到阻碍时，应立即通知合同另一方当事人和监理人，书面说明不可抗力和受阻碍的详细情况，并提供必要的证明。</w:t>
      </w:r>
    </w:p>
    <w:p w14:paraId="4D095EA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21.2.2如不可抗力持续发生，合同一方当事人应及时向合同另一方当事人和监理人提交中间报告，说明不可抗力和履行合同受阻的情况，并于不可抗力事件结束后28天内提交最终报告及有关资料。</w:t>
      </w:r>
    </w:p>
    <w:p w14:paraId="7FC79A6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60" w:name="bookmark1489"/>
      <w:bookmarkStart w:id="1161" w:name="_Toc32024"/>
      <w:bookmarkStart w:id="1162" w:name="bookmark1490"/>
      <w:bookmarkStart w:id="1163" w:name="bookmark1491"/>
      <w:bookmarkStart w:id="1164" w:name="_Toc256000161"/>
      <w:bookmarkStart w:id="1165" w:name="_Toc17208"/>
      <w:r>
        <w:rPr>
          <w:rStyle w:val="29"/>
          <w:rFonts w:hint="eastAsia" w:ascii="宋体" w:hAnsi="宋体" w:eastAsia="宋体" w:cs="宋体"/>
          <w:color w:val="auto"/>
          <w:kern w:val="2"/>
          <w:sz w:val="21"/>
          <w:szCs w:val="21"/>
          <w:highlight w:val="none"/>
          <w:lang w:eastAsia="zh-CN"/>
        </w:rPr>
        <w:t>21.3不可抗力后果及其处理</w:t>
      </w:r>
      <w:bookmarkEnd w:id="1160"/>
      <w:bookmarkEnd w:id="1161"/>
      <w:bookmarkEnd w:id="1162"/>
      <w:bookmarkEnd w:id="1163"/>
      <w:bookmarkEnd w:id="1164"/>
      <w:bookmarkEnd w:id="1165"/>
    </w:p>
    <w:p w14:paraId="5B0859C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21.3.1不可抗力造成损害的责任</w:t>
      </w:r>
    </w:p>
    <w:p w14:paraId="511BE66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除专用合同条款另有约定外，不可抗力导致的人员伤亡、财产损失、费用增加和(或)工期延误等后果，由合同双方按以下原则承担：</w:t>
      </w:r>
    </w:p>
    <w:p w14:paraId="02E49BE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66" w:name="bookmark1492"/>
      <w:bookmarkEnd w:id="1166"/>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永久工程，包括已运至施工场地的材料和工程设备的损害，以及因工程损害造成的第三者人员伤亡和财产损失由发包人承担；</w:t>
      </w:r>
    </w:p>
    <w:p w14:paraId="4C2032D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67" w:name="bookmark1493"/>
      <w:bookmarkEnd w:id="1167"/>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承包人设备的损坏由承包人承担；</w:t>
      </w:r>
    </w:p>
    <w:p w14:paraId="2BF99CB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68" w:name="bookmark1494"/>
      <w:bookmarkEnd w:id="1168"/>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发包人和承包人各自承担其人员伤亡和其他财产损失及其相关费用；</w:t>
      </w:r>
    </w:p>
    <w:p w14:paraId="2C4E9D0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69" w:name="bookmark1495"/>
      <w:bookmarkEnd w:id="1169"/>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承包人的停工损失由承包人承担，但停工期间应监理人要求照管工程和清理、修复工程的金额由发包人承担；</w:t>
      </w:r>
    </w:p>
    <w:p w14:paraId="1ED0D64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70" w:name="bookmark1496"/>
      <w:bookmarkEnd w:id="1170"/>
      <w:r>
        <w:rPr>
          <w:rStyle w:val="29"/>
          <w:rFonts w:hint="eastAsia" w:ascii="宋体" w:hAnsi="宋体" w:eastAsia="宋体" w:cs="宋体"/>
          <w:color w:val="auto"/>
          <w:kern w:val="2"/>
          <w:sz w:val="21"/>
          <w:szCs w:val="21"/>
          <w:highlight w:val="none"/>
          <w:lang w:val="zh-CN" w:eastAsia="zh-CN" w:bidi="ar-SA"/>
        </w:rPr>
        <w:t>(5)</w:t>
      </w:r>
      <w:r>
        <w:rPr>
          <w:rStyle w:val="29"/>
          <w:rFonts w:hint="eastAsia" w:ascii="宋体" w:hAnsi="宋体" w:eastAsia="宋体" w:cs="宋体"/>
          <w:color w:val="auto"/>
          <w:kern w:val="2"/>
          <w:sz w:val="21"/>
          <w:szCs w:val="21"/>
          <w:highlight w:val="none"/>
          <w:lang w:val="en-US" w:bidi="ar-SA"/>
        </w:rPr>
        <w:t>不能按期竣工的，应合理延长工期，承包人不需支付逾期竣工违约金。发包人要求赶工的，承包人应采取赶工措施，赶工费用由发包人承担。</w:t>
      </w:r>
    </w:p>
    <w:p w14:paraId="72517E3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21.3.2延迟履行期间发生的不可抗力</w:t>
      </w:r>
    </w:p>
    <w:p w14:paraId="3B52713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合同一方当事人延迟履行，在延迟履行期间发生不可抗力的，不免除其责任。</w:t>
      </w:r>
    </w:p>
    <w:p w14:paraId="2B1CB88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21.3.3避免和减少不可抗力损失</w:t>
      </w:r>
    </w:p>
    <w:p w14:paraId="0EF41DC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不可抗力发生后，发包人和承包人均应采取措施尽量避免和减少损失的扩大，任何一方没有采取有效措施导致损失扩大的，应对扩大的损失承担责任。</w:t>
      </w:r>
    </w:p>
    <w:p w14:paraId="13E95A9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bidi="ar-SA"/>
        </w:rPr>
        <w:t>21.3.4因不可抗力解除合同</w:t>
      </w:r>
    </w:p>
    <w:p w14:paraId="551584A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3CAB2E9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71" w:name="bookmark1499"/>
      <w:bookmarkStart w:id="1172" w:name="_Toc15837"/>
      <w:bookmarkStart w:id="1173" w:name="_Toc6299"/>
      <w:bookmarkStart w:id="1174" w:name="_Toc256000162"/>
      <w:bookmarkStart w:id="1175" w:name="bookmark1498"/>
      <w:bookmarkStart w:id="1176" w:name="bookmark1497"/>
      <w:r>
        <w:rPr>
          <w:rStyle w:val="29"/>
          <w:rFonts w:hint="eastAsia" w:ascii="宋体" w:hAnsi="宋体" w:eastAsia="宋体" w:cs="宋体"/>
          <w:color w:val="auto"/>
          <w:kern w:val="2"/>
          <w:sz w:val="21"/>
          <w:szCs w:val="21"/>
          <w:highlight w:val="none"/>
          <w:lang w:eastAsia="zh-CN"/>
        </w:rPr>
        <w:t>22.违约</w:t>
      </w:r>
      <w:bookmarkEnd w:id="1171"/>
      <w:bookmarkEnd w:id="1172"/>
      <w:bookmarkEnd w:id="1173"/>
      <w:bookmarkEnd w:id="1174"/>
    </w:p>
    <w:p w14:paraId="6C0AAAA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77" w:name="_Toc256000163"/>
      <w:bookmarkStart w:id="1178" w:name="_Toc15198"/>
      <w:bookmarkStart w:id="1179" w:name="_Toc3191"/>
      <w:bookmarkStart w:id="1180" w:name="bookmark1500"/>
      <w:r>
        <w:rPr>
          <w:rStyle w:val="29"/>
          <w:rFonts w:hint="eastAsia" w:ascii="宋体" w:hAnsi="宋体" w:eastAsia="宋体" w:cs="宋体"/>
          <w:color w:val="auto"/>
          <w:kern w:val="2"/>
          <w:sz w:val="21"/>
          <w:szCs w:val="21"/>
          <w:highlight w:val="none"/>
          <w:lang w:eastAsia="zh-CN"/>
        </w:rPr>
        <w:t>22.1承包人违约</w:t>
      </w:r>
      <w:bookmarkEnd w:id="1175"/>
      <w:bookmarkEnd w:id="1176"/>
      <w:bookmarkEnd w:id="1177"/>
      <w:bookmarkEnd w:id="1178"/>
      <w:bookmarkEnd w:id="1179"/>
      <w:bookmarkEnd w:id="1180"/>
    </w:p>
    <w:p w14:paraId="4C542E3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22.1.1承包人违约的情形</w:t>
      </w:r>
    </w:p>
    <w:p w14:paraId="088EF0FD">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在履行合同过程中发生的下列情况属承包人违约：</w:t>
      </w:r>
    </w:p>
    <w:p w14:paraId="58FC5A3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81" w:name="bookmark1501"/>
      <w:bookmarkEnd w:id="1181"/>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承包人违反第1.8款或第4.3款的约定，私自将合同的全部或部分权利转让给其他人，或私自将合同的全部或部分义务转移给其他人；</w:t>
      </w:r>
    </w:p>
    <w:p w14:paraId="08AEA1D0">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82" w:name="bookmark1502"/>
      <w:bookmarkEnd w:id="1182"/>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承包人违反第5.3款或第6.4款的约定，未经监理人批准，私自将已按合同约定进入施工场地的施工设备、临时设施或材料撤离施工场地；</w:t>
      </w:r>
    </w:p>
    <w:p w14:paraId="1B80328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83" w:name="bookmark1503"/>
      <w:bookmarkEnd w:id="1183"/>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承包人违反第5.4款的约定使用了不合格材料或工程设备，工程质量达不到标准要求，又拒绝清除不合格工程；</w:t>
      </w:r>
    </w:p>
    <w:p w14:paraId="2667C82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84" w:name="bookmark1504"/>
      <w:bookmarkEnd w:id="1184"/>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承包人未能按合同进度计划及时完成合同约定的工作，已造成或预期造成工期延误；</w:t>
      </w:r>
    </w:p>
    <w:p w14:paraId="702FC160">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85" w:name="bookmark1505"/>
      <w:bookmarkEnd w:id="1185"/>
      <w:r>
        <w:rPr>
          <w:rStyle w:val="29"/>
          <w:rFonts w:hint="eastAsia" w:ascii="宋体" w:hAnsi="宋体" w:eastAsia="宋体" w:cs="宋体"/>
          <w:color w:val="auto"/>
          <w:kern w:val="2"/>
          <w:sz w:val="21"/>
          <w:szCs w:val="21"/>
          <w:highlight w:val="none"/>
          <w:lang w:val="zh-CN" w:eastAsia="zh-CN" w:bidi="ar-SA"/>
        </w:rPr>
        <w:t>(5)</w:t>
      </w:r>
      <w:r>
        <w:rPr>
          <w:rStyle w:val="29"/>
          <w:rFonts w:hint="eastAsia" w:ascii="宋体" w:hAnsi="宋体" w:eastAsia="宋体" w:cs="宋体"/>
          <w:color w:val="auto"/>
          <w:kern w:val="2"/>
          <w:sz w:val="21"/>
          <w:szCs w:val="21"/>
          <w:highlight w:val="none"/>
          <w:lang w:val="en-US" w:bidi="ar-SA"/>
        </w:rPr>
        <w:t>承包人在缺陷责任期(工程质量保修期)内，未能对合同工程完工验收鉴定书中所列的缺陷清单的内容或缺陷责任期(工程质量保修期)内发生的缺陷进行修复，而又拒绝按监理人指示再进行修补；</w:t>
      </w:r>
    </w:p>
    <w:p w14:paraId="2C2C8D0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86" w:name="bookmark1506"/>
      <w:bookmarkEnd w:id="1186"/>
      <w:r>
        <w:rPr>
          <w:rStyle w:val="29"/>
          <w:rFonts w:hint="eastAsia" w:ascii="宋体" w:hAnsi="宋体" w:eastAsia="宋体" w:cs="宋体"/>
          <w:color w:val="auto"/>
          <w:kern w:val="2"/>
          <w:sz w:val="21"/>
          <w:szCs w:val="21"/>
          <w:highlight w:val="none"/>
          <w:lang w:val="zh-CN" w:eastAsia="zh-CN" w:bidi="ar-SA"/>
        </w:rPr>
        <w:t>(6)</w:t>
      </w:r>
      <w:r>
        <w:rPr>
          <w:rStyle w:val="29"/>
          <w:rFonts w:hint="eastAsia" w:ascii="宋体" w:hAnsi="宋体" w:eastAsia="宋体" w:cs="宋体"/>
          <w:color w:val="auto"/>
          <w:kern w:val="2"/>
          <w:sz w:val="21"/>
          <w:szCs w:val="21"/>
          <w:highlight w:val="none"/>
          <w:lang w:val="en-US" w:bidi="ar-SA"/>
        </w:rPr>
        <w:t>承包人无法继续履行或明确表示不履行或实质上已停止履行合同；</w:t>
      </w:r>
    </w:p>
    <w:p w14:paraId="05F0208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87" w:name="bookmark1507"/>
      <w:bookmarkEnd w:id="1187"/>
      <w:r>
        <w:rPr>
          <w:rStyle w:val="29"/>
          <w:rFonts w:hint="eastAsia" w:ascii="宋体" w:hAnsi="宋体" w:eastAsia="宋体" w:cs="宋体"/>
          <w:color w:val="auto"/>
          <w:kern w:val="2"/>
          <w:sz w:val="21"/>
          <w:szCs w:val="21"/>
          <w:highlight w:val="none"/>
          <w:lang w:val="zh-CN" w:eastAsia="zh-CN" w:bidi="ar-SA"/>
        </w:rPr>
        <w:t>(7)</w:t>
      </w:r>
      <w:r>
        <w:rPr>
          <w:rStyle w:val="29"/>
          <w:rFonts w:hint="eastAsia" w:ascii="宋体" w:hAnsi="宋体" w:eastAsia="宋体" w:cs="宋体"/>
          <w:color w:val="auto"/>
          <w:kern w:val="2"/>
          <w:sz w:val="21"/>
          <w:szCs w:val="21"/>
          <w:highlight w:val="none"/>
          <w:lang w:val="en-US" w:bidi="ar-SA"/>
        </w:rPr>
        <w:t>承包人不按合同约定履行义务的其他情况。</w:t>
      </w:r>
    </w:p>
    <w:p w14:paraId="547B914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eastAsia="en-US" w:bidi="ar-SA"/>
        </w:rPr>
        <w:t>22.1.2</w:t>
      </w:r>
      <w:r>
        <w:rPr>
          <w:rStyle w:val="29"/>
          <w:rFonts w:hint="eastAsia" w:ascii="宋体" w:hAnsi="宋体" w:eastAsia="宋体" w:cs="宋体"/>
          <w:color w:val="auto"/>
          <w:kern w:val="2"/>
          <w:sz w:val="21"/>
          <w:szCs w:val="21"/>
          <w:highlight w:val="none"/>
          <w:lang w:val="en-US" w:bidi="ar-SA"/>
        </w:rPr>
        <w:t>对承包人违约的处理</w:t>
      </w:r>
    </w:p>
    <w:p w14:paraId="2EB52B8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88" w:name="bookmark1508"/>
      <w:bookmarkEnd w:id="1188"/>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承包人发生第22.1.1(6)目约定的违约情况时，发包人可通知承包人立即解除合同，并按有关法律处理。</w:t>
      </w:r>
    </w:p>
    <w:p w14:paraId="0519E11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89" w:name="bookmark1509"/>
      <w:bookmarkEnd w:id="1189"/>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承包人发生除第22.1.1(6)目约定以外的其他违约情况时，监理人可向承包人发出整改通知，要求其在指定的期限内改正。承包人应承担其违约所引起的费用增加和(或)工期延误。</w:t>
      </w:r>
    </w:p>
    <w:p w14:paraId="146C16D0">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90" w:name="bookmark1510"/>
      <w:bookmarkEnd w:id="1190"/>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经检查证明承包人已采取了有效措施纠正违约行为，具备复工条件的，可由监理人签发复工通知复工。</w:t>
      </w:r>
    </w:p>
    <w:p w14:paraId="1F89A57D">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22.1.3承包人违约解除合同</w:t>
      </w:r>
    </w:p>
    <w:p w14:paraId="60F398E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1F0438A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22.1.4合同解除后的估价、付款和结清</w:t>
      </w:r>
    </w:p>
    <w:p w14:paraId="244DB75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91" w:name="bookmark1511"/>
      <w:bookmarkEnd w:id="1191"/>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合同解除后，监理人按第3.5款商定或确定承包人实际完成工作的价值，以及承包人已提供的材料、施工设备、工程设备和临时工程等的价值。</w:t>
      </w:r>
    </w:p>
    <w:p w14:paraId="0010DA3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92" w:name="bookmark1512"/>
      <w:bookmarkEnd w:id="1192"/>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合同解除后，发包人应暂停对承包人的一切付款，查清各项付款和已扣款金额,包括承包人应支付的违约金。</w:t>
      </w:r>
    </w:p>
    <w:p w14:paraId="1712F34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93" w:name="bookmark1513"/>
      <w:bookmarkEnd w:id="1193"/>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合同解除后，发包人应按第23.4款的约定向承包人索赔由于解除合同给发包人造成的损失。</w:t>
      </w:r>
    </w:p>
    <w:p w14:paraId="74F2421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94" w:name="bookmark1514"/>
      <w:bookmarkEnd w:id="1194"/>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合同双方确认上述往来款项后，出具最终结清付款证书，结清全部合同款项。</w:t>
      </w:r>
    </w:p>
    <w:p w14:paraId="63CB316D">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195" w:name="bookmark1515"/>
      <w:bookmarkEnd w:id="1195"/>
      <w:r>
        <w:rPr>
          <w:rStyle w:val="29"/>
          <w:rFonts w:hint="eastAsia" w:ascii="宋体" w:hAnsi="宋体" w:eastAsia="宋体" w:cs="宋体"/>
          <w:color w:val="auto"/>
          <w:kern w:val="2"/>
          <w:sz w:val="21"/>
          <w:szCs w:val="21"/>
          <w:highlight w:val="none"/>
          <w:lang w:val="zh-CN" w:eastAsia="zh-CN" w:bidi="ar-SA"/>
        </w:rPr>
        <w:t>(5)</w:t>
      </w:r>
      <w:r>
        <w:rPr>
          <w:rStyle w:val="29"/>
          <w:rFonts w:hint="eastAsia" w:ascii="宋体" w:hAnsi="宋体" w:eastAsia="宋体" w:cs="宋体"/>
          <w:color w:val="auto"/>
          <w:kern w:val="2"/>
          <w:sz w:val="21"/>
          <w:szCs w:val="21"/>
          <w:highlight w:val="none"/>
          <w:lang w:val="en-US" w:bidi="ar-SA"/>
        </w:rPr>
        <w:t>发包人和承包人未能就解除合同后的结清达成一致而形成争议的，按第24条的约定办理。</w:t>
      </w:r>
    </w:p>
    <w:p w14:paraId="2A444F5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22.1.5协议利益的转让</w:t>
      </w:r>
    </w:p>
    <w:p w14:paraId="1D9C00A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因承包人违约解除合同的，发包人有权要求承包人将其为实施合同而签订的材料和设备的订货协议或任何服务协议利益转让给发包人，并在解除合同后的14天内，依法办理转让手续。</w:t>
      </w:r>
    </w:p>
    <w:p w14:paraId="2CCC7D0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bookmarkStart w:id="1196" w:name="bookmark1516"/>
      <w:bookmarkEnd w:id="1196"/>
      <w:r>
        <w:rPr>
          <w:rStyle w:val="29"/>
          <w:rFonts w:hint="eastAsia" w:ascii="宋体" w:hAnsi="宋体" w:eastAsia="宋体" w:cs="宋体"/>
          <w:color w:val="auto"/>
          <w:kern w:val="2"/>
          <w:sz w:val="21"/>
          <w:szCs w:val="21"/>
          <w:highlight w:val="none"/>
          <w:lang w:val="en-US" w:bidi="ar-SA"/>
        </w:rPr>
        <w:t>22.1.6紧急情况下无能力或不愿进行抢救</w:t>
      </w:r>
    </w:p>
    <w:p w14:paraId="4B3C3E5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590E373B">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197" w:name="bookmark1519"/>
      <w:bookmarkStart w:id="1198" w:name="_Toc32348"/>
      <w:bookmarkStart w:id="1199" w:name="_Toc256000164"/>
      <w:bookmarkStart w:id="1200" w:name="bookmark1518"/>
      <w:bookmarkStart w:id="1201" w:name="bookmark1517"/>
      <w:bookmarkStart w:id="1202" w:name="_Toc24772"/>
      <w:r>
        <w:rPr>
          <w:rStyle w:val="29"/>
          <w:rFonts w:hint="eastAsia" w:ascii="宋体" w:hAnsi="宋体" w:eastAsia="宋体" w:cs="宋体"/>
          <w:color w:val="auto"/>
          <w:kern w:val="2"/>
          <w:sz w:val="21"/>
          <w:szCs w:val="21"/>
          <w:highlight w:val="none"/>
          <w:lang w:eastAsia="zh-CN"/>
        </w:rPr>
        <w:t>22.2发包人违约</w:t>
      </w:r>
      <w:bookmarkEnd w:id="1197"/>
      <w:bookmarkEnd w:id="1198"/>
      <w:bookmarkEnd w:id="1199"/>
      <w:bookmarkEnd w:id="1200"/>
      <w:bookmarkEnd w:id="1201"/>
      <w:bookmarkEnd w:id="1202"/>
    </w:p>
    <w:p w14:paraId="038AC7D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22.2.1发包人违约的情形</w:t>
      </w:r>
    </w:p>
    <w:p w14:paraId="3F1F52A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在履行合同过程中发生的下列情形，属发包人违约：</w:t>
      </w:r>
    </w:p>
    <w:p w14:paraId="5467FA3D">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03" w:name="bookmark1520"/>
      <w:bookmarkEnd w:id="1203"/>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发包人未能按合同约定支付预付款或合同价款，或拖延、拒绝批准付款申请和支付凭证，导致付款延误的；</w:t>
      </w:r>
    </w:p>
    <w:p w14:paraId="420FFDD8">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04" w:name="bookmark1521"/>
      <w:bookmarkEnd w:id="1204"/>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发包人原因造成停工的；</w:t>
      </w:r>
    </w:p>
    <w:p w14:paraId="2FDDF8D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05" w:name="bookmark1522"/>
      <w:bookmarkEnd w:id="1205"/>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监理人无正当理由没有在约定期限内发出复工指示，导致承包人无法复工的；</w:t>
      </w:r>
    </w:p>
    <w:p w14:paraId="647BC9A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06" w:name="bookmark1523"/>
      <w:bookmarkEnd w:id="1206"/>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发包人无法继续履行或明确表示不履行或实质上已停止履行合同的；</w:t>
      </w:r>
    </w:p>
    <w:p w14:paraId="3C9D89B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07" w:name="bookmark1524"/>
      <w:bookmarkEnd w:id="1207"/>
      <w:r>
        <w:rPr>
          <w:rStyle w:val="29"/>
          <w:rFonts w:hint="eastAsia" w:ascii="宋体" w:hAnsi="宋体" w:eastAsia="宋体" w:cs="宋体"/>
          <w:color w:val="auto"/>
          <w:kern w:val="2"/>
          <w:sz w:val="21"/>
          <w:szCs w:val="21"/>
          <w:highlight w:val="none"/>
          <w:lang w:val="zh-CN" w:eastAsia="zh-CN" w:bidi="ar-SA"/>
        </w:rPr>
        <w:t>(5)</w:t>
      </w:r>
      <w:r>
        <w:rPr>
          <w:rStyle w:val="29"/>
          <w:rFonts w:hint="eastAsia" w:ascii="宋体" w:hAnsi="宋体" w:eastAsia="宋体" w:cs="宋体"/>
          <w:color w:val="auto"/>
          <w:kern w:val="2"/>
          <w:sz w:val="21"/>
          <w:szCs w:val="21"/>
          <w:highlight w:val="none"/>
          <w:lang w:val="en-US" w:bidi="ar-SA"/>
        </w:rPr>
        <w:t>发包人不履行合同约定其他义务的。</w:t>
      </w:r>
    </w:p>
    <w:p w14:paraId="170C597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22.2.2承包人有权暂停施工</w:t>
      </w:r>
    </w:p>
    <w:p w14:paraId="5A899A4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1F8F69A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eastAsia="en-US" w:bidi="ar-SA"/>
        </w:rPr>
        <w:t>22.2.3</w:t>
      </w:r>
      <w:r>
        <w:rPr>
          <w:rStyle w:val="29"/>
          <w:rFonts w:hint="eastAsia" w:ascii="宋体" w:hAnsi="宋体" w:eastAsia="宋体" w:cs="宋体"/>
          <w:color w:val="auto"/>
          <w:kern w:val="2"/>
          <w:sz w:val="21"/>
          <w:szCs w:val="21"/>
          <w:highlight w:val="none"/>
          <w:lang w:val="en-US" w:bidi="ar-SA"/>
        </w:rPr>
        <w:t>发包人违约解除合同</w:t>
      </w:r>
    </w:p>
    <w:p w14:paraId="148635C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08" w:name="bookmark1525"/>
      <w:bookmarkEnd w:id="1208"/>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发生第22.2.1(4)目的违约情况时，承包人可书面通知发包人解除合同。</w:t>
      </w:r>
    </w:p>
    <w:p w14:paraId="3D8E1AE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09" w:name="bookmark1526"/>
      <w:bookmarkEnd w:id="1209"/>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承包人按22.2.2项暂停施工28天后，发包人仍不纠正违约行为的，承包人可向发包人发出解除合同通知。但承包人的这一行动不免除发包人承担的违约责任，也不影响承包人根据合同约定享有的索赔权利。</w:t>
      </w:r>
    </w:p>
    <w:p w14:paraId="4FB07AD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22.2.4解除合同后的付款</w:t>
      </w:r>
    </w:p>
    <w:p w14:paraId="0D35C32B">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因发包人违约解除合同的，发包人应在解除合同后28天内向承包人支付下列金额，承包人应在此期限内及时向发包人提交要求支付下列金额的有关资料和凭证：</w:t>
      </w:r>
    </w:p>
    <w:p w14:paraId="322FA83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10" w:name="bookmark1527"/>
      <w:bookmarkEnd w:id="1210"/>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合同解除日以前所完成工作的价款；</w:t>
      </w:r>
    </w:p>
    <w:p w14:paraId="1C824DE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11" w:name="bookmark1528"/>
      <w:bookmarkEnd w:id="1211"/>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承包人为该工程施工订购并已付款的材料、工程设备和其他物品的金额。发包人付还后，该材料、工程设备和其他物品归发包人所有；</w:t>
      </w:r>
    </w:p>
    <w:p w14:paraId="48E37B0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12" w:name="bookmark1529"/>
      <w:bookmarkEnd w:id="1212"/>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承包人为完成工程所发生的，而发包人未支付的金额；</w:t>
      </w:r>
    </w:p>
    <w:p w14:paraId="5796FFC0">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13" w:name="bookmark1530"/>
      <w:bookmarkEnd w:id="1213"/>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承包人撤离施工场地以及遣散承包人人员的金额；</w:t>
      </w:r>
    </w:p>
    <w:p w14:paraId="216D07EC">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14" w:name="bookmark1531"/>
      <w:bookmarkEnd w:id="1214"/>
      <w:r>
        <w:rPr>
          <w:rStyle w:val="29"/>
          <w:rFonts w:hint="eastAsia" w:ascii="宋体" w:hAnsi="宋体" w:eastAsia="宋体" w:cs="宋体"/>
          <w:color w:val="auto"/>
          <w:kern w:val="2"/>
          <w:sz w:val="21"/>
          <w:szCs w:val="21"/>
          <w:highlight w:val="none"/>
          <w:lang w:val="zh-CN" w:eastAsia="zh-CN" w:bidi="ar-SA"/>
        </w:rPr>
        <w:t>(5)</w:t>
      </w:r>
      <w:r>
        <w:rPr>
          <w:rStyle w:val="29"/>
          <w:rFonts w:hint="eastAsia" w:ascii="宋体" w:hAnsi="宋体" w:eastAsia="宋体" w:cs="宋体"/>
          <w:color w:val="auto"/>
          <w:kern w:val="2"/>
          <w:sz w:val="21"/>
          <w:szCs w:val="21"/>
          <w:highlight w:val="none"/>
          <w:lang w:val="en-US" w:bidi="ar-SA"/>
        </w:rPr>
        <w:t>由于解除合同应赔偿的承包人损失；</w:t>
      </w:r>
    </w:p>
    <w:p w14:paraId="75E1EFE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15" w:name="bookmark1532"/>
      <w:bookmarkEnd w:id="1215"/>
      <w:r>
        <w:rPr>
          <w:rStyle w:val="29"/>
          <w:rFonts w:hint="eastAsia" w:ascii="宋体" w:hAnsi="宋体" w:eastAsia="宋体" w:cs="宋体"/>
          <w:color w:val="auto"/>
          <w:kern w:val="2"/>
          <w:sz w:val="21"/>
          <w:szCs w:val="21"/>
          <w:highlight w:val="none"/>
          <w:lang w:val="zh-CN" w:eastAsia="zh-CN" w:bidi="ar-SA"/>
        </w:rPr>
        <w:t>(6)</w:t>
      </w:r>
      <w:r>
        <w:rPr>
          <w:rStyle w:val="29"/>
          <w:rFonts w:hint="eastAsia" w:ascii="宋体" w:hAnsi="宋体" w:eastAsia="宋体" w:cs="宋体"/>
          <w:color w:val="auto"/>
          <w:kern w:val="2"/>
          <w:sz w:val="21"/>
          <w:szCs w:val="21"/>
          <w:highlight w:val="none"/>
          <w:lang w:val="en-US" w:bidi="ar-SA"/>
        </w:rPr>
        <w:t>按合同约定在合同解除日前应支付给承包人的其他金额。</w:t>
      </w:r>
    </w:p>
    <w:p w14:paraId="5F9A0777">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发包人应按本项约定支付上述金额并退还质量保证金和履约担保，但有权要求承包人支付应偿还给发包人的各项金额。</w:t>
      </w:r>
    </w:p>
    <w:p w14:paraId="35270EA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val="en-US"/>
        </w:rPr>
      </w:pPr>
      <w:r>
        <w:rPr>
          <w:rStyle w:val="29"/>
          <w:rFonts w:hint="eastAsia" w:ascii="宋体" w:hAnsi="宋体" w:eastAsia="宋体" w:cs="宋体"/>
          <w:color w:val="auto"/>
          <w:kern w:val="2"/>
          <w:sz w:val="21"/>
          <w:szCs w:val="21"/>
          <w:highlight w:val="none"/>
          <w:lang w:val="en-US" w:bidi="ar-SA"/>
        </w:rPr>
        <w:t>22.2.5解除合同后的承包人撤离</w:t>
      </w:r>
    </w:p>
    <w:p w14:paraId="3D2C357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3EAF2AC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16" w:name="_Toc9266"/>
      <w:bookmarkStart w:id="1217" w:name="bookmark1535"/>
      <w:bookmarkStart w:id="1218" w:name="bookmark1533"/>
      <w:bookmarkStart w:id="1219" w:name="_Toc256000165"/>
      <w:bookmarkStart w:id="1220" w:name="_Toc7744"/>
      <w:bookmarkStart w:id="1221" w:name="bookmark1534"/>
      <w:r>
        <w:rPr>
          <w:rStyle w:val="29"/>
          <w:rFonts w:hint="eastAsia" w:ascii="宋体" w:hAnsi="宋体" w:eastAsia="宋体" w:cs="宋体"/>
          <w:color w:val="auto"/>
          <w:kern w:val="2"/>
          <w:sz w:val="21"/>
          <w:szCs w:val="21"/>
          <w:highlight w:val="none"/>
          <w:lang w:eastAsia="zh-CN"/>
        </w:rPr>
        <w:t>22.3第三人造成的违约</w:t>
      </w:r>
      <w:bookmarkEnd w:id="1216"/>
      <w:bookmarkEnd w:id="1217"/>
      <w:bookmarkEnd w:id="1218"/>
      <w:bookmarkEnd w:id="1219"/>
      <w:bookmarkEnd w:id="1220"/>
      <w:bookmarkEnd w:id="1221"/>
    </w:p>
    <w:p w14:paraId="3D85DC7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在履行合同过程中，一方当事人因第三人的原因造成违约的，应当向对方当事人承担违约责任。一方当事人和第三人之间的纠纷，依照法律规定或者按照约定解决。</w:t>
      </w:r>
    </w:p>
    <w:p w14:paraId="5AF95F9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22" w:name="_Toc26868"/>
      <w:bookmarkStart w:id="1223" w:name="_Toc256000166"/>
      <w:bookmarkStart w:id="1224" w:name="_Toc29128"/>
      <w:r>
        <w:rPr>
          <w:rStyle w:val="29"/>
          <w:rFonts w:hint="eastAsia" w:ascii="宋体" w:hAnsi="宋体" w:eastAsia="宋体" w:cs="宋体"/>
          <w:color w:val="auto"/>
          <w:kern w:val="2"/>
          <w:sz w:val="21"/>
          <w:szCs w:val="21"/>
          <w:highlight w:val="none"/>
          <w:lang w:eastAsia="zh-CN"/>
        </w:rPr>
        <w:t>23.索赔</w:t>
      </w:r>
      <w:bookmarkEnd w:id="1222"/>
      <w:bookmarkEnd w:id="1223"/>
      <w:bookmarkEnd w:id="1224"/>
    </w:p>
    <w:p w14:paraId="105F581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25" w:name="bookmark1536"/>
      <w:bookmarkStart w:id="1226" w:name="bookmark1538"/>
      <w:bookmarkStart w:id="1227" w:name="bookmark1537"/>
      <w:bookmarkStart w:id="1228" w:name="_Toc12223"/>
      <w:bookmarkStart w:id="1229" w:name="_Toc256000167"/>
      <w:bookmarkStart w:id="1230" w:name="_Toc25030"/>
      <w:r>
        <w:rPr>
          <w:rStyle w:val="29"/>
          <w:rFonts w:hint="eastAsia" w:ascii="宋体" w:hAnsi="宋体" w:eastAsia="宋体" w:cs="宋体"/>
          <w:color w:val="auto"/>
          <w:kern w:val="2"/>
          <w:sz w:val="21"/>
          <w:szCs w:val="21"/>
          <w:highlight w:val="none"/>
          <w:lang w:eastAsia="zh-CN"/>
        </w:rPr>
        <w:t>23.1承包人索赔的提出</w:t>
      </w:r>
      <w:bookmarkEnd w:id="1225"/>
      <w:bookmarkEnd w:id="1226"/>
      <w:bookmarkEnd w:id="1227"/>
      <w:bookmarkEnd w:id="1228"/>
      <w:bookmarkEnd w:id="1229"/>
      <w:bookmarkEnd w:id="1230"/>
    </w:p>
    <w:p w14:paraId="7D33A7E2">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en-US" w:eastAsia="zh-CN" w:bidi="ar-SA"/>
        </w:rPr>
        <w:t>根据合同约定，承包人认为有权得到追加付款和(或)延长工期的，应按以下程序向发包人提出索赔：</w:t>
      </w:r>
    </w:p>
    <w:p w14:paraId="5F089F4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31" w:name="bookmark1539"/>
      <w:bookmarkEnd w:id="1231"/>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承包人应在知道或应当知道索赔事件发生后28天内，向监理人递交索赔意向通知书，并说明发生索赔事件的事由。承包人未在前述28天内发出索赔意向通知书的，丧失要求追加付款和(或)延长工期的权利；</w:t>
      </w:r>
    </w:p>
    <w:p w14:paraId="5F6F8B7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32" w:name="bookmark1540"/>
      <w:bookmarkEnd w:id="1232"/>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承包人应在发出索赔意向通知书后28天内，向监理人正式递交索赔通知书。索赔通知书应详细说明索赔理由以及要求追加的付款金额和(或)延长的工期，并附必要的记录和证明材料；</w:t>
      </w:r>
    </w:p>
    <w:p w14:paraId="0FA1D2A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33" w:name="bookmark1541"/>
      <w:bookmarkEnd w:id="1233"/>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索赔事件具有连续影响的，承包人应按合理时间间隔继续递交延续索赔通知，说明连续影响的实际情况和记录，列出累计的追加付款金额和(或)工期延长天数；</w:t>
      </w:r>
    </w:p>
    <w:p w14:paraId="31045F6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34" w:name="bookmark1542"/>
      <w:bookmarkEnd w:id="1234"/>
      <w:r>
        <w:rPr>
          <w:rStyle w:val="29"/>
          <w:rFonts w:hint="eastAsia" w:ascii="宋体" w:hAnsi="宋体" w:eastAsia="宋体" w:cs="宋体"/>
          <w:color w:val="auto"/>
          <w:kern w:val="2"/>
          <w:sz w:val="21"/>
          <w:szCs w:val="21"/>
          <w:highlight w:val="none"/>
          <w:lang w:val="zh-CN" w:eastAsia="zh-CN" w:bidi="ar-SA"/>
        </w:rPr>
        <w:t>(4)</w:t>
      </w:r>
      <w:r>
        <w:rPr>
          <w:rStyle w:val="29"/>
          <w:rFonts w:hint="eastAsia" w:ascii="宋体" w:hAnsi="宋体" w:eastAsia="宋体" w:cs="宋体"/>
          <w:color w:val="auto"/>
          <w:kern w:val="2"/>
          <w:sz w:val="21"/>
          <w:szCs w:val="21"/>
          <w:highlight w:val="none"/>
          <w:lang w:val="en-US" w:bidi="ar-SA"/>
        </w:rPr>
        <w:t>在索赔事件影响结束后的28天内，承包人应向监理人递交最终索赔通知书，说明最终要求索赔的追加付款金额和延长的工期，并附必要的记录和证明材料。</w:t>
      </w:r>
    </w:p>
    <w:p w14:paraId="6F977F4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35" w:name="_Toc256000168"/>
      <w:bookmarkStart w:id="1236" w:name="_Toc5534"/>
      <w:bookmarkStart w:id="1237" w:name="bookmark1543"/>
      <w:bookmarkStart w:id="1238" w:name="bookmark1544"/>
      <w:bookmarkStart w:id="1239" w:name="_Toc1402"/>
      <w:bookmarkStart w:id="1240" w:name="bookmark1545"/>
      <w:r>
        <w:rPr>
          <w:rStyle w:val="29"/>
          <w:rFonts w:hint="eastAsia" w:ascii="宋体" w:hAnsi="宋体" w:eastAsia="宋体" w:cs="宋体"/>
          <w:color w:val="auto"/>
          <w:kern w:val="2"/>
          <w:sz w:val="21"/>
          <w:szCs w:val="21"/>
          <w:highlight w:val="none"/>
          <w:lang w:eastAsia="zh-CN"/>
        </w:rPr>
        <w:t>23.2承包人索赔处理程序</w:t>
      </w:r>
      <w:bookmarkEnd w:id="1235"/>
      <w:bookmarkEnd w:id="1236"/>
      <w:bookmarkEnd w:id="1237"/>
      <w:bookmarkEnd w:id="1238"/>
      <w:bookmarkEnd w:id="1239"/>
      <w:bookmarkEnd w:id="1240"/>
    </w:p>
    <w:p w14:paraId="6C40233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41" w:name="bookmark1546"/>
      <w:bookmarkEnd w:id="1241"/>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监理人收到承包人提交的索赔通知书后，应及时审查索赔通知书的内容、查验承包人的记录和证明材料，必要时监理人可要求承包人提交全部原始记录副本。</w:t>
      </w:r>
    </w:p>
    <w:p w14:paraId="344E2D0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42" w:name="bookmark1547"/>
      <w:bookmarkEnd w:id="1242"/>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监理人应按第3.5款商定或确定追加的付款和(或)延长的工期，并在收到上述索赔通知书或有关索赔的进一步证明材料后的42天内，将索赔处理结果答复承包人。</w:t>
      </w:r>
    </w:p>
    <w:p w14:paraId="0E56AD1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43" w:name="bookmark1548"/>
      <w:bookmarkEnd w:id="1243"/>
      <w:r>
        <w:rPr>
          <w:rStyle w:val="29"/>
          <w:rFonts w:hint="eastAsia" w:ascii="宋体" w:hAnsi="宋体" w:eastAsia="宋体" w:cs="宋体"/>
          <w:color w:val="auto"/>
          <w:kern w:val="2"/>
          <w:sz w:val="21"/>
          <w:szCs w:val="21"/>
          <w:highlight w:val="none"/>
          <w:lang w:val="zh-CN" w:eastAsia="zh-CN" w:bidi="ar-SA"/>
        </w:rPr>
        <w:t>(3)</w:t>
      </w:r>
      <w:r>
        <w:rPr>
          <w:rStyle w:val="29"/>
          <w:rFonts w:hint="eastAsia" w:ascii="宋体" w:hAnsi="宋体" w:eastAsia="宋体" w:cs="宋体"/>
          <w:color w:val="auto"/>
          <w:kern w:val="2"/>
          <w:sz w:val="21"/>
          <w:szCs w:val="21"/>
          <w:highlight w:val="none"/>
          <w:lang w:val="en-US" w:bidi="ar-SA"/>
        </w:rPr>
        <w:t>承包人接受索赔处理结果的，发包人应在作出索赔处理结果答复后28天内完成赔付。承包人不接受索赔处理结果的，按第24条的约定办理。</w:t>
      </w:r>
    </w:p>
    <w:p w14:paraId="2B00CD9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44" w:name="bookmark1551"/>
      <w:bookmarkStart w:id="1245" w:name="bookmark1549"/>
      <w:bookmarkStart w:id="1246" w:name="_Toc25861"/>
      <w:bookmarkStart w:id="1247" w:name="bookmark1550"/>
      <w:bookmarkStart w:id="1248" w:name="_Toc256000169"/>
      <w:bookmarkStart w:id="1249" w:name="_Toc2285"/>
      <w:r>
        <w:rPr>
          <w:rStyle w:val="29"/>
          <w:rFonts w:hint="eastAsia" w:ascii="宋体" w:hAnsi="宋体" w:eastAsia="宋体" w:cs="宋体"/>
          <w:color w:val="auto"/>
          <w:kern w:val="2"/>
          <w:sz w:val="21"/>
          <w:szCs w:val="21"/>
          <w:highlight w:val="none"/>
          <w:lang w:eastAsia="zh-CN"/>
        </w:rPr>
        <w:t>23.3承包人提出索赔的期限</w:t>
      </w:r>
      <w:bookmarkEnd w:id="1244"/>
      <w:bookmarkEnd w:id="1245"/>
      <w:bookmarkEnd w:id="1246"/>
      <w:bookmarkEnd w:id="1247"/>
      <w:bookmarkEnd w:id="1248"/>
      <w:bookmarkEnd w:id="1249"/>
    </w:p>
    <w:p w14:paraId="1B57B1B8">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50" w:name="bookmark1552"/>
      <w:bookmarkEnd w:id="1250"/>
      <w:r>
        <w:rPr>
          <w:rStyle w:val="29"/>
          <w:rFonts w:hint="eastAsia" w:ascii="宋体" w:hAnsi="宋体" w:eastAsia="宋体" w:cs="宋体"/>
          <w:color w:val="auto"/>
          <w:kern w:val="2"/>
          <w:sz w:val="21"/>
          <w:szCs w:val="21"/>
          <w:highlight w:val="none"/>
          <w:lang w:val="en-US" w:eastAsia="en-US" w:bidi="ar-SA"/>
        </w:rPr>
        <w:t>22.</w:t>
      </w:r>
      <w:r>
        <w:rPr>
          <w:rStyle w:val="29"/>
          <w:rFonts w:hint="eastAsia" w:ascii="宋体" w:hAnsi="宋体" w:eastAsia="宋体" w:cs="宋体"/>
          <w:color w:val="auto"/>
          <w:kern w:val="2"/>
          <w:sz w:val="21"/>
          <w:szCs w:val="21"/>
          <w:highlight w:val="none"/>
          <w:lang w:val="en-US" w:bidi="ar-SA"/>
        </w:rPr>
        <w:t>3.1承包人按第17.5款的约定接受了完工付款证书后，应被认为已无权再提出在合同工程完工证书颁发前所发生的任何索赔。</w:t>
      </w:r>
    </w:p>
    <w:p w14:paraId="37284BE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23.3.2承包人按第17.6款的约定提交的最终结清申请单中，只限于提出合同工程完工证书颁发后发生的索赔。提出索赔的期限自接受最终结清证书时终止。</w:t>
      </w:r>
    </w:p>
    <w:p w14:paraId="43C0215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51" w:name="bookmark1553"/>
      <w:bookmarkStart w:id="1252" w:name="_Toc1321"/>
      <w:bookmarkStart w:id="1253" w:name="bookmark1554"/>
      <w:bookmarkStart w:id="1254" w:name="_Toc13664"/>
      <w:bookmarkStart w:id="1255" w:name="bookmark1555"/>
      <w:bookmarkStart w:id="1256" w:name="_Toc256000170"/>
      <w:r>
        <w:rPr>
          <w:rStyle w:val="29"/>
          <w:rFonts w:hint="eastAsia" w:ascii="宋体" w:hAnsi="宋体" w:eastAsia="宋体" w:cs="宋体"/>
          <w:color w:val="auto"/>
          <w:kern w:val="2"/>
          <w:sz w:val="21"/>
          <w:szCs w:val="21"/>
          <w:highlight w:val="none"/>
          <w:lang w:eastAsia="zh-CN"/>
        </w:rPr>
        <w:t>23.4发包人的索赔</w:t>
      </w:r>
      <w:bookmarkEnd w:id="1251"/>
      <w:bookmarkEnd w:id="1252"/>
      <w:bookmarkEnd w:id="1253"/>
      <w:bookmarkEnd w:id="1254"/>
      <w:bookmarkEnd w:id="1255"/>
      <w:bookmarkEnd w:id="1256"/>
    </w:p>
    <w:p w14:paraId="0D1589CA">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23.4.1发生索赔事件后，监理人应及时书面通知承包人，详细说明发包人有权得到的索赔金额和(或)延长缺陷责任期的细节和依据。发包人提出索赔的期限和要求与第</w:t>
      </w:r>
      <w:bookmarkStart w:id="1257" w:name="bookmark1556"/>
      <w:bookmarkEnd w:id="1257"/>
      <w:r>
        <w:rPr>
          <w:rStyle w:val="29"/>
          <w:rFonts w:hint="eastAsia" w:ascii="宋体" w:hAnsi="宋体" w:eastAsia="宋体" w:cs="宋体"/>
          <w:color w:val="auto"/>
          <w:kern w:val="2"/>
          <w:sz w:val="21"/>
          <w:szCs w:val="21"/>
          <w:highlight w:val="none"/>
          <w:lang w:val="en-US" w:bidi="ar-SA"/>
        </w:rPr>
        <w:t>23.3款的约定相同，延长缺陷责任期的通知应在缺陷责任期届满前发出。</w:t>
      </w:r>
    </w:p>
    <w:p w14:paraId="3054802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23.4.2监理人按第3.5款商定或确定发包人从承包人处得到赔付的金额和(或)缺陷责任期的延长期。承包人应付给发包人的金额可从拟支付给承包人的合同价款中扣除,或由承包人以其他方式支付给发包人。</w:t>
      </w:r>
    </w:p>
    <w:p w14:paraId="6C8B09E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23.4.3承包人对监理人按第23.4.1项发出的索赔书面通知内容持异议时，应在收到书面通知后的14天内，将持有异议的书面报告及其证明材料提交监理人。监理人应在收到承包人书面报告后的14天内，将异议的处理意见通知承包人，并按第23.4.2项的约定执行赔付。若承包人不接受监理人的索赔处理意见，可按本合同第24条的规定办理。</w:t>
      </w:r>
    </w:p>
    <w:p w14:paraId="42F3D3B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58" w:name="bookmark1559"/>
      <w:bookmarkEnd w:id="1258"/>
      <w:bookmarkStart w:id="1259" w:name="_Toc256000171"/>
      <w:bookmarkStart w:id="1260" w:name="bookmark1560"/>
      <w:bookmarkStart w:id="1261" w:name="_Toc32550"/>
      <w:bookmarkStart w:id="1262" w:name="bookmark1557"/>
      <w:bookmarkStart w:id="1263" w:name="_Toc19085"/>
      <w:bookmarkStart w:id="1264" w:name="bookmark1558"/>
      <w:r>
        <w:rPr>
          <w:rStyle w:val="29"/>
          <w:rFonts w:hint="eastAsia" w:ascii="宋体" w:hAnsi="宋体" w:eastAsia="宋体" w:cs="宋体"/>
          <w:color w:val="auto"/>
          <w:kern w:val="2"/>
          <w:sz w:val="21"/>
          <w:szCs w:val="21"/>
          <w:highlight w:val="none"/>
          <w:lang w:eastAsia="zh-CN"/>
        </w:rPr>
        <w:t>24.争议的解决</w:t>
      </w:r>
      <w:bookmarkEnd w:id="1259"/>
      <w:bookmarkEnd w:id="1260"/>
      <w:bookmarkEnd w:id="1261"/>
      <w:bookmarkEnd w:id="1262"/>
      <w:bookmarkEnd w:id="1263"/>
      <w:bookmarkEnd w:id="1264"/>
    </w:p>
    <w:p w14:paraId="7AB00F6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65" w:name="bookmark1562"/>
      <w:bookmarkStart w:id="1266" w:name="_Toc16058"/>
      <w:bookmarkStart w:id="1267" w:name="_Toc12687"/>
      <w:bookmarkStart w:id="1268" w:name="bookmark1563"/>
      <w:bookmarkStart w:id="1269" w:name="bookmark1561"/>
      <w:bookmarkStart w:id="1270" w:name="_Toc256000172"/>
      <w:r>
        <w:rPr>
          <w:rStyle w:val="29"/>
          <w:rFonts w:hint="eastAsia" w:ascii="宋体" w:hAnsi="宋体" w:eastAsia="宋体" w:cs="宋体"/>
          <w:color w:val="auto"/>
          <w:kern w:val="2"/>
          <w:sz w:val="21"/>
          <w:szCs w:val="21"/>
          <w:highlight w:val="none"/>
          <w:lang w:eastAsia="zh-CN"/>
        </w:rPr>
        <w:t>24.1争议的解决方式</w:t>
      </w:r>
      <w:bookmarkEnd w:id="1265"/>
      <w:bookmarkEnd w:id="1266"/>
      <w:bookmarkEnd w:id="1267"/>
      <w:bookmarkEnd w:id="1268"/>
      <w:bookmarkEnd w:id="1269"/>
      <w:bookmarkEnd w:id="1270"/>
    </w:p>
    <w:p w14:paraId="7CFEB280">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22B0AB8D">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71" w:name="bookmark1564"/>
      <w:bookmarkEnd w:id="1271"/>
      <w:r>
        <w:rPr>
          <w:rStyle w:val="29"/>
          <w:rFonts w:hint="eastAsia" w:ascii="宋体" w:hAnsi="宋体" w:eastAsia="宋体" w:cs="宋体"/>
          <w:color w:val="auto"/>
          <w:kern w:val="2"/>
          <w:sz w:val="21"/>
          <w:szCs w:val="21"/>
          <w:highlight w:val="none"/>
          <w:lang w:val="zh-CN" w:eastAsia="zh-CN" w:bidi="ar-SA"/>
        </w:rPr>
        <w:t>(1)</w:t>
      </w:r>
      <w:r>
        <w:rPr>
          <w:rStyle w:val="29"/>
          <w:rFonts w:hint="eastAsia" w:ascii="宋体" w:hAnsi="宋体" w:eastAsia="宋体" w:cs="宋体"/>
          <w:color w:val="auto"/>
          <w:kern w:val="2"/>
          <w:sz w:val="21"/>
          <w:szCs w:val="21"/>
          <w:highlight w:val="none"/>
          <w:lang w:val="en-US" w:bidi="ar-SA"/>
        </w:rPr>
        <w:t>向约定的仲裁委员会申请仲裁；</w:t>
      </w:r>
    </w:p>
    <w:p w14:paraId="2851372F">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72" w:name="bookmark1565"/>
      <w:bookmarkEnd w:id="1272"/>
      <w:r>
        <w:rPr>
          <w:rStyle w:val="29"/>
          <w:rFonts w:hint="eastAsia" w:ascii="宋体" w:hAnsi="宋体" w:eastAsia="宋体" w:cs="宋体"/>
          <w:color w:val="auto"/>
          <w:kern w:val="2"/>
          <w:sz w:val="21"/>
          <w:szCs w:val="21"/>
          <w:highlight w:val="none"/>
          <w:lang w:val="zh-CN" w:eastAsia="zh-CN" w:bidi="ar-SA"/>
        </w:rPr>
        <w:t>(2)</w:t>
      </w:r>
      <w:r>
        <w:rPr>
          <w:rStyle w:val="29"/>
          <w:rFonts w:hint="eastAsia" w:ascii="宋体" w:hAnsi="宋体" w:eastAsia="宋体" w:cs="宋体"/>
          <w:color w:val="auto"/>
          <w:kern w:val="2"/>
          <w:sz w:val="21"/>
          <w:szCs w:val="21"/>
          <w:highlight w:val="none"/>
          <w:lang w:val="en-US" w:bidi="ar-SA"/>
        </w:rPr>
        <w:t>向有管辖权的人民法院提起诉讼。</w:t>
      </w:r>
    </w:p>
    <w:p w14:paraId="7883C90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73" w:name="_Toc13255"/>
      <w:bookmarkStart w:id="1274" w:name="bookmark1567"/>
      <w:bookmarkStart w:id="1275" w:name="_Toc13288"/>
      <w:bookmarkStart w:id="1276" w:name="bookmark1566"/>
      <w:bookmarkStart w:id="1277" w:name="bookmark1568"/>
      <w:bookmarkStart w:id="1278" w:name="_Toc256000173"/>
      <w:r>
        <w:rPr>
          <w:rStyle w:val="29"/>
          <w:rFonts w:hint="eastAsia" w:ascii="宋体" w:hAnsi="宋体" w:eastAsia="宋体" w:cs="宋体"/>
          <w:color w:val="auto"/>
          <w:kern w:val="2"/>
          <w:sz w:val="21"/>
          <w:szCs w:val="21"/>
          <w:highlight w:val="none"/>
          <w:lang w:eastAsia="zh-CN"/>
        </w:rPr>
        <w:t>24.2友好解决</w:t>
      </w:r>
      <w:bookmarkEnd w:id="1273"/>
      <w:bookmarkEnd w:id="1274"/>
      <w:bookmarkEnd w:id="1275"/>
      <w:bookmarkEnd w:id="1276"/>
      <w:bookmarkEnd w:id="1277"/>
      <w:bookmarkEnd w:id="1278"/>
    </w:p>
    <w:p w14:paraId="1808624D">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在提请争议评审、仲裁或者诉讼前，以及在争议评审、仲裁或诉讼过程中，发包人和承包人均可共同努力友好协商解决争议。</w:t>
      </w:r>
    </w:p>
    <w:p w14:paraId="1B2B88E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79" w:name="_Toc12305"/>
      <w:bookmarkStart w:id="1280" w:name="_Toc256000174"/>
      <w:bookmarkStart w:id="1281" w:name="bookmark1570"/>
      <w:bookmarkStart w:id="1282" w:name="_Toc22991"/>
      <w:bookmarkStart w:id="1283" w:name="bookmark1571"/>
      <w:bookmarkStart w:id="1284" w:name="bookmark1569"/>
      <w:r>
        <w:rPr>
          <w:rStyle w:val="29"/>
          <w:rFonts w:hint="eastAsia" w:ascii="宋体" w:hAnsi="宋体" w:eastAsia="宋体" w:cs="宋体"/>
          <w:color w:val="auto"/>
          <w:kern w:val="2"/>
          <w:sz w:val="21"/>
          <w:szCs w:val="21"/>
          <w:highlight w:val="none"/>
          <w:lang w:eastAsia="zh-CN"/>
        </w:rPr>
        <w:t>24.3争议评审</w:t>
      </w:r>
      <w:bookmarkEnd w:id="1279"/>
      <w:bookmarkEnd w:id="1280"/>
      <w:bookmarkEnd w:id="1281"/>
      <w:bookmarkEnd w:id="1282"/>
      <w:bookmarkEnd w:id="1283"/>
      <w:bookmarkEnd w:id="1284"/>
    </w:p>
    <w:p w14:paraId="430C433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24.3.1采用争议评审的，发包人和承包人应在开工日后的28天内或在争议发生后,协商成立争议评审组。争议评审组由有合同管理和工程实践经验的专家组成。</w:t>
      </w:r>
    </w:p>
    <w:p w14:paraId="161C8A9E">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24.3.2合同双方的争议，应首先由申请人向争议评审组提交一份详细的评审申请报告，并附必要的文件、图纸和证明材料，申请人还应将上述报告的副本同时提交给被申请人和监理人。</w:t>
      </w:r>
    </w:p>
    <w:p w14:paraId="3876AE81">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24.3.3被申请人在收到申请人评审申请报告副本后的28天内，向争议评审组提交一份答辩报告，并附证明材料。被申请人应将答辩报告的副本同时提交给申请人和监理人。</w:t>
      </w:r>
    </w:p>
    <w:p w14:paraId="2181A989">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24.3.4除专用合同条款另有约定外，争议评审组在收到合同双方报告后的14天内，邀请双方代表和有关人员举行调查会，向双方调查争议细节；必要时争议评审组可要求双方进一步提供补充材料。</w:t>
      </w:r>
    </w:p>
    <w:p w14:paraId="46668164">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bookmarkStart w:id="1285" w:name="bookmark1572"/>
      <w:bookmarkEnd w:id="1285"/>
      <w:r>
        <w:rPr>
          <w:rStyle w:val="29"/>
          <w:rFonts w:hint="eastAsia" w:ascii="宋体" w:hAnsi="宋体" w:eastAsia="宋体" w:cs="宋体"/>
          <w:color w:val="auto"/>
          <w:kern w:val="2"/>
          <w:sz w:val="21"/>
          <w:szCs w:val="21"/>
          <w:highlight w:val="none"/>
          <w:lang w:val="en-US" w:bidi="ar-SA"/>
        </w:rPr>
        <w:t>24.3.5除专用合同条款另有约定外，在调查会结束后的14天内，争议评审组应在不受任何干扰的情况下进行独立、公正的评审，作出书面评审意见，并说明理由。在争议评审期间，争议双方暂按总监理工程师的确定执行。</w:t>
      </w:r>
    </w:p>
    <w:p w14:paraId="1A233103">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24.3.6发包人和承包人接受评审意见的，由监理人根据评审意见拟定执行协议，经争议双方签字后作为合同的补充文件，并遵照执行。</w:t>
      </w:r>
    </w:p>
    <w:p w14:paraId="3207C2E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24.3.7发包人或承包人不接受评审意见，并要求提交仲裁或提起诉讼的，应在收到评审意见后的14天内将仲裁或起诉意向书面通知另一方，并抄送监理人，但在仲裁或诉讼结束前应暂按总监理工程师的确定执行。</w:t>
      </w:r>
    </w:p>
    <w:p w14:paraId="1E0F76C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286" w:name="bookmark1573"/>
      <w:bookmarkStart w:id="1287" w:name="_Toc256000175"/>
      <w:bookmarkStart w:id="1288" w:name="_Toc10843"/>
      <w:bookmarkStart w:id="1289" w:name="bookmark1574"/>
      <w:bookmarkStart w:id="1290" w:name="_Toc548"/>
      <w:bookmarkStart w:id="1291" w:name="bookmark1575"/>
      <w:r>
        <w:rPr>
          <w:rStyle w:val="29"/>
          <w:rFonts w:hint="eastAsia" w:ascii="宋体" w:hAnsi="宋体" w:eastAsia="宋体" w:cs="宋体"/>
          <w:color w:val="auto"/>
          <w:kern w:val="2"/>
          <w:sz w:val="21"/>
          <w:szCs w:val="21"/>
          <w:highlight w:val="none"/>
          <w:lang w:eastAsia="zh-CN"/>
        </w:rPr>
        <w:t>24.4仲裁</w:t>
      </w:r>
      <w:bookmarkEnd w:id="1286"/>
      <w:bookmarkEnd w:id="1287"/>
      <w:bookmarkEnd w:id="1288"/>
      <w:bookmarkEnd w:id="1289"/>
      <w:bookmarkEnd w:id="1290"/>
      <w:bookmarkEnd w:id="1291"/>
    </w:p>
    <w:p w14:paraId="2F4F0566">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24.4.1若合同双方商定直接向仲裁机构申请仲裁，应签订仲裁协议并约定仲裁机构。</w:t>
      </w:r>
    </w:p>
    <w:p w14:paraId="3702B3D5">
      <w:pPr>
        <w:pStyle w:val="100"/>
        <w:keepNext w:val="0"/>
        <w:keepLines w:val="0"/>
        <w:pageBreakBefore w:val="0"/>
        <w:widowControl w:val="0"/>
        <w:shd w:val="clear" w:color="auto"/>
        <w:tabs>
          <w:tab w:val="left" w:pos="944"/>
        </w:tabs>
        <w:kinsoku/>
        <w:wordWrap/>
        <w:overflowPunct/>
        <w:topLinePunct w:val="0"/>
        <w:autoSpaceDE/>
        <w:autoSpaceDN/>
        <w:bidi w:val="0"/>
        <w:adjustRightInd/>
        <w:snapToGrid/>
        <w:spacing w:line="400" w:lineRule="exact"/>
        <w:ind w:left="0"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24.4.2若合同双方未能达成仲裁协议，则本合同的仲裁条款无效，任一方均有权向人民法院提起诉讼。</w:t>
      </w:r>
    </w:p>
    <w:p w14:paraId="3CE47FDE">
      <w:pPr>
        <w:keepNext w:val="0"/>
        <w:keepLines w:val="0"/>
        <w:pageBreakBefore w:val="0"/>
        <w:widowControl w:val="0"/>
        <w:shd w:val="clear" w:color="auto"/>
        <w:kinsoku/>
        <w:wordWrap/>
        <w:overflowPunct/>
        <w:topLinePunct w:val="0"/>
        <w:autoSpaceDE/>
        <w:autoSpaceDN/>
        <w:bidi w:val="0"/>
        <w:adjustRightInd/>
        <w:snapToGrid/>
        <w:spacing w:before="160" w:beforeLines="50" w:after="160" w:afterLines="50" w:line="400" w:lineRule="exact"/>
        <w:ind w:left="0" w:leftChars="0" w:firstLine="0" w:firstLineChars="0"/>
        <w:jc w:val="center"/>
        <w:textAlignment w:val="auto"/>
        <w:rPr>
          <w:rFonts w:hint="default" w:ascii="宋体" w:hAnsi="宋体" w:eastAsia="宋体" w:cs="Times New Roman"/>
          <w:b/>
          <w:color w:val="auto"/>
          <w:sz w:val="32"/>
          <w:szCs w:val="24"/>
          <w:highlight w:val="none"/>
          <w:lang w:eastAsia="zh-CN"/>
        </w:rPr>
      </w:pPr>
      <w:bookmarkStart w:id="1292" w:name="bookmark1576"/>
      <w:bookmarkStart w:id="1293" w:name="_Toc27368"/>
      <w:bookmarkStart w:id="1294" w:name="_Toc14907"/>
      <w:bookmarkStart w:id="1295" w:name="bookmark1578"/>
      <w:bookmarkStart w:id="1296" w:name="_Toc1972"/>
      <w:bookmarkStart w:id="1297" w:name="bookmark1577"/>
      <w:r>
        <w:rPr>
          <w:rStyle w:val="29"/>
          <w:rFonts w:ascii="Times New Roman" w:hAnsi="Times New Roman" w:eastAsia="宋体" w:cs="Times New Roman"/>
          <w:color w:val="auto"/>
          <w:sz w:val="32"/>
          <w:szCs w:val="32"/>
          <w:highlight w:val="none"/>
          <w:lang w:eastAsia="zh-CN"/>
        </w:rPr>
        <w:br w:type="page"/>
      </w:r>
      <w:bookmarkStart w:id="1298" w:name="_Toc256000176"/>
      <w:r>
        <w:rPr>
          <w:rFonts w:hint="default" w:ascii="宋体" w:hAnsi="宋体" w:eastAsia="宋体" w:cs="Times New Roman"/>
          <w:b/>
          <w:color w:val="auto"/>
          <w:sz w:val="32"/>
          <w:szCs w:val="24"/>
          <w:highlight w:val="none"/>
          <w:lang w:eastAsia="zh-CN"/>
        </w:rPr>
        <w:t>第二节 专用合同条款</w:t>
      </w:r>
      <w:bookmarkEnd w:id="1292"/>
      <w:bookmarkEnd w:id="1293"/>
      <w:bookmarkEnd w:id="1294"/>
      <w:bookmarkEnd w:id="1295"/>
      <w:bookmarkEnd w:id="1296"/>
      <w:bookmarkEnd w:id="1297"/>
      <w:bookmarkEnd w:id="1298"/>
      <w:bookmarkStart w:id="1299" w:name="bookmark1581"/>
      <w:bookmarkEnd w:id="1299"/>
    </w:p>
    <w:p w14:paraId="7427232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300" w:name="_Toc49083445"/>
      <w:bookmarkStart w:id="1301" w:name="_Toc14930"/>
      <w:bookmarkStart w:id="1302" w:name="bookmark1891"/>
      <w:bookmarkStart w:id="1303" w:name="bookmark1893"/>
      <w:bookmarkStart w:id="1304" w:name="_Toc15420"/>
      <w:bookmarkStart w:id="1305" w:name="_Toc10268"/>
      <w:bookmarkStart w:id="1306" w:name="bookmark1892"/>
      <w:r>
        <w:rPr>
          <w:rStyle w:val="29"/>
          <w:rFonts w:hint="eastAsia" w:ascii="宋体" w:hAnsi="宋体" w:eastAsia="宋体" w:cs="宋体"/>
          <w:color w:val="auto"/>
          <w:kern w:val="2"/>
          <w:sz w:val="21"/>
          <w:szCs w:val="21"/>
          <w:highlight w:val="none"/>
          <w:lang w:eastAsia="zh-CN"/>
        </w:rPr>
        <w:t>1.一般约定</w:t>
      </w:r>
      <w:bookmarkEnd w:id="1300"/>
    </w:p>
    <w:p w14:paraId="5EEE569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307" w:name="bookmark1583"/>
      <w:bookmarkStart w:id="1308" w:name="bookmark1584"/>
      <w:bookmarkStart w:id="1309" w:name="bookmark1585"/>
      <w:r>
        <w:rPr>
          <w:rStyle w:val="29"/>
          <w:rFonts w:hint="eastAsia" w:ascii="宋体" w:hAnsi="宋体" w:eastAsia="宋体" w:cs="宋体"/>
          <w:color w:val="auto"/>
          <w:kern w:val="2"/>
          <w:sz w:val="21"/>
          <w:szCs w:val="21"/>
          <w:highlight w:val="none"/>
          <w:lang w:eastAsia="zh-CN"/>
        </w:rPr>
        <w:t>1.1词语定义</w:t>
      </w:r>
      <w:bookmarkEnd w:id="1307"/>
      <w:bookmarkEnd w:id="1308"/>
      <w:bookmarkEnd w:id="1309"/>
    </w:p>
    <w:p w14:paraId="1943F37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1.1.2</w:t>
      </w:r>
      <w:r>
        <w:rPr>
          <w:rStyle w:val="29"/>
          <w:rFonts w:hint="eastAsia" w:ascii="宋体" w:hAnsi="宋体" w:eastAsia="宋体" w:cs="宋体"/>
          <w:color w:val="auto"/>
          <w:kern w:val="2"/>
          <w:sz w:val="21"/>
          <w:szCs w:val="21"/>
          <w:highlight w:val="none"/>
          <w:lang w:val="zh-CN" w:eastAsia="zh-CN" w:bidi="zh-CN"/>
        </w:rPr>
        <w:t>合同当事人和人员</w:t>
      </w:r>
    </w:p>
    <w:p w14:paraId="1739086A">
      <w:pPr>
        <w:pStyle w:val="103"/>
        <w:keepNext w:val="0"/>
        <w:keepLines w:val="0"/>
        <w:pageBreakBefore w:val="0"/>
        <w:widowControl w:val="0"/>
        <w:shd w:val="clear" w:color="auto"/>
        <w:tabs>
          <w:tab w:val="left" w:pos="4064"/>
        </w:tabs>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1.1.2.</w:t>
      </w:r>
      <w:r>
        <w:rPr>
          <w:rStyle w:val="29"/>
          <w:rFonts w:hint="eastAsia" w:ascii="宋体" w:hAnsi="宋体" w:eastAsia="宋体" w:cs="宋体"/>
          <w:color w:val="auto"/>
          <w:kern w:val="2"/>
          <w:sz w:val="21"/>
          <w:szCs w:val="21"/>
          <w:highlight w:val="none"/>
          <w:lang w:val="zh-CN" w:eastAsia="zh-CN" w:bidi="zh-CN"/>
        </w:rPr>
        <w:t>2发包人：</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eastAsia="zh-CN" w:bidi="ar-SA"/>
        </w:rPr>
        <w:t>。</w:t>
      </w:r>
    </w:p>
    <w:p w14:paraId="44E8751C">
      <w:pPr>
        <w:pStyle w:val="103"/>
        <w:keepNext w:val="0"/>
        <w:keepLines w:val="0"/>
        <w:pageBreakBefore w:val="0"/>
        <w:widowControl w:val="0"/>
        <w:shd w:val="clear" w:color="auto"/>
        <w:tabs>
          <w:tab w:val="left" w:pos="4066"/>
        </w:tabs>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1.1.2.</w:t>
      </w:r>
      <w:r>
        <w:rPr>
          <w:rStyle w:val="29"/>
          <w:rFonts w:hint="eastAsia" w:ascii="宋体" w:hAnsi="宋体" w:eastAsia="宋体" w:cs="宋体"/>
          <w:color w:val="auto"/>
          <w:kern w:val="2"/>
          <w:sz w:val="21"/>
          <w:szCs w:val="21"/>
          <w:highlight w:val="none"/>
          <w:lang w:val="zh-CN" w:eastAsia="zh-CN" w:bidi="zh-CN"/>
        </w:rPr>
        <w:t>3承包人：</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eastAsia="zh-CN" w:bidi="ar-SA"/>
        </w:rPr>
        <w:t>。</w:t>
      </w:r>
    </w:p>
    <w:p w14:paraId="3AE3A502">
      <w:pPr>
        <w:pStyle w:val="103"/>
        <w:keepNext w:val="0"/>
        <w:keepLines w:val="0"/>
        <w:pageBreakBefore w:val="0"/>
        <w:widowControl w:val="0"/>
        <w:shd w:val="clear" w:color="auto"/>
        <w:tabs>
          <w:tab w:val="left" w:pos="4064"/>
        </w:tabs>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1.1.2.</w:t>
      </w:r>
      <w:r>
        <w:rPr>
          <w:rStyle w:val="29"/>
          <w:rFonts w:hint="eastAsia" w:ascii="宋体" w:hAnsi="宋体" w:eastAsia="宋体" w:cs="宋体"/>
          <w:color w:val="auto"/>
          <w:kern w:val="2"/>
          <w:sz w:val="21"/>
          <w:szCs w:val="21"/>
          <w:highlight w:val="none"/>
          <w:lang w:val="zh-CN" w:eastAsia="zh-CN" w:bidi="zh-CN"/>
        </w:rPr>
        <w:t>5分包人：</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eastAsia="zh-CN" w:bidi="ar-SA"/>
        </w:rPr>
        <w:t>。</w:t>
      </w:r>
    </w:p>
    <w:p w14:paraId="2B3FC358">
      <w:pPr>
        <w:pStyle w:val="103"/>
        <w:keepNext w:val="0"/>
        <w:keepLines w:val="0"/>
        <w:pageBreakBefore w:val="0"/>
        <w:widowControl w:val="0"/>
        <w:shd w:val="clear" w:color="auto"/>
        <w:tabs>
          <w:tab w:val="left" w:pos="4064"/>
        </w:tabs>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1.1.2.6</w:t>
      </w:r>
      <w:r>
        <w:rPr>
          <w:rStyle w:val="29"/>
          <w:rFonts w:hint="eastAsia" w:ascii="宋体" w:hAnsi="宋体" w:eastAsia="宋体" w:cs="宋体"/>
          <w:color w:val="auto"/>
          <w:kern w:val="2"/>
          <w:sz w:val="21"/>
          <w:szCs w:val="21"/>
          <w:highlight w:val="none"/>
          <w:lang w:val="zh-CN" w:eastAsia="zh-CN" w:bidi="zh-CN"/>
        </w:rPr>
        <w:t>监理人：</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eastAsia="zh-CN" w:bidi="ar-SA"/>
        </w:rPr>
        <w:t>。</w:t>
      </w:r>
    </w:p>
    <w:p w14:paraId="3DE5B53E">
      <w:pPr>
        <w:pStyle w:val="103"/>
        <w:keepNext w:val="0"/>
        <w:keepLines w:val="0"/>
        <w:pageBreakBefore w:val="0"/>
        <w:widowControl w:val="0"/>
        <w:shd w:val="clear" w:color="auto"/>
        <w:tabs>
          <w:tab w:val="left" w:pos="3649"/>
        </w:tabs>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1.1.4</w:t>
      </w:r>
      <w:r>
        <w:rPr>
          <w:rStyle w:val="29"/>
          <w:rFonts w:hint="eastAsia" w:ascii="宋体" w:hAnsi="宋体" w:eastAsia="宋体" w:cs="宋体"/>
          <w:color w:val="auto"/>
          <w:kern w:val="2"/>
          <w:sz w:val="21"/>
          <w:szCs w:val="21"/>
          <w:highlight w:val="none"/>
          <w:lang w:val="zh-CN" w:eastAsia="zh-CN" w:bidi="zh-CN"/>
        </w:rPr>
        <w:t>日期：</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eastAsia="zh-CN" w:bidi="ar-SA"/>
        </w:rPr>
        <w:t>。</w:t>
      </w:r>
    </w:p>
    <w:p w14:paraId="72C6DC14">
      <w:pPr>
        <w:pStyle w:val="103"/>
        <w:keepNext w:val="0"/>
        <w:keepLines w:val="0"/>
        <w:pageBreakBefore w:val="0"/>
        <w:widowControl w:val="0"/>
        <w:shd w:val="clear" w:color="auto"/>
        <w:tabs>
          <w:tab w:val="left" w:pos="6303"/>
        </w:tabs>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1.1.4.</w:t>
      </w:r>
      <w:r>
        <w:rPr>
          <w:rStyle w:val="29"/>
          <w:rFonts w:hint="eastAsia" w:ascii="宋体" w:hAnsi="宋体" w:eastAsia="宋体" w:cs="宋体"/>
          <w:color w:val="auto"/>
          <w:kern w:val="2"/>
          <w:sz w:val="21"/>
          <w:szCs w:val="21"/>
          <w:highlight w:val="none"/>
          <w:lang w:val="zh-CN" w:eastAsia="zh-CN" w:bidi="zh-CN"/>
        </w:rPr>
        <w:t>5缺陷责任期：</w:t>
      </w:r>
      <w:r>
        <w:rPr>
          <w:rStyle w:val="29"/>
          <w:rFonts w:hint="eastAsia" w:ascii="宋体" w:hAnsi="宋体" w:eastAsia="宋体" w:cs="宋体"/>
          <w:color w:val="auto"/>
          <w:kern w:val="2"/>
          <w:sz w:val="21"/>
          <w:szCs w:val="21"/>
          <w:highlight w:val="none"/>
          <w:u w:val="single"/>
          <w:lang w:val="zh-CN" w:eastAsia="zh-CN" w:bidi="zh-CN"/>
        </w:rPr>
        <w:t>工程完工验收日至竣工验收日后</w:t>
      </w:r>
      <w:r>
        <w:rPr>
          <w:rStyle w:val="29"/>
          <w:rFonts w:hint="eastAsia" w:ascii="宋体" w:hAnsi="宋体" w:eastAsia="宋体" w:cs="宋体"/>
          <w:color w:val="auto"/>
          <w:kern w:val="2"/>
          <w:sz w:val="21"/>
          <w:szCs w:val="21"/>
          <w:highlight w:val="none"/>
          <w:u w:val="single"/>
          <w:lang w:eastAsia="zh-CN" w:bidi="zh-CN"/>
        </w:rPr>
        <w:t>12</w:t>
      </w:r>
      <w:r>
        <w:rPr>
          <w:rStyle w:val="29"/>
          <w:rFonts w:hint="eastAsia" w:ascii="宋体" w:hAnsi="宋体" w:eastAsia="宋体" w:cs="宋体"/>
          <w:color w:val="auto"/>
          <w:kern w:val="2"/>
          <w:sz w:val="21"/>
          <w:szCs w:val="21"/>
          <w:highlight w:val="none"/>
          <w:u w:val="single"/>
          <w:lang w:val="zh-CN" w:eastAsia="zh-CN" w:bidi="zh-CN"/>
        </w:rPr>
        <w:t>个月</w:t>
      </w:r>
      <w:r>
        <w:rPr>
          <w:rStyle w:val="29"/>
          <w:rFonts w:hint="eastAsia" w:ascii="宋体" w:hAnsi="宋体" w:eastAsia="宋体" w:cs="宋体"/>
          <w:color w:val="auto"/>
          <w:kern w:val="2"/>
          <w:sz w:val="21"/>
          <w:szCs w:val="21"/>
          <w:highlight w:val="none"/>
          <w:lang w:eastAsia="zh-CN" w:bidi="ar-SA"/>
        </w:rPr>
        <w:t>。</w:t>
      </w:r>
    </w:p>
    <w:p w14:paraId="4D8CFA5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310" w:name="bookmark1588"/>
      <w:bookmarkStart w:id="1311" w:name="bookmark1587"/>
      <w:bookmarkStart w:id="1312" w:name="bookmark1586"/>
      <w:r>
        <w:rPr>
          <w:rStyle w:val="29"/>
          <w:rFonts w:hint="eastAsia" w:ascii="宋体" w:hAnsi="宋体" w:eastAsia="宋体" w:cs="宋体"/>
          <w:color w:val="auto"/>
          <w:kern w:val="2"/>
          <w:sz w:val="21"/>
          <w:szCs w:val="21"/>
          <w:highlight w:val="none"/>
          <w:lang w:eastAsia="zh-CN"/>
        </w:rPr>
        <w:t>1.2合同文件的优先顺序</w:t>
      </w:r>
      <w:bookmarkEnd w:id="1310"/>
      <w:bookmarkEnd w:id="1311"/>
      <w:bookmarkEnd w:id="1312"/>
    </w:p>
    <w:p w14:paraId="2660D32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进入合同的各项文件及其优先顺序如下：</w:t>
      </w:r>
    </w:p>
    <w:p w14:paraId="39F19C9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13" w:name="bookmark1589"/>
      <w:bookmarkEnd w:id="1313"/>
      <w:r>
        <w:rPr>
          <w:rStyle w:val="29"/>
          <w:rFonts w:hint="eastAsia" w:ascii="宋体" w:hAnsi="宋体" w:eastAsia="宋体" w:cs="宋体"/>
          <w:color w:val="auto"/>
          <w:kern w:val="2"/>
          <w:sz w:val="21"/>
          <w:szCs w:val="21"/>
          <w:highlight w:val="none"/>
          <w:lang w:val="zh-CN" w:eastAsia="zh-CN" w:bidi="ar-SA"/>
        </w:rPr>
        <w:t>（</w:t>
      </w:r>
      <w:r>
        <w:rPr>
          <w:rStyle w:val="29"/>
          <w:rFonts w:hint="eastAsia" w:ascii="宋体" w:hAnsi="宋体" w:eastAsia="宋体" w:cs="宋体"/>
          <w:color w:val="auto"/>
          <w:kern w:val="2"/>
          <w:sz w:val="21"/>
          <w:szCs w:val="21"/>
          <w:highlight w:val="none"/>
          <w:lang w:eastAsia="zh-CN" w:bidi="ar-SA"/>
        </w:rPr>
        <w:t>1</w:t>
      </w:r>
      <w:r>
        <w:rPr>
          <w:rStyle w:val="29"/>
          <w:rFonts w:hint="eastAsia" w:ascii="宋体" w:hAnsi="宋体" w:eastAsia="宋体" w:cs="宋体"/>
          <w:color w:val="auto"/>
          <w:kern w:val="2"/>
          <w:sz w:val="21"/>
          <w:szCs w:val="21"/>
          <w:highlight w:val="none"/>
          <w:lang w:val="zh-CN" w:eastAsia="zh-CN" w:bidi="ar-SA"/>
        </w:rPr>
        <w:t>）合同协议书(包括补充协议、合同谈判备忘录)；</w:t>
      </w:r>
    </w:p>
    <w:p w14:paraId="2A50990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14" w:name="bookmark1590"/>
      <w:bookmarkEnd w:id="1314"/>
      <w:r>
        <w:rPr>
          <w:rStyle w:val="29"/>
          <w:rFonts w:hint="eastAsia" w:ascii="宋体" w:hAnsi="宋体" w:eastAsia="宋体" w:cs="宋体"/>
          <w:color w:val="auto"/>
          <w:kern w:val="2"/>
          <w:sz w:val="21"/>
          <w:szCs w:val="21"/>
          <w:highlight w:val="none"/>
          <w:lang w:val="zh-CN" w:eastAsia="zh-CN" w:bidi="ar-SA"/>
        </w:rPr>
        <w:t>（</w:t>
      </w:r>
      <w:r>
        <w:rPr>
          <w:rStyle w:val="29"/>
          <w:rFonts w:hint="eastAsia" w:ascii="宋体" w:hAnsi="宋体" w:eastAsia="宋体" w:cs="宋体"/>
          <w:color w:val="auto"/>
          <w:kern w:val="2"/>
          <w:sz w:val="21"/>
          <w:szCs w:val="21"/>
          <w:highlight w:val="none"/>
          <w:lang w:eastAsia="zh-CN" w:bidi="ar-SA"/>
        </w:rPr>
        <w:t>2</w:t>
      </w:r>
      <w:r>
        <w:rPr>
          <w:rStyle w:val="29"/>
          <w:rFonts w:hint="eastAsia" w:ascii="宋体" w:hAnsi="宋体" w:eastAsia="宋体" w:cs="宋体"/>
          <w:color w:val="auto"/>
          <w:kern w:val="2"/>
          <w:sz w:val="21"/>
          <w:szCs w:val="21"/>
          <w:highlight w:val="none"/>
          <w:lang w:val="zh-CN" w:eastAsia="zh-CN" w:bidi="ar-SA"/>
        </w:rPr>
        <w:t>）中标通知书；</w:t>
      </w:r>
    </w:p>
    <w:p w14:paraId="123E985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15" w:name="bookmark1591"/>
      <w:bookmarkEnd w:id="1315"/>
      <w:r>
        <w:rPr>
          <w:rStyle w:val="29"/>
          <w:rFonts w:hint="eastAsia" w:ascii="宋体" w:hAnsi="宋体" w:eastAsia="宋体" w:cs="宋体"/>
          <w:color w:val="auto"/>
          <w:kern w:val="2"/>
          <w:sz w:val="21"/>
          <w:szCs w:val="21"/>
          <w:highlight w:val="none"/>
          <w:lang w:val="zh-CN" w:eastAsia="zh-CN" w:bidi="ar-SA"/>
        </w:rPr>
        <w:t>（</w:t>
      </w:r>
      <w:r>
        <w:rPr>
          <w:rStyle w:val="29"/>
          <w:rFonts w:hint="eastAsia" w:ascii="宋体" w:hAnsi="宋体" w:eastAsia="宋体" w:cs="宋体"/>
          <w:color w:val="auto"/>
          <w:kern w:val="2"/>
          <w:sz w:val="21"/>
          <w:szCs w:val="21"/>
          <w:highlight w:val="none"/>
          <w:lang w:eastAsia="zh-CN" w:bidi="ar-SA"/>
        </w:rPr>
        <w:t>3）</w:t>
      </w:r>
      <w:r>
        <w:rPr>
          <w:rStyle w:val="29"/>
          <w:rFonts w:hint="eastAsia" w:ascii="宋体" w:hAnsi="宋体" w:eastAsia="宋体" w:cs="宋体"/>
          <w:color w:val="auto"/>
          <w:kern w:val="2"/>
          <w:sz w:val="21"/>
          <w:szCs w:val="21"/>
          <w:highlight w:val="none"/>
          <w:lang w:val="zh-CN" w:eastAsia="zh-CN" w:bidi="ar-SA"/>
        </w:rPr>
        <w:t>投标函及投标函附录；</w:t>
      </w:r>
    </w:p>
    <w:p w14:paraId="497FC30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16" w:name="bookmark1592"/>
      <w:bookmarkEnd w:id="1316"/>
      <w:r>
        <w:rPr>
          <w:rStyle w:val="29"/>
          <w:rFonts w:hint="eastAsia" w:ascii="宋体" w:hAnsi="宋体" w:eastAsia="宋体" w:cs="宋体"/>
          <w:color w:val="auto"/>
          <w:kern w:val="2"/>
          <w:sz w:val="21"/>
          <w:szCs w:val="21"/>
          <w:highlight w:val="none"/>
          <w:lang w:val="zh-CN" w:eastAsia="zh-CN" w:bidi="ar-SA"/>
        </w:rPr>
        <w:t>（</w:t>
      </w:r>
      <w:r>
        <w:rPr>
          <w:rStyle w:val="29"/>
          <w:rFonts w:hint="eastAsia" w:ascii="宋体" w:hAnsi="宋体" w:eastAsia="宋体" w:cs="宋体"/>
          <w:color w:val="auto"/>
          <w:kern w:val="2"/>
          <w:sz w:val="21"/>
          <w:szCs w:val="21"/>
          <w:highlight w:val="none"/>
          <w:lang w:eastAsia="zh-CN" w:bidi="ar-SA"/>
        </w:rPr>
        <w:t>4</w:t>
      </w:r>
      <w:r>
        <w:rPr>
          <w:rStyle w:val="29"/>
          <w:rFonts w:hint="eastAsia" w:ascii="宋体" w:hAnsi="宋体" w:eastAsia="宋体" w:cs="宋体"/>
          <w:color w:val="auto"/>
          <w:kern w:val="2"/>
          <w:sz w:val="21"/>
          <w:szCs w:val="21"/>
          <w:highlight w:val="none"/>
          <w:lang w:val="zh-CN" w:eastAsia="zh-CN" w:bidi="ar-SA"/>
        </w:rPr>
        <w:t>）专用合同条款(含附加条款)；</w:t>
      </w:r>
    </w:p>
    <w:p w14:paraId="68670B1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17" w:name="bookmark1593"/>
      <w:bookmarkEnd w:id="1317"/>
      <w:r>
        <w:rPr>
          <w:rStyle w:val="29"/>
          <w:rFonts w:hint="eastAsia" w:ascii="宋体" w:hAnsi="宋体" w:eastAsia="宋体" w:cs="宋体"/>
          <w:color w:val="auto"/>
          <w:kern w:val="2"/>
          <w:sz w:val="21"/>
          <w:szCs w:val="21"/>
          <w:highlight w:val="none"/>
          <w:lang w:val="zh-CN" w:eastAsia="zh-CN" w:bidi="ar-SA"/>
        </w:rPr>
        <w:t>（</w:t>
      </w:r>
      <w:r>
        <w:rPr>
          <w:rStyle w:val="29"/>
          <w:rFonts w:hint="eastAsia" w:ascii="宋体" w:hAnsi="宋体" w:eastAsia="宋体" w:cs="宋体"/>
          <w:color w:val="auto"/>
          <w:kern w:val="2"/>
          <w:sz w:val="21"/>
          <w:szCs w:val="21"/>
          <w:highlight w:val="none"/>
          <w:lang w:eastAsia="zh-CN" w:bidi="ar-SA"/>
        </w:rPr>
        <w:t>5</w:t>
      </w:r>
      <w:r>
        <w:rPr>
          <w:rStyle w:val="29"/>
          <w:rFonts w:hint="eastAsia" w:ascii="宋体" w:hAnsi="宋体" w:eastAsia="宋体" w:cs="宋体"/>
          <w:color w:val="auto"/>
          <w:kern w:val="2"/>
          <w:sz w:val="21"/>
          <w:szCs w:val="21"/>
          <w:highlight w:val="none"/>
          <w:lang w:val="zh-CN" w:eastAsia="zh-CN" w:bidi="ar-SA"/>
        </w:rPr>
        <w:t>）通用合同条款；</w:t>
      </w:r>
    </w:p>
    <w:p w14:paraId="7DC9DA40">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18" w:name="bookmark1594"/>
      <w:bookmarkEnd w:id="1318"/>
      <w:r>
        <w:rPr>
          <w:rStyle w:val="29"/>
          <w:rFonts w:hint="eastAsia" w:ascii="宋体" w:hAnsi="宋体" w:eastAsia="宋体" w:cs="宋体"/>
          <w:color w:val="auto"/>
          <w:kern w:val="2"/>
          <w:sz w:val="21"/>
          <w:szCs w:val="21"/>
          <w:highlight w:val="none"/>
          <w:lang w:val="zh-CN" w:eastAsia="zh-CN" w:bidi="ar-SA"/>
        </w:rPr>
        <w:t>（</w:t>
      </w:r>
      <w:r>
        <w:rPr>
          <w:rStyle w:val="29"/>
          <w:rFonts w:hint="eastAsia" w:ascii="宋体" w:hAnsi="宋体" w:eastAsia="宋体" w:cs="宋体"/>
          <w:color w:val="auto"/>
          <w:kern w:val="2"/>
          <w:sz w:val="21"/>
          <w:szCs w:val="21"/>
          <w:highlight w:val="none"/>
          <w:lang w:eastAsia="zh-CN" w:bidi="ar-SA"/>
        </w:rPr>
        <w:t>6</w:t>
      </w:r>
      <w:r>
        <w:rPr>
          <w:rStyle w:val="29"/>
          <w:rFonts w:hint="eastAsia" w:ascii="宋体" w:hAnsi="宋体" w:eastAsia="宋体" w:cs="宋体"/>
          <w:color w:val="auto"/>
          <w:kern w:val="2"/>
          <w:sz w:val="21"/>
          <w:szCs w:val="21"/>
          <w:highlight w:val="none"/>
          <w:lang w:val="zh-CN" w:eastAsia="zh-CN" w:bidi="ar-SA"/>
        </w:rPr>
        <w:t>）技术标准和要求(合同技术条款)；</w:t>
      </w:r>
    </w:p>
    <w:p w14:paraId="48468AD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19" w:name="bookmark1595"/>
      <w:bookmarkEnd w:id="1319"/>
      <w:r>
        <w:rPr>
          <w:rStyle w:val="29"/>
          <w:rFonts w:hint="eastAsia" w:ascii="宋体" w:hAnsi="宋体" w:eastAsia="宋体" w:cs="宋体"/>
          <w:color w:val="auto"/>
          <w:kern w:val="2"/>
          <w:sz w:val="21"/>
          <w:szCs w:val="21"/>
          <w:highlight w:val="none"/>
          <w:lang w:val="zh-CN" w:eastAsia="zh-CN" w:bidi="ar-SA"/>
        </w:rPr>
        <w:t>（</w:t>
      </w:r>
      <w:r>
        <w:rPr>
          <w:rStyle w:val="29"/>
          <w:rFonts w:hint="eastAsia" w:ascii="宋体" w:hAnsi="宋体" w:eastAsia="宋体" w:cs="宋体"/>
          <w:color w:val="auto"/>
          <w:kern w:val="2"/>
          <w:sz w:val="21"/>
          <w:szCs w:val="21"/>
          <w:highlight w:val="none"/>
          <w:lang w:eastAsia="zh-CN" w:bidi="ar-SA"/>
        </w:rPr>
        <w:t>7</w:t>
      </w:r>
      <w:r>
        <w:rPr>
          <w:rStyle w:val="29"/>
          <w:rFonts w:hint="eastAsia" w:ascii="宋体" w:hAnsi="宋体" w:eastAsia="宋体" w:cs="宋体"/>
          <w:color w:val="auto"/>
          <w:kern w:val="2"/>
          <w:sz w:val="21"/>
          <w:szCs w:val="21"/>
          <w:highlight w:val="none"/>
          <w:lang w:val="zh-CN" w:eastAsia="zh-CN" w:bidi="ar-SA"/>
        </w:rPr>
        <w:t>）图纸；</w:t>
      </w:r>
    </w:p>
    <w:p w14:paraId="5A64EB7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20" w:name="bookmark1596"/>
      <w:bookmarkEnd w:id="1320"/>
      <w:r>
        <w:rPr>
          <w:rStyle w:val="29"/>
          <w:rFonts w:hint="eastAsia" w:ascii="宋体" w:hAnsi="宋体" w:eastAsia="宋体" w:cs="宋体"/>
          <w:color w:val="auto"/>
          <w:kern w:val="2"/>
          <w:sz w:val="21"/>
          <w:szCs w:val="21"/>
          <w:highlight w:val="none"/>
          <w:lang w:val="zh-CN" w:eastAsia="zh-CN" w:bidi="ar-SA"/>
        </w:rPr>
        <w:t>（</w:t>
      </w:r>
      <w:r>
        <w:rPr>
          <w:rStyle w:val="29"/>
          <w:rFonts w:hint="eastAsia" w:ascii="宋体" w:hAnsi="宋体" w:eastAsia="宋体" w:cs="宋体"/>
          <w:color w:val="auto"/>
          <w:kern w:val="2"/>
          <w:sz w:val="21"/>
          <w:szCs w:val="21"/>
          <w:highlight w:val="none"/>
          <w:lang w:eastAsia="zh-CN" w:bidi="ar-SA"/>
        </w:rPr>
        <w:t>8</w:t>
      </w:r>
      <w:r>
        <w:rPr>
          <w:rStyle w:val="29"/>
          <w:rFonts w:hint="eastAsia" w:ascii="宋体" w:hAnsi="宋体" w:eastAsia="宋体" w:cs="宋体"/>
          <w:color w:val="auto"/>
          <w:kern w:val="2"/>
          <w:sz w:val="21"/>
          <w:szCs w:val="21"/>
          <w:highlight w:val="none"/>
          <w:lang w:val="zh-CN" w:eastAsia="zh-CN" w:bidi="ar-SA"/>
        </w:rPr>
        <w:t>）已标价工程量清单；</w:t>
      </w:r>
    </w:p>
    <w:p w14:paraId="19DAC44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21" w:name="bookmark1597"/>
      <w:bookmarkEnd w:id="1321"/>
      <w:r>
        <w:rPr>
          <w:rStyle w:val="29"/>
          <w:rFonts w:hint="eastAsia" w:ascii="宋体" w:hAnsi="宋体" w:eastAsia="宋体" w:cs="宋体"/>
          <w:color w:val="auto"/>
          <w:kern w:val="2"/>
          <w:sz w:val="21"/>
          <w:szCs w:val="21"/>
          <w:highlight w:val="none"/>
          <w:lang w:val="zh-CN" w:eastAsia="zh-CN" w:bidi="ar-SA"/>
        </w:rPr>
        <w:t>（</w:t>
      </w:r>
      <w:r>
        <w:rPr>
          <w:rStyle w:val="29"/>
          <w:rFonts w:hint="eastAsia" w:ascii="宋体" w:hAnsi="宋体" w:eastAsia="宋体" w:cs="宋体"/>
          <w:color w:val="auto"/>
          <w:kern w:val="2"/>
          <w:sz w:val="21"/>
          <w:szCs w:val="21"/>
          <w:highlight w:val="none"/>
          <w:lang w:eastAsia="zh-CN" w:bidi="ar-SA"/>
        </w:rPr>
        <w:t>9</w:t>
      </w:r>
      <w:r>
        <w:rPr>
          <w:rStyle w:val="29"/>
          <w:rFonts w:hint="eastAsia" w:ascii="宋体" w:hAnsi="宋体" w:eastAsia="宋体" w:cs="宋体"/>
          <w:color w:val="auto"/>
          <w:kern w:val="2"/>
          <w:sz w:val="21"/>
          <w:szCs w:val="21"/>
          <w:highlight w:val="none"/>
          <w:lang w:val="zh-CN" w:eastAsia="zh-CN" w:bidi="ar-SA"/>
        </w:rPr>
        <w:t>）响应文件其他内容；</w:t>
      </w:r>
    </w:p>
    <w:p w14:paraId="325BDB5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22" w:name="bookmark1598"/>
      <w:bookmarkEnd w:id="1322"/>
      <w:r>
        <w:rPr>
          <w:rStyle w:val="29"/>
          <w:rFonts w:hint="eastAsia" w:ascii="宋体" w:hAnsi="宋体" w:eastAsia="宋体" w:cs="宋体"/>
          <w:color w:val="auto"/>
          <w:kern w:val="2"/>
          <w:sz w:val="21"/>
          <w:szCs w:val="21"/>
          <w:highlight w:val="none"/>
          <w:lang w:val="zh-CN" w:eastAsia="zh-CN" w:bidi="ar-SA"/>
        </w:rPr>
        <w:t>（</w:t>
      </w:r>
      <w:r>
        <w:rPr>
          <w:rStyle w:val="29"/>
          <w:rFonts w:hint="eastAsia" w:ascii="宋体" w:hAnsi="宋体" w:eastAsia="宋体" w:cs="宋体"/>
          <w:color w:val="auto"/>
          <w:kern w:val="2"/>
          <w:sz w:val="21"/>
          <w:szCs w:val="21"/>
          <w:highlight w:val="none"/>
          <w:lang w:eastAsia="zh-CN" w:bidi="ar-SA"/>
        </w:rPr>
        <w:t>10</w:t>
      </w:r>
      <w:r>
        <w:rPr>
          <w:rStyle w:val="29"/>
          <w:rFonts w:hint="eastAsia" w:ascii="宋体" w:hAnsi="宋体" w:eastAsia="宋体" w:cs="宋体"/>
          <w:color w:val="auto"/>
          <w:kern w:val="2"/>
          <w:sz w:val="21"/>
          <w:szCs w:val="21"/>
          <w:highlight w:val="none"/>
          <w:lang w:val="zh-CN" w:eastAsia="zh-CN" w:bidi="ar-SA"/>
        </w:rPr>
        <w:t>）其他合同文件。</w:t>
      </w:r>
    </w:p>
    <w:p w14:paraId="4F6D98B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323" w:name="bookmark1600"/>
      <w:bookmarkStart w:id="1324" w:name="bookmark1599"/>
      <w:bookmarkStart w:id="1325" w:name="bookmark1601"/>
      <w:r>
        <w:rPr>
          <w:rStyle w:val="29"/>
          <w:rFonts w:hint="eastAsia" w:ascii="宋体" w:hAnsi="宋体" w:eastAsia="宋体" w:cs="宋体"/>
          <w:color w:val="auto"/>
          <w:kern w:val="2"/>
          <w:sz w:val="21"/>
          <w:szCs w:val="21"/>
          <w:highlight w:val="none"/>
          <w:lang w:eastAsia="zh-CN"/>
        </w:rPr>
        <w:t>1.3联络</w:t>
      </w:r>
      <w:bookmarkEnd w:id="1323"/>
      <w:bookmarkEnd w:id="1324"/>
      <w:bookmarkEnd w:id="1325"/>
    </w:p>
    <w:p w14:paraId="74998AF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1.3.1</w:t>
      </w:r>
      <w:r>
        <w:rPr>
          <w:rStyle w:val="29"/>
          <w:rFonts w:hint="eastAsia" w:ascii="宋体" w:hAnsi="宋体" w:eastAsia="宋体" w:cs="宋体"/>
          <w:color w:val="auto"/>
          <w:kern w:val="2"/>
          <w:sz w:val="21"/>
          <w:szCs w:val="21"/>
          <w:highlight w:val="none"/>
          <w:lang w:val="zh-CN" w:eastAsia="zh-CN" w:bidi="ar-SA"/>
        </w:rPr>
        <w:t>来往函件均应按技术标准和要求(合同技术条款)约定的期限送达</w:t>
      </w:r>
      <w:r>
        <w:rPr>
          <w:rStyle w:val="29"/>
          <w:rFonts w:hint="eastAsia" w:ascii="宋体" w:hAnsi="宋体" w:eastAsia="宋体" w:cs="宋体"/>
          <w:color w:val="auto"/>
          <w:kern w:val="2"/>
          <w:sz w:val="21"/>
          <w:szCs w:val="21"/>
          <w:highlight w:val="none"/>
          <w:u w:val="single"/>
          <w:lang w:val="zh-CN" w:eastAsia="zh-CN" w:bidi="zh-CN"/>
        </w:rPr>
        <w:t xml:space="preserve">                     </w:t>
      </w:r>
      <w:r>
        <w:rPr>
          <w:rStyle w:val="29"/>
          <w:rFonts w:hint="eastAsia" w:ascii="宋体" w:hAnsi="宋体" w:eastAsia="宋体" w:cs="宋体"/>
          <w:color w:val="auto"/>
          <w:kern w:val="2"/>
          <w:sz w:val="21"/>
          <w:szCs w:val="21"/>
          <w:highlight w:val="none"/>
          <w:lang w:eastAsia="zh-CN" w:bidi="ar-SA"/>
        </w:rPr>
        <w:t>。</w:t>
      </w:r>
    </w:p>
    <w:p w14:paraId="0439550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326" w:name="bookmark1604"/>
      <w:bookmarkEnd w:id="1326"/>
      <w:bookmarkStart w:id="1327" w:name="_Toc49083446"/>
      <w:bookmarkStart w:id="1328" w:name="bookmark1602"/>
      <w:bookmarkStart w:id="1329" w:name="_Toc27866"/>
      <w:bookmarkStart w:id="1330" w:name="bookmark1603"/>
      <w:bookmarkStart w:id="1331" w:name="bookmark1605"/>
      <w:bookmarkStart w:id="1332" w:name="_Toc7249"/>
      <w:r>
        <w:rPr>
          <w:rStyle w:val="29"/>
          <w:rFonts w:hint="eastAsia" w:ascii="宋体" w:hAnsi="宋体" w:eastAsia="宋体" w:cs="宋体"/>
          <w:color w:val="auto"/>
          <w:kern w:val="2"/>
          <w:sz w:val="21"/>
          <w:szCs w:val="21"/>
          <w:highlight w:val="none"/>
          <w:lang w:eastAsia="zh-CN"/>
        </w:rPr>
        <w:t>2.发包人义务</w:t>
      </w:r>
      <w:bookmarkEnd w:id="1327"/>
      <w:bookmarkEnd w:id="1328"/>
      <w:bookmarkEnd w:id="1329"/>
      <w:bookmarkEnd w:id="1330"/>
      <w:bookmarkEnd w:id="1331"/>
      <w:bookmarkEnd w:id="1332"/>
    </w:p>
    <w:p w14:paraId="3352645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333" w:name="_Toc49083447"/>
      <w:bookmarkStart w:id="1334" w:name="bookmark1607"/>
      <w:bookmarkStart w:id="1335" w:name="bookmark1606"/>
      <w:bookmarkStart w:id="1336" w:name="bookmark1608"/>
      <w:r>
        <w:rPr>
          <w:rStyle w:val="29"/>
          <w:rFonts w:hint="eastAsia" w:ascii="宋体" w:hAnsi="宋体" w:eastAsia="宋体" w:cs="宋体"/>
          <w:color w:val="auto"/>
          <w:kern w:val="2"/>
          <w:sz w:val="21"/>
          <w:szCs w:val="21"/>
          <w:highlight w:val="none"/>
          <w:lang w:eastAsia="zh-CN"/>
        </w:rPr>
        <w:t>2.1提供施工场地</w:t>
      </w:r>
      <w:bookmarkEnd w:id="1333"/>
      <w:bookmarkEnd w:id="1334"/>
      <w:bookmarkEnd w:id="1335"/>
      <w:bookmarkEnd w:id="1336"/>
    </w:p>
    <w:p w14:paraId="7C5CC68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2.3.1</w:t>
      </w:r>
      <w:r>
        <w:rPr>
          <w:rStyle w:val="29"/>
          <w:rFonts w:hint="eastAsia" w:ascii="宋体" w:hAnsi="宋体" w:eastAsia="宋体" w:cs="宋体"/>
          <w:color w:val="auto"/>
          <w:kern w:val="2"/>
          <w:sz w:val="21"/>
          <w:szCs w:val="21"/>
          <w:highlight w:val="none"/>
          <w:lang w:val="zh-CN" w:eastAsia="zh-CN" w:bidi="zh-CN"/>
        </w:rPr>
        <w:t>发包人提供的施工场地范围为：</w:t>
      </w:r>
      <w:r>
        <w:rPr>
          <w:rStyle w:val="29"/>
          <w:rFonts w:hint="eastAsia" w:ascii="宋体" w:hAnsi="宋体" w:eastAsia="宋体" w:cs="宋体"/>
          <w:color w:val="auto"/>
          <w:kern w:val="2"/>
          <w:sz w:val="21"/>
          <w:szCs w:val="21"/>
          <w:highlight w:val="none"/>
          <w:u w:val="single"/>
          <w:lang w:val="zh-CN" w:eastAsia="zh-CN" w:bidi="zh-CN"/>
        </w:rPr>
        <w:t>发包人负责向承包人提供施工用地</w:t>
      </w:r>
      <w:r>
        <w:rPr>
          <w:rStyle w:val="29"/>
          <w:rFonts w:hint="eastAsia" w:ascii="宋体" w:hAnsi="宋体" w:eastAsia="宋体" w:cs="宋体"/>
          <w:color w:val="auto"/>
          <w:kern w:val="2"/>
          <w:sz w:val="21"/>
          <w:szCs w:val="21"/>
          <w:highlight w:val="none"/>
          <w:lang w:eastAsia="zh-CN" w:bidi="ar-SA"/>
        </w:rPr>
        <w:t>。</w:t>
      </w:r>
    </w:p>
    <w:p w14:paraId="157F116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2.3.2</w:t>
      </w:r>
      <w:r>
        <w:rPr>
          <w:rStyle w:val="29"/>
          <w:rFonts w:hint="eastAsia" w:ascii="宋体" w:hAnsi="宋体" w:eastAsia="宋体" w:cs="宋体"/>
          <w:color w:val="auto"/>
          <w:kern w:val="2"/>
          <w:sz w:val="21"/>
          <w:szCs w:val="21"/>
          <w:highlight w:val="none"/>
          <w:lang w:val="zh-CN" w:eastAsia="zh-CN" w:bidi="ar-SA"/>
        </w:rPr>
        <w:t>承包人</w:t>
      </w:r>
      <w:r>
        <w:rPr>
          <w:rStyle w:val="29"/>
          <w:rFonts w:hint="eastAsia" w:ascii="宋体" w:hAnsi="宋体" w:eastAsia="宋体" w:cs="宋体"/>
          <w:color w:val="auto"/>
          <w:kern w:val="2"/>
          <w:sz w:val="21"/>
          <w:szCs w:val="21"/>
          <w:highlight w:val="none"/>
          <w:lang w:val="zh-CN" w:eastAsia="zh-CN" w:bidi="zh-CN"/>
        </w:rPr>
        <w:t>自行勘察的施工场地范围为：</w:t>
      </w:r>
      <w:r>
        <w:rPr>
          <w:rStyle w:val="29"/>
          <w:rFonts w:hint="eastAsia" w:ascii="宋体" w:hAnsi="宋体" w:eastAsia="宋体" w:cs="宋体"/>
          <w:color w:val="auto"/>
          <w:kern w:val="2"/>
          <w:sz w:val="21"/>
          <w:szCs w:val="21"/>
          <w:highlight w:val="none"/>
          <w:u w:val="single"/>
          <w:lang w:val="zh-CN" w:eastAsia="zh-CN" w:bidi="zh-CN"/>
        </w:rPr>
        <w:t>完成合同工程施工建设任务所涉及的所有范围</w:t>
      </w:r>
      <w:r>
        <w:rPr>
          <w:rStyle w:val="29"/>
          <w:rFonts w:hint="eastAsia" w:ascii="宋体" w:hAnsi="宋体" w:eastAsia="宋体" w:cs="宋体"/>
          <w:color w:val="auto"/>
          <w:kern w:val="2"/>
          <w:sz w:val="21"/>
          <w:szCs w:val="21"/>
          <w:highlight w:val="none"/>
          <w:lang w:eastAsia="zh-CN" w:bidi="ar-SA"/>
        </w:rPr>
        <w:t>。</w:t>
      </w:r>
    </w:p>
    <w:p w14:paraId="687872C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eastAsia="zh-CN"/>
        </w:rPr>
        <w:t>2.2其它义务</w:t>
      </w:r>
    </w:p>
    <w:p w14:paraId="57F4116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37" w:name="_Toc221951139"/>
      <w:r>
        <w:rPr>
          <w:rStyle w:val="29"/>
          <w:rFonts w:hint="eastAsia" w:ascii="宋体" w:hAnsi="宋体" w:eastAsia="宋体" w:cs="宋体"/>
          <w:color w:val="auto"/>
          <w:kern w:val="2"/>
          <w:sz w:val="21"/>
          <w:szCs w:val="21"/>
          <w:highlight w:val="none"/>
          <w:lang w:val="zh-CN" w:eastAsia="zh-CN" w:bidi="ar-SA"/>
        </w:rPr>
        <w:t>（一）执行农民工工资保证金制度，缴纳农民工工资保证金（适用于在本自治区行政区域内施工的所有水利水电工程项目）根据《国务院办公厅关于全面治理拖欠农民工工资问题的意见》（国办发〔2016〕1号）和《广西壮族自治区人民政府办公厅关于全面治理拖欠农民工工资问题的实施意见》（桂政办发〔2016〕113号）精神，承包人在办理工程项目开工手续前必须履行以下义务：</w:t>
      </w:r>
    </w:p>
    <w:p w14:paraId="2B26CA0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（1）按以下标准由承包人开设农民工工资保证金专户并足额存入农民工工资保证金：</w:t>
      </w:r>
    </w:p>
    <w:p w14:paraId="3BD251B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工程项目中标价(合同价)1000万元(含1000万元)以下的，按2％计算；超过1000万元部分，按1％计算。</w:t>
      </w:r>
    </w:p>
    <w:p w14:paraId="43FF51F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（2）承诺一旦其出现拖欠农民工工资时，可由农民工工资保证金专户从工资保证金中先予垫支。</w:t>
      </w:r>
      <w:bookmarkEnd w:id="1337"/>
    </w:p>
    <w:p w14:paraId="29B9591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（二）其他未尽事宜待签订施工合同时双方再协商。</w:t>
      </w:r>
    </w:p>
    <w:p w14:paraId="24250EA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338" w:name="bookmark1614"/>
      <w:bookmarkEnd w:id="1338"/>
      <w:bookmarkStart w:id="1339" w:name="bookmark1615"/>
      <w:bookmarkStart w:id="1340" w:name="_Toc5847"/>
      <w:bookmarkStart w:id="1341" w:name="_Toc6637"/>
      <w:bookmarkStart w:id="1342" w:name="_Toc49083448"/>
      <w:bookmarkStart w:id="1343" w:name="bookmark1613"/>
      <w:bookmarkStart w:id="1344" w:name="bookmark1612"/>
      <w:r>
        <w:rPr>
          <w:rStyle w:val="29"/>
          <w:rFonts w:hint="eastAsia" w:ascii="宋体" w:hAnsi="宋体" w:eastAsia="宋体" w:cs="宋体"/>
          <w:color w:val="auto"/>
          <w:kern w:val="2"/>
          <w:sz w:val="21"/>
          <w:szCs w:val="21"/>
          <w:highlight w:val="none"/>
          <w:lang w:eastAsia="zh-CN"/>
        </w:rPr>
        <w:t>3.监理人</w:t>
      </w:r>
      <w:bookmarkEnd w:id="1339"/>
      <w:bookmarkEnd w:id="1340"/>
      <w:bookmarkEnd w:id="1341"/>
      <w:bookmarkEnd w:id="1342"/>
    </w:p>
    <w:p w14:paraId="7C3735D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345" w:name="bookmark1616"/>
      <w:r>
        <w:rPr>
          <w:rStyle w:val="29"/>
          <w:rFonts w:hint="eastAsia" w:ascii="宋体" w:hAnsi="宋体" w:eastAsia="宋体" w:cs="宋体"/>
          <w:color w:val="auto"/>
          <w:kern w:val="2"/>
          <w:sz w:val="21"/>
          <w:szCs w:val="21"/>
          <w:highlight w:val="none"/>
          <w:lang w:val="zh-CN" w:eastAsia="zh-CN"/>
        </w:rPr>
        <w:t>3.1监理人的职责和权力</w:t>
      </w:r>
      <w:bookmarkEnd w:id="1343"/>
      <w:bookmarkEnd w:id="1344"/>
      <w:bookmarkEnd w:id="1345"/>
    </w:p>
    <w:p w14:paraId="17179BC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3.1.1</w:t>
      </w:r>
      <w:r>
        <w:rPr>
          <w:rStyle w:val="29"/>
          <w:rFonts w:hint="eastAsia" w:ascii="宋体" w:hAnsi="宋体" w:eastAsia="宋体" w:cs="宋体"/>
          <w:color w:val="auto"/>
          <w:kern w:val="2"/>
          <w:sz w:val="21"/>
          <w:szCs w:val="21"/>
          <w:highlight w:val="none"/>
          <w:lang w:val="zh-CN" w:eastAsia="zh-CN" w:bidi="zh-CN"/>
        </w:rPr>
        <w:t>监理人须根据发包人事先批准的权力范围行使权力，发包人批准的权力范围：</w:t>
      </w:r>
      <w:r>
        <w:rPr>
          <w:rStyle w:val="29"/>
          <w:rFonts w:hint="eastAsia" w:ascii="宋体" w:hAnsi="宋体" w:eastAsia="宋体" w:cs="宋体"/>
          <w:color w:val="auto"/>
          <w:kern w:val="2"/>
          <w:sz w:val="21"/>
          <w:szCs w:val="21"/>
          <w:highlight w:val="none"/>
          <w:u w:val="single"/>
          <w:lang w:val="zh-CN" w:eastAsia="zh-CN" w:bidi="zh-CN"/>
        </w:rPr>
        <w:t>按本工程委托监理合同</w:t>
      </w:r>
      <w:r>
        <w:rPr>
          <w:rStyle w:val="29"/>
          <w:rFonts w:hint="eastAsia" w:ascii="宋体" w:hAnsi="宋体" w:eastAsia="宋体" w:cs="宋体"/>
          <w:color w:val="auto"/>
          <w:kern w:val="2"/>
          <w:sz w:val="21"/>
          <w:szCs w:val="21"/>
          <w:highlight w:val="none"/>
          <w:lang w:val="zh-CN" w:eastAsia="zh-CN" w:bidi="zh-CN"/>
        </w:rPr>
        <w:t>。</w:t>
      </w:r>
    </w:p>
    <w:p w14:paraId="5F061D9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346" w:name="bookmark1619"/>
      <w:bookmarkEnd w:id="1346"/>
      <w:bookmarkStart w:id="1347" w:name="bookmark1620"/>
      <w:bookmarkStart w:id="1348" w:name="_Toc4014"/>
      <w:bookmarkStart w:id="1349" w:name="_Toc49083449"/>
      <w:bookmarkStart w:id="1350" w:name="_Toc23429"/>
      <w:bookmarkStart w:id="1351" w:name="bookmark1618"/>
      <w:bookmarkStart w:id="1352" w:name="bookmark1617"/>
      <w:r>
        <w:rPr>
          <w:rStyle w:val="29"/>
          <w:rFonts w:hint="eastAsia" w:ascii="宋体" w:hAnsi="宋体" w:eastAsia="宋体" w:cs="宋体"/>
          <w:color w:val="auto"/>
          <w:kern w:val="2"/>
          <w:sz w:val="21"/>
          <w:szCs w:val="21"/>
          <w:highlight w:val="none"/>
          <w:lang w:eastAsia="zh-CN"/>
        </w:rPr>
        <w:t>4.承包人</w:t>
      </w:r>
      <w:bookmarkEnd w:id="1347"/>
      <w:bookmarkEnd w:id="1348"/>
      <w:bookmarkEnd w:id="1349"/>
      <w:bookmarkEnd w:id="1350"/>
    </w:p>
    <w:p w14:paraId="2574DE9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353" w:name="bookmark1621"/>
      <w:r>
        <w:rPr>
          <w:rStyle w:val="29"/>
          <w:rFonts w:hint="eastAsia" w:ascii="宋体" w:hAnsi="宋体" w:eastAsia="宋体" w:cs="宋体"/>
          <w:color w:val="auto"/>
          <w:kern w:val="2"/>
          <w:sz w:val="21"/>
          <w:szCs w:val="21"/>
          <w:highlight w:val="none"/>
          <w:lang w:val="zh-CN" w:eastAsia="zh-CN"/>
        </w:rPr>
        <w:t>4.1承包人的一般义务</w:t>
      </w:r>
      <w:bookmarkEnd w:id="1351"/>
      <w:bookmarkEnd w:id="1352"/>
      <w:bookmarkEnd w:id="1353"/>
    </w:p>
    <w:p w14:paraId="30A4B41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54" w:name="bookmark1622"/>
      <w:bookmarkEnd w:id="1354"/>
      <w:bookmarkStart w:id="1355" w:name="_Toc49083450"/>
      <w:r>
        <w:rPr>
          <w:rStyle w:val="29"/>
          <w:rFonts w:hint="eastAsia" w:ascii="宋体" w:hAnsi="宋体" w:eastAsia="宋体" w:cs="宋体"/>
          <w:color w:val="auto"/>
          <w:kern w:val="2"/>
          <w:sz w:val="21"/>
          <w:szCs w:val="21"/>
          <w:highlight w:val="none"/>
          <w:lang w:val="zh-CN" w:eastAsia="zh-CN" w:bidi="ar-SA"/>
        </w:rPr>
        <w:t>4.1.10其他义务</w:t>
      </w:r>
      <w:bookmarkEnd w:id="1355"/>
    </w:p>
    <w:p w14:paraId="4124E8C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56" w:name="bookmark1623"/>
      <w:bookmarkEnd w:id="1356"/>
      <w:r>
        <w:rPr>
          <w:rStyle w:val="29"/>
          <w:rFonts w:hint="eastAsia" w:ascii="宋体" w:hAnsi="宋体" w:eastAsia="宋体" w:cs="宋体"/>
          <w:color w:val="auto"/>
          <w:kern w:val="2"/>
          <w:sz w:val="21"/>
          <w:szCs w:val="21"/>
          <w:highlight w:val="none"/>
          <w:lang w:val="zh-CN" w:eastAsia="zh-CN" w:bidi="ar-SA"/>
        </w:rPr>
        <w:t>（一）办理有关保险。</w:t>
      </w:r>
    </w:p>
    <w:p w14:paraId="6153B26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按照《建筑法》规定，必须在工程开工前，为参加本合同工程现场施工的所有作业人员及管理人员，包括参加工程建设的管理人员、监理人员、施工人员(含民工)办理工伤保险，并缴纳工伤保险费。保险期限自投保之日(工程开工之日)起至工程竣工验收时止,时间上涵盖施工全过程的任一时段。</w:t>
      </w:r>
    </w:p>
    <w:p w14:paraId="34521E1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按照《建筑法》规定，鼓励为从事危险作业的职工办理意外伤害保险。</w:t>
      </w:r>
    </w:p>
    <w:p w14:paraId="0ACC8DE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57" w:name="bookmark1624"/>
      <w:bookmarkEnd w:id="1357"/>
      <w:r>
        <w:rPr>
          <w:rStyle w:val="29"/>
          <w:rFonts w:hint="eastAsia" w:ascii="宋体" w:hAnsi="宋体" w:eastAsia="宋体" w:cs="宋体"/>
          <w:color w:val="auto"/>
          <w:kern w:val="2"/>
          <w:sz w:val="21"/>
          <w:szCs w:val="21"/>
          <w:highlight w:val="none"/>
          <w:lang w:val="zh-CN" w:eastAsia="zh-CN" w:bidi="ar-SA"/>
        </w:rPr>
        <w:t>（二）执行广西壮族自治区解决企业拖欠工资问题联席会议关于保障农民工工资支付的有关规定，确保农民工工资无拖欠。</w:t>
      </w:r>
    </w:p>
    <w:p w14:paraId="751E0D6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依法与招用的农民工签订并履行劳动合同，建立职工名册，及时办理劳动用工备案。实行农民工工资专用账户管理、银行代发农民工工资制度和农民工工资保证金制度。</w:t>
      </w:r>
    </w:p>
    <w:p w14:paraId="1066F28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58" w:name="bookmark1625"/>
      <w:bookmarkEnd w:id="1358"/>
      <w:r>
        <w:rPr>
          <w:rStyle w:val="29"/>
          <w:rFonts w:hint="eastAsia" w:ascii="宋体" w:hAnsi="宋体" w:eastAsia="宋体" w:cs="宋体"/>
          <w:color w:val="auto"/>
          <w:kern w:val="2"/>
          <w:sz w:val="21"/>
          <w:szCs w:val="21"/>
          <w:highlight w:val="none"/>
          <w:lang w:val="zh-CN" w:eastAsia="zh-CN" w:bidi="ar-SA"/>
        </w:rPr>
        <w:t>（三）工程施工的义务和责任</w:t>
      </w:r>
    </w:p>
    <w:p w14:paraId="034C173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59" w:name="bookmark1626"/>
      <w:bookmarkEnd w:id="1359"/>
      <w:r>
        <w:rPr>
          <w:rStyle w:val="29"/>
          <w:rFonts w:hint="eastAsia" w:ascii="宋体" w:hAnsi="宋体" w:eastAsia="宋体" w:cs="宋体"/>
          <w:color w:val="auto"/>
          <w:kern w:val="2"/>
          <w:sz w:val="21"/>
          <w:szCs w:val="21"/>
          <w:highlight w:val="none"/>
          <w:lang w:val="zh-CN" w:eastAsia="zh-CN" w:bidi="ar-SA"/>
        </w:rPr>
        <w:t>（1）承包人应负责施工场地内部的水、电等施工管、线路的铺、架设及其费用，并按供电部门规定向供电部门(或发包人)交纳水、电费。发包人提供的接电点在签订合同时明确。另外，施工通讯及设施由承包人负责并承担费用。</w:t>
      </w:r>
    </w:p>
    <w:p w14:paraId="48BF72B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60" w:name="bookmark1627"/>
      <w:bookmarkEnd w:id="1360"/>
      <w:r>
        <w:rPr>
          <w:rStyle w:val="29"/>
          <w:rFonts w:hint="eastAsia" w:ascii="宋体" w:hAnsi="宋体" w:eastAsia="宋体" w:cs="宋体"/>
          <w:color w:val="auto"/>
          <w:kern w:val="2"/>
          <w:sz w:val="21"/>
          <w:szCs w:val="21"/>
          <w:highlight w:val="none"/>
          <w:lang w:val="zh-CN" w:eastAsia="zh-CN" w:bidi="ar-SA"/>
        </w:rPr>
        <w:t>（2）除民房外，承包人应按监理人的指示负责拆除、清理已征用土地上的杂物、灌木、树木、树根、杂草等。</w:t>
      </w:r>
    </w:p>
    <w:p w14:paraId="11A484B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61" w:name="bookmark1628"/>
      <w:bookmarkEnd w:id="1361"/>
      <w:r>
        <w:rPr>
          <w:rStyle w:val="29"/>
          <w:rFonts w:hint="eastAsia" w:ascii="宋体" w:hAnsi="宋体" w:eastAsia="宋体" w:cs="宋体"/>
          <w:color w:val="auto"/>
          <w:kern w:val="2"/>
          <w:sz w:val="21"/>
          <w:szCs w:val="21"/>
          <w:highlight w:val="none"/>
          <w:lang w:val="zh-CN" w:eastAsia="zh-CN" w:bidi="ar-SA"/>
        </w:rPr>
        <w:t>（3）承包人应充分理解有一些设施(如施工道路、桥梁)可能会有其它人和单位使用通行，在使用过程中发生干扰时，应立即通知监理人并服从监理人的决定。</w:t>
      </w:r>
    </w:p>
    <w:p w14:paraId="53EA505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62" w:name="bookmark1629"/>
      <w:bookmarkEnd w:id="1362"/>
      <w:r>
        <w:rPr>
          <w:rStyle w:val="29"/>
          <w:rFonts w:hint="eastAsia" w:ascii="宋体" w:hAnsi="宋体" w:eastAsia="宋体" w:cs="宋体"/>
          <w:color w:val="auto"/>
          <w:kern w:val="2"/>
          <w:sz w:val="21"/>
          <w:szCs w:val="21"/>
          <w:highlight w:val="none"/>
          <w:lang w:val="zh-CN" w:eastAsia="zh-CN" w:bidi="ar-SA"/>
        </w:rPr>
        <w:t>（4）承包人应为监理人、发包人现场代表对施工现场的检查监督提供必要的配合，并对这种配合对施工的影响应有充分的考虑。</w:t>
      </w:r>
    </w:p>
    <w:p w14:paraId="44122E4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63" w:name="bookmark1630"/>
      <w:bookmarkEnd w:id="1363"/>
      <w:r>
        <w:rPr>
          <w:rStyle w:val="29"/>
          <w:rFonts w:hint="eastAsia" w:ascii="宋体" w:hAnsi="宋体" w:eastAsia="宋体" w:cs="宋体"/>
          <w:color w:val="auto"/>
          <w:kern w:val="2"/>
          <w:sz w:val="21"/>
          <w:szCs w:val="21"/>
          <w:highlight w:val="none"/>
          <w:lang w:val="zh-CN" w:eastAsia="zh-CN" w:bidi="ar-SA"/>
        </w:rPr>
        <w:t>（5）工程竣工后，承包人应按监理人的指示清理施工现场直至监理人、发包人满意为止。</w:t>
      </w:r>
    </w:p>
    <w:p w14:paraId="11024C1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64" w:name="bookmark1631"/>
      <w:bookmarkEnd w:id="1364"/>
      <w:r>
        <w:rPr>
          <w:rStyle w:val="29"/>
          <w:rFonts w:hint="eastAsia" w:ascii="宋体" w:hAnsi="宋体" w:eastAsia="宋体" w:cs="宋体"/>
          <w:color w:val="auto"/>
          <w:kern w:val="2"/>
          <w:sz w:val="21"/>
          <w:szCs w:val="21"/>
          <w:highlight w:val="none"/>
          <w:lang w:val="zh-CN" w:eastAsia="zh-CN" w:bidi="ar-SA"/>
        </w:rPr>
        <w:t>（6）对上述(1)～(5)项工作，费用已包括在有关单价和总价中，发包人不再另行支付由此所发生的一切费用。</w:t>
      </w:r>
    </w:p>
    <w:p w14:paraId="18C9C18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65" w:name="bookmark1632"/>
      <w:bookmarkEnd w:id="1365"/>
      <w:r>
        <w:rPr>
          <w:rStyle w:val="29"/>
          <w:rFonts w:hint="eastAsia" w:ascii="宋体" w:hAnsi="宋体" w:eastAsia="宋体" w:cs="宋体"/>
          <w:color w:val="auto"/>
          <w:kern w:val="2"/>
          <w:sz w:val="21"/>
          <w:szCs w:val="21"/>
          <w:highlight w:val="none"/>
          <w:lang w:val="zh-CN" w:eastAsia="zh-CN" w:bidi="ar-SA"/>
        </w:rPr>
        <w:t>（7）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3B9373D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66" w:name="bookmark1633"/>
      <w:bookmarkEnd w:id="1366"/>
      <w:r>
        <w:rPr>
          <w:rStyle w:val="29"/>
          <w:rFonts w:hint="eastAsia" w:ascii="宋体" w:hAnsi="宋体" w:eastAsia="宋体" w:cs="宋体"/>
          <w:color w:val="auto"/>
          <w:kern w:val="2"/>
          <w:sz w:val="21"/>
          <w:szCs w:val="21"/>
          <w:highlight w:val="none"/>
          <w:lang w:val="zh-CN" w:eastAsia="zh-CN" w:bidi="ar-SA"/>
        </w:rPr>
        <w:t>（8）承包人必须文明、安全施工，在施工期间发生的一切人员伤亡和财产损失等责任事故和所发生的一切费用概由承包人承担。</w:t>
      </w:r>
    </w:p>
    <w:p w14:paraId="17DB72C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67" w:name="bookmark1634"/>
      <w:bookmarkEnd w:id="1367"/>
      <w:r>
        <w:rPr>
          <w:rStyle w:val="29"/>
          <w:rFonts w:hint="eastAsia" w:ascii="宋体" w:hAnsi="宋体" w:eastAsia="宋体" w:cs="宋体"/>
          <w:color w:val="auto"/>
          <w:kern w:val="2"/>
          <w:sz w:val="21"/>
          <w:szCs w:val="21"/>
          <w:highlight w:val="none"/>
          <w:lang w:val="zh-CN" w:eastAsia="zh-CN" w:bidi="ar-SA"/>
        </w:rPr>
        <w:t>（9）按照发包人的要求做好安全文明宣传、监督检查宣传等工作，相关费用由承包人承担。</w:t>
      </w:r>
    </w:p>
    <w:p w14:paraId="15D7674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68" w:name="bookmark1635"/>
      <w:bookmarkEnd w:id="1368"/>
      <w:r>
        <w:rPr>
          <w:rStyle w:val="29"/>
          <w:rFonts w:hint="eastAsia" w:ascii="宋体" w:hAnsi="宋体" w:eastAsia="宋体" w:cs="宋体"/>
          <w:color w:val="auto"/>
          <w:kern w:val="2"/>
          <w:sz w:val="21"/>
          <w:szCs w:val="21"/>
          <w:highlight w:val="none"/>
          <w:lang w:val="zh-CN" w:eastAsia="zh-CN" w:bidi="ar-SA"/>
        </w:rPr>
        <w:t>1)承包人应按约定时间和要求，完成以下工作：</w:t>
      </w:r>
    </w:p>
    <w:p w14:paraId="3BFA19A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69" w:name="bookmark1636"/>
      <w:bookmarkEnd w:id="1369"/>
      <w:r>
        <w:rPr>
          <w:rStyle w:val="29"/>
          <w:rFonts w:hint="eastAsia" w:ascii="宋体" w:hAnsi="宋体" w:eastAsia="宋体" w:cs="宋体"/>
          <w:color w:val="auto"/>
          <w:kern w:val="2"/>
          <w:sz w:val="21"/>
          <w:szCs w:val="21"/>
          <w:highlight w:val="none"/>
          <w:lang w:val="zh-CN" w:eastAsia="zh-CN" w:bidi="ar-SA"/>
        </w:rPr>
        <w:t>①按时提交施工组织设计、单位工程的施工方案。</w:t>
      </w:r>
    </w:p>
    <w:p w14:paraId="25B6929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70" w:name="bookmark1637"/>
      <w:bookmarkEnd w:id="1370"/>
      <w:r>
        <w:rPr>
          <w:rStyle w:val="29"/>
          <w:rFonts w:hint="eastAsia" w:ascii="宋体" w:hAnsi="宋体" w:eastAsia="宋体" w:cs="宋体"/>
          <w:color w:val="auto"/>
          <w:kern w:val="2"/>
          <w:sz w:val="21"/>
          <w:szCs w:val="21"/>
          <w:highlight w:val="none"/>
          <w:lang w:val="zh-CN" w:eastAsia="zh-CN" w:bidi="ar-SA"/>
        </w:rPr>
        <w:t>②每月25日向监理人提交当月工程进度报表及下月进度计划。</w:t>
      </w:r>
    </w:p>
    <w:p w14:paraId="2382414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71" w:name="bookmark1638"/>
      <w:bookmarkEnd w:id="1371"/>
      <w:r>
        <w:rPr>
          <w:rStyle w:val="29"/>
          <w:rFonts w:hint="eastAsia" w:ascii="宋体" w:hAnsi="宋体" w:eastAsia="宋体" w:cs="宋体"/>
          <w:color w:val="auto"/>
          <w:kern w:val="2"/>
          <w:sz w:val="21"/>
          <w:szCs w:val="21"/>
          <w:highlight w:val="none"/>
          <w:lang w:val="zh-CN" w:eastAsia="zh-CN" w:bidi="ar-SA"/>
        </w:rPr>
        <w:t>③承包人自行负责施工安全保卫工作及夜间施工照明。</w:t>
      </w:r>
    </w:p>
    <w:p w14:paraId="01690FB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72" w:name="bookmark1639"/>
      <w:bookmarkEnd w:id="1372"/>
      <w:r>
        <w:rPr>
          <w:rStyle w:val="29"/>
          <w:rFonts w:hint="eastAsia" w:ascii="宋体" w:hAnsi="宋体" w:eastAsia="宋体" w:cs="宋体"/>
          <w:color w:val="auto"/>
          <w:kern w:val="2"/>
          <w:sz w:val="21"/>
          <w:szCs w:val="21"/>
          <w:highlight w:val="none"/>
          <w:lang w:val="zh-CN" w:eastAsia="zh-CN" w:bidi="ar-SA"/>
        </w:rPr>
        <w:t>④需承包人办理的有关施工场地交通、环卫和施工噪音降尘管理等手续：遵守有关部门对施工现场交通、环卫和施工噪音降尘管理规定，如有发生，费用由承包人承担。</w:t>
      </w:r>
    </w:p>
    <w:p w14:paraId="28293CE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73" w:name="bookmark1640"/>
      <w:bookmarkEnd w:id="1373"/>
      <w:r>
        <w:rPr>
          <w:rStyle w:val="29"/>
          <w:rFonts w:hint="eastAsia" w:ascii="宋体" w:hAnsi="宋体" w:eastAsia="宋体" w:cs="宋体"/>
          <w:color w:val="auto"/>
          <w:kern w:val="2"/>
          <w:sz w:val="21"/>
          <w:szCs w:val="21"/>
          <w:highlight w:val="none"/>
          <w:lang w:val="zh-CN" w:eastAsia="zh-CN" w:bidi="ar-SA"/>
        </w:rPr>
        <w:t>⑤已完工程成品保护的特殊要求及费用承担：已完工工程未交付发包人之前，承包人按协议条款约定负责已完成工程的成品保护工作，保护期间发生损坏，承包人自费予以修复。</w:t>
      </w:r>
    </w:p>
    <w:p w14:paraId="48C5A1D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74" w:name="bookmark1641"/>
      <w:bookmarkEnd w:id="1374"/>
      <w:r>
        <w:rPr>
          <w:rStyle w:val="29"/>
          <w:rFonts w:hint="eastAsia" w:ascii="宋体" w:hAnsi="宋体" w:eastAsia="宋体" w:cs="宋体"/>
          <w:color w:val="auto"/>
          <w:kern w:val="2"/>
          <w:sz w:val="21"/>
          <w:szCs w:val="21"/>
          <w:highlight w:val="none"/>
          <w:lang w:val="zh-CN" w:eastAsia="zh-CN" w:bidi="ar-SA"/>
        </w:rPr>
        <w:t>⑥承包人有义务对施工场地周围管线(含地上及地下)和邻近建筑物、构筑物(含文物保护建筑)、古树名木等进行探明并负责保护。</w:t>
      </w:r>
    </w:p>
    <w:p w14:paraId="2DE90C3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75" w:name="bookmark1642"/>
      <w:bookmarkEnd w:id="1375"/>
      <w:r>
        <w:rPr>
          <w:rStyle w:val="29"/>
          <w:rFonts w:hint="eastAsia" w:ascii="宋体" w:hAnsi="宋体" w:eastAsia="宋体" w:cs="宋体"/>
          <w:color w:val="auto"/>
          <w:kern w:val="2"/>
          <w:sz w:val="21"/>
          <w:szCs w:val="21"/>
          <w:highlight w:val="none"/>
          <w:lang w:val="zh-CN" w:eastAsia="zh-CN" w:bidi="ar-SA"/>
        </w:rPr>
        <w:t>⑦施工场地清洁卫生的要求：按城建卫生有关规定执行，由承包人负责，费用由承包人承担。</w:t>
      </w:r>
    </w:p>
    <w:p w14:paraId="4FD8E0A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76" w:name="bookmark1643"/>
      <w:bookmarkEnd w:id="1376"/>
      <w:r>
        <w:rPr>
          <w:rStyle w:val="29"/>
          <w:rFonts w:hint="eastAsia" w:ascii="宋体" w:hAnsi="宋体" w:eastAsia="宋体" w:cs="宋体"/>
          <w:color w:val="auto"/>
          <w:kern w:val="2"/>
          <w:sz w:val="21"/>
          <w:szCs w:val="21"/>
          <w:highlight w:val="none"/>
          <w:lang w:val="zh-CN" w:eastAsia="zh-CN" w:bidi="ar-SA"/>
        </w:rPr>
        <w:t>⑧承包人承担施工场地、水电及运输通道的修建和维护、清场等费用。</w:t>
      </w:r>
    </w:p>
    <w:p w14:paraId="113C843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77" w:name="bookmark1644"/>
      <w:bookmarkEnd w:id="1377"/>
      <w:r>
        <w:rPr>
          <w:rStyle w:val="29"/>
          <w:rFonts w:hint="eastAsia" w:ascii="宋体" w:hAnsi="宋体" w:eastAsia="宋体" w:cs="宋体"/>
          <w:color w:val="auto"/>
          <w:kern w:val="2"/>
          <w:sz w:val="21"/>
          <w:szCs w:val="21"/>
          <w:highlight w:val="none"/>
          <w:lang w:val="zh-CN" w:eastAsia="zh-CN" w:bidi="ar-SA"/>
        </w:rPr>
        <w:t>2)双方约定承包人应做的其他工作：</w:t>
      </w:r>
    </w:p>
    <w:p w14:paraId="1A06166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78" w:name="bookmark1645"/>
      <w:bookmarkEnd w:id="1378"/>
      <w:r>
        <w:rPr>
          <w:rStyle w:val="29"/>
          <w:rFonts w:hint="eastAsia" w:ascii="宋体" w:hAnsi="宋体" w:eastAsia="宋体" w:cs="宋体"/>
          <w:color w:val="auto"/>
          <w:kern w:val="2"/>
          <w:sz w:val="21"/>
          <w:szCs w:val="21"/>
          <w:highlight w:val="none"/>
          <w:lang w:val="zh-CN" w:eastAsia="zh-CN" w:bidi="ar-SA"/>
        </w:rPr>
        <w:t>①凡属于需要承包人交付给其他承包人的工作面以及与其他承包人交叉作业的工作面,承包人必须服从监理人的决定，按规定的完工日期完成并将清理好的工作面移交给发包人,并取得监理人的同意。</w:t>
      </w:r>
    </w:p>
    <w:p w14:paraId="5A449D4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79" w:name="bookmark1646"/>
      <w:bookmarkEnd w:id="1379"/>
      <w:r>
        <w:rPr>
          <w:rStyle w:val="29"/>
          <w:rFonts w:hint="eastAsia" w:ascii="宋体" w:hAnsi="宋体" w:eastAsia="宋体" w:cs="宋体"/>
          <w:color w:val="auto"/>
          <w:kern w:val="2"/>
          <w:sz w:val="21"/>
          <w:szCs w:val="21"/>
          <w:highlight w:val="none"/>
          <w:lang w:val="zh-CN" w:eastAsia="zh-CN" w:bidi="ar-SA"/>
        </w:rPr>
        <w:t>②工程完工后，承包人应按监理人的指示清理施工现场。并在工程完工后6个月内完成并提交工程竣工资料和工程结算资料。承包人逾期提交，发包人将对承包人的拖延行为视为违约，并按100元/天计算违约金，违约金从承包人应得的工程款中扣除，但其最终的累计总金额与各项逾期完工违约金合计不超过合同价格的2%。</w:t>
      </w:r>
    </w:p>
    <w:p w14:paraId="434F5DA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80" w:name="bookmark1647"/>
      <w:bookmarkEnd w:id="1380"/>
      <w:r>
        <w:rPr>
          <w:rStyle w:val="29"/>
          <w:rFonts w:hint="eastAsia" w:ascii="宋体" w:hAnsi="宋体" w:eastAsia="宋体" w:cs="宋体"/>
          <w:color w:val="auto"/>
          <w:kern w:val="2"/>
          <w:sz w:val="21"/>
          <w:szCs w:val="21"/>
          <w:highlight w:val="none"/>
          <w:lang w:val="zh-CN" w:eastAsia="zh-CN" w:bidi="ar-SA"/>
        </w:rPr>
        <w:t>3)其他未尽事宜待签订施工合同时双方再协商。</w:t>
      </w:r>
    </w:p>
    <w:p w14:paraId="0A476CD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81" w:name="bookmark1648"/>
      <w:bookmarkEnd w:id="1381"/>
      <w:r>
        <w:rPr>
          <w:rStyle w:val="29"/>
          <w:rFonts w:hint="eastAsia" w:ascii="宋体" w:hAnsi="宋体" w:eastAsia="宋体" w:cs="宋体"/>
          <w:color w:val="auto"/>
          <w:kern w:val="2"/>
          <w:sz w:val="21"/>
          <w:szCs w:val="21"/>
          <w:highlight w:val="none"/>
          <w:lang w:val="zh-CN" w:eastAsia="zh-CN" w:bidi="ar-SA"/>
        </w:rPr>
        <w:t>(一)鼓励承包人根据工程建设实际，吸纳建档立卡贫困劳动力参加工程建设。</w:t>
      </w:r>
    </w:p>
    <w:p w14:paraId="3AFBF8C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382" w:name="bookmark1649"/>
      <w:bookmarkEnd w:id="1382"/>
      <w:r>
        <w:rPr>
          <w:rStyle w:val="29"/>
          <w:rFonts w:hint="eastAsia" w:ascii="宋体" w:hAnsi="宋体" w:eastAsia="宋体" w:cs="宋体"/>
          <w:color w:val="auto"/>
          <w:kern w:val="2"/>
          <w:sz w:val="21"/>
          <w:szCs w:val="21"/>
          <w:highlight w:val="none"/>
          <w:lang w:val="zh-CN" w:eastAsia="zh-CN" w:bidi="ar-SA"/>
        </w:rPr>
        <w:t>（二）执行自治区关于松材线虫病防控工作的有关规定，工程建设采用的模板、支撑及脚手架以钢模板、钢支撑为主，木质模板及仿材尽量就地采购，避免长途转运。</w:t>
      </w:r>
    </w:p>
    <w:p w14:paraId="446B1CF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rPr>
        <w:t>4.2履约担保</w:t>
      </w:r>
    </w:p>
    <w:p w14:paraId="2D47CEF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4.2.1本工程履约担保采取可以银行保函、银行转账、工程担保或工程保险等形式【备注：严禁要求成交人以现金方式提交保证金的行为】，不计利息，按成交合同金额的</w:t>
      </w:r>
      <w:r>
        <w:rPr>
          <w:rStyle w:val="29"/>
          <w:rFonts w:hint="eastAsia" w:ascii="宋体" w:hAnsi="宋体" w:eastAsia="宋体" w:cs="宋体"/>
          <w:color w:val="auto"/>
          <w:kern w:val="2"/>
          <w:sz w:val="21"/>
          <w:szCs w:val="21"/>
          <w:highlight w:val="none"/>
          <w:u w:val="single"/>
          <w:lang w:val="en-US" w:eastAsia="zh-CN" w:bidi="ar-SA"/>
        </w:rPr>
        <w:t xml:space="preserve"> / </w:t>
      </w:r>
      <w:r>
        <w:rPr>
          <w:rStyle w:val="29"/>
          <w:rFonts w:hint="eastAsia" w:ascii="宋体" w:hAnsi="宋体" w:eastAsia="宋体" w:cs="宋体"/>
          <w:color w:val="auto"/>
          <w:kern w:val="2"/>
          <w:sz w:val="21"/>
          <w:szCs w:val="21"/>
          <w:highlight w:val="none"/>
          <w:u w:val="single"/>
          <w:lang w:val="zh-CN" w:eastAsia="zh-CN" w:bidi="ar-SA"/>
        </w:rPr>
        <w:t>%</w:t>
      </w:r>
      <w:r>
        <w:rPr>
          <w:rStyle w:val="29"/>
          <w:rFonts w:hint="eastAsia" w:ascii="宋体" w:hAnsi="宋体" w:eastAsia="宋体" w:cs="宋体"/>
          <w:color w:val="auto"/>
          <w:kern w:val="2"/>
          <w:sz w:val="21"/>
          <w:szCs w:val="21"/>
          <w:highlight w:val="none"/>
          <w:lang w:val="zh-CN" w:eastAsia="zh-CN" w:bidi="ar-SA"/>
        </w:rPr>
        <w:t>开具；承包人应保证其履约担保在发包人颁发合同工程完工证书前一直有效。发包人应在合同工程完工证书颁发后28天内将履约担保退还给承包人。</w:t>
      </w:r>
    </w:p>
    <w:p w14:paraId="14E7A3B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4.2.2履约保证金金额：</w:t>
      </w:r>
      <w:r>
        <w:rPr>
          <w:rFonts w:hint="eastAsia" w:eastAsia="宋体"/>
          <w:color w:val="auto"/>
          <w:sz w:val="21"/>
          <w:szCs w:val="21"/>
          <w:highlight w:val="none"/>
          <w:lang w:val="en-US" w:eastAsia="zh-CN"/>
        </w:rPr>
        <w:t>无</w:t>
      </w:r>
      <w:r>
        <w:rPr>
          <w:rStyle w:val="29"/>
          <w:rFonts w:hint="eastAsia" w:ascii="宋体" w:hAnsi="宋体" w:eastAsia="宋体" w:cs="宋体"/>
          <w:color w:val="auto"/>
          <w:kern w:val="2"/>
          <w:sz w:val="21"/>
          <w:szCs w:val="21"/>
          <w:highlight w:val="none"/>
          <w:lang w:val="zh-CN" w:eastAsia="zh-CN" w:bidi="ar-SA"/>
        </w:rPr>
        <w:t>。</w:t>
      </w:r>
    </w:p>
    <w:p w14:paraId="4021F8E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4.2.3履约保证金递交方式：电汇、转帐、网上银行支付、保函等非现金形式。</w:t>
      </w:r>
    </w:p>
    <w:p w14:paraId="585CD86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4.4.4履约保证金退还：履约保证金必须在招标人书面确认项目完成并同意后才能退还，并退还到成交人的基本帐户，退还时成交人须提供以下资料：</w:t>
      </w:r>
    </w:p>
    <w:p w14:paraId="1D4F0F0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（1）《履约保证金退付审批表》一式四份；</w:t>
      </w:r>
    </w:p>
    <w:p w14:paraId="56D7D44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（2）履约保证金收据原件；</w:t>
      </w:r>
    </w:p>
    <w:p w14:paraId="59BA8F4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（3）《验收证明》；</w:t>
      </w:r>
    </w:p>
    <w:p w14:paraId="20928DF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（4）《合同》复印件；</w:t>
      </w:r>
    </w:p>
    <w:p w14:paraId="4194CC6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（5）银行开户许可证或银行转账底单复印件（加盖公章）。</w:t>
      </w:r>
    </w:p>
    <w:p w14:paraId="0535960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注：开履约保证金收据需要提供的资料：银行转账凭证底单复印件（加盖公章）。</w:t>
      </w:r>
    </w:p>
    <w:p w14:paraId="369572A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备注：（1）履约保证金不足额缴纳的，或金融机构、担保机构出具的保函额度不足的或者保函有效期低于合同履行期限（即签订采购合同之日起至履行完合同约定的权利及义务之日止）的，不予签订合同。（2）采用金融机构、担保机构出具的保函的，必须为无条件保函，否则不予签订合同。</w:t>
      </w:r>
    </w:p>
    <w:p w14:paraId="38D1F3B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383" w:name="bookmark1652"/>
      <w:bookmarkStart w:id="1384" w:name="bookmark1650"/>
      <w:bookmarkStart w:id="1385" w:name="bookmark1651"/>
      <w:r>
        <w:rPr>
          <w:rStyle w:val="29"/>
          <w:rFonts w:hint="eastAsia" w:ascii="宋体" w:hAnsi="宋体" w:eastAsia="宋体" w:cs="宋体"/>
          <w:color w:val="auto"/>
          <w:kern w:val="2"/>
          <w:sz w:val="21"/>
          <w:szCs w:val="21"/>
          <w:highlight w:val="none"/>
          <w:lang w:val="zh-CN" w:eastAsia="zh-CN"/>
        </w:rPr>
        <w:t>4.3分包</w:t>
      </w:r>
      <w:bookmarkEnd w:id="1383"/>
      <w:bookmarkEnd w:id="1384"/>
      <w:bookmarkEnd w:id="1385"/>
    </w:p>
    <w:p w14:paraId="0889032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4.3.1承包人不得将其承包的全部工程转包给第三人，或将其承包的全部工程肢解后以分包的名义转包给第三人。具有下列情形之一的，认定为转包：</w:t>
      </w:r>
    </w:p>
    <w:p w14:paraId="1B42D29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（一）承包人将其承包的全部工程转给其他单位或个人施工的；</w:t>
      </w:r>
    </w:p>
    <w:p w14:paraId="1EEAC120">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（二）承包人将其承包的全部工程肢解以后以分包的名义转给其他单位或个人施工的；</w:t>
      </w:r>
    </w:p>
    <w:p w14:paraId="3DB3C70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（三）承包人将其承包的全部工程以内部承包合同等形式交由分公司施工，但分公司成立未履行合法手续的；</w:t>
      </w:r>
    </w:p>
    <w:p w14:paraId="7966CA7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（四）采取联营合作等形式的承包人，其中一方将应由其实施的全部工程交由联营合作方施工的；</w:t>
      </w:r>
    </w:p>
    <w:p w14:paraId="03B62AE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（五）全部工程由劳务作业分包单位实施，劳务作业分包单位计取报酬是除上缴给承包人管理费之外全部工程价款的；</w:t>
      </w:r>
    </w:p>
    <w:p w14:paraId="5830253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（六）承包人未设立现场管理机构的；</w:t>
      </w:r>
    </w:p>
    <w:p w14:paraId="09371DF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（七）承包人未派驻项目负责人、技术负责人、财务负责人、质量管理负责人、安全管理负责人等主要管理人员或者派驻的上述人员中全部不是本单位人员的；</w:t>
      </w:r>
    </w:p>
    <w:p w14:paraId="6A7FD46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（八）承包人不履行管理义务，只向实际施工单位收取管理费的；</w:t>
      </w:r>
    </w:p>
    <w:p w14:paraId="5013BF5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（九）法律法规规定的其他转包行为。</w:t>
      </w:r>
    </w:p>
    <w:p w14:paraId="1AF8BA6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本款所称本单位人员，是指在本单位工作，并与本单位签订劳动合同，由本单位支付劳动报酬、缴纳社会保险的人员。</w:t>
      </w:r>
    </w:p>
    <w:p w14:paraId="7C970A7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4.3.2允许承包人分包的工程项目、工作内容与分包金额限额为：</w:t>
      </w:r>
    </w:p>
    <w:p w14:paraId="305AE79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86" w:name="bookmark1653"/>
      <w:bookmarkEnd w:id="1386"/>
      <w:r>
        <w:rPr>
          <w:rStyle w:val="29"/>
          <w:rFonts w:hint="eastAsia" w:ascii="宋体" w:hAnsi="宋体" w:eastAsia="宋体" w:cs="宋体"/>
          <w:color w:val="auto"/>
          <w:kern w:val="2"/>
          <w:sz w:val="21"/>
          <w:szCs w:val="21"/>
          <w:highlight w:val="none"/>
          <w:lang w:val="zh-CN" w:eastAsia="zh-CN" w:bidi="ar-SA"/>
        </w:rPr>
        <w:t>工程项目：</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val="zh-CN" w:eastAsia="zh-CN" w:bidi="ar-SA"/>
        </w:rPr>
        <w:t>无</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val="zh-CN" w:eastAsia="zh-CN" w:bidi="ar-SA"/>
        </w:rPr>
        <w:t>。</w:t>
      </w:r>
    </w:p>
    <w:p w14:paraId="0F02495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87" w:name="bookmark1654"/>
      <w:bookmarkEnd w:id="1387"/>
      <w:r>
        <w:rPr>
          <w:rStyle w:val="29"/>
          <w:rFonts w:hint="eastAsia" w:ascii="宋体" w:hAnsi="宋体" w:eastAsia="宋体" w:cs="宋体"/>
          <w:color w:val="auto"/>
          <w:kern w:val="2"/>
          <w:sz w:val="21"/>
          <w:szCs w:val="21"/>
          <w:highlight w:val="none"/>
          <w:lang w:val="zh-CN" w:eastAsia="zh-CN" w:bidi="ar-SA"/>
        </w:rPr>
        <w:t>工作内容：</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val="zh-CN" w:eastAsia="zh-CN" w:bidi="ar-SA"/>
        </w:rPr>
        <w:t>无</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val="zh-CN" w:eastAsia="zh-CN" w:bidi="ar-SA"/>
        </w:rPr>
        <w:t>。</w:t>
      </w:r>
    </w:p>
    <w:p w14:paraId="5CC377B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388" w:name="bookmark1655"/>
      <w:bookmarkEnd w:id="1388"/>
      <w:r>
        <w:rPr>
          <w:rStyle w:val="29"/>
          <w:rFonts w:hint="eastAsia" w:ascii="宋体" w:hAnsi="宋体" w:eastAsia="宋体" w:cs="宋体"/>
          <w:color w:val="auto"/>
          <w:kern w:val="2"/>
          <w:sz w:val="21"/>
          <w:szCs w:val="21"/>
          <w:highlight w:val="none"/>
          <w:lang w:val="zh-CN" w:eastAsia="zh-CN" w:bidi="ar-SA"/>
        </w:rPr>
        <w:t>分包金额限额：</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val="zh-CN" w:eastAsia="zh-CN" w:bidi="ar-SA"/>
        </w:rPr>
        <w:t>无</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val="zh-CN" w:eastAsia="zh-CN" w:bidi="ar-SA"/>
        </w:rPr>
        <w:t>。</w:t>
      </w:r>
    </w:p>
    <w:p w14:paraId="57BB8C1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zh-CN" w:eastAsia="zh-CN" w:bidi="ar-SA"/>
        </w:rPr>
        <w:t>4.3.10分包人项目管理机构的设立</w:t>
      </w: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u w:val="single"/>
          <w:lang w:val="en-US" w:eastAsia="zh-CN" w:bidi="zh-CN"/>
        </w:rPr>
        <w:t xml:space="preserve"> </w:t>
      </w:r>
      <w:r>
        <w:rPr>
          <w:rStyle w:val="29"/>
          <w:rFonts w:hint="eastAsia" w:ascii="宋体" w:hAnsi="宋体" w:eastAsia="宋体" w:cs="宋体"/>
          <w:color w:val="auto"/>
          <w:kern w:val="2"/>
          <w:sz w:val="21"/>
          <w:szCs w:val="21"/>
          <w:highlight w:val="none"/>
          <w:u w:val="single"/>
          <w:lang w:val="zh-CN" w:eastAsia="zh-CN" w:bidi="zh-CN"/>
        </w:rPr>
        <w:t>无</w:t>
      </w:r>
      <w:r>
        <w:rPr>
          <w:rStyle w:val="29"/>
          <w:rFonts w:hint="eastAsia" w:ascii="宋体" w:hAnsi="宋体" w:eastAsia="宋体" w:cs="宋体"/>
          <w:color w:val="auto"/>
          <w:kern w:val="2"/>
          <w:sz w:val="21"/>
          <w:szCs w:val="21"/>
          <w:highlight w:val="none"/>
          <w:u w:val="single"/>
          <w:lang w:val="en-US" w:eastAsia="zh-CN" w:bidi="zh-CN"/>
        </w:rPr>
        <w:t xml:space="preserve"> </w:t>
      </w:r>
      <w:r>
        <w:rPr>
          <w:rStyle w:val="29"/>
          <w:rFonts w:hint="eastAsia" w:ascii="宋体" w:hAnsi="宋体" w:eastAsia="宋体" w:cs="宋体"/>
          <w:color w:val="auto"/>
          <w:kern w:val="2"/>
          <w:sz w:val="21"/>
          <w:szCs w:val="21"/>
          <w:highlight w:val="none"/>
          <w:lang w:eastAsia="zh-CN" w:bidi="ar-SA"/>
        </w:rPr>
        <w:t>。</w:t>
      </w:r>
    </w:p>
    <w:p w14:paraId="70BC309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rPr>
        <w:t>4.5承包人项目经理</w:t>
      </w:r>
    </w:p>
    <w:p w14:paraId="4B85CEB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default" w:ascii="宋体" w:hAnsi="宋体" w:eastAsia="宋体" w:cs="宋体"/>
          <w:color w:val="auto"/>
          <w:sz w:val="21"/>
          <w:szCs w:val="21"/>
          <w:highlight w:val="none"/>
          <w:u w:val="single"/>
          <w:lang w:val="en-US" w:eastAsia="zh-CN"/>
        </w:rPr>
      </w:pPr>
      <w:r>
        <w:rPr>
          <w:rStyle w:val="29"/>
          <w:rFonts w:hint="eastAsia" w:ascii="宋体" w:hAnsi="宋体" w:eastAsia="宋体" w:cs="宋体"/>
          <w:color w:val="auto"/>
          <w:kern w:val="2"/>
          <w:sz w:val="21"/>
          <w:szCs w:val="21"/>
          <w:highlight w:val="none"/>
          <w:lang w:val="zh-CN" w:eastAsia="zh-CN" w:bidi="ar-SA"/>
        </w:rPr>
        <w:t>4.5.1项目经理姓名：</w:t>
      </w:r>
      <w:r>
        <w:rPr>
          <w:rStyle w:val="29"/>
          <w:rFonts w:hint="eastAsia" w:ascii="宋体" w:hAnsi="宋体" w:eastAsia="宋体" w:cs="宋体"/>
          <w:color w:val="auto"/>
          <w:kern w:val="2"/>
          <w:sz w:val="21"/>
          <w:szCs w:val="21"/>
          <w:highlight w:val="none"/>
          <w:u w:val="single"/>
          <w:lang w:val="en-US" w:eastAsia="zh-CN" w:bidi="ar-SA"/>
        </w:rPr>
        <w:t xml:space="preserve">            </w:t>
      </w:r>
    </w:p>
    <w:p w14:paraId="5FEB14E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执业资格等级：</w:t>
      </w:r>
      <w:r>
        <w:rPr>
          <w:rStyle w:val="29"/>
          <w:rFonts w:hint="eastAsia" w:ascii="宋体" w:hAnsi="宋体" w:eastAsia="宋体" w:cs="宋体"/>
          <w:color w:val="auto"/>
          <w:kern w:val="2"/>
          <w:sz w:val="21"/>
          <w:szCs w:val="21"/>
          <w:highlight w:val="none"/>
          <w:u w:val="single"/>
          <w:lang w:val="en-US" w:eastAsia="zh-CN" w:bidi="ar-SA"/>
        </w:rPr>
        <w:t xml:space="preserve">            </w:t>
      </w:r>
    </w:p>
    <w:p w14:paraId="22D25AE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执业资格证书号：</w:t>
      </w:r>
      <w:r>
        <w:rPr>
          <w:rStyle w:val="29"/>
          <w:rFonts w:hint="eastAsia" w:ascii="宋体" w:hAnsi="宋体" w:eastAsia="宋体" w:cs="宋体"/>
          <w:color w:val="auto"/>
          <w:kern w:val="2"/>
          <w:sz w:val="21"/>
          <w:szCs w:val="21"/>
          <w:highlight w:val="none"/>
          <w:u w:val="single"/>
          <w:lang w:val="en-US" w:eastAsia="zh-CN" w:bidi="ar-SA"/>
        </w:rPr>
        <w:t xml:space="preserve">            </w:t>
      </w:r>
    </w:p>
    <w:p w14:paraId="72B42CB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注册证书号：</w:t>
      </w:r>
      <w:r>
        <w:rPr>
          <w:rStyle w:val="29"/>
          <w:rFonts w:hint="eastAsia" w:ascii="宋体" w:hAnsi="宋体" w:eastAsia="宋体" w:cs="宋体"/>
          <w:color w:val="auto"/>
          <w:kern w:val="2"/>
          <w:sz w:val="21"/>
          <w:szCs w:val="21"/>
          <w:highlight w:val="none"/>
          <w:u w:val="single"/>
          <w:lang w:val="en-US" w:eastAsia="zh-CN" w:bidi="ar-SA"/>
        </w:rPr>
        <w:t xml:space="preserve">            </w:t>
      </w:r>
    </w:p>
    <w:p w14:paraId="52199CB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执业印章号：</w:t>
      </w:r>
      <w:r>
        <w:rPr>
          <w:rStyle w:val="29"/>
          <w:rFonts w:hint="eastAsia" w:ascii="宋体" w:hAnsi="宋体" w:eastAsia="宋体" w:cs="宋体"/>
          <w:color w:val="auto"/>
          <w:kern w:val="2"/>
          <w:sz w:val="21"/>
          <w:szCs w:val="21"/>
          <w:highlight w:val="none"/>
          <w:u w:val="single"/>
          <w:lang w:val="en-US" w:eastAsia="zh-CN" w:bidi="ar-SA"/>
        </w:rPr>
        <w:t xml:space="preserve">            </w:t>
      </w:r>
    </w:p>
    <w:p w14:paraId="0C3FF8F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项目经理职责：</w:t>
      </w:r>
      <w:r>
        <w:rPr>
          <w:rStyle w:val="29"/>
          <w:rFonts w:hint="eastAsia" w:ascii="宋体" w:hAnsi="宋体" w:eastAsia="宋体" w:cs="宋体"/>
          <w:color w:val="auto"/>
          <w:kern w:val="2"/>
          <w:sz w:val="21"/>
          <w:szCs w:val="21"/>
          <w:highlight w:val="none"/>
          <w:u w:val="single"/>
          <w:lang w:val="zh-CN" w:eastAsia="zh-CN" w:bidi="ar-SA"/>
        </w:rPr>
        <w:t>负责项目的施工管理，对施工进度，施工质量和施工费用以及施工安全进行全面监控</w:t>
      </w:r>
      <w:r>
        <w:rPr>
          <w:rStyle w:val="29"/>
          <w:rFonts w:hint="eastAsia" w:ascii="宋体" w:hAnsi="宋体" w:eastAsia="宋体" w:cs="宋体"/>
          <w:color w:val="auto"/>
          <w:kern w:val="2"/>
          <w:sz w:val="21"/>
          <w:szCs w:val="21"/>
          <w:highlight w:val="none"/>
          <w:lang w:val="zh-CN" w:eastAsia="zh-CN" w:bidi="ar-SA"/>
        </w:rPr>
        <w:t>。</w:t>
      </w:r>
    </w:p>
    <w:p w14:paraId="5344812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项目经理权限：</w:t>
      </w:r>
      <w:r>
        <w:rPr>
          <w:rStyle w:val="29"/>
          <w:rFonts w:hint="eastAsia" w:ascii="宋体" w:hAnsi="宋体" w:eastAsia="宋体" w:cs="宋体"/>
          <w:color w:val="auto"/>
          <w:kern w:val="2"/>
          <w:sz w:val="21"/>
          <w:szCs w:val="21"/>
          <w:highlight w:val="none"/>
          <w:u w:val="single"/>
          <w:lang w:val="zh-CN" w:eastAsia="zh-CN" w:bidi="ar-SA"/>
        </w:rPr>
        <w:t>1）经授权组建项目施工部，提出项目施工部的组织机构，选择、聘用施工部成员，确定施工部人员的职责；2）在授权范围内，按以上项目施工经理职责规定的职责，行使相应的管理权；3）在合同范围内，有权按规定程序使用工程总承包企业的相关资源，并取得有关部门的支持；4）主持项目施工部的工作，组织制定项目施工的各项管理规定；5）根据企业法定代表人授权，协调和处理与项目施工有关的内、外部事项。6)负责工地的文明施工，并对整个项目施工安全全面负责。7）项目施工经理仅限于工程的现场施工管理，但未经承包人盖章同意，不得以承包人名义向外采购材料设备、租用建筑周转材料、雇用劳动力、签订分包合同等从事一切为承包人设立义务或责任的行为</w:t>
      </w:r>
      <w:r>
        <w:rPr>
          <w:rStyle w:val="29"/>
          <w:rFonts w:hint="eastAsia" w:ascii="宋体" w:hAnsi="宋体" w:eastAsia="宋体" w:cs="宋体"/>
          <w:color w:val="auto"/>
          <w:kern w:val="2"/>
          <w:sz w:val="21"/>
          <w:szCs w:val="21"/>
          <w:highlight w:val="none"/>
          <w:lang w:val="zh-CN" w:eastAsia="zh-CN" w:bidi="ar-SA"/>
        </w:rPr>
        <w:t>。</w:t>
      </w:r>
    </w:p>
    <w:p w14:paraId="3F88A58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承包人擅自更换项目经理的违约责任：</w:t>
      </w:r>
      <w:r>
        <w:rPr>
          <w:rStyle w:val="29"/>
          <w:rFonts w:hint="eastAsia" w:ascii="宋体" w:hAnsi="宋体" w:eastAsia="宋体" w:cs="宋体"/>
          <w:color w:val="auto"/>
          <w:kern w:val="2"/>
          <w:sz w:val="21"/>
          <w:szCs w:val="21"/>
          <w:highlight w:val="none"/>
          <w:u w:val="single"/>
          <w:lang w:val="zh-CN" w:eastAsia="zh-CN" w:bidi="ar-SA"/>
        </w:rPr>
        <w:t>承包人项目经理必须与承包人投标时所承诺的项目经理一致，并在开工令下发之日起5日内到任，具体开工日期以监理签发的开工令为准。项目经理逾期到任的属于承包人违约，每逾期一天，承包人需向发包人支付违约金500元，逾期五天（含五天）的属于承包人严重违约，发包人有权单方解除合同并没收履约保证金。未经发包人书面同意，承包人擅自更换项目经理的视为严重违约，发包人有权单方解除合同并没收履约保证金</w:t>
      </w:r>
      <w:r>
        <w:rPr>
          <w:rStyle w:val="29"/>
          <w:rFonts w:hint="eastAsia" w:ascii="宋体" w:hAnsi="宋体" w:eastAsia="宋体" w:cs="宋体"/>
          <w:color w:val="auto"/>
          <w:kern w:val="2"/>
          <w:sz w:val="21"/>
          <w:szCs w:val="21"/>
          <w:highlight w:val="none"/>
          <w:lang w:val="zh-CN" w:eastAsia="zh-CN" w:bidi="ar-SA"/>
        </w:rPr>
        <w:t>。</w:t>
      </w:r>
    </w:p>
    <w:p w14:paraId="421D930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4.5.3承包人为履行合同发出的一切函件均应盖有承包人授权的施工场地管理机构章，并由承包人项目经理签字。</w:t>
      </w:r>
    </w:p>
    <w:p w14:paraId="4636CFA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4.5.4承包人项目经理授权其下属人员履行其某项职责的需经发包人同意。</w:t>
      </w:r>
    </w:p>
    <w:p w14:paraId="0E90A27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rPr>
        <w:t>4.6承包人人员的管理</w:t>
      </w:r>
    </w:p>
    <w:p w14:paraId="38AB72A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4.6.1承包人安排在施工场地的主要管理人员和技术骨干应相对稳定。承包人根据响应文件的承诺，投入本项目的项目经理、技术负责人、质量管理人员、安全管理人员等主要管理人员在项目建设期间不得随意更换（除因严重疾病、终止劳动合同关系等无法继续履行合同责任和义务，被责令停止执业、羁押或判刑外）。符合规定确需更换的，应征得项目法人书面同意后向水行政主管部门书面报告，更换后的人员不应低于原投标承诺所具有的资格和条件。如承包人不经批准随意更换项目经理、技术负责人、质量管理人员、安全管理人员等主要管理人员的，发包人有权终止合同。</w:t>
      </w:r>
    </w:p>
    <w:p w14:paraId="60BFD2B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本款增加4.6.2条款如下：</w:t>
      </w:r>
    </w:p>
    <w:p w14:paraId="6F48955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4.6.2.1建立参建单位现场主要管理人员考勤制度。承包人现场主要管理人员，包括项目经理、技术负责人、质量管理员、安全管理员等，每月必须在项目所在地的考勤管理部门考勤。</w:t>
      </w:r>
    </w:p>
    <w:p w14:paraId="2E99B63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4.6.2.2承包人项目经理、技术负责人、质量管理人员、安全管理人员驻工程现场时间不得少于22天/月，否则对项目经理、技术负责人按每少1天处500元/天.人的罚款；对质量管理人员、安全管理人员按每少1天处300元/天.人的罚款。发包人在每月支付给承包人的进度付款中直接扣除；若项目经理、技术负责人连续2个月少于合同规定驻工地时间，发包人将约谈承包人；若第3个月依然不能履行合同规定驻工地时间，发包人有权与承包人解除本合同，按本合同完成工作量据实结算，承包人不得有异议并无条件承担由此给发包人带来的一切损失。</w:t>
      </w:r>
    </w:p>
    <w:p w14:paraId="0D349BA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对未按规定到位和在岗的，发包人将报告县、市、自治区水行政主管部门，纳入市场主体信用管理体系。</w:t>
      </w:r>
    </w:p>
    <w:p w14:paraId="3198438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4.6.2.3承包人项目经理、技术负责人、质量管理员、安全管理员离开工地连续超过3天及以上不能履行职责的，除应事先征得监理人同意外，还应事先书面报发包人同意，并委派代表代行其职责。若事先没有书面报发包人和监理人同意而擅自离开工地的，对于承包人的项目经理和技术负责人，发包人有权处以承包人违约金0.05万元/人·次；对于承包人的质量管理员、安全管理员，发包人有权处以承包人违约金0.03万元/人·次。该项违约金由发包人直接在支付给承包人的进度付款中扣除。</w:t>
      </w:r>
    </w:p>
    <w:p w14:paraId="49D0947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389" w:name="bookmark1658"/>
      <w:bookmarkStart w:id="1390" w:name="bookmark1657"/>
      <w:bookmarkStart w:id="1391" w:name="bookmark1656"/>
      <w:r>
        <w:rPr>
          <w:rStyle w:val="29"/>
          <w:rFonts w:hint="eastAsia" w:ascii="宋体" w:hAnsi="宋体" w:eastAsia="宋体" w:cs="宋体"/>
          <w:color w:val="auto"/>
          <w:kern w:val="2"/>
          <w:sz w:val="21"/>
          <w:szCs w:val="21"/>
          <w:highlight w:val="none"/>
          <w:lang w:val="zh-CN" w:eastAsia="zh-CN"/>
        </w:rPr>
        <w:t>4.7撤换承包人项目经理和其他人员</w:t>
      </w:r>
      <w:bookmarkEnd w:id="1389"/>
      <w:bookmarkEnd w:id="1390"/>
      <w:bookmarkEnd w:id="1391"/>
    </w:p>
    <w:p w14:paraId="300910E0">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□4.7.1成交人根据响应文件的承诺，投入本项目的项目经理、技术负责人、质量管理员、安全管理员等主要管理人员成交后不得更换(除因故去世、调离本单位外)。</w:t>
      </w:r>
    </w:p>
    <w:p w14:paraId="4A6CEB5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☑4.7.2投入本项目的项目经理、技术负责人、质量管理员、专全管理员等主要管理人员成交后，经成交人申请、监理机构审核允许、招标人同意后方可变更为不低于同等条件的人员。</w:t>
      </w:r>
    </w:p>
    <w:p w14:paraId="2E66D52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4.7.3项目经理每月在工地时间少于22日，且未经招标人同意的，按未履职处理，由有关行政监督部门处理后报请自治区有关行政监督部门将结果记入市场主体信用档案，公布不良行为记录。</w:t>
      </w:r>
    </w:p>
    <w:p w14:paraId="7AAFEF8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392" w:name="_Toc49083451"/>
      <w:bookmarkStart w:id="1393" w:name="bookmark1659"/>
      <w:bookmarkStart w:id="1394" w:name="bookmark1660"/>
      <w:bookmarkStart w:id="1395" w:name="bookmark1661"/>
      <w:r>
        <w:rPr>
          <w:rStyle w:val="29"/>
          <w:rFonts w:hint="eastAsia" w:ascii="宋体" w:hAnsi="宋体" w:eastAsia="宋体" w:cs="宋体"/>
          <w:color w:val="auto"/>
          <w:kern w:val="2"/>
          <w:sz w:val="21"/>
          <w:szCs w:val="21"/>
          <w:highlight w:val="none"/>
          <w:lang w:val="zh-CN" w:eastAsia="zh-CN"/>
        </w:rPr>
        <w:t>4.11不利物质条件</w:t>
      </w:r>
      <w:bookmarkEnd w:id="1392"/>
      <w:bookmarkEnd w:id="1393"/>
      <w:bookmarkEnd w:id="1394"/>
      <w:bookmarkEnd w:id="1395"/>
    </w:p>
    <w:p w14:paraId="705B7FF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4.11.1</w:t>
      </w:r>
      <w:r>
        <w:rPr>
          <w:rStyle w:val="29"/>
          <w:rFonts w:hint="eastAsia" w:ascii="宋体" w:hAnsi="宋体" w:eastAsia="宋体" w:cs="宋体"/>
          <w:color w:val="auto"/>
          <w:kern w:val="2"/>
          <w:sz w:val="21"/>
          <w:szCs w:val="21"/>
          <w:highlight w:val="none"/>
          <w:lang w:val="zh-CN" w:eastAsia="zh-CN" w:bidi="zh-CN"/>
        </w:rPr>
        <w:t>不利物质条件的范围：</w:t>
      </w:r>
      <w:r>
        <w:rPr>
          <w:rStyle w:val="29"/>
          <w:rFonts w:hint="eastAsia" w:ascii="宋体" w:hAnsi="宋体" w:eastAsia="宋体" w:cs="宋体"/>
          <w:color w:val="auto"/>
          <w:kern w:val="2"/>
          <w:sz w:val="21"/>
          <w:szCs w:val="21"/>
          <w:highlight w:val="none"/>
          <w:u w:val="single"/>
          <w:lang w:val="zh-CN" w:eastAsia="zh-CN" w:bidi="zh-CN"/>
        </w:rPr>
        <w:t>不可预见的自然物质条件、非自然的物质障碍和污染物，包括地下和水文条件，但不包括气候条件，由发包人、监理人和承包人现场确定</w:t>
      </w:r>
      <w:r>
        <w:rPr>
          <w:rStyle w:val="29"/>
          <w:rFonts w:hint="eastAsia" w:ascii="宋体" w:hAnsi="宋体" w:eastAsia="宋体" w:cs="宋体"/>
          <w:color w:val="auto"/>
          <w:kern w:val="2"/>
          <w:sz w:val="21"/>
          <w:szCs w:val="21"/>
          <w:highlight w:val="none"/>
          <w:lang w:eastAsia="zh-CN" w:bidi="ar-SA"/>
        </w:rPr>
        <w:t>。</w:t>
      </w:r>
    </w:p>
    <w:p w14:paraId="1EEFEA5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396" w:name="bookmark1664"/>
      <w:bookmarkEnd w:id="1396"/>
      <w:bookmarkStart w:id="1397" w:name="bookmark1662"/>
      <w:bookmarkStart w:id="1398" w:name="bookmark1665"/>
      <w:bookmarkStart w:id="1399" w:name="_Toc49083452"/>
      <w:bookmarkStart w:id="1400" w:name="bookmark1663"/>
      <w:r>
        <w:rPr>
          <w:rStyle w:val="29"/>
          <w:rFonts w:hint="eastAsia" w:ascii="宋体" w:hAnsi="宋体" w:eastAsia="宋体" w:cs="宋体"/>
          <w:color w:val="auto"/>
          <w:kern w:val="2"/>
          <w:sz w:val="21"/>
          <w:szCs w:val="21"/>
          <w:highlight w:val="none"/>
          <w:lang w:eastAsia="zh-CN"/>
        </w:rPr>
        <w:t>5.材料和工程设备</w:t>
      </w:r>
      <w:bookmarkEnd w:id="1397"/>
      <w:bookmarkEnd w:id="1398"/>
      <w:bookmarkEnd w:id="1399"/>
      <w:bookmarkEnd w:id="1400"/>
    </w:p>
    <w:p w14:paraId="118AFD6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401" w:name="bookmark1666"/>
      <w:bookmarkStart w:id="1402" w:name="bookmark1668"/>
      <w:bookmarkStart w:id="1403" w:name="bookmark1667"/>
      <w:r>
        <w:rPr>
          <w:rStyle w:val="29"/>
          <w:rFonts w:hint="eastAsia" w:ascii="宋体" w:hAnsi="宋体" w:eastAsia="宋体" w:cs="宋体"/>
          <w:color w:val="auto"/>
          <w:kern w:val="2"/>
          <w:sz w:val="21"/>
          <w:szCs w:val="21"/>
          <w:highlight w:val="none"/>
          <w:lang w:val="zh-CN" w:eastAsia="zh-CN" w:bidi="ar-SA"/>
        </w:rPr>
        <w:t>5.1除第5.2款约定由发包人提供的材料和工程设备外，承包人负责采购、运输和保管完成本合同工作所需的材料和工程设备。设备采购前需报发包人审批，必须提供三家以上的业内信誉好的品牌或厂家，经发包人考察签字同意后方可采购。发包人可到设备厂家进行监造，费用发包人自行解决。所有包括在设备里的材料都应该是最适合于本工程项目的工作条件、环境且必需是新的，必须为相关行业内的知名品牌并没有任何质量缺陷的；材料的选择应考虑到使用期长，维修费用低。所有的材料都应设计成能抵抗工作时的应力、周围的恶劣环境而不会造成变形或损坏，影响相应材料设备的效率和可靠性）。</w:t>
      </w:r>
    </w:p>
    <w:p w14:paraId="78D4878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发包人对承包人采购的设备进行全过程监督管理，所采购的设备质量须达到国家或行业相关标准，并提供所采购的设备（包括其主要附件）的合格证书或相关权威机构（部门）出具的检验合格资料，设备维护期限为三年。</w:t>
      </w:r>
    </w:p>
    <w:p w14:paraId="65D587A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rPr>
        <w:t>5.2发包人提供的材料和工程设备</w:t>
      </w:r>
      <w:bookmarkEnd w:id="1401"/>
      <w:bookmarkEnd w:id="1402"/>
      <w:bookmarkEnd w:id="1403"/>
    </w:p>
    <w:p w14:paraId="1D9285D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404" w:name="bookmark1669"/>
      <w:bookmarkEnd w:id="1404"/>
      <w:r>
        <w:rPr>
          <w:rStyle w:val="29"/>
          <w:rFonts w:hint="eastAsia" w:ascii="宋体" w:hAnsi="宋体" w:eastAsia="宋体" w:cs="宋体"/>
          <w:color w:val="auto"/>
          <w:kern w:val="2"/>
          <w:sz w:val="21"/>
          <w:szCs w:val="21"/>
          <w:highlight w:val="none"/>
          <w:lang w:val="zh-CN" w:eastAsia="zh-CN" w:bidi="ar-SA"/>
        </w:rPr>
        <w:t>5.2.1发包人与承包人签订的施工合同中约定是否提供材料和工程设备：不提供。</w:t>
      </w:r>
    </w:p>
    <w:p w14:paraId="748788D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405" w:name="bookmark1672"/>
      <w:bookmarkEnd w:id="1405"/>
      <w:bookmarkStart w:id="1406" w:name="bookmark1670"/>
      <w:bookmarkStart w:id="1407" w:name="_Toc49083453"/>
      <w:bookmarkStart w:id="1408" w:name="_Toc453"/>
      <w:bookmarkStart w:id="1409" w:name="_Toc6599"/>
      <w:bookmarkStart w:id="1410" w:name="bookmark1671"/>
      <w:bookmarkStart w:id="1411" w:name="bookmark1673"/>
      <w:r>
        <w:rPr>
          <w:rStyle w:val="29"/>
          <w:rFonts w:hint="eastAsia" w:ascii="宋体" w:hAnsi="宋体" w:eastAsia="宋体" w:cs="宋体"/>
          <w:color w:val="auto"/>
          <w:kern w:val="2"/>
          <w:sz w:val="21"/>
          <w:szCs w:val="21"/>
          <w:highlight w:val="none"/>
          <w:lang w:eastAsia="zh-CN"/>
        </w:rPr>
        <w:t>6.施工设备和临时设施</w:t>
      </w:r>
      <w:bookmarkEnd w:id="1406"/>
      <w:bookmarkEnd w:id="1407"/>
      <w:bookmarkEnd w:id="1408"/>
      <w:bookmarkEnd w:id="1409"/>
      <w:bookmarkEnd w:id="1410"/>
      <w:bookmarkEnd w:id="1411"/>
    </w:p>
    <w:p w14:paraId="1D63A77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412" w:name="bookmark1675"/>
      <w:bookmarkStart w:id="1413" w:name="bookmark1674"/>
      <w:bookmarkStart w:id="1414" w:name="bookmark1676"/>
      <w:r>
        <w:rPr>
          <w:rStyle w:val="29"/>
          <w:rFonts w:hint="eastAsia" w:ascii="宋体" w:hAnsi="宋体" w:eastAsia="宋体" w:cs="宋体"/>
          <w:color w:val="auto"/>
          <w:kern w:val="2"/>
          <w:sz w:val="21"/>
          <w:szCs w:val="21"/>
          <w:highlight w:val="none"/>
          <w:lang w:val="zh-CN" w:eastAsia="zh-CN"/>
        </w:rPr>
        <w:t>6.1承包人提供的施工设备和临时设施</w:t>
      </w:r>
      <w:bookmarkEnd w:id="1412"/>
      <w:bookmarkEnd w:id="1413"/>
      <w:bookmarkEnd w:id="1414"/>
    </w:p>
    <w:p w14:paraId="06E982B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6.1.2承包人自行承担修建临时设施的费用，需要临时占地的，由承包人办理相关申请手续，发包人予以协助，发生的相关费用由承包人承担。</w:t>
      </w:r>
    </w:p>
    <w:p w14:paraId="10FC2D8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415" w:name="bookmark1678"/>
      <w:bookmarkStart w:id="1416" w:name="bookmark1677"/>
      <w:bookmarkStart w:id="1417" w:name="bookmark1679"/>
      <w:r>
        <w:rPr>
          <w:rStyle w:val="29"/>
          <w:rFonts w:hint="eastAsia" w:ascii="宋体" w:hAnsi="宋体" w:eastAsia="宋体" w:cs="宋体"/>
          <w:color w:val="auto"/>
          <w:kern w:val="2"/>
          <w:sz w:val="21"/>
          <w:szCs w:val="21"/>
          <w:highlight w:val="none"/>
          <w:lang w:val="zh-CN" w:eastAsia="zh-CN"/>
        </w:rPr>
        <w:t>6.2发包人提供的施工设备和临时设施</w:t>
      </w:r>
      <w:bookmarkEnd w:id="1415"/>
      <w:bookmarkEnd w:id="1416"/>
      <w:bookmarkEnd w:id="1417"/>
    </w:p>
    <w:p w14:paraId="05379F4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418" w:name="bookmark1680"/>
      <w:bookmarkEnd w:id="1418"/>
      <w:r>
        <w:rPr>
          <w:rStyle w:val="29"/>
          <w:rFonts w:hint="eastAsia" w:ascii="宋体" w:hAnsi="宋体" w:eastAsia="宋体" w:cs="宋体"/>
          <w:color w:val="auto"/>
          <w:kern w:val="2"/>
          <w:sz w:val="21"/>
          <w:szCs w:val="21"/>
          <w:highlight w:val="none"/>
          <w:lang w:val="zh-CN" w:eastAsia="zh-CN" w:bidi="ar-SA"/>
        </w:rPr>
        <w:t>（1）发包人提供的的施工设备：无。</w:t>
      </w:r>
    </w:p>
    <w:p w14:paraId="35B4CB7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rPr>
      </w:pPr>
      <w:bookmarkStart w:id="1419" w:name="bookmark1681"/>
      <w:bookmarkEnd w:id="1419"/>
      <w:r>
        <w:rPr>
          <w:rStyle w:val="29"/>
          <w:rFonts w:hint="eastAsia" w:ascii="宋体" w:hAnsi="宋体" w:eastAsia="宋体" w:cs="宋体"/>
          <w:color w:val="auto"/>
          <w:kern w:val="2"/>
          <w:sz w:val="21"/>
          <w:szCs w:val="21"/>
          <w:highlight w:val="none"/>
          <w:lang w:val="zh-CN" w:eastAsia="zh-CN" w:bidi="ar-SA"/>
        </w:rPr>
        <w:t>（2）发包人提供的临时设施：无。</w:t>
      </w:r>
    </w:p>
    <w:p w14:paraId="230C219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420" w:name="bookmark1684"/>
      <w:bookmarkEnd w:id="1420"/>
      <w:bookmarkStart w:id="1421" w:name="bookmark1683"/>
      <w:bookmarkStart w:id="1422" w:name="bookmark1682"/>
      <w:bookmarkStart w:id="1423" w:name="_Toc18798"/>
      <w:bookmarkStart w:id="1424" w:name="_Toc8746"/>
      <w:bookmarkStart w:id="1425" w:name="bookmark1685"/>
      <w:bookmarkStart w:id="1426" w:name="_Toc49083454"/>
      <w:bookmarkStart w:id="1427" w:name="bookmark1686"/>
      <w:bookmarkStart w:id="1428" w:name="bookmark1687"/>
      <w:bookmarkStart w:id="1429" w:name="bookmark1688"/>
      <w:r>
        <w:rPr>
          <w:rStyle w:val="29"/>
          <w:rFonts w:hint="eastAsia" w:ascii="宋体" w:hAnsi="宋体" w:eastAsia="宋体" w:cs="宋体"/>
          <w:color w:val="auto"/>
          <w:kern w:val="2"/>
          <w:sz w:val="21"/>
          <w:szCs w:val="21"/>
          <w:highlight w:val="none"/>
          <w:lang w:eastAsia="zh-CN"/>
        </w:rPr>
        <w:t>7.交通运输</w:t>
      </w:r>
      <w:bookmarkEnd w:id="1421"/>
      <w:bookmarkEnd w:id="1422"/>
      <w:bookmarkEnd w:id="1423"/>
      <w:bookmarkEnd w:id="1424"/>
      <w:bookmarkEnd w:id="1425"/>
      <w:bookmarkEnd w:id="1426"/>
    </w:p>
    <w:p w14:paraId="714640A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rPr>
        <w:t>7.1道路通行权和场外设施</w:t>
      </w:r>
      <w:bookmarkEnd w:id="1427"/>
      <w:bookmarkEnd w:id="1428"/>
      <w:bookmarkEnd w:id="1429"/>
    </w:p>
    <w:p w14:paraId="7FCE8E7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zh-CN" w:eastAsia="zh-CN" w:bidi="zh-CN"/>
        </w:rPr>
        <w:t>道路通行权和场外设施的约定：</w:t>
      </w:r>
      <w:r>
        <w:rPr>
          <w:rStyle w:val="29"/>
          <w:rFonts w:hint="eastAsia" w:ascii="宋体" w:hAnsi="宋体" w:eastAsia="宋体" w:cs="宋体"/>
          <w:color w:val="auto"/>
          <w:kern w:val="2"/>
          <w:sz w:val="21"/>
          <w:szCs w:val="21"/>
          <w:highlight w:val="none"/>
          <w:u w:val="single"/>
          <w:lang w:val="zh-CN" w:eastAsia="zh-CN" w:bidi="zh-CN"/>
        </w:rPr>
        <w:t>承包人应根据合同工程的施工需要，负责办理取得出入施工场地的专用和临时道路的通行权，以及取得为工程建设所需修建场外设施的权利</w:t>
      </w:r>
      <w:r>
        <w:rPr>
          <w:rStyle w:val="29"/>
          <w:rFonts w:hint="eastAsia" w:ascii="宋体" w:hAnsi="宋体" w:eastAsia="宋体" w:cs="宋体"/>
          <w:color w:val="auto"/>
          <w:kern w:val="2"/>
          <w:sz w:val="21"/>
          <w:szCs w:val="21"/>
          <w:highlight w:val="none"/>
          <w:lang w:eastAsia="zh-CN" w:bidi="ar-SA"/>
        </w:rPr>
        <w:t>。</w:t>
      </w:r>
    </w:p>
    <w:p w14:paraId="50BB641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430" w:name="bookmark1690"/>
      <w:bookmarkStart w:id="1431" w:name="bookmark1692"/>
      <w:bookmarkStart w:id="1432" w:name="_Toc976"/>
      <w:bookmarkStart w:id="1433" w:name="_Toc28858"/>
      <w:bookmarkStart w:id="1434" w:name="_Toc49083455"/>
      <w:bookmarkStart w:id="1435" w:name="bookmark1689"/>
      <w:bookmarkStart w:id="1436" w:name="bookmark1695"/>
      <w:bookmarkStart w:id="1437" w:name="bookmark1693"/>
      <w:bookmarkStart w:id="1438" w:name="bookmark1694"/>
      <w:r>
        <w:rPr>
          <w:rStyle w:val="29"/>
          <w:rFonts w:hint="eastAsia" w:ascii="宋体" w:hAnsi="宋体" w:eastAsia="宋体" w:cs="宋体"/>
          <w:color w:val="auto"/>
          <w:kern w:val="2"/>
          <w:sz w:val="21"/>
          <w:szCs w:val="21"/>
          <w:highlight w:val="none"/>
          <w:lang w:eastAsia="zh-CN"/>
        </w:rPr>
        <w:t>8.测量放线</w:t>
      </w:r>
      <w:bookmarkEnd w:id="1430"/>
      <w:bookmarkEnd w:id="1431"/>
      <w:bookmarkEnd w:id="1432"/>
      <w:bookmarkEnd w:id="1433"/>
      <w:bookmarkEnd w:id="1434"/>
      <w:bookmarkEnd w:id="1435"/>
    </w:p>
    <w:p w14:paraId="5C04C29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rPr>
        <w:t>8.1施工控制网</w:t>
      </w:r>
      <w:bookmarkEnd w:id="1436"/>
      <w:bookmarkEnd w:id="1437"/>
      <w:bookmarkEnd w:id="1438"/>
    </w:p>
    <w:p w14:paraId="7A49693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439" w:name="bookmark1696"/>
      <w:bookmarkEnd w:id="1439"/>
      <w:r>
        <w:rPr>
          <w:rStyle w:val="29"/>
          <w:rFonts w:hint="eastAsia" w:ascii="宋体" w:hAnsi="宋体" w:eastAsia="宋体" w:cs="宋体"/>
          <w:color w:val="auto"/>
          <w:kern w:val="2"/>
          <w:sz w:val="21"/>
          <w:szCs w:val="21"/>
          <w:highlight w:val="none"/>
          <w:lang w:eastAsia="zh-CN" w:bidi="zh-CN"/>
        </w:rPr>
        <w:t>8.1.1</w:t>
      </w:r>
      <w:r>
        <w:rPr>
          <w:rStyle w:val="29"/>
          <w:rFonts w:hint="eastAsia" w:ascii="宋体" w:hAnsi="宋体" w:eastAsia="宋体" w:cs="宋体"/>
          <w:color w:val="auto"/>
          <w:kern w:val="2"/>
          <w:sz w:val="21"/>
          <w:szCs w:val="21"/>
          <w:highlight w:val="none"/>
          <w:lang w:val="zh-CN" w:eastAsia="zh-CN" w:bidi="zh-CN"/>
        </w:rPr>
        <w:t>施工控制网的约定：</w:t>
      </w:r>
      <w:r>
        <w:rPr>
          <w:rStyle w:val="29"/>
          <w:rFonts w:hint="eastAsia" w:ascii="宋体" w:hAnsi="宋体" w:eastAsia="宋体" w:cs="宋体"/>
          <w:color w:val="auto"/>
          <w:kern w:val="2"/>
          <w:sz w:val="21"/>
          <w:szCs w:val="21"/>
          <w:highlight w:val="none"/>
          <w:u w:val="single"/>
          <w:lang w:eastAsia="zh-CN" w:bidi="ar-SA"/>
        </w:rPr>
        <w:t>由承包人负责测设，并报监理人审批，相关费用由承包人承担</w:t>
      </w:r>
      <w:r>
        <w:rPr>
          <w:rStyle w:val="29"/>
          <w:rFonts w:hint="eastAsia" w:ascii="宋体" w:hAnsi="宋体" w:eastAsia="宋体" w:cs="宋体"/>
          <w:color w:val="auto"/>
          <w:kern w:val="2"/>
          <w:sz w:val="21"/>
          <w:szCs w:val="21"/>
          <w:highlight w:val="none"/>
          <w:lang w:eastAsia="zh-CN" w:bidi="ar-SA"/>
        </w:rPr>
        <w:t>。</w:t>
      </w:r>
    </w:p>
    <w:p w14:paraId="4007391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rPr>
        <w:t>增加以下条款：</w:t>
      </w:r>
    </w:p>
    <w:p w14:paraId="3FDA019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8.1.2对基准坐标资料的内容的确认与维护</w:t>
      </w:r>
    </w:p>
    <w:p w14:paraId="5BD5B68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1）承包人应根据发包人书面移交的控制网数据，负责对原始控制网数据的复测，根据工程施工放样的需要对控制网进行加密。承包人有义务提出并纠正发包人提供的基本坐标资料中的差错，并对所有放线的准确性负责。</w:t>
      </w:r>
    </w:p>
    <w:p w14:paraId="3D286AE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（2）对因自身原因造成原始控制点的破坏，不得因此向发包人索取可能延长的工期和可能增加的费用；</w:t>
      </w:r>
    </w:p>
    <w:p w14:paraId="354C5B9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（3）施工控制网允许发包人、监理人以及其它承包人使用。</w:t>
      </w:r>
    </w:p>
    <w:p w14:paraId="7BB36EA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440" w:name="_Toc22650812"/>
      <w:bookmarkStart w:id="1441" w:name="_Toc4837"/>
      <w:r>
        <w:rPr>
          <w:rStyle w:val="29"/>
          <w:rFonts w:hint="eastAsia" w:ascii="宋体" w:hAnsi="宋体" w:eastAsia="宋体" w:cs="宋体"/>
          <w:color w:val="auto"/>
          <w:kern w:val="2"/>
          <w:sz w:val="21"/>
          <w:szCs w:val="21"/>
          <w:highlight w:val="none"/>
          <w:lang w:val="zh-CN" w:eastAsia="zh-CN"/>
        </w:rPr>
        <w:t>8.</w:t>
      </w:r>
      <w:r>
        <w:rPr>
          <w:rStyle w:val="29"/>
          <w:rFonts w:hint="eastAsia" w:ascii="宋体" w:hAnsi="宋体" w:eastAsia="宋体" w:cs="宋体"/>
          <w:color w:val="auto"/>
          <w:kern w:val="2"/>
          <w:sz w:val="21"/>
          <w:szCs w:val="21"/>
          <w:highlight w:val="none"/>
          <w:lang w:eastAsia="zh-CN"/>
        </w:rPr>
        <w:t>2</w:t>
      </w:r>
      <w:r>
        <w:rPr>
          <w:rStyle w:val="29"/>
          <w:rFonts w:hint="eastAsia" w:ascii="宋体" w:hAnsi="宋体" w:eastAsia="宋体" w:cs="宋体"/>
          <w:color w:val="auto"/>
          <w:kern w:val="2"/>
          <w:sz w:val="21"/>
          <w:szCs w:val="21"/>
          <w:highlight w:val="none"/>
          <w:lang w:val="zh-CN" w:eastAsia="zh-CN"/>
        </w:rPr>
        <w:t>基准资料错误的责任</w:t>
      </w:r>
      <w:bookmarkEnd w:id="1440"/>
      <w:bookmarkEnd w:id="1441"/>
    </w:p>
    <w:p w14:paraId="27F8D70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本款修改为：</w:t>
      </w:r>
    </w:p>
    <w:p w14:paraId="505D25E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承包人应对发包人所提供的测量基准点、基准线和水准点及其书面资料的真实性、准确性和完整性进行复核，并对复核成果负责。承包人因使用复核成果导致测量放线工作返工或造成工程损失的，由承包人承担由此增加的费用和（或）相应的工期延误。承包人复核时，发现上述基准资料存在明显错误或疏忽的，应及时通知监理人。</w:t>
      </w:r>
    </w:p>
    <w:p w14:paraId="10AE514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442" w:name="_Toc22650813"/>
      <w:bookmarkStart w:id="1443" w:name="_Toc3773"/>
      <w:bookmarkStart w:id="1444" w:name="_Toc11920071"/>
      <w:r>
        <w:rPr>
          <w:rStyle w:val="29"/>
          <w:rFonts w:hint="eastAsia" w:ascii="宋体" w:hAnsi="宋体" w:eastAsia="宋体" w:cs="宋体"/>
          <w:color w:val="auto"/>
          <w:kern w:val="2"/>
          <w:sz w:val="21"/>
          <w:szCs w:val="21"/>
          <w:highlight w:val="none"/>
          <w:lang w:eastAsia="zh-CN"/>
        </w:rPr>
        <w:t>8.3补充地质勘察</w:t>
      </w:r>
      <w:bookmarkEnd w:id="1442"/>
      <w:bookmarkEnd w:id="1443"/>
      <w:bookmarkEnd w:id="1444"/>
    </w:p>
    <w:p w14:paraId="5135F7A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合同实施期间，承包人根据施工现场情况决定是否需要开展补充地质勘探；承包人为本合同永久工程施工的需要进行补充地质勘探时，须经监理人批准，并应向监理人提交有关资料，上述补充勘探的费用由发包人自行承担。承包人为其临时工程所需进行的补充地质勘探，其费用由发包人承担。</w:t>
      </w:r>
    </w:p>
    <w:p w14:paraId="2CF005B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445" w:name="_Toc49083456"/>
      <w:bookmarkStart w:id="1446" w:name="_Toc15272"/>
      <w:r>
        <w:rPr>
          <w:rStyle w:val="29"/>
          <w:rFonts w:hint="eastAsia" w:ascii="宋体" w:hAnsi="宋体" w:eastAsia="宋体" w:cs="宋体"/>
          <w:color w:val="auto"/>
          <w:kern w:val="2"/>
          <w:sz w:val="21"/>
          <w:szCs w:val="21"/>
          <w:highlight w:val="none"/>
          <w:lang w:eastAsia="zh-CN"/>
        </w:rPr>
        <w:t>9.施工安全、治安保卫和环境保护</w:t>
      </w:r>
      <w:bookmarkEnd w:id="1445"/>
      <w:bookmarkEnd w:id="1446"/>
    </w:p>
    <w:p w14:paraId="256DCA5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447" w:name="_Toc11213"/>
      <w:bookmarkStart w:id="1448" w:name="_Toc49083457"/>
      <w:bookmarkStart w:id="1449" w:name="_Toc22650815"/>
      <w:bookmarkStart w:id="1450" w:name="_Toc45638851"/>
      <w:r>
        <w:rPr>
          <w:rStyle w:val="29"/>
          <w:rFonts w:hint="eastAsia" w:ascii="宋体" w:hAnsi="宋体" w:eastAsia="宋体" w:cs="宋体"/>
          <w:color w:val="auto"/>
          <w:kern w:val="2"/>
          <w:sz w:val="21"/>
          <w:szCs w:val="21"/>
          <w:highlight w:val="none"/>
          <w:lang w:val="zh-CN" w:eastAsia="zh-CN"/>
        </w:rPr>
        <w:t>9.1发包人的施工安全责任</w:t>
      </w:r>
      <w:bookmarkEnd w:id="1447"/>
      <w:bookmarkEnd w:id="1448"/>
      <w:bookmarkEnd w:id="1449"/>
      <w:bookmarkEnd w:id="1450"/>
    </w:p>
    <w:p w14:paraId="59D59FC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9.1.1本款补充：但由于承包人原因造成的应由承包人承担责任。</w:t>
      </w:r>
    </w:p>
    <w:p w14:paraId="01A4DE30">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9.1.2除专用合同条款另有约定外，承包人应自行调查施工现场及施工可能影响的毗邻区域内供水、排水、供电、供气、供热、通信、广播电视等地下管线资料，气象和水文观测资料，拟建工程可能影响的相邻建筑物地下工程的有关资料，应承包人要求，发包人可以提供协助；由于承包人调查不清楚而造成施工现场及施工可能影响的毗邻区域内工程建筑物或管线损坏的，由承包人负责恢复并承担经济损失。其费用已包含在合同价格中，发包人不另行支付。</w:t>
      </w:r>
    </w:p>
    <w:p w14:paraId="64AC662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rPr>
        <w:t>9.2承包人的施工安全责任</w:t>
      </w:r>
    </w:p>
    <w:p w14:paraId="405B407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9.2.1安全施工措施所需费用在投标时不得做竞争调整。</w:t>
      </w:r>
    </w:p>
    <w:p w14:paraId="4006D1F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9.2.2下列工程应编制专项施工方案：</w:t>
      </w:r>
    </w:p>
    <w:p w14:paraId="1BCE556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（1）土方和石方开挖工程，包括拆除、爆破，料场开挖及运输等；</w:t>
      </w:r>
    </w:p>
    <w:p w14:paraId="750D2F9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（2）基础处理，包括基础灌浆等；</w:t>
      </w:r>
    </w:p>
    <w:p w14:paraId="0A57915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（3）金属结构安装；</w:t>
      </w:r>
    </w:p>
    <w:p w14:paraId="77F1508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（4）其它危险性较大的工程。</w:t>
      </w:r>
    </w:p>
    <w:p w14:paraId="433C3D8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专项施工方案评审发生的费用由承包人负责。其中应组织专家论证和审查的专项施工方案：</w:t>
      </w:r>
      <w:r>
        <w:rPr>
          <w:rStyle w:val="29"/>
          <w:rFonts w:hint="eastAsia" w:ascii="宋体" w:hAnsi="宋体" w:eastAsia="宋体" w:cs="宋体"/>
          <w:color w:val="auto"/>
          <w:kern w:val="2"/>
          <w:sz w:val="21"/>
          <w:szCs w:val="21"/>
          <w:highlight w:val="none"/>
          <w:u w:val="single"/>
          <w:lang w:val="en-US" w:eastAsia="zh-CN" w:bidi="zh-CN"/>
        </w:rPr>
        <w:t xml:space="preserve">  /  </w:t>
      </w:r>
      <w:r>
        <w:rPr>
          <w:rStyle w:val="29"/>
          <w:rFonts w:hint="eastAsia" w:ascii="宋体" w:hAnsi="宋体" w:eastAsia="宋体" w:cs="宋体"/>
          <w:color w:val="auto"/>
          <w:kern w:val="2"/>
          <w:sz w:val="21"/>
          <w:szCs w:val="21"/>
          <w:highlight w:val="none"/>
          <w:lang w:val="zh-CN" w:eastAsia="zh-CN" w:bidi="zh-CN"/>
        </w:rPr>
        <w:t>。</w:t>
      </w:r>
    </w:p>
    <w:p w14:paraId="5486744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rPr>
        <w:t>9.</w:t>
      </w:r>
      <w:r>
        <w:rPr>
          <w:rStyle w:val="29"/>
          <w:rFonts w:hint="eastAsia" w:ascii="宋体" w:hAnsi="宋体" w:eastAsia="宋体" w:cs="宋体"/>
          <w:color w:val="auto"/>
          <w:kern w:val="2"/>
          <w:sz w:val="21"/>
          <w:szCs w:val="21"/>
          <w:highlight w:val="none"/>
          <w:lang w:eastAsia="zh-CN"/>
        </w:rPr>
        <w:t>3</w:t>
      </w:r>
      <w:r>
        <w:rPr>
          <w:rStyle w:val="29"/>
          <w:rFonts w:hint="eastAsia" w:ascii="宋体" w:hAnsi="宋体" w:eastAsia="宋体" w:cs="宋体"/>
          <w:color w:val="auto"/>
          <w:kern w:val="2"/>
          <w:sz w:val="21"/>
          <w:szCs w:val="21"/>
          <w:highlight w:val="none"/>
          <w:lang w:val="zh-CN" w:eastAsia="zh-CN"/>
        </w:rPr>
        <w:t>文明工地</w:t>
      </w:r>
    </w:p>
    <w:p w14:paraId="57A1240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9.3.1本合同文明工地的约定：</w:t>
      </w:r>
      <w:r>
        <w:rPr>
          <w:rStyle w:val="29"/>
          <w:rFonts w:hint="eastAsia" w:ascii="宋体" w:hAnsi="宋体" w:eastAsia="宋体" w:cs="宋体"/>
          <w:color w:val="auto"/>
          <w:kern w:val="2"/>
          <w:sz w:val="21"/>
          <w:szCs w:val="21"/>
          <w:highlight w:val="none"/>
          <w:u w:val="single"/>
          <w:lang w:val="en-US" w:eastAsia="zh-CN" w:bidi="zh-CN"/>
        </w:rPr>
        <w:t xml:space="preserve"> </w:t>
      </w:r>
      <w:r>
        <w:rPr>
          <w:rStyle w:val="29"/>
          <w:rFonts w:hint="eastAsia" w:ascii="宋体" w:hAnsi="宋体" w:eastAsia="宋体" w:cs="宋体"/>
          <w:color w:val="auto"/>
          <w:kern w:val="2"/>
          <w:sz w:val="21"/>
          <w:szCs w:val="21"/>
          <w:highlight w:val="none"/>
          <w:u w:val="single"/>
          <w:lang w:val="zh-CN" w:eastAsia="zh-CN" w:bidi="zh-CN"/>
        </w:rPr>
        <w:t>无</w:t>
      </w:r>
      <w:r>
        <w:rPr>
          <w:rStyle w:val="29"/>
          <w:rFonts w:hint="eastAsia" w:ascii="宋体" w:hAnsi="宋体" w:eastAsia="宋体" w:cs="宋体"/>
          <w:color w:val="auto"/>
          <w:kern w:val="2"/>
          <w:sz w:val="21"/>
          <w:szCs w:val="21"/>
          <w:highlight w:val="none"/>
          <w:u w:val="single"/>
          <w:lang w:val="en-US" w:eastAsia="zh-CN" w:bidi="zh-CN"/>
        </w:rPr>
        <w:t xml:space="preserve"> </w:t>
      </w:r>
      <w:r>
        <w:rPr>
          <w:rStyle w:val="29"/>
          <w:rFonts w:hint="eastAsia" w:ascii="宋体" w:hAnsi="宋体" w:eastAsia="宋体" w:cs="宋体"/>
          <w:color w:val="auto"/>
          <w:kern w:val="2"/>
          <w:sz w:val="21"/>
          <w:szCs w:val="21"/>
          <w:highlight w:val="none"/>
          <w:lang w:val="zh-CN" w:eastAsia="zh-CN" w:bidi="zh-CN"/>
        </w:rPr>
        <w:t>。</w:t>
      </w:r>
      <w:bookmarkStart w:id="1451" w:name="_Toc845"/>
      <w:bookmarkStart w:id="1452" w:name="bookmark1710"/>
      <w:bookmarkStart w:id="1453" w:name="_Toc8738"/>
      <w:bookmarkStart w:id="1454" w:name="bookmark1708"/>
      <w:bookmarkStart w:id="1455" w:name="bookmark1709"/>
    </w:p>
    <w:p w14:paraId="23DBB2D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456" w:name="_Toc49083458"/>
      <w:r>
        <w:rPr>
          <w:rStyle w:val="29"/>
          <w:rFonts w:hint="eastAsia" w:ascii="宋体" w:hAnsi="宋体" w:eastAsia="宋体" w:cs="宋体"/>
          <w:color w:val="auto"/>
          <w:kern w:val="2"/>
          <w:sz w:val="21"/>
          <w:szCs w:val="21"/>
          <w:highlight w:val="none"/>
          <w:lang w:eastAsia="zh-CN"/>
        </w:rPr>
        <w:t>11.开工和竣工（完工</w:t>
      </w:r>
      <w:bookmarkEnd w:id="1451"/>
      <w:bookmarkEnd w:id="1452"/>
      <w:bookmarkEnd w:id="1453"/>
      <w:bookmarkEnd w:id="1454"/>
      <w:bookmarkEnd w:id="1455"/>
      <w:r>
        <w:rPr>
          <w:rStyle w:val="29"/>
          <w:rFonts w:hint="eastAsia" w:ascii="宋体" w:hAnsi="宋体" w:eastAsia="宋体" w:cs="宋体"/>
          <w:color w:val="auto"/>
          <w:kern w:val="2"/>
          <w:sz w:val="21"/>
          <w:szCs w:val="21"/>
          <w:highlight w:val="none"/>
          <w:lang w:eastAsia="zh-CN"/>
        </w:rPr>
        <w:t>）</w:t>
      </w:r>
      <w:bookmarkEnd w:id="1456"/>
    </w:p>
    <w:p w14:paraId="5E46935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457" w:name="bookmark1711"/>
      <w:bookmarkStart w:id="1458" w:name="bookmark1712"/>
      <w:bookmarkStart w:id="1459" w:name="bookmark1713"/>
      <w:r>
        <w:rPr>
          <w:rStyle w:val="29"/>
          <w:rFonts w:hint="eastAsia" w:ascii="宋体" w:hAnsi="宋体" w:eastAsia="宋体" w:cs="宋体"/>
          <w:color w:val="auto"/>
          <w:kern w:val="2"/>
          <w:sz w:val="21"/>
          <w:szCs w:val="21"/>
          <w:highlight w:val="none"/>
          <w:lang w:eastAsia="zh-CN"/>
        </w:rPr>
        <w:t>11</w:t>
      </w:r>
      <w:r>
        <w:rPr>
          <w:rStyle w:val="29"/>
          <w:rFonts w:hint="eastAsia" w:ascii="宋体" w:hAnsi="宋体" w:eastAsia="宋体" w:cs="宋体"/>
          <w:color w:val="auto"/>
          <w:kern w:val="2"/>
          <w:sz w:val="21"/>
          <w:szCs w:val="21"/>
          <w:highlight w:val="none"/>
          <w:lang w:val="zh-CN" w:eastAsia="zh-CN"/>
        </w:rPr>
        <w:t>.</w:t>
      </w:r>
      <w:r>
        <w:rPr>
          <w:rStyle w:val="29"/>
          <w:rFonts w:hint="eastAsia" w:ascii="宋体" w:hAnsi="宋体" w:eastAsia="宋体" w:cs="宋体"/>
          <w:color w:val="auto"/>
          <w:kern w:val="2"/>
          <w:sz w:val="21"/>
          <w:szCs w:val="21"/>
          <w:highlight w:val="none"/>
          <w:lang w:eastAsia="zh-CN"/>
        </w:rPr>
        <w:t>2</w:t>
      </w:r>
      <w:r>
        <w:rPr>
          <w:rStyle w:val="29"/>
          <w:rFonts w:hint="eastAsia" w:ascii="宋体" w:hAnsi="宋体" w:eastAsia="宋体" w:cs="宋体"/>
          <w:color w:val="auto"/>
          <w:kern w:val="2"/>
          <w:sz w:val="21"/>
          <w:szCs w:val="21"/>
          <w:highlight w:val="none"/>
          <w:lang w:val="zh-CN" w:eastAsia="zh-CN"/>
        </w:rPr>
        <w:t>本工程主体工程完工时间为：</w:t>
      </w:r>
      <w:r>
        <w:rPr>
          <w:rStyle w:val="29"/>
          <w:rFonts w:hint="eastAsia" w:ascii="宋体" w:hAnsi="宋体" w:eastAsia="宋体" w:cs="宋体"/>
          <w:color w:val="auto"/>
          <w:kern w:val="2"/>
          <w:sz w:val="21"/>
          <w:szCs w:val="21"/>
          <w:highlight w:val="none"/>
          <w:u w:val="single"/>
          <w:lang w:val="zh-CN" w:eastAsia="zh-CN"/>
        </w:rPr>
        <w:tab/>
      </w:r>
      <w:r>
        <w:rPr>
          <w:rStyle w:val="29"/>
          <w:rFonts w:hint="eastAsia" w:ascii="宋体" w:hAnsi="宋体" w:eastAsia="宋体" w:cs="宋体"/>
          <w:color w:val="auto"/>
          <w:kern w:val="2"/>
          <w:sz w:val="21"/>
          <w:szCs w:val="21"/>
          <w:highlight w:val="none"/>
          <w:u w:val="single"/>
          <w:lang w:val="zh-CN" w:eastAsia="zh-CN"/>
        </w:rPr>
        <w:t xml:space="preserve">  </w:t>
      </w:r>
      <w:r>
        <w:rPr>
          <w:rStyle w:val="29"/>
          <w:rFonts w:hint="eastAsia" w:ascii="宋体" w:hAnsi="宋体" w:eastAsia="宋体" w:cs="宋体"/>
          <w:color w:val="auto"/>
          <w:kern w:val="2"/>
          <w:sz w:val="21"/>
          <w:szCs w:val="21"/>
          <w:highlight w:val="none"/>
          <w:u w:val="single"/>
          <w:lang w:val="en-US" w:eastAsia="zh-CN"/>
        </w:rPr>
        <w:t xml:space="preserve">     </w:t>
      </w:r>
      <w:r>
        <w:rPr>
          <w:rStyle w:val="29"/>
          <w:rFonts w:hint="eastAsia" w:ascii="宋体" w:hAnsi="宋体" w:eastAsia="宋体" w:cs="宋体"/>
          <w:color w:val="auto"/>
          <w:kern w:val="2"/>
          <w:sz w:val="21"/>
          <w:szCs w:val="21"/>
          <w:highlight w:val="none"/>
          <w:lang w:val="zh-CN" w:eastAsia="zh-CN"/>
        </w:rPr>
        <w:t>年</w:t>
      </w:r>
      <w:r>
        <w:rPr>
          <w:rStyle w:val="29"/>
          <w:rFonts w:hint="eastAsia" w:ascii="宋体" w:hAnsi="宋体" w:eastAsia="宋体" w:cs="宋体"/>
          <w:color w:val="auto"/>
          <w:kern w:val="2"/>
          <w:sz w:val="21"/>
          <w:szCs w:val="21"/>
          <w:highlight w:val="none"/>
          <w:u w:val="single"/>
          <w:lang w:val="zh-CN" w:eastAsia="zh-CN"/>
        </w:rPr>
        <w:t xml:space="preserve">     </w:t>
      </w:r>
      <w:r>
        <w:rPr>
          <w:rStyle w:val="29"/>
          <w:rFonts w:hint="eastAsia" w:ascii="宋体" w:hAnsi="宋体" w:eastAsia="宋体" w:cs="宋体"/>
          <w:color w:val="auto"/>
          <w:kern w:val="2"/>
          <w:sz w:val="21"/>
          <w:szCs w:val="21"/>
          <w:highlight w:val="none"/>
          <w:lang w:val="zh-CN" w:eastAsia="zh-CN"/>
        </w:rPr>
        <w:t>月</w:t>
      </w:r>
      <w:r>
        <w:rPr>
          <w:rStyle w:val="29"/>
          <w:rFonts w:hint="eastAsia" w:ascii="宋体" w:hAnsi="宋体" w:eastAsia="宋体" w:cs="宋体"/>
          <w:color w:val="auto"/>
          <w:kern w:val="2"/>
          <w:sz w:val="21"/>
          <w:szCs w:val="21"/>
          <w:highlight w:val="none"/>
          <w:u w:val="single"/>
          <w:lang w:val="zh-CN" w:eastAsia="zh-CN"/>
        </w:rPr>
        <w:t xml:space="preserve">    </w:t>
      </w:r>
      <w:r>
        <w:rPr>
          <w:rStyle w:val="29"/>
          <w:rFonts w:hint="eastAsia" w:ascii="宋体" w:hAnsi="宋体" w:eastAsia="宋体" w:cs="宋体"/>
          <w:color w:val="auto"/>
          <w:kern w:val="2"/>
          <w:sz w:val="21"/>
          <w:szCs w:val="21"/>
          <w:highlight w:val="none"/>
          <w:lang w:val="zh-CN" w:eastAsia="zh-CN"/>
        </w:rPr>
        <w:t>日。</w:t>
      </w:r>
      <w:bookmarkEnd w:id="1457"/>
      <w:bookmarkEnd w:id="1458"/>
      <w:bookmarkEnd w:id="1459"/>
    </w:p>
    <w:p w14:paraId="0B01021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460" w:name="bookmark1716"/>
      <w:bookmarkStart w:id="1461" w:name="bookmark1714"/>
      <w:bookmarkStart w:id="1462" w:name="bookmark1715"/>
      <w:r>
        <w:rPr>
          <w:rStyle w:val="29"/>
          <w:rFonts w:hint="eastAsia" w:ascii="宋体" w:hAnsi="宋体" w:eastAsia="宋体" w:cs="宋体"/>
          <w:color w:val="auto"/>
          <w:kern w:val="2"/>
          <w:sz w:val="21"/>
          <w:szCs w:val="21"/>
          <w:highlight w:val="none"/>
          <w:lang w:eastAsia="zh-CN"/>
        </w:rPr>
        <w:t>11</w:t>
      </w:r>
      <w:r>
        <w:rPr>
          <w:rStyle w:val="29"/>
          <w:rFonts w:hint="eastAsia" w:ascii="宋体" w:hAnsi="宋体" w:eastAsia="宋体" w:cs="宋体"/>
          <w:color w:val="auto"/>
          <w:kern w:val="2"/>
          <w:sz w:val="21"/>
          <w:szCs w:val="21"/>
          <w:highlight w:val="none"/>
          <w:lang w:val="zh-CN" w:eastAsia="zh-CN"/>
        </w:rPr>
        <w:t>.</w:t>
      </w:r>
      <w:r>
        <w:rPr>
          <w:rStyle w:val="29"/>
          <w:rFonts w:hint="eastAsia" w:ascii="宋体" w:hAnsi="宋体" w:eastAsia="宋体" w:cs="宋体"/>
          <w:color w:val="auto"/>
          <w:kern w:val="2"/>
          <w:sz w:val="21"/>
          <w:szCs w:val="21"/>
          <w:highlight w:val="none"/>
          <w:lang w:eastAsia="zh-CN"/>
        </w:rPr>
        <w:t>3</w:t>
      </w:r>
      <w:r>
        <w:rPr>
          <w:rStyle w:val="29"/>
          <w:rFonts w:hint="eastAsia" w:ascii="宋体" w:hAnsi="宋体" w:eastAsia="宋体" w:cs="宋体"/>
          <w:color w:val="auto"/>
          <w:kern w:val="2"/>
          <w:sz w:val="21"/>
          <w:szCs w:val="21"/>
          <w:highlight w:val="none"/>
          <w:lang w:val="zh-CN" w:eastAsia="zh-CN"/>
        </w:rPr>
        <w:t>发包人的工期延误</w:t>
      </w:r>
      <w:bookmarkEnd w:id="1460"/>
      <w:bookmarkEnd w:id="1461"/>
      <w:bookmarkEnd w:id="1462"/>
    </w:p>
    <w:p w14:paraId="77E428B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b/>
          <w:color w:val="auto"/>
          <w:sz w:val="21"/>
          <w:szCs w:val="21"/>
          <w:highlight w:val="none"/>
          <w:lang w:val="zh-CN" w:eastAsia="zh-CN" w:bidi="zh-CN"/>
        </w:rPr>
      </w:pPr>
      <w:bookmarkStart w:id="1463" w:name="bookmark1719"/>
      <w:bookmarkStart w:id="1464" w:name="bookmark1717"/>
      <w:bookmarkStart w:id="1465" w:name="bookmark1718"/>
      <w:r>
        <w:rPr>
          <w:rStyle w:val="29"/>
          <w:rFonts w:hint="eastAsia" w:ascii="宋体" w:hAnsi="宋体" w:eastAsia="宋体" w:cs="宋体"/>
          <w:b/>
          <w:color w:val="auto"/>
          <w:kern w:val="2"/>
          <w:sz w:val="21"/>
          <w:szCs w:val="21"/>
          <w:highlight w:val="none"/>
          <w:lang w:eastAsia="zh-CN" w:bidi="zh-CN"/>
        </w:rPr>
        <w:t>11.4</w:t>
      </w:r>
      <w:r>
        <w:rPr>
          <w:rStyle w:val="29"/>
          <w:rFonts w:hint="eastAsia" w:ascii="宋体" w:hAnsi="宋体" w:eastAsia="宋体" w:cs="宋体"/>
          <w:b/>
          <w:color w:val="auto"/>
          <w:kern w:val="2"/>
          <w:sz w:val="21"/>
          <w:szCs w:val="21"/>
          <w:highlight w:val="none"/>
          <w:lang w:val="zh-CN" w:eastAsia="zh-CN" w:bidi="zh-CN"/>
        </w:rPr>
        <w:t>异常恶劣的气候条件</w:t>
      </w:r>
      <w:bookmarkEnd w:id="1463"/>
      <w:bookmarkEnd w:id="1464"/>
      <w:bookmarkEnd w:id="1465"/>
    </w:p>
    <w:p w14:paraId="1DE135C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11.4.3本合同工程界定异常恶劣气候条件的范围为：</w:t>
      </w:r>
    </w:p>
    <w:p w14:paraId="0FF1B55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466" w:name="bookmark1720"/>
      <w:bookmarkEnd w:id="1466"/>
      <w:r>
        <w:rPr>
          <w:rStyle w:val="29"/>
          <w:rFonts w:hint="eastAsia" w:ascii="宋体" w:hAnsi="宋体" w:eastAsia="宋体" w:cs="宋体"/>
          <w:color w:val="auto"/>
          <w:kern w:val="2"/>
          <w:sz w:val="21"/>
          <w:szCs w:val="21"/>
          <w:highlight w:val="none"/>
          <w:lang w:val="zh-CN" w:eastAsia="zh-CN" w:bidi="zh-CN"/>
        </w:rPr>
        <w:t>①降雨量大于200mm的雨日超过1天；</w:t>
      </w:r>
    </w:p>
    <w:p w14:paraId="548167B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467" w:name="bookmark1721"/>
      <w:bookmarkEnd w:id="1467"/>
      <w:r>
        <w:rPr>
          <w:rStyle w:val="29"/>
          <w:rFonts w:hint="eastAsia" w:ascii="宋体" w:hAnsi="宋体" w:eastAsia="宋体" w:cs="宋体"/>
          <w:color w:val="auto"/>
          <w:kern w:val="2"/>
          <w:sz w:val="21"/>
          <w:szCs w:val="21"/>
          <w:highlight w:val="none"/>
          <w:lang w:val="zh-CN" w:eastAsia="zh-CN" w:bidi="zh-CN"/>
        </w:rPr>
        <w:t>②风速大于24.5m/s的10级以上台风灾害；</w:t>
      </w:r>
    </w:p>
    <w:p w14:paraId="6206234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468" w:name="bookmark1722"/>
      <w:bookmarkEnd w:id="1468"/>
      <w:r>
        <w:rPr>
          <w:rStyle w:val="29"/>
          <w:rFonts w:hint="eastAsia" w:ascii="宋体" w:hAnsi="宋体" w:eastAsia="宋体" w:cs="宋体"/>
          <w:color w:val="auto"/>
          <w:kern w:val="2"/>
          <w:sz w:val="21"/>
          <w:szCs w:val="21"/>
          <w:highlight w:val="none"/>
          <w:lang w:val="zh-CN" w:eastAsia="zh-CN" w:bidi="zh-CN"/>
        </w:rPr>
        <w:t>③日气温超过40℃的高温大于2天；</w:t>
      </w:r>
    </w:p>
    <w:p w14:paraId="6C4812C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469" w:name="bookmark1723"/>
      <w:bookmarkEnd w:id="1469"/>
      <w:r>
        <w:rPr>
          <w:rStyle w:val="29"/>
          <w:rFonts w:hint="eastAsia" w:ascii="宋体" w:hAnsi="宋体" w:eastAsia="宋体" w:cs="宋体"/>
          <w:color w:val="auto"/>
          <w:kern w:val="2"/>
          <w:sz w:val="21"/>
          <w:szCs w:val="21"/>
          <w:highlight w:val="none"/>
          <w:lang w:val="zh-CN" w:eastAsia="zh-CN" w:bidi="zh-CN"/>
        </w:rPr>
        <w:t>④日气温低于-10℃的严寒大于2天。</w:t>
      </w:r>
    </w:p>
    <w:p w14:paraId="5E1E548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470" w:name="bookmark1724"/>
      <w:bookmarkEnd w:id="1470"/>
      <w:r>
        <w:rPr>
          <w:rStyle w:val="29"/>
          <w:rFonts w:hint="eastAsia" w:ascii="宋体" w:hAnsi="宋体" w:eastAsia="宋体" w:cs="宋体"/>
          <w:color w:val="auto"/>
          <w:kern w:val="2"/>
          <w:sz w:val="21"/>
          <w:szCs w:val="21"/>
          <w:highlight w:val="none"/>
          <w:lang w:val="zh-CN" w:eastAsia="zh-CN" w:bidi="zh-CN"/>
        </w:rPr>
        <w:t>⑤造成工程损坏的冰雹和大雪灾害；</w:t>
      </w:r>
    </w:p>
    <w:p w14:paraId="284B26E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471" w:name="bookmark1725"/>
      <w:bookmarkEnd w:id="1471"/>
      <w:r>
        <w:rPr>
          <w:rStyle w:val="29"/>
          <w:rFonts w:hint="eastAsia" w:ascii="宋体" w:hAnsi="宋体" w:eastAsia="宋体" w:cs="宋体"/>
          <w:color w:val="auto"/>
          <w:kern w:val="2"/>
          <w:sz w:val="21"/>
          <w:szCs w:val="21"/>
          <w:highlight w:val="none"/>
          <w:lang w:val="zh-CN" w:eastAsia="zh-CN" w:bidi="zh-CN"/>
        </w:rPr>
        <w:t>⑥6级以上的地震；</w:t>
      </w:r>
    </w:p>
    <w:p w14:paraId="6B43C99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472" w:name="bookmark1726"/>
      <w:bookmarkEnd w:id="1472"/>
      <w:r>
        <w:rPr>
          <w:rStyle w:val="29"/>
          <w:rFonts w:hint="eastAsia" w:ascii="宋体" w:hAnsi="宋体" w:eastAsia="宋体" w:cs="宋体"/>
          <w:color w:val="auto"/>
          <w:kern w:val="2"/>
          <w:sz w:val="21"/>
          <w:szCs w:val="21"/>
          <w:highlight w:val="none"/>
          <w:lang w:val="zh-CN" w:eastAsia="zh-CN" w:bidi="zh-CN"/>
        </w:rPr>
        <w:t>⑦50年一遇及以上的洪水；</w:t>
      </w:r>
    </w:p>
    <w:p w14:paraId="1E2037D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473" w:name="bookmark1727"/>
      <w:bookmarkEnd w:id="1473"/>
      <w:r>
        <w:rPr>
          <w:rStyle w:val="29"/>
          <w:rFonts w:hint="eastAsia" w:ascii="宋体" w:hAnsi="宋体" w:eastAsia="宋体" w:cs="宋体"/>
          <w:color w:val="auto"/>
          <w:kern w:val="2"/>
          <w:sz w:val="21"/>
          <w:szCs w:val="21"/>
          <w:highlight w:val="none"/>
          <w:lang w:val="zh-CN" w:eastAsia="zh-CN" w:bidi="zh-CN"/>
        </w:rPr>
        <w:t>⑧其他异常恶劣气候灾害。</w:t>
      </w:r>
    </w:p>
    <w:p w14:paraId="012A205F">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474" w:name="bookmark1728"/>
      <w:bookmarkStart w:id="1475" w:name="bookmark1730"/>
      <w:bookmarkStart w:id="1476" w:name="bookmark1729"/>
      <w:r>
        <w:rPr>
          <w:rStyle w:val="29"/>
          <w:rFonts w:hint="eastAsia" w:ascii="宋体" w:hAnsi="宋体" w:eastAsia="宋体" w:cs="宋体"/>
          <w:color w:val="auto"/>
          <w:kern w:val="2"/>
          <w:sz w:val="21"/>
          <w:szCs w:val="21"/>
          <w:highlight w:val="none"/>
          <w:lang w:eastAsia="zh-CN"/>
        </w:rPr>
        <w:t>11.5</w:t>
      </w:r>
      <w:r>
        <w:rPr>
          <w:rStyle w:val="29"/>
          <w:rFonts w:hint="eastAsia" w:ascii="宋体" w:hAnsi="宋体" w:eastAsia="宋体" w:cs="宋体"/>
          <w:color w:val="auto"/>
          <w:kern w:val="2"/>
          <w:sz w:val="21"/>
          <w:szCs w:val="21"/>
          <w:highlight w:val="none"/>
          <w:lang w:val="zh-CN" w:eastAsia="zh-CN"/>
        </w:rPr>
        <w:t>承包人工期延误</w:t>
      </w:r>
      <w:bookmarkEnd w:id="1474"/>
      <w:bookmarkEnd w:id="1475"/>
      <w:bookmarkEnd w:id="1476"/>
    </w:p>
    <w:p w14:paraId="7573D80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(1)逾期完工违约金表(参考格式)</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22"/>
        <w:gridCol w:w="3205"/>
        <w:gridCol w:w="3545"/>
        <w:gridCol w:w="2283"/>
      </w:tblGrid>
      <w:tr w14:paraId="0F92C16B">
        <w:trPr>
          <w:trHeight w:val="461" w:hRule="exact"/>
          <w:jc w:val="center"/>
        </w:trPr>
        <w:tc>
          <w:tcPr>
            <w:tcW w:w="322" w:type="pct"/>
            <w:tcBorders>
              <w:tl2br w:val="nil"/>
              <w:tr2bl w:val="nil"/>
            </w:tcBorders>
            <w:shd w:val="clear" w:color="auto" w:fill="FFFFFF"/>
            <w:noWrap w:val="0"/>
            <w:vAlign w:val="center"/>
          </w:tcPr>
          <w:p w14:paraId="4283D732">
            <w:pPr>
              <w:pStyle w:val="103"/>
              <w:shd w:val="clear" w:color="auto"/>
              <w:jc w:val="center"/>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序号</w:t>
            </w:r>
          </w:p>
        </w:tc>
        <w:tc>
          <w:tcPr>
            <w:tcW w:w="1659" w:type="pct"/>
            <w:tcBorders>
              <w:tl2br w:val="nil"/>
              <w:tr2bl w:val="nil"/>
            </w:tcBorders>
            <w:shd w:val="clear" w:color="auto" w:fill="FFFFFF"/>
            <w:noWrap w:val="0"/>
            <w:vAlign w:val="center"/>
          </w:tcPr>
          <w:p w14:paraId="62D942AE">
            <w:pPr>
              <w:pStyle w:val="103"/>
              <w:shd w:val="clear" w:color="auto"/>
              <w:jc w:val="center"/>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项目及其说明</w:t>
            </w:r>
          </w:p>
        </w:tc>
        <w:tc>
          <w:tcPr>
            <w:tcW w:w="1835" w:type="pct"/>
            <w:tcBorders>
              <w:tl2br w:val="nil"/>
              <w:tr2bl w:val="nil"/>
            </w:tcBorders>
            <w:shd w:val="clear" w:color="auto" w:fill="FFFFFF"/>
            <w:noWrap w:val="0"/>
            <w:vAlign w:val="center"/>
          </w:tcPr>
          <w:p w14:paraId="6C9BBF68">
            <w:pPr>
              <w:pStyle w:val="103"/>
              <w:shd w:val="clear" w:color="auto"/>
              <w:jc w:val="center"/>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要求完工日期</w:t>
            </w:r>
          </w:p>
        </w:tc>
        <w:tc>
          <w:tcPr>
            <w:tcW w:w="1182" w:type="pct"/>
            <w:tcBorders>
              <w:tl2br w:val="nil"/>
              <w:tr2bl w:val="nil"/>
            </w:tcBorders>
            <w:shd w:val="clear" w:color="auto" w:fill="FFFFFF"/>
            <w:noWrap w:val="0"/>
            <w:vAlign w:val="center"/>
          </w:tcPr>
          <w:p w14:paraId="5EFC5398">
            <w:pPr>
              <w:pStyle w:val="103"/>
              <w:shd w:val="clear" w:color="auto"/>
              <w:jc w:val="center"/>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违约金(元/天)</w:t>
            </w:r>
          </w:p>
        </w:tc>
      </w:tr>
      <w:tr w14:paraId="497D3780">
        <w:trPr>
          <w:trHeight w:val="451" w:hRule="exact"/>
          <w:jc w:val="center"/>
        </w:trPr>
        <w:tc>
          <w:tcPr>
            <w:tcW w:w="322" w:type="pct"/>
            <w:tcBorders>
              <w:tl2br w:val="nil"/>
              <w:tr2bl w:val="nil"/>
            </w:tcBorders>
            <w:shd w:val="clear" w:color="auto" w:fill="FFFFFF"/>
            <w:noWrap w:val="0"/>
            <w:vAlign w:val="center"/>
          </w:tcPr>
          <w:p w14:paraId="0666CEE4">
            <w:pPr>
              <w:pStyle w:val="103"/>
              <w:shd w:val="clear" w:color="auto"/>
              <w:jc w:val="center"/>
              <w:rPr>
                <w:rStyle w:val="29"/>
                <w:rFonts w:hint="eastAsia" w:ascii="宋体" w:hAnsi="宋体" w:eastAsia="宋体" w:cs="宋体"/>
                <w:color w:val="auto"/>
                <w:sz w:val="21"/>
                <w:szCs w:val="21"/>
                <w:highlight w:val="none"/>
              </w:rPr>
            </w:pPr>
          </w:p>
        </w:tc>
        <w:tc>
          <w:tcPr>
            <w:tcW w:w="1659" w:type="pct"/>
            <w:tcBorders>
              <w:tl2br w:val="nil"/>
              <w:tr2bl w:val="nil"/>
            </w:tcBorders>
            <w:shd w:val="clear" w:color="auto" w:fill="FFFFFF"/>
            <w:noWrap w:val="0"/>
            <w:vAlign w:val="center"/>
          </w:tcPr>
          <w:p w14:paraId="51DE575E">
            <w:pPr>
              <w:pStyle w:val="103"/>
              <w:shd w:val="clear" w:color="auto"/>
              <w:jc w:val="center"/>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全部工程</w:t>
            </w:r>
          </w:p>
        </w:tc>
        <w:tc>
          <w:tcPr>
            <w:tcW w:w="1835" w:type="pct"/>
            <w:tcBorders>
              <w:tl2br w:val="nil"/>
              <w:tr2bl w:val="nil"/>
            </w:tcBorders>
            <w:shd w:val="clear" w:color="auto" w:fill="FFFFFF"/>
            <w:noWrap w:val="0"/>
            <w:vAlign w:val="center"/>
          </w:tcPr>
          <w:p w14:paraId="1FB98487">
            <w:pPr>
              <w:pStyle w:val="103"/>
              <w:shd w:val="clear" w:color="auto"/>
              <w:jc w:val="center"/>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招标文件约定的完工时间</w:t>
            </w:r>
          </w:p>
        </w:tc>
        <w:tc>
          <w:tcPr>
            <w:tcW w:w="1182" w:type="pct"/>
            <w:tcBorders>
              <w:tl2br w:val="nil"/>
              <w:tr2bl w:val="nil"/>
            </w:tcBorders>
            <w:shd w:val="clear" w:color="auto" w:fill="FFFFFF"/>
            <w:noWrap w:val="0"/>
            <w:vAlign w:val="center"/>
          </w:tcPr>
          <w:p w14:paraId="0CCEAD06">
            <w:pPr>
              <w:pStyle w:val="103"/>
              <w:shd w:val="clear" w:color="auto"/>
              <w:jc w:val="center"/>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1000</w:t>
            </w:r>
          </w:p>
        </w:tc>
      </w:tr>
      <w:tr w14:paraId="30E0EDDF">
        <w:trPr>
          <w:trHeight w:val="456" w:hRule="exact"/>
          <w:jc w:val="center"/>
        </w:trPr>
        <w:tc>
          <w:tcPr>
            <w:tcW w:w="322" w:type="pct"/>
            <w:tcBorders>
              <w:tl2br w:val="nil"/>
              <w:tr2bl w:val="nil"/>
            </w:tcBorders>
            <w:shd w:val="clear" w:color="auto" w:fill="FFFFFF"/>
            <w:noWrap w:val="0"/>
            <w:vAlign w:val="center"/>
          </w:tcPr>
          <w:p w14:paraId="742BEE75">
            <w:pPr>
              <w:pStyle w:val="103"/>
              <w:shd w:val="clear" w:color="auto"/>
              <w:jc w:val="center"/>
              <w:rPr>
                <w:rStyle w:val="29"/>
                <w:rFonts w:hint="eastAsia" w:ascii="宋体" w:hAnsi="宋体" w:eastAsia="宋体" w:cs="宋体"/>
                <w:color w:val="auto"/>
                <w:sz w:val="21"/>
                <w:szCs w:val="21"/>
                <w:highlight w:val="none"/>
              </w:rPr>
            </w:pPr>
          </w:p>
        </w:tc>
        <w:tc>
          <w:tcPr>
            <w:tcW w:w="1659" w:type="pct"/>
            <w:tcBorders>
              <w:tl2br w:val="nil"/>
              <w:tr2bl w:val="nil"/>
            </w:tcBorders>
            <w:shd w:val="clear" w:color="auto" w:fill="FFFFFF"/>
            <w:noWrap w:val="0"/>
            <w:vAlign w:val="center"/>
          </w:tcPr>
          <w:p w14:paraId="4ACA6C27">
            <w:pPr>
              <w:pStyle w:val="103"/>
              <w:shd w:val="clear" w:color="auto"/>
              <w:jc w:val="center"/>
              <w:rPr>
                <w:rStyle w:val="29"/>
                <w:rFonts w:hint="eastAsia" w:ascii="宋体" w:hAnsi="宋体" w:eastAsia="宋体" w:cs="宋体"/>
                <w:color w:val="auto"/>
                <w:sz w:val="21"/>
                <w:szCs w:val="21"/>
                <w:highlight w:val="none"/>
              </w:rPr>
            </w:pPr>
          </w:p>
        </w:tc>
        <w:tc>
          <w:tcPr>
            <w:tcW w:w="1835" w:type="pct"/>
            <w:tcBorders>
              <w:tl2br w:val="nil"/>
              <w:tr2bl w:val="nil"/>
            </w:tcBorders>
            <w:shd w:val="clear" w:color="auto" w:fill="FFFFFF"/>
            <w:noWrap w:val="0"/>
            <w:vAlign w:val="center"/>
          </w:tcPr>
          <w:p w14:paraId="4DE62C34">
            <w:pPr>
              <w:pStyle w:val="103"/>
              <w:shd w:val="clear" w:color="auto"/>
              <w:jc w:val="center"/>
              <w:rPr>
                <w:rStyle w:val="29"/>
                <w:rFonts w:hint="eastAsia" w:ascii="宋体" w:hAnsi="宋体" w:eastAsia="宋体" w:cs="宋体"/>
                <w:color w:val="auto"/>
                <w:sz w:val="21"/>
                <w:szCs w:val="21"/>
                <w:highlight w:val="none"/>
              </w:rPr>
            </w:pPr>
          </w:p>
        </w:tc>
        <w:tc>
          <w:tcPr>
            <w:tcW w:w="1182" w:type="pct"/>
            <w:tcBorders>
              <w:tl2br w:val="nil"/>
              <w:tr2bl w:val="nil"/>
            </w:tcBorders>
            <w:shd w:val="clear" w:color="auto" w:fill="FFFFFF"/>
            <w:noWrap w:val="0"/>
            <w:vAlign w:val="center"/>
          </w:tcPr>
          <w:p w14:paraId="36005C77">
            <w:pPr>
              <w:pStyle w:val="103"/>
              <w:shd w:val="clear" w:color="auto"/>
              <w:jc w:val="center"/>
              <w:rPr>
                <w:rStyle w:val="29"/>
                <w:rFonts w:hint="eastAsia" w:ascii="宋体" w:hAnsi="宋体" w:eastAsia="宋体" w:cs="宋体"/>
                <w:color w:val="auto"/>
                <w:sz w:val="21"/>
                <w:szCs w:val="21"/>
                <w:highlight w:val="none"/>
              </w:rPr>
            </w:pPr>
          </w:p>
        </w:tc>
      </w:tr>
      <w:tr w14:paraId="413A515C">
        <w:trPr>
          <w:trHeight w:val="451" w:hRule="exact"/>
          <w:jc w:val="center"/>
        </w:trPr>
        <w:tc>
          <w:tcPr>
            <w:tcW w:w="322" w:type="pct"/>
            <w:tcBorders>
              <w:tl2br w:val="nil"/>
              <w:tr2bl w:val="nil"/>
            </w:tcBorders>
            <w:shd w:val="clear" w:color="auto" w:fill="FFFFFF"/>
            <w:noWrap w:val="0"/>
            <w:vAlign w:val="center"/>
          </w:tcPr>
          <w:p w14:paraId="0A0124B4">
            <w:pPr>
              <w:pStyle w:val="103"/>
              <w:shd w:val="clear" w:color="auto"/>
              <w:jc w:val="center"/>
              <w:rPr>
                <w:rStyle w:val="29"/>
                <w:rFonts w:hint="eastAsia" w:ascii="宋体" w:hAnsi="宋体" w:eastAsia="宋体" w:cs="宋体"/>
                <w:color w:val="auto"/>
                <w:sz w:val="21"/>
                <w:szCs w:val="21"/>
                <w:highlight w:val="none"/>
              </w:rPr>
            </w:pPr>
          </w:p>
        </w:tc>
        <w:tc>
          <w:tcPr>
            <w:tcW w:w="1659" w:type="pct"/>
            <w:tcBorders>
              <w:tl2br w:val="nil"/>
              <w:tr2bl w:val="nil"/>
            </w:tcBorders>
            <w:shd w:val="clear" w:color="auto" w:fill="FFFFFF"/>
            <w:noWrap w:val="0"/>
            <w:vAlign w:val="center"/>
          </w:tcPr>
          <w:p w14:paraId="725DCA15">
            <w:pPr>
              <w:pStyle w:val="103"/>
              <w:shd w:val="clear" w:color="auto"/>
              <w:jc w:val="center"/>
              <w:rPr>
                <w:rStyle w:val="29"/>
                <w:rFonts w:hint="eastAsia" w:ascii="宋体" w:hAnsi="宋体" w:eastAsia="宋体" w:cs="宋体"/>
                <w:color w:val="auto"/>
                <w:sz w:val="21"/>
                <w:szCs w:val="21"/>
                <w:highlight w:val="none"/>
              </w:rPr>
            </w:pPr>
          </w:p>
        </w:tc>
        <w:tc>
          <w:tcPr>
            <w:tcW w:w="1835" w:type="pct"/>
            <w:tcBorders>
              <w:tl2br w:val="nil"/>
              <w:tr2bl w:val="nil"/>
            </w:tcBorders>
            <w:shd w:val="clear" w:color="auto" w:fill="FFFFFF"/>
            <w:noWrap w:val="0"/>
            <w:vAlign w:val="center"/>
          </w:tcPr>
          <w:p w14:paraId="4E4490C0">
            <w:pPr>
              <w:pStyle w:val="103"/>
              <w:shd w:val="clear" w:color="auto"/>
              <w:jc w:val="center"/>
              <w:rPr>
                <w:rStyle w:val="29"/>
                <w:rFonts w:hint="eastAsia" w:ascii="宋体" w:hAnsi="宋体" w:eastAsia="宋体" w:cs="宋体"/>
                <w:color w:val="auto"/>
                <w:sz w:val="21"/>
                <w:szCs w:val="21"/>
                <w:highlight w:val="none"/>
              </w:rPr>
            </w:pPr>
          </w:p>
        </w:tc>
        <w:tc>
          <w:tcPr>
            <w:tcW w:w="1182" w:type="pct"/>
            <w:tcBorders>
              <w:tl2br w:val="nil"/>
              <w:tr2bl w:val="nil"/>
            </w:tcBorders>
            <w:shd w:val="clear" w:color="auto" w:fill="FFFFFF"/>
            <w:noWrap w:val="0"/>
            <w:vAlign w:val="center"/>
          </w:tcPr>
          <w:p w14:paraId="342DA3D0">
            <w:pPr>
              <w:pStyle w:val="103"/>
              <w:shd w:val="clear" w:color="auto"/>
              <w:jc w:val="center"/>
              <w:rPr>
                <w:rStyle w:val="29"/>
                <w:rFonts w:hint="eastAsia" w:ascii="宋体" w:hAnsi="宋体" w:eastAsia="宋体" w:cs="宋体"/>
                <w:color w:val="auto"/>
                <w:sz w:val="21"/>
                <w:szCs w:val="21"/>
                <w:highlight w:val="none"/>
              </w:rPr>
            </w:pPr>
          </w:p>
        </w:tc>
      </w:tr>
      <w:tr w14:paraId="36BABBFA">
        <w:trPr>
          <w:trHeight w:val="466" w:hRule="exact"/>
          <w:jc w:val="center"/>
        </w:trPr>
        <w:tc>
          <w:tcPr>
            <w:tcW w:w="322" w:type="pct"/>
            <w:tcBorders>
              <w:tl2br w:val="nil"/>
              <w:tr2bl w:val="nil"/>
            </w:tcBorders>
            <w:shd w:val="clear" w:color="auto" w:fill="FFFFFF"/>
            <w:noWrap w:val="0"/>
            <w:vAlign w:val="center"/>
          </w:tcPr>
          <w:p w14:paraId="29A5A2E0">
            <w:pPr>
              <w:pStyle w:val="103"/>
              <w:shd w:val="clear" w:color="auto"/>
              <w:jc w:val="center"/>
              <w:rPr>
                <w:rStyle w:val="29"/>
                <w:rFonts w:hint="eastAsia" w:ascii="宋体" w:hAnsi="宋体" w:eastAsia="宋体" w:cs="宋体"/>
                <w:color w:val="auto"/>
                <w:sz w:val="21"/>
                <w:szCs w:val="21"/>
                <w:highlight w:val="none"/>
              </w:rPr>
            </w:pPr>
          </w:p>
        </w:tc>
        <w:tc>
          <w:tcPr>
            <w:tcW w:w="1659" w:type="pct"/>
            <w:tcBorders>
              <w:tl2br w:val="nil"/>
              <w:tr2bl w:val="nil"/>
            </w:tcBorders>
            <w:shd w:val="clear" w:color="auto" w:fill="FFFFFF"/>
            <w:noWrap w:val="0"/>
            <w:vAlign w:val="center"/>
          </w:tcPr>
          <w:p w14:paraId="698159C6">
            <w:pPr>
              <w:pStyle w:val="103"/>
              <w:shd w:val="clear" w:color="auto"/>
              <w:jc w:val="center"/>
              <w:rPr>
                <w:rStyle w:val="29"/>
                <w:rFonts w:hint="eastAsia" w:ascii="宋体" w:hAnsi="宋体" w:eastAsia="宋体" w:cs="宋体"/>
                <w:color w:val="auto"/>
                <w:sz w:val="21"/>
                <w:szCs w:val="21"/>
                <w:highlight w:val="none"/>
              </w:rPr>
            </w:pPr>
          </w:p>
        </w:tc>
        <w:tc>
          <w:tcPr>
            <w:tcW w:w="1835" w:type="pct"/>
            <w:tcBorders>
              <w:tl2br w:val="nil"/>
              <w:tr2bl w:val="nil"/>
            </w:tcBorders>
            <w:shd w:val="clear" w:color="auto" w:fill="FFFFFF"/>
            <w:noWrap w:val="0"/>
            <w:vAlign w:val="center"/>
          </w:tcPr>
          <w:p w14:paraId="7B522A65">
            <w:pPr>
              <w:pStyle w:val="103"/>
              <w:shd w:val="clear" w:color="auto"/>
              <w:jc w:val="center"/>
              <w:rPr>
                <w:rStyle w:val="29"/>
                <w:rFonts w:hint="eastAsia" w:ascii="宋体" w:hAnsi="宋体" w:eastAsia="宋体" w:cs="宋体"/>
                <w:color w:val="auto"/>
                <w:sz w:val="21"/>
                <w:szCs w:val="21"/>
                <w:highlight w:val="none"/>
              </w:rPr>
            </w:pPr>
          </w:p>
        </w:tc>
        <w:tc>
          <w:tcPr>
            <w:tcW w:w="1182" w:type="pct"/>
            <w:tcBorders>
              <w:tl2br w:val="nil"/>
              <w:tr2bl w:val="nil"/>
            </w:tcBorders>
            <w:shd w:val="clear" w:color="auto" w:fill="FFFFFF"/>
            <w:noWrap w:val="0"/>
            <w:vAlign w:val="center"/>
          </w:tcPr>
          <w:p w14:paraId="38185C4B">
            <w:pPr>
              <w:pStyle w:val="103"/>
              <w:shd w:val="clear" w:color="auto"/>
              <w:jc w:val="center"/>
              <w:rPr>
                <w:rStyle w:val="29"/>
                <w:rFonts w:hint="eastAsia" w:ascii="宋体" w:hAnsi="宋体" w:eastAsia="宋体" w:cs="宋体"/>
                <w:color w:val="auto"/>
                <w:sz w:val="21"/>
                <w:szCs w:val="21"/>
                <w:highlight w:val="none"/>
              </w:rPr>
            </w:pPr>
          </w:p>
        </w:tc>
      </w:tr>
    </w:tbl>
    <w:p w14:paraId="42BE395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承包人如未能按上表各节点要求的完工日期前完工，逾期完工违约金按</w:t>
      </w:r>
      <w:r>
        <w:rPr>
          <w:rStyle w:val="29"/>
          <w:rFonts w:hint="eastAsia" w:ascii="宋体" w:hAnsi="宋体" w:eastAsia="宋体" w:cs="宋体"/>
          <w:color w:val="auto"/>
          <w:kern w:val="2"/>
          <w:sz w:val="21"/>
          <w:szCs w:val="21"/>
          <w:highlight w:val="none"/>
          <w:u w:val="single"/>
          <w:lang w:val="zh-CN" w:eastAsia="zh-CN" w:bidi="zh-CN"/>
        </w:rPr>
        <w:t>1000</w:t>
      </w:r>
      <w:r>
        <w:rPr>
          <w:rStyle w:val="29"/>
          <w:rFonts w:hint="eastAsia" w:ascii="宋体" w:hAnsi="宋体" w:eastAsia="宋体" w:cs="宋体"/>
          <w:color w:val="auto"/>
          <w:kern w:val="2"/>
          <w:sz w:val="21"/>
          <w:szCs w:val="21"/>
          <w:highlight w:val="none"/>
          <w:lang w:val="zh-CN" w:eastAsia="zh-CN" w:bidi="zh-CN"/>
        </w:rPr>
        <w:t>元/天计算。</w:t>
      </w:r>
    </w:p>
    <w:p w14:paraId="478317E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477" w:name="bookmark1731"/>
      <w:bookmarkEnd w:id="1477"/>
      <w:r>
        <w:rPr>
          <w:rStyle w:val="29"/>
          <w:rFonts w:hint="eastAsia" w:ascii="宋体" w:hAnsi="宋体" w:eastAsia="宋体" w:cs="宋体"/>
          <w:color w:val="auto"/>
          <w:kern w:val="2"/>
          <w:sz w:val="21"/>
          <w:szCs w:val="21"/>
          <w:highlight w:val="none"/>
          <w:lang w:val="zh-CN" w:eastAsia="zh-CN" w:bidi="zh-CN"/>
        </w:rPr>
        <w:t>（2）全部逾期完工违约金的总限额不超过合同总价的2%,发包人可从应向承包人支付的任何金额中扣除此项违约金或以其他方式收回此款，此违约金的支付并不能解除承包人应完成工程的责任或合同规定的其他责任。</w:t>
      </w:r>
    </w:p>
    <w:p w14:paraId="585C60E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（3）若因施工现场征地拆迁、重大设计变更等甲方原因导致工期延误的，工期应相应顺延，承包人应自行收集整理相关证明材料，因征地拆迁、重大设计变更引起的工期延误根据实际情况进行工期索赔。</w:t>
      </w:r>
    </w:p>
    <w:p w14:paraId="2BF4842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4）因以下原因造成工期延误，经监理工程师确认，工期相应顺延，可归责于发包人的，由发包人依据自身责任大小，适当补偿承包人因此遭受的相应损失，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⑦设计方案(包括施工图纸)未能及时提供延误施工的；发包人、监理或设计提出修改意向，承包人必需等待书面答复意见而延误关键线路施工的；⑧因发包人原因施工所需证件未能及时办理而延误的；⑨开发资金未能及时到位而延误的；⑩受气候等因素影响材料运输、工人窝工的。</w:t>
      </w:r>
    </w:p>
    <w:p w14:paraId="60C5D16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478" w:name="bookmark1732"/>
      <w:bookmarkStart w:id="1479" w:name="bookmark1733"/>
      <w:bookmarkStart w:id="1480" w:name="bookmark1734"/>
      <w:r>
        <w:rPr>
          <w:rStyle w:val="29"/>
          <w:rFonts w:hint="eastAsia" w:ascii="宋体" w:hAnsi="宋体" w:eastAsia="宋体" w:cs="宋体"/>
          <w:color w:val="auto"/>
          <w:kern w:val="2"/>
          <w:sz w:val="21"/>
          <w:szCs w:val="21"/>
          <w:highlight w:val="none"/>
          <w:lang w:eastAsia="zh-CN"/>
        </w:rPr>
        <w:t>11.6</w:t>
      </w:r>
      <w:r>
        <w:rPr>
          <w:rStyle w:val="29"/>
          <w:rFonts w:hint="eastAsia" w:ascii="宋体" w:hAnsi="宋体" w:eastAsia="宋体" w:cs="宋体"/>
          <w:color w:val="auto"/>
          <w:kern w:val="2"/>
          <w:sz w:val="21"/>
          <w:szCs w:val="21"/>
          <w:highlight w:val="none"/>
          <w:lang w:val="zh-CN" w:eastAsia="zh-CN"/>
        </w:rPr>
        <w:t>工期提前</w:t>
      </w:r>
      <w:bookmarkEnd w:id="1478"/>
      <w:bookmarkEnd w:id="1479"/>
      <w:bookmarkEnd w:id="1480"/>
    </w:p>
    <w:p w14:paraId="0B0037B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工期提前的资金约定：</w:t>
      </w:r>
      <w:r>
        <w:rPr>
          <w:rStyle w:val="29"/>
          <w:rFonts w:hint="eastAsia" w:ascii="宋体" w:hAnsi="宋体" w:eastAsia="宋体" w:cs="宋体"/>
          <w:color w:val="auto"/>
          <w:kern w:val="2"/>
          <w:sz w:val="21"/>
          <w:szCs w:val="21"/>
          <w:highlight w:val="none"/>
          <w:u w:val="single"/>
          <w:lang w:val="zh-CN" w:eastAsia="zh-CN" w:bidi="zh-CN"/>
        </w:rPr>
        <w:t>在保证工程质量的前提下，发包人鼓励承包人提前完工，但本合同工程无提前工期奖金</w:t>
      </w:r>
      <w:r>
        <w:rPr>
          <w:rStyle w:val="29"/>
          <w:rFonts w:hint="eastAsia" w:ascii="宋体" w:hAnsi="宋体" w:eastAsia="宋体" w:cs="宋体"/>
          <w:color w:val="auto"/>
          <w:kern w:val="2"/>
          <w:sz w:val="21"/>
          <w:szCs w:val="21"/>
          <w:highlight w:val="none"/>
          <w:lang w:eastAsia="zh-CN" w:bidi="ar-SA"/>
        </w:rPr>
        <w:t>。</w:t>
      </w:r>
    </w:p>
    <w:p w14:paraId="141CCD5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481" w:name="bookmark1735"/>
      <w:bookmarkStart w:id="1482" w:name="_Toc49083459"/>
      <w:bookmarkStart w:id="1483" w:name="_Toc23224"/>
      <w:bookmarkStart w:id="1484" w:name="_Toc6849"/>
      <w:bookmarkStart w:id="1485" w:name="bookmark1737"/>
      <w:bookmarkStart w:id="1486" w:name="bookmark1736"/>
      <w:r>
        <w:rPr>
          <w:rStyle w:val="29"/>
          <w:rFonts w:hint="eastAsia" w:ascii="宋体" w:hAnsi="宋体" w:eastAsia="宋体" w:cs="宋体"/>
          <w:color w:val="auto"/>
          <w:kern w:val="2"/>
          <w:sz w:val="21"/>
          <w:szCs w:val="21"/>
          <w:highlight w:val="none"/>
          <w:lang w:eastAsia="zh-CN"/>
        </w:rPr>
        <w:t>12</w:t>
      </w:r>
      <w:r>
        <w:rPr>
          <w:rStyle w:val="29"/>
          <w:rFonts w:hint="eastAsia" w:ascii="宋体" w:hAnsi="宋体" w:eastAsia="宋体" w:cs="宋体"/>
          <w:color w:val="auto"/>
          <w:kern w:val="2"/>
          <w:sz w:val="21"/>
          <w:szCs w:val="21"/>
          <w:highlight w:val="none"/>
          <w:lang w:val="en-US" w:eastAsia="zh-CN"/>
        </w:rPr>
        <w:t>.</w:t>
      </w:r>
      <w:r>
        <w:rPr>
          <w:rStyle w:val="29"/>
          <w:rFonts w:hint="eastAsia" w:ascii="宋体" w:hAnsi="宋体" w:eastAsia="宋体" w:cs="宋体"/>
          <w:color w:val="auto"/>
          <w:kern w:val="2"/>
          <w:sz w:val="21"/>
          <w:szCs w:val="21"/>
          <w:highlight w:val="none"/>
          <w:lang w:eastAsia="zh-CN"/>
        </w:rPr>
        <w:t>暂停施工</w:t>
      </w:r>
      <w:bookmarkEnd w:id="1481"/>
      <w:bookmarkEnd w:id="1482"/>
      <w:bookmarkEnd w:id="1483"/>
      <w:bookmarkEnd w:id="1484"/>
      <w:bookmarkEnd w:id="1485"/>
      <w:bookmarkEnd w:id="1486"/>
    </w:p>
    <w:p w14:paraId="398EC0F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487" w:name="bookmark1738"/>
      <w:bookmarkStart w:id="1488" w:name="bookmark1740"/>
      <w:bookmarkStart w:id="1489" w:name="bookmark1739"/>
      <w:r>
        <w:rPr>
          <w:rStyle w:val="29"/>
          <w:rFonts w:hint="eastAsia" w:ascii="宋体" w:hAnsi="宋体" w:eastAsia="宋体" w:cs="宋体"/>
          <w:color w:val="auto"/>
          <w:kern w:val="2"/>
          <w:sz w:val="21"/>
          <w:szCs w:val="21"/>
          <w:highlight w:val="none"/>
          <w:lang w:eastAsia="zh-CN"/>
        </w:rPr>
        <w:t>12</w:t>
      </w:r>
      <w:r>
        <w:rPr>
          <w:rStyle w:val="29"/>
          <w:rFonts w:hint="eastAsia" w:ascii="宋体" w:hAnsi="宋体" w:eastAsia="宋体" w:cs="宋体"/>
          <w:color w:val="auto"/>
          <w:kern w:val="2"/>
          <w:sz w:val="21"/>
          <w:szCs w:val="21"/>
          <w:highlight w:val="none"/>
          <w:lang w:val="zh-CN" w:eastAsia="zh-CN"/>
        </w:rPr>
        <w:t>.1承包人暂停施工的责任</w:t>
      </w:r>
      <w:bookmarkEnd w:id="1487"/>
      <w:bookmarkEnd w:id="1488"/>
      <w:bookmarkEnd w:id="1489"/>
    </w:p>
    <w:p w14:paraId="24C88EE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490" w:name="bookmark1741"/>
      <w:bookmarkEnd w:id="1490"/>
      <w:r>
        <w:rPr>
          <w:rStyle w:val="29"/>
          <w:rFonts w:hint="eastAsia" w:ascii="宋体" w:hAnsi="宋体" w:eastAsia="宋体" w:cs="宋体"/>
          <w:color w:val="auto"/>
          <w:kern w:val="2"/>
          <w:sz w:val="21"/>
          <w:szCs w:val="21"/>
          <w:highlight w:val="none"/>
          <w:lang w:val="zh-CN" w:eastAsia="zh-CN" w:bidi="zh-CN"/>
        </w:rPr>
        <w:t>承包人承担暂停施工责任的其它情形：</w:t>
      </w:r>
      <w:r>
        <w:rPr>
          <w:rStyle w:val="29"/>
          <w:rFonts w:hint="eastAsia" w:ascii="宋体" w:hAnsi="宋体" w:eastAsia="宋体" w:cs="宋体"/>
          <w:color w:val="auto"/>
          <w:kern w:val="2"/>
          <w:sz w:val="21"/>
          <w:szCs w:val="21"/>
          <w:highlight w:val="none"/>
          <w:u w:val="single"/>
          <w:lang w:val="zh-CN" w:eastAsia="zh-CN" w:bidi="zh-CN"/>
        </w:rPr>
        <w:t>由于承包人资金、人员、材料、设备不能按时到位的由承包人承担停工责任，或由于承包人原因造成的质量事故及安全事故引起的暂停施工，发包人不再补偿停工所造成的工程费用增加和工期延误</w:t>
      </w:r>
      <w:r>
        <w:rPr>
          <w:rStyle w:val="29"/>
          <w:rFonts w:hint="eastAsia" w:ascii="宋体" w:hAnsi="宋体" w:eastAsia="宋体" w:cs="宋体"/>
          <w:color w:val="auto"/>
          <w:kern w:val="2"/>
          <w:sz w:val="21"/>
          <w:szCs w:val="21"/>
          <w:highlight w:val="none"/>
          <w:lang w:eastAsia="zh-CN" w:bidi="ar-SA"/>
        </w:rPr>
        <w:t>。</w:t>
      </w:r>
    </w:p>
    <w:p w14:paraId="123FA5A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eastAsia="zh-CN"/>
        </w:rPr>
        <w:t>12</w:t>
      </w:r>
      <w:r>
        <w:rPr>
          <w:rStyle w:val="29"/>
          <w:rFonts w:hint="eastAsia" w:ascii="宋体" w:hAnsi="宋体" w:eastAsia="宋体" w:cs="宋体"/>
          <w:color w:val="auto"/>
          <w:kern w:val="2"/>
          <w:sz w:val="21"/>
          <w:szCs w:val="21"/>
          <w:highlight w:val="none"/>
          <w:lang w:val="zh-CN" w:eastAsia="zh-CN"/>
        </w:rPr>
        <w:t>.2发包人暂停施工的责任</w:t>
      </w:r>
    </w:p>
    <w:p w14:paraId="0368EB3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491" w:name="bookmark1742"/>
      <w:bookmarkEnd w:id="1491"/>
      <w:r>
        <w:rPr>
          <w:rStyle w:val="29"/>
          <w:rFonts w:hint="eastAsia" w:ascii="宋体" w:hAnsi="宋体" w:eastAsia="宋体" w:cs="宋体"/>
          <w:color w:val="auto"/>
          <w:kern w:val="2"/>
          <w:sz w:val="21"/>
          <w:szCs w:val="21"/>
          <w:highlight w:val="none"/>
          <w:lang w:val="zh-CN" w:eastAsia="zh-CN" w:bidi="zh-CN"/>
        </w:rPr>
        <w:t>发包人承担暂停施工责任的其它情形：</w:t>
      </w:r>
      <w:r>
        <w:rPr>
          <w:rStyle w:val="29"/>
          <w:rFonts w:hint="eastAsia" w:ascii="宋体" w:hAnsi="宋体" w:eastAsia="宋体" w:cs="宋体"/>
          <w:color w:val="auto"/>
          <w:kern w:val="2"/>
          <w:sz w:val="21"/>
          <w:szCs w:val="21"/>
          <w:highlight w:val="none"/>
          <w:u w:val="single"/>
          <w:lang w:val="zh-CN" w:eastAsia="zh-CN" w:bidi="zh-CN"/>
        </w:rPr>
        <w:t>如因发包人原因导致的停工，工期应顺延，造成经济损失的</w:t>
      </w:r>
      <w:r>
        <w:rPr>
          <w:rStyle w:val="29"/>
          <w:rFonts w:hint="eastAsia" w:ascii="宋体" w:hAnsi="宋体" w:eastAsia="宋体" w:cs="宋体"/>
          <w:color w:val="auto"/>
          <w:kern w:val="2"/>
          <w:sz w:val="21"/>
          <w:szCs w:val="21"/>
          <w:highlight w:val="none"/>
          <w:u w:val="single"/>
          <w:lang w:eastAsia="zh-CN" w:bidi="zh-CN"/>
        </w:rPr>
        <w:t>可以</w:t>
      </w:r>
      <w:r>
        <w:rPr>
          <w:rStyle w:val="29"/>
          <w:rFonts w:hint="eastAsia" w:ascii="宋体" w:hAnsi="宋体" w:eastAsia="宋体" w:cs="宋体"/>
          <w:color w:val="auto"/>
          <w:kern w:val="2"/>
          <w:sz w:val="21"/>
          <w:szCs w:val="21"/>
          <w:highlight w:val="none"/>
          <w:u w:val="single"/>
          <w:lang w:val="zh-CN" w:eastAsia="zh-CN" w:bidi="zh-CN"/>
        </w:rPr>
        <w:t>索赔</w:t>
      </w:r>
      <w:r>
        <w:rPr>
          <w:rStyle w:val="29"/>
          <w:rFonts w:hint="eastAsia" w:ascii="宋体" w:hAnsi="宋体" w:eastAsia="宋体" w:cs="宋体"/>
          <w:color w:val="auto"/>
          <w:kern w:val="2"/>
          <w:sz w:val="21"/>
          <w:szCs w:val="21"/>
          <w:highlight w:val="none"/>
          <w:lang w:eastAsia="zh-CN" w:bidi="ar-SA"/>
        </w:rPr>
        <w:t>。</w:t>
      </w:r>
    </w:p>
    <w:p w14:paraId="345E687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492" w:name="_Toc26672"/>
      <w:bookmarkStart w:id="1493" w:name="_Toc4631"/>
      <w:bookmarkStart w:id="1494" w:name="bookmark1743"/>
      <w:bookmarkStart w:id="1495" w:name="bookmark1744"/>
      <w:bookmarkStart w:id="1496" w:name="bookmark1745"/>
      <w:bookmarkStart w:id="1497" w:name="_Toc49083460"/>
      <w:r>
        <w:rPr>
          <w:rStyle w:val="29"/>
          <w:rFonts w:hint="eastAsia" w:ascii="宋体" w:hAnsi="宋体" w:eastAsia="宋体" w:cs="宋体"/>
          <w:color w:val="auto"/>
          <w:kern w:val="2"/>
          <w:sz w:val="21"/>
          <w:szCs w:val="21"/>
          <w:highlight w:val="none"/>
          <w:lang w:eastAsia="zh-CN"/>
        </w:rPr>
        <w:t>13.工程质量</w:t>
      </w:r>
      <w:bookmarkEnd w:id="1492"/>
      <w:bookmarkEnd w:id="1493"/>
      <w:bookmarkEnd w:id="1494"/>
      <w:bookmarkEnd w:id="1495"/>
      <w:bookmarkEnd w:id="1496"/>
      <w:bookmarkEnd w:id="1497"/>
    </w:p>
    <w:p w14:paraId="6EEDD9ED">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498" w:name="bookmark1747"/>
      <w:bookmarkStart w:id="1499" w:name="bookmark1748"/>
      <w:bookmarkStart w:id="1500" w:name="bookmark1746"/>
      <w:r>
        <w:rPr>
          <w:rStyle w:val="29"/>
          <w:rFonts w:hint="eastAsia" w:ascii="宋体" w:hAnsi="宋体" w:eastAsia="宋体" w:cs="宋体"/>
          <w:color w:val="auto"/>
          <w:kern w:val="2"/>
          <w:sz w:val="21"/>
          <w:szCs w:val="21"/>
          <w:highlight w:val="none"/>
          <w:lang w:eastAsia="zh-CN"/>
        </w:rPr>
        <w:t>13.7</w:t>
      </w:r>
      <w:r>
        <w:rPr>
          <w:rStyle w:val="29"/>
          <w:rFonts w:hint="eastAsia" w:ascii="宋体" w:hAnsi="宋体" w:eastAsia="宋体" w:cs="宋体"/>
          <w:color w:val="auto"/>
          <w:kern w:val="2"/>
          <w:sz w:val="21"/>
          <w:szCs w:val="21"/>
          <w:highlight w:val="none"/>
          <w:lang w:val="zh-CN" w:eastAsia="zh-CN"/>
        </w:rPr>
        <w:t>质量评定</w:t>
      </w:r>
      <w:bookmarkEnd w:id="1498"/>
      <w:bookmarkEnd w:id="1499"/>
      <w:bookmarkEnd w:id="1500"/>
    </w:p>
    <w:p w14:paraId="6164FDC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13.7.4</w:t>
      </w:r>
      <w:r>
        <w:rPr>
          <w:rStyle w:val="29"/>
          <w:rFonts w:hint="eastAsia" w:ascii="宋体" w:hAnsi="宋体" w:eastAsia="宋体" w:cs="宋体"/>
          <w:color w:val="auto"/>
          <w:kern w:val="2"/>
          <w:sz w:val="21"/>
          <w:szCs w:val="21"/>
          <w:highlight w:val="none"/>
          <w:lang w:val="zh-CN" w:eastAsia="zh-CN" w:bidi="zh-CN"/>
        </w:rPr>
        <w:t>重要隐蔽单元工程和关键部位单元工程质量评定的约定：</w:t>
      </w:r>
      <w:r>
        <w:rPr>
          <w:rStyle w:val="29"/>
          <w:rFonts w:hint="eastAsia" w:ascii="宋体" w:hAnsi="宋体" w:eastAsia="宋体" w:cs="宋体"/>
          <w:color w:val="auto"/>
          <w:kern w:val="2"/>
          <w:sz w:val="21"/>
          <w:szCs w:val="21"/>
          <w:highlight w:val="none"/>
          <w:u w:val="single"/>
          <w:lang w:val="zh-CN" w:eastAsia="zh-CN" w:bidi="zh-CN"/>
        </w:rPr>
        <w:t>在签订施工承包合同时商定</w:t>
      </w:r>
      <w:r>
        <w:rPr>
          <w:rStyle w:val="29"/>
          <w:rFonts w:hint="eastAsia" w:ascii="宋体" w:hAnsi="宋体" w:eastAsia="宋体" w:cs="宋体"/>
          <w:color w:val="auto"/>
          <w:kern w:val="2"/>
          <w:sz w:val="21"/>
          <w:szCs w:val="21"/>
          <w:highlight w:val="none"/>
          <w:lang w:eastAsia="zh-CN" w:bidi="ar-SA"/>
        </w:rPr>
        <w:t>。</w:t>
      </w:r>
    </w:p>
    <w:p w14:paraId="038C3CD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13.7.7</w:t>
      </w:r>
      <w:r>
        <w:rPr>
          <w:rStyle w:val="29"/>
          <w:rFonts w:hint="eastAsia" w:ascii="宋体" w:hAnsi="宋体" w:eastAsia="宋体" w:cs="宋体"/>
          <w:color w:val="auto"/>
          <w:kern w:val="2"/>
          <w:sz w:val="21"/>
          <w:szCs w:val="21"/>
          <w:highlight w:val="none"/>
          <w:lang w:val="zh-CN" w:eastAsia="zh-CN" w:bidi="zh-CN"/>
        </w:rPr>
        <w:t>工程合格标准为：</w:t>
      </w:r>
      <w:r>
        <w:rPr>
          <w:rStyle w:val="29"/>
          <w:rFonts w:hint="eastAsia" w:ascii="宋体" w:hAnsi="宋体" w:eastAsia="宋体" w:cs="宋体"/>
          <w:color w:val="auto"/>
          <w:kern w:val="2"/>
          <w:sz w:val="21"/>
          <w:szCs w:val="21"/>
          <w:highlight w:val="none"/>
          <w:u w:val="single"/>
          <w:lang w:val="zh-CN" w:eastAsia="zh-CN" w:bidi="zh-CN"/>
        </w:rPr>
        <w:t>执行《</w:t>
      </w:r>
      <w:r>
        <w:rPr>
          <w:rStyle w:val="29"/>
          <w:rFonts w:hint="eastAsia" w:ascii="宋体" w:hAnsi="宋体" w:eastAsia="宋体" w:cs="宋体"/>
          <w:bCs/>
          <w:color w:val="auto"/>
          <w:kern w:val="2"/>
          <w:sz w:val="21"/>
          <w:szCs w:val="21"/>
          <w:highlight w:val="none"/>
          <w:u w:val="single"/>
          <w:lang w:val="zh-CN" w:eastAsia="zh-CN" w:bidi="zh-CN"/>
        </w:rPr>
        <w:t>水利水电工程施工质量检验与评定规程》（SL176—2007）</w:t>
      </w:r>
      <w:r>
        <w:rPr>
          <w:rStyle w:val="29"/>
          <w:rFonts w:hint="eastAsia" w:ascii="宋体" w:hAnsi="宋体" w:eastAsia="宋体" w:cs="宋体"/>
          <w:color w:val="auto"/>
          <w:kern w:val="2"/>
          <w:sz w:val="21"/>
          <w:szCs w:val="21"/>
          <w:highlight w:val="none"/>
          <w:lang w:val="zh-CN" w:eastAsia="zh-CN" w:bidi="zh-CN"/>
        </w:rPr>
        <w:t>；优良标准为：</w:t>
      </w:r>
      <w:r>
        <w:rPr>
          <w:rStyle w:val="29"/>
          <w:rFonts w:hint="eastAsia" w:ascii="宋体" w:hAnsi="宋体" w:eastAsia="宋体" w:cs="宋体"/>
          <w:color w:val="auto"/>
          <w:kern w:val="2"/>
          <w:sz w:val="21"/>
          <w:szCs w:val="21"/>
          <w:highlight w:val="none"/>
          <w:u w:val="single"/>
          <w:lang w:val="zh-CN" w:eastAsia="zh-CN" w:bidi="zh-CN"/>
        </w:rPr>
        <w:t>执行《</w:t>
      </w:r>
      <w:r>
        <w:rPr>
          <w:rStyle w:val="29"/>
          <w:rFonts w:hint="eastAsia" w:ascii="宋体" w:hAnsi="宋体" w:eastAsia="宋体" w:cs="宋体"/>
          <w:bCs/>
          <w:color w:val="auto"/>
          <w:kern w:val="2"/>
          <w:sz w:val="21"/>
          <w:szCs w:val="21"/>
          <w:highlight w:val="none"/>
          <w:u w:val="single"/>
          <w:lang w:val="zh-CN" w:eastAsia="zh-CN" w:bidi="zh-CN"/>
        </w:rPr>
        <w:t>水利水电工程施工质量检验与评定规程》（SL176—2007）</w:t>
      </w:r>
      <w:r>
        <w:rPr>
          <w:rStyle w:val="29"/>
          <w:rFonts w:hint="eastAsia" w:ascii="宋体" w:hAnsi="宋体" w:eastAsia="宋体" w:cs="宋体"/>
          <w:color w:val="auto"/>
          <w:kern w:val="2"/>
          <w:sz w:val="21"/>
          <w:szCs w:val="21"/>
          <w:highlight w:val="none"/>
          <w:lang w:val="zh-CN" w:eastAsia="zh-CN" w:bidi="zh-CN"/>
        </w:rPr>
        <w:t>。达到优良的奖金为：</w:t>
      </w:r>
      <w:r>
        <w:rPr>
          <w:rStyle w:val="29"/>
          <w:rFonts w:hint="eastAsia" w:ascii="宋体" w:hAnsi="宋体" w:eastAsia="宋体" w:cs="宋体"/>
          <w:color w:val="auto"/>
          <w:kern w:val="2"/>
          <w:sz w:val="21"/>
          <w:szCs w:val="21"/>
          <w:highlight w:val="none"/>
          <w:u w:val="single"/>
          <w:lang w:val="zh-CN" w:eastAsia="zh-CN" w:bidi="zh-CN"/>
        </w:rPr>
        <w:t xml:space="preserve"> 无</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eastAsia="zh-CN" w:bidi="ar-SA"/>
        </w:rPr>
        <w:t>。</w:t>
      </w:r>
    </w:p>
    <w:p w14:paraId="065846B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01" w:name="bookmark1751"/>
      <w:bookmarkStart w:id="1502" w:name="bookmark1749"/>
      <w:bookmarkStart w:id="1503" w:name="bookmark1750"/>
      <w:r>
        <w:rPr>
          <w:rStyle w:val="29"/>
          <w:rFonts w:hint="eastAsia" w:ascii="宋体" w:hAnsi="宋体" w:eastAsia="宋体" w:cs="宋体"/>
          <w:color w:val="auto"/>
          <w:kern w:val="2"/>
          <w:sz w:val="21"/>
          <w:szCs w:val="21"/>
          <w:highlight w:val="none"/>
          <w:lang w:eastAsia="zh-CN"/>
        </w:rPr>
        <w:t>13.8</w:t>
      </w:r>
      <w:r>
        <w:rPr>
          <w:rStyle w:val="29"/>
          <w:rFonts w:hint="eastAsia" w:ascii="宋体" w:hAnsi="宋体" w:eastAsia="宋体" w:cs="宋体"/>
          <w:color w:val="auto"/>
          <w:kern w:val="2"/>
          <w:sz w:val="21"/>
          <w:szCs w:val="21"/>
          <w:highlight w:val="none"/>
          <w:lang w:val="zh-CN" w:eastAsia="zh-CN"/>
        </w:rPr>
        <w:t>质量事故处理</w:t>
      </w:r>
      <w:bookmarkEnd w:id="1501"/>
      <w:bookmarkEnd w:id="1502"/>
      <w:bookmarkEnd w:id="1503"/>
    </w:p>
    <w:p w14:paraId="723ABAB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13.8.4</w:t>
      </w:r>
      <w:r>
        <w:rPr>
          <w:rStyle w:val="29"/>
          <w:rFonts w:hint="eastAsia" w:ascii="宋体" w:hAnsi="宋体" w:eastAsia="宋体" w:cs="宋体"/>
          <w:color w:val="auto"/>
          <w:kern w:val="2"/>
          <w:sz w:val="21"/>
          <w:szCs w:val="21"/>
          <w:highlight w:val="none"/>
          <w:lang w:val="zh-CN" w:eastAsia="zh-CN" w:bidi="zh-CN"/>
        </w:rPr>
        <w:t>工程竣工验收时，</w:t>
      </w:r>
      <w:r>
        <w:rPr>
          <w:rStyle w:val="29"/>
          <w:rFonts w:hint="eastAsia" w:ascii="宋体" w:hAnsi="宋体" w:eastAsia="宋体" w:cs="宋体"/>
          <w:color w:val="auto"/>
          <w:kern w:val="2"/>
          <w:sz w:val="21"/>
          <w:szCs w:val="21"/>
          <w:highlight w:val="none"/>
          <w:u w:val="single"/>
          <w:lang w:val="zh-CN" w:eastAsia="zh-CN" w:bidi="zh-CN"/>
        </w:rPr>
        <w:t>发包人</w:t>
      </w:r>
      <w:r>
        <w:rPr>
          <w:rStyle w:val="29"/>
          <w:rFonts w:hint="eastAsia" w:ascii="宋体" w:hAnsi="宋体" w:eastAsia="宋体" w:cs="宋体"/>
          <w:color w:val="auto"/>
          <w:kern w:val="2"/>
          <w:sz w:val="21"/>
          <w:szCs w:val="21"/>
          <w:highlight w:val="none"/>
          <w:lang w:val="zh-CN" w:eastAsia="zh-CN" w:bidi="zh-CN"/>
        </w:rPr>
        <w:t>向竣工验收委员会汇报并提交历次质量缺陷处理的备案资料。</w:t>
      </w:r>
    </w:p>
    <w:p w14:paraId="06CBE84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504" w:name="_Toc6407"/>
      <w:bookmarkStart w:id="1505" w:name="bookmark1752"/>
      <w:bookmarkStart w:id="1506" w:name="bookmark1753"/>
      <w:bookmarkStart w:id="1507" w:name="_Toc49083461"/>
      <w:bookmarkStart w:id="1508" w:name="bookmark1754"/>
      <w:bookmarkStart w:id="1509" w:name="_Toc20650"/>
      <w:r>
        <w:rPr>
          <w:rStyle w:val="29"/>
          <w:rFonts w:hint="eastAsia" w:ascii="宋体" w:hAnsi="宋体" w:eastAsia="宋体" w:cs="宋体"/>
          <w:color w:val="auto"/>
          <w:kern w:val="2"/>
          <w:sz w:val="21"/>
          <w:szCs w:val="21"/>
          <w:highlight w:val="none"/>
          <w:lang w:eastAsia="zh-CN"/>
        </w:rPr>
        <w:t>14.试验和检验</w:t>
      </w:r>
      <w:bookmarkEnd w:id="1504"/>
      <w:bookmarkEnd w:id="1505"/>
      <w:bookmarkEnd w:id="1506"/>
      <w:bookmarkEnd w:id="1507"/>
      <w:bookmarkEnd w:id="1508"/>
      <w:bookmarkEnd w:id="1509"/>
    </w:p>
    <w:p w14:paraId="566328F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10" w:name="bookmark1757"/>
      <w:bookmarkStart w:id="1511" w:name="bookmark1755"/>
      <w:bookmarkStart w:id="1512" w:name="bookmark1756"/>
      <w:r>
        <w:rPr>
          <w:rStyle w:val="29"/>
          <w:rFonts w:hint="eastAsia" w:ascii="宋体" w:hAnsi="宋体" w:eastAsia="宋体" w:cs="宋体"/>
          <w:color w:val="auto"/>
          <w:kern w:val="2"/>
          <w:sz w:val="21"/>
          <w:szCs w:val="21"/>
          <w:highlight w:val="none"/>
          <w:lang w:eastAsia="zh-CN"/>
        </w:rPr>
        <w:t>14.1</w:t>
      </w:r>
      <w:r>
        <w:rPr>
          <w:rStyle w:val="29"/>
          <w:rFonts w:hint="eastAsia" w:ascii="宋体" w:hAnsi="宋体" w:eastAsia="宋体" w:cs="宋体"/>
          <w:color w:val="auto"/>
          <w:kern w:val="2"/>
          <w:sz w:val="21"/>
          <w:szCs w:val="21"/>
          <w:highlight w:val="none"/>
          <w:lang w:val="zh-CN" w:eastAsia="zh-CN"/>
        </w:rPr>
        <w:t>材料、工程设备和工程的试验和检验</w:t>
      </w:r>
      <w:bookmarkEnd w:id="1510"/>
      <w:bookmarkEnd w:id="1511"/>
      <w:bookmarkEnd w:id="1512"/>
    </w:p>
    <w:p w14:paraId="5159B1D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14.1.5</w:t>
      </w:r>
      <w:r>
        <w:rPr>
          <w:rStyle w:val="29"/>
          <w:rFonts w:hint="eastAsia" w:ascii="宋体" w:hAnsi="宋体" w:eastAsia="宋体" w:cs="宋体"/>
          <w:color w:val="auto"/>
          <w:kern w:val="2"/>
          <w:sz w:val="21"/>
          <w:szCs w:val="21"/>
          <w:highlight w:val="none"/>
          <w:lang w:val="zh-CN" w:eastAsia="zh-CN" w:bidi="zh-CN"/>
        </w:rPr>
        <w:t>水工金属结构、启闭机及机电产品进场后的交货检查和验收中，承包人负责：</w:t>
      </w:r>
      <w:r>
        <w:rPr>
          <w:rStyle w:val="29"/>
          <w:rFonts w:hint="eastAsia" w:ascii="宋体" w:hAnsi="宋体" w:eastAsia="宋体" w:cs="宋体"/>
          <w:color w:val="auto"/>
          <w:kern w:val="2"/>
          <w:sz w:val="21"/>
          <w:szCs w:val="21"/>
          <w:highlight w:val="none"/>
          <w:u w:val="single"/>
          <w:lang w:val="zh-CN" w:eastAsia="zh-CN" w:bidi="zh-CN"/>
        </w:rPr>
        <w:t>按通用条款执行</w:t>
      </w:r>
      <w:r>
        <w:rPr>
          <w:rStyle w:val="29"/>
          <w:rFonts w:hint="eastAsia" w:ascii="宋体" w:hAnsi="宋体" w:eastAsia="宋体" w:cs="宋体"/>
          <w:color w:val="auto"/>
          <w:kern w:val="2"/>
          <w:sz w:val="21"/>
          <w:szCs w:val="21"/>
          <w:highlight w:val="none"/>
          <w:lang w:eastAsia="zh-CN" w:bidi="ar-SA"/>
        </w:rPr>
        <w:t>。</w:t>
      </w:r>
    </w:p>
    <w:p w14:paraId="4D7734F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14.1.6</w:t>
      </w:r>
      <w:r>
        <w:rPr>
          <w:rStyle w:val="29"/>
          <w:rFonts w:hint="eastAsia" w:ascii="宋体" w:hAnsi="宋体" w:eastAsia="宋体" w:cs="宋体"/>
          <w:color w:val="auto"/>
          <w:kern w:val="2"/>
          <w:sz w:val="21"/>
          <w:szCs w:val="21"/>
          <w:highlight w:val="none"/>
          <w:lang w:val="zh-CN" w:eastAsia="zh-CN" w:bidi="zh-CN"/>
        </w:rPr>
        <w:t>本工程实行见证取样的试块、试件及有关材料：</w:t>
      </w:r>
      <w:r>
        <w:rPr>
          <w:rStyle w:val="29"/>
          <w:rFonts w:hint="eastAsia" w:ascii="宋体" w:hAnsi="宋体" w:eastAsia="宋体" w:cs="宋体"/>
          <w:color w:val="auto"/>
          <w:kern w:val="2"/>
          <w:sz w:val="21"/>
          <w:szCs w:val="21"/>
          <w:highlight w:val="none"/>
          <w:u w:val="single"/>
          <w:lang w:val="zh-CN" w:eastAsia="zh-CN" w:bidi="zh-CN"/>
        </w:rPr>
        <w:t>按通用条款执行</w:t>
      </w:r>
      <w:r>
        <w:rPr>
          <w:rStyle w:val="29"/>
          <w:rFonts w:hint="eastAsia" w:ascii="宋体" w:hAnsi="宋体" w:eastAsia="宋体" w:cs="宋体"/>
          <w:color w:val="auto"/>
          <w:kern w:val="2"/>
          <w:sz w:val="21"/>
          <w:szCs w:val="21"/>
          <w:highlight w:val="none"/>
          <w:lang w:eastAsia="zh-CN" w:bidi="ar-SA"/>
        </w:rPr>
        <w:t>。</w:t>
      </w:r>
    </w:p>
    <w:p w14:paraId="0ABDE73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513" w:name="_Toc217"/>
      <w:bookmarkStart w:id="1514" w:name="bookmark1760"/>
      <w:bookmarkStart w:id="1515" w:name="_Toc49083462"/>
      <w:bookmarkStart w:id="1516" w:name="_Toc2879"/>
      <w:bookmarkStart w:id="1517" w:name="bookmark1759"/>
      <w:bookmarkStart w:id="1518" w:name="bookmark1758"/>
      <w:r>
        <w:rPr>
          <w:rStyle w:val="29"/>
          <w:rFonts w:hint="eastAsia" w:ascii="宋体" w:hAnsi="宋体" w:eastAsia="宋体" w:cs="宋体"/>
          <w:color w:val="auto"/>
          <w:kern w:val="2"/>
          <w:sz w:val="21"/>
          <w:szCs w:val="21"/>
          <w:highlight w:val="none"/>
          <w:lang w:eastAsia="zh-CN"/>
        </w:rPr>
        <w:t>15.变更</w:t>
      </w:r>
      <w:bookmarkEnd w:id="1513"/>
      <w:bookmarkEnd w:id="1514"/>
      <w:bookmarkEnd w:id="1515"/>
      <w:bookmarkEnd w:id="1516"/>
    </w:p>
    <w:p w14:paraId="40913C1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19" w:name="bookmark1761"/>
      <w:r>
        <w:rPr>
          <w:rStyle w:val="29"/>
          <w:rFonts w:hint="eastAsia" w:ascii="宋体" w:hAnsi="宋体" w:eastAsia="宋体" w:cs="宋体"/>
          <w:color w:val="auto"/>
          <w:kern w:val="2"/>
          <w:sz w:val="21"/>
          <w:szCs w:val="21"/>
          <w:highlight w:val="none"/>
          <w:lang w:eastAsia="zh-CN"/>
        </w:rPr>
        <w:t>15.1</w:t>
      </w:r>
      <w:r>
        <w:rPr>
          <w:rStyle w:val="29"/>
          <w:rFonts w:hint="eastAsia" w:ascii="宋体" w:hAnsi="宋体" w:eastAsia="宋体" w:cs="宋体"/>
          <w:color w:val="auto"/>
          <w:kern w:val="2"/>
          <w:sz w:val="21"/>
          <w:szCs w:val="21"/>
          <w:highlight w:val="none"/>
          <w:lang w:val="zh-CN" w:eastAsia="zh-CN"/>
        </w:rPr>
        <w:t>变更的范围和内容</w:t>
      </w:r>
      <w:bookmarkEnd w:id="1517"/>
      <w:bookmarkEnd w:id="1518"/>
      <w:bookmarkEnd w:id="1519"/>
    </w:p>
    <w:p w14:paraId="7E739DE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520" w:name="bookmark1762"/>
      <w:bookmarkEnd w:id="1520"/>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eastAsia="zh-CN" w:bidi="zh-CN"/>
        </w:rPr>
        <w:t>6</w:t>
      </w:r>
      <w:r>
        <w:rPr>
          <w:rStyle w:val="29"/>
          <w:rFonts w:hint="eastAsia" w:ascii="宋体" w:hAnsi="宋体" w:eastAsia="宋体" w:cs="宋体"/>
          <w:color w:val="auto"/>
          <w:kern w:val="2"/>
          <w:sz w:val="21"/>
          <w:szCs w:val="21"/>
          <w:highlight w:val="none"/>
          <w:lang w:val="zh-CN" w:eastAsia="zh-CN" w:bidi="zh-CN"/>
        </w:rPr>
        <w:t>）增加或减少合同中关键项目的工程量超过其项目工程总量的</w:t>
      </w:r>
      <w:r>
        <w:rPr>
          <w:rStyle w:val="29"/>
          <w:rFonts w:hint="eastAsia" w:ascii="宋体" w:hAnsi="宋体" w:eastAsia="宋体" w:cs="宋体"/>
          <w:color w:val="auto"/>
          <w:kern w:val="2"/>
          <w:sz w:val="21"/>
          <w:szCs w:val="21"/>
          <w:highlight w:val="none"/>
          <w:u w:val="single"/>
          <w:lang w:val="zh-CN" w:eastAsia="zh-CN" w:bidi="zh-CN"/>
        </w:rPr>
        <w:t>10</w:t>
      </w:r>
      <w:r>
        <w:rPr>
          <w:rStyle w:val="29"/>
          <w:rFonts w:hint="eastAsia" w:ascii="宋体" w:hAnsi="宋体" w:eastAsia="宋体" w:cs="宋体"/>
          <w:color w:val="auto"/>
          <w:kern w:val="2"/>
          <w:sz w:val="21"/>
          <w:szCs w:val="21"/>
          <w:highlight w:val="none"/>
          <w:lang w:val="zh-CN" w:eastAsia="zh-CN" w:bidi="zh-CN"/>
        </w:rPr>
        <w:t>%,关键项目：</w:t>
      </w:r>
      <w:r>
        <w:rPr>
          <w:rStyle w:val="29"/>
          <w:rFonts w:hint="eastAsia" w:ascii="宋体" w:hAnsi="宋体" w:eastAsia="宋体" w:cs="宋体"/>
          <w:color w:val="auto"/>
          <w:kern w:val="2"/>
          <w:sz w:val="21"/>
          <w:szCs w:val="21"/>
          <w:highlight w:val="none"/>
          <w:u w:val="single"/>
          <w:lang w:val="en-US" w:eastAsia="zh-CN" w:bidi="zh-CN"/>
        </w:rPr>
        <w:t xml:space="preserve">   /   </w:t>
      </w:r>
      <w:r>
        <w:rPr>
          <w:rStyle w:val="29"/>
          <w:rFonts w:hint="eastAsia" w:ascii="宋体" w:hAnsi="宋体" w:eastAsia="宋体" w:cs="宋体"/>
          <w:color w:val="auto"/>
          <w:kern w:val="2"/>
          <w:sz w:val="21"/>
          <w:szCs w:val="21"/>
          <w:highlight w:val="none"/>
          <w:lang w:val="zh-CN" w:eastAsia="zh-CN" w:bidi="zh-CN"/>
        </w:rPr>
        <w:t>,单价调整方式：不调整。</w:t>
      </w:r>
    </w:p>
    <w:p w14:paraId="747DA04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21" w:name="bookmark1765"/>
      <w:bookmarkStart w:id="1522" w:name="bookmark1763"/>
      <w:bookmarkStart w:id="1523" w:name="bookmark1764"/>
      <w:r>
        <w:rPr>
          <w:rStyle w:val="29"/>
          <w:rFonts w:hint="eastAsia" w:ascii="宋体" w:hAnsi="宋体" w:eastAsia="宋体" w:cs="宋体"/>
          <w:color w:val="auto"/>
          <w:kern w:val="2"/>
          <w:sz w:val="21"/>
          <w:szCs w:val="21"/>
          <w:highlight w:val="none"/>
          <w:lang w:eastAsia="zh-CN"/>
        </w:rPr>
        <w:t>15.5</w:t>
      </w:r>
      <w:r>
        <w:rPr>
          <w:rStyle w:val="29"/>
          <w:rFonts w:hint="eastAsia" w:ascii="宋体" w:hAnsi="宋体" w:eastAsia="宋体" w:cs="宋体"/>
          <w:color w:val="auto"/>
          <w:kern w:val="2"/>
          <w:sz w:val="21"/>
          <w:szCs w:val="21"/>
          <w:highlight w:val="none"/>
          <w:lang w:val="zh-CN" w:eastAsia="zh-CN"/>
        </w:rPr>
        <w:t>变更的估价原则</w:t>
      </w:r>
      <w:bookmarkEnd w:id="1521"/>
      <w:bookmarkEnd w:id="1522"/>
      <w:bookmarkEnd w:id="1523"/>
    </w:p>
    <w:p w14:paraId="08F6CE90">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15.4.3</w:t>
      </w:r>
      <w:r>
        <w:rPr>
          <w:rStyle w:val="29"/>
          <w:rFonts w:hint="eastAsia" w:ascii="宋体" w:hAnsi="宋体" w:eastAsia="宋体" w:cs="宋体"/>
          <w:color w:val="auto"/>
          <w:kern w:val="2"/>
          <w:sz w:val="21"/>
          <w:szCs w:val="21"/>
          <w:highlight w:val="none"/>
          <w:lang w:val="zh-CN" w:eastAsia="zh-CN" w:bidi="zh-CN"/>
        </w:rPr>
        <w:t>已标价工程量清单中无适用或类似子目的单价，按照以下原则确定：①有定额可套的，套用编制控制价所选定额计算，并乘以成交价下浮系数(成交价下浮系数为成交价与控制价的比值)，其中材料价格有信息价的按当地同期信息价，无信息的由发包人、承包人、监理人市场询价确定。②无定额可套的，由发包人、承包人、监理人市场询价确定。</w:t>
      </w:r>
    </w:p>
    <w:p w14:paraId="0D1B954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24" w:name="bookmark1766"/>
      <w:bookmarkStart w:id="1525" w:name="bookmark1767"/>
      <w:bookmarkStart w:id="1526" w:name="bookmark1768"/>
      <w:r>
        <w:rPr>
          <w:rStyle w:val="29"/>
          <w:rFonts w:hint="eastAsia" w:ascii="宋体" w:hAnsi="宋体" w:eastAsia="宋体" w:cs="宋体"/>
          <w:color w:val="auto"/>
          <w:kern w:val="2"/>
          <w:sz w:val="21"/>
          <w:szCs w:val="21"/>
          <w:highlight w:val="none"/>
          <w:lang w:val="zh-CN" w:eastAsia="zh-CN"/>
        </w:rPr>
        <w:t>15.5承包人的合理化建议</w:t>
      </w:r>
      <w:bookmarkEnd w:id="1524"/>
      <w:bookmarkEnd w:id="1525"/>
      <w:bookmarkEnd w:id="1526"/>
    </w:p>
    <w:p w14:paraId="692AF38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527" w:name="bookmark1769"/>
      <w:bookmarkEnd w:id="1527"/>
      <w:r>
        <w:rPr>
          <w:rStyle w:val="29"/>
          <w:rFonts w:hint="eastAsia" w:ascii="宋体" w:hAnsi="宋体" w:eastAsia="宋体" w:cs="宋体"/>
          <w:color w:val="auto"/>
          <w:kern w:val="2"/>
          <w:sz w:val="21"/>
          <w:szCs w:val="21"/>
          <w:highlight w:val="none"/>
          <w:lang w:eastAsia="zh-CN" w:bidi="ar-SA"/>
        </w:rPr>
        <w:t>15.5.2</w:t>
      </w:r>
      <w:r>
        <w:rPr>
          <w:rStyle w:val="29"/>
          <w:rFonts w:hint="eastAsia" w:ascii="宋体" w:hAnsi="宋体" w:eastAsia="宋体" w:cs="宋体"/>
          <w:color w:val="auto"/>
          <w:kern w:val="2"/>
          <w:sz w:val="21"/>
          <w:szCs w:val="21"/>
          <w:highlight w:val="none"/>
          <w:lang w:val="zh-CN" w:eastAsia="zh-CN" w:bidi="zh-CN"/>
        </w:rPr>
        <w:t>承包人实现合理化建议的奖励金额为：</w:t>
      </w:r>
      <w:r>
        <w:rPr>
          <w:rStyle w:val="29"/>
          <w:rFonts w:hint="eastAsia" w:ascii="宋体" w:hAnsi="宋体" w:eastAsia="宋体" w:cs="宋体"/>
          <w:color w:val="auto"/>
          <w:kern w:val="2"/>
          <w:sz w:val="21"/>
          <w:szCs w:val="21"/>
          <w:highlight w:val="none"/>
          <w:u w:val="single"/>
          <w:lang w:val="zh-CN" w:eastAsia="zh-CN" w:bidi="zh-CN"/>
        </w:rPr>
        <w:t xml:space="preserve"> 无</w:t>
      </w:r>
      <w:r>
        <w:rPr>
          <w:rStyle w:val="29"/>
          <w:rFonts w:hint="eastAsia" w:ascii="宋体" w:hAnsi="宋体" w:eastAsia="宋体" w:cs="宋体"/>
          <w:color w:val="auto"/>
          <w:kern w:val="2"/>
          <w:sz w:val="21"/>
          <w:szCs w:val="21"/>
          <w:highlight w:val="none"/>
          <w:u w:val="single"/>
          <w:lang w:val="en-US" w:eastAsia="zh-CN" w:bidi="zh-CN"/>
        </w:rPr>
        <w:t xml:space="preserve"> </w:t>
      </w:r>
      <w:r>
        <w:rPr>
          <w:rStyle w:val="29"/>
          <w:rFonts w:hint="eastAsia" w:ascii="宋体" w:hAnsi="宋体" w:eastAsia="宋体" w:cs="宋体"/>
          <w:color w:val="auto"/>
          <w:kern w:val="2"/>
          <w:sz w:val="21"/>
          <w:szCs w:val="21"/>
          <w:highlight w:val="none"/>
          <w:lang w:eastAsia="zh-CN" w:bidi="ar-SA"/>
        </w:rPr>
        <w:t>。</w:t>
      </w:r>
    </w:p>
    <w:p w14:paraId="3A3DA3E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528" w:name="_Toc24486"/>
      <w:bookmarkStart w:id="1529" w:name="_Toc13554"/>
      <w:bookmarkStart w:id="1530" w:name="bookmark1770"/>
      <w:bookmarkStart w:id="1531" w:name="bookmark1771"/>
      <w:bookmarkStart w:id="1532" w:name="bookmark1772"/>
      <w:bookmarkStart w:id="1533" w:name="_Toc49083463"/>
      <w:r>
        <w:rPr>
          <w:rStyle w:val="29"/>
          <w:rFonts w:hint="eastAsia" w:ascii="宋体" w:hAnsi="宋体" w:eastAsia="宋体" w:cs="宋体"/>
          <w:color w:val="auto"/>
          <w:kern w:val="2"/>
          <w:sz w:val="21"/>
          <w:szCs w:val="21"/>
          <w:highlight w:val="none"/>
          <w:lang w:eastAsia="zh-CN"/>
        </w:rPr>
        <w:t>16.价格调整</w:t>
      </w:r>
      <w:bookmarkEnd w:id="1528"/>
      <w:bookmarkEnd w:id="1529"/>
      <w:bookmarkEnd w:id="1530"/>
      <w:bookmarkEnd w:id="1531"/>
      <w:bookmarkEnd w:id="1532"/>
      <w:bookmarkEnd w:id="1533"/>
    </w:p>
    <w:p w14:paraId="4ABBB4C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34" w:name="bookmark1775"/>
      <w:bookmarkStart w:id="1535" w:name="bookmark1773"/>
      <w:bookmarkStart w:id="1536" w:name="bookmark1774"/>
      <w:r>
        <w:rPr>
          <w:rStyle w:val="29"/>
          <w:rFonts w:hint="eastAsia" w:ascii="宋体" w:hAnsi="宋体" w:eastAsia="宋体" w:cs="宋体"/>
          <w:color w:val="auto"/>
          <w:kern w:val="2"/>
          <w:sz w:val="21"/>
          <w:szCs w:val="21"/>
          <w:highlight w:val="none"/>
          <w:lang w:val="zh-CN" w:eastAsia="zh-CN"/>
        </w:rPr>
        <w:t>1</w:t>
      </w:r>
      <w:r>
        <w:rPr>
          <w:rStyle w:val="29"/>
          <w:rFonts w:hint="eastAsia" w:ascii="宋体" w:hAnsi="宋体" w:eastAsia="宋体" w:cs="宋体"/>
          <w:color w:val="auto"/>
          <w:kern w:val="2"/>
          <w:sz w:val="21"/>
          <w:szCs w:val="21"/>
          <w:highlight w:val="none"/>
          <w:lang w:eastAsia="zh-CN"/>
        </w:rPr>
        <w:t>6</w:t>
      </w:r>
      <w:r>
        <w:rPr>
          <w:rStyle w:val="29"/>
          <w:rFonts w:hint="eastAsia" w:ascii="宋体" w:hAnsi="宋体" w:eastAsia="宋体" w:cs="宋体"/>
          <w:color w:val="auto"/>
          <w:kern w:val="2"/>
          <w:sz w:val="21"/>
          <w:szCs w:val="21"/>
          <w:highlight w:val="none"/>
          <w:lang w:val="zh-CN" w:eastAsia="zh-CN"/>
        </w:rPr>
        <w:t>.1物价波动引起的价格调整</w:t>
      </w:r>
      <w:bookmarkEnd w:id="1534"/>
      <w:bookmarkEnd w:id="1535"/>
      <w:bookmarkEnd w:id="1536"/>
    </w:p>
    <w:p w14:paraId="64FA276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☑本项目不因为物价波动原因引起合同价格变动而调整。</w:t>
      </w:r>
    </w:p>
    <w:p w14:paraId="435C51A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□本项目由于物价波动原因引起合同价格变动时，对其价格按下列方式进行调整。</w:t>
      </w:r>
    </w:p>
    <w:p w14:paraId="37FCE5C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537" w:name="bookmark1776"/>
      <w:bookmarkEnd w:id="1537"/>
      <w:r>
        <w:rPr>
          <w:rStyle w:val="29"/>
          <w:rFonts w:hint="eastAsia" w:ascii="宋体" w:hAnsi="宋体" w:eastAsia="宋体" w:cs="宋体"/>
          <w:color w:val="auto"/>
          <w:kern w:val="2"/>
          <w:sz w:val="21"/>
          <w:szCs w:val="21"/>
          <w:highlight w:val="none"/>
          <w:lang w:eastAsia="zh-CN" w:bidi="ar-SA"/>
        </w:rPr>
        <w:t>16.1.</w:t>
      </w:r>
      <w:r>
        <w:rPr>
          <w:rStyle w:val="29"/>
          <w:rFonts w:hint="eastAsia" w:ascii="宋体" w:hAnsi="宋体" w:eastAsia="宋体" w:cs="宋体"/>
          <w:color w:val="auto"/>
          <w:kern w:val="2"/>
          <w:sz w:val="21"/>
          <w:szCs w:val="21"/>
          <w:highlight w:val="none"/>
          <w:lang w:val="zh-CN" w:eastAsia="zh-CN" w:bidi="zh-CN"/>
        </w:rPr>
        <w:t>1物价波动引起的价格调整方式：</w:t>
      </w:r>
    </w:p>
    <w:p w14:paraId="3CCEFF4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主要材料价格变化幅度超过±5%时，超过±5%的部分调整材料价差，并计列相应的税金。</w:t>
      </w:r>
    </w:p>
    <w:p w14:paraId="207D5B1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16.1.2</w:t>
      </w:r>
      <w:r>
        <w:rPr>
          <w:rStyle w:val="29"/>
          <w:rFonts w:hint="eastAsia" w:ascii="宋体" w:hAnsi="宋体" w:eastAsia="宋体" w:cs="宋体"/>
          <w:color w:val="auto"/>
          <w:kern w:val="2"/>
          <w:sz w:val="21"/>
          <w:szCs w:val="21"/>
          <w:highlight w:val="none"/>
          <w:lang w:val="zh-CN" w:eastAsia="zh-CN" w:bidi="zh-CN"/>
        </w:rPr>
        <w:t>调整价格的主要材料：</w:t>
      </w:r>
      <w:r>
        <w:rPr>
          <w:rStyle w:val="29"/>
          <w:rFonts w:hint="eastAsia" w:ascii="宋体" w:hAnsi="宋体" w:eastAsia="宋体" w:cs="宋体"/>
          <w:color w:val="auto"/>
          <w:kern w:val="2"/>
          <w:sz w:val="21"/>
          <w:szCs w:val="21"/>
          <w:highlight w:val="none"/>
          <w:u w:val="single"/>
          <w:lang w:val="zh-CN" w:eastAsia="zh-CN" w:bidi="zh-CN"/>
        </w:rPr>
        <w:t>对超过±5%部分的价格调整，仅对市场上购买的</w:t>
      </w:r>
      <w:r>
        <w:rPr>
          <w:rStyle w:val="29"/>
          <w:rFonts w:hint="eastAsia" w:ascii="宋体" w:hAnsi="宋体" w:eastAsia="宋体" w:cs="宋体"/>
          <w:color w:val="auto"/>
          <w:kern w:val="2"/>
          <w:sz w:val="21"/>
          <w:szCs w:val="21"/>
          <w:highlight w:val="none"/>
          <w:u w:val="single"/>
          <w:lang w:eastAsia="zh-CN" w:bidi="zh-CN"/>
        </w:rPr>
        <w:t>电线、电缆、</w:t>
      </w:r>
      <w:r>
        <w:rPr>
          <w:rStyle w:val="29"/>
          <w:rFonts w:hint="eastAsia" w:ascii="宋体" w:hAnsi="宋体" w:eastAsia="宋体" w:cs="宋体"/>
          <w:color w:val="auto"/>
          <w:kern w:val="2"/>
          <w:sz w:val="21"/>
          <w:szCs w:val="21"/>
          <w:highlight w:val="none"/>
          <w:u w:val="single"/>
          <w:lang w:val="zh-CN" w:eastAsia="zh-CN" w:bidi="zh-CN"/>
        </w:rPr>
        <w:t>水泥、钢筋、砂、</w:t>
      </w:r>
      <w:r>
        <w:rPr>
          <w:rStyle w:val="29"/>
          <w:rFonts w:hint="eastAsia" w:ascii="宋体" w:hAnsi="宋体" w:eastAsia="宋体" w:cs="宋体"/>
          <w:color w:val="auto"/>
          <w:kern w:val="2"/>
          <w:sz w:val="21"/>
          <w:szCs w:val="21"/>
          <w:highlight w:val="none"/>
          <w:u w:val="single"/>
          <w:lang w:eastAsia="zh-CN" w:bidi="zh-CN"/>
        </w:rPr>
        <w:t>石、</w:t>
      </w:r>
      <w:r>
        <w:rPr>
          <w:rStyle w:val="29"/>
          <w:rFonts w:hint="eastAsia" w:ascii="宋体" w:hAnsi="宋体" w:eastAsia="宋体" w:cs="宋体"/>
          <w:color w:val="auto"/>
          <w:kern w:val="2"/>
          <w:sz w:val="21"/>
          <w:szCs w:val="21"/>
          <w:highlight w:val="none"/>
          <w:u w:val="single"/>
          <w:lang w:val="zh-CN" w:eastAsia="zh-CN" w:bidi="zh-CN"/>
        </w:rPr>
        <w:t>镀锌</w:t>
      </w:r>
      <w:r>
        <w:rPr>
          <w:rStyle w:val="29"/>
          <w:rFonts w:hint="eastAsia" w:ascii="宋体" w:hAnsi="宋体" w:eastAsia="宋体" w:cs="宋体"/>
          <w:color w:val="auto"/>
          <w:kern w:val="2"/>
          <w:sz w:val="21"/>
          <w:szCs w:val="21"/>
          <w:highlight w:val="none"/>
          <w:u w:val="single"/>
          <w:lang w:eastAsia="zh-CN" w:bidi="zh-CN"/>
        </w:rPr>
        <w:t>管等管材</w:t>
      </w:r>
      <w:r>
        <w:rPr>
          <w:rStyle w:val="29"/>
          <w:rFonts w:hint="eastAsia" w:ascii="宋体" w:hAnsi="宋体" w:eastAsia="宋体" w:cs="宋体"/>
          <w:color w:val="auto"/>
          <w:kern w:val="2"/>
          <w:sz w:val="21"/>
          <w:szCs w:val="21"/>
          <w:highlight w:val="none"/>
          <w:u w:val="single"/>
          <w:lang w:val="zh-CN" w:eastAsia="zh-CN" w:bidi="zh-CN"/>
        </w:rPr>
        <w:t>进行补差，其它材料价格一律不予调整</w:t>
      </w:r>
      <w:r>
        <w:rPr>
          <w:rStyle w:val="29"/>
          <w:rFonts w:hint="eastAsia" w:ascii="宋体" w:hAnsi="宋体" w:eastAsia="宋体" w:cs="宋体"/>
          <w:color w:val="auto"/>
          <w:kern w:val="2"/>
          <w:sz w:val="21"/>
          <w:szCs w:val="21"/>
          <w:highlight w:val="none"/>
          <w:lang w:eastAsia="zh-CN" w:bidi="ar-SA"/>
        </w:rPr>
        <w:t>。</w:t>
      </w:r>
    </w:p>
    <w:p w14:paraId="1E21F23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16.1.3</w:t>
      </w:r>
      <w:r>
        <w:rPr>
          <w:rStyle w:val="29"/>
          <w:rFonts w:hint="eastAsia" w:ascii="宋体" w:hAnsi="宋体" w:eastAsia="宋体" w:cs="宋体"/>
          <w:color w:val="auto"/>
          <w:kern w:val="2"/>
          <w:sz w:val="21"/>
          <w:szCs w:val="21"/>
          <w:highlight w:val="none"/>
          <w:lang w:val="zh-CN" w:eastAsia="zh-CN" w:bidi="zh-CN"/>
        </w:rPr>
        <w:t>主要材料补差的计算方法：</w:t>
      </w:r>
    </w:p>
    <w:p w14:paraId="4E35EEF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主要材料补差款按季度结算，在下一季度的第一个月结算上一季度的主要材料补差款。</w:t>
      </w:r>
    </w:p>
    <w:p w14:paraId="3C4A793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主要材料补差按以下公式进行补差：</w:t>
      </w:r>
    </w:p>
    <w:p w14:paraId="0E1F3D3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bidi="zh-CN"/>
        </w:rPr>
      </w:pPr>
      <w:r>
        <w:rPr>
          <w:rStyle w:val="29"/>
          <w:rFonts w:hint="eastAsia" w:ascii="宋体" w:hAnsi="宋体" w:eastAsia="宋体" w:cs="宋体"/>
          <w:color w:val="auto"/>
          <w:kern w:val="2"/>
          <w:sz w:val="21"/>
          <w:szCs w:val="21"/>
          <w:highlight w:val="none"/>
          <w:lang w:eastAsia="zh-CN" w:bidi="zh-CN"/>
        </w:rPr>
        <w:t>△A=Q*[A-A0*(1±5%)]*（1+P%）</w:t>
      </w:r>
    </w:p>
    <w:p w14:paraId="5CAA2B6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bidi="zh-CN"/>
        </w:rPr>
      </w:pPr>
      <w:r>
        <w:rPr>
          <w:rStyle w:val="29"/>
          <w:rFonts w:hint="eastAsia" w:ascii="宋体" w:hAnsi="宋体" w:eastAsia="宋体" w:cs="宋体"/>
          <w:color w:val="auto"/>
          <w:kern w:val="2"/>
          <w:sz w:val="21"/>
          <w:szCs w:val="21"/>
          <w:highlight w:val="none"/>
          <w:lang w:val="zh-CN" w:eastAsia="zh-CN" w:bidi="zh-CN"/>
        </w:rPr>
        <w:t>其中</w:t>
      </w:r>
      <w:r>
        <w:rPr>
          <w:rStyle w:val="29"/>
          <w:rFonts w:hint="eastAsia" w:ascii="宋体" w:hAnsi="宋体" w:eastAsia="宋体" w:cs="宋体"/>
          <w:color w:val="auto"/>
          <w:kern w:val="2"/>
          <w:sz w:val="21"/>
          <w:szCs w:val="21"/>
          <w:highlight w:val="none"/>
          <w:lang w:eastAsia="zh-CN" w:bidi="zh-CN"/>
        </w:rPr>
        <w:t>：</w:t>
      </w:r>
    </w:p>
    <w:p w14:paraId="609BBB8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△A——主要材料补差款；</w:t>
      </w:r>
    </w:p>
    <w:p w14:paraId="74B42B1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Q——结算期完成工程量统计的各主要补差材料用量；</w:t>
      </w:r>
    </w:p>
    <w:p w14:paraId="1FB484C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A——结算期各主要补差材料价格；</w:t>
      </w:r>
    </w:p>
    <w:p w14:paraId="1D5816C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A0——基准期各主要补差材料价格；</w:t>
      </w:r>
    </w:p>
    <w:p w14:paraId="1D1AFD2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P——招标控制价采用的税率</w:t>
      </w:r>
      <w:r>
        <w:rPr>
          <w:rStyle w:val="29"/>
          <w:rFonts w:hint="eastAsia" w:ascii="宋体" w:hAnsi="宋体" w:eastAsia="宋体" w:cs="宋体"/>
          <w:color w:val="auto"/>
          <w:kern w:val="2"/>
          <w:sz w:val="21"/>
          <w:szCs w:val="21"/>
          <w:highlight w:val="none"/>
          <w:lang w:eastAsia="zh-CN" w:bidi="ar-SA"/>
        </w:rPr>
        <w:t>。</w:t>
      </w:r>
    </w:p>
    <w:p w14:paraId="5A38E76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16.1.4</w:t>
      </w:r>
      <w:r>
        <w:rPr>
          <w:rStyle w:val="29"/>
          <w:rFonts w:hint="eastAsia" w:ascii="宋体" w:hAnsi="宋体" w:eastAsia="宋体" w:cs="宋体"/>
          <w:color w:val="auto"/>
          <w:kern w:val="2"/>
          <w:sz w:val="21"/>
          <w:szCs w:val="21"/>
          <w:highlight w:val="none"/>
          <w:lang w:val="zh-CN" w:eastAsia="zh-CN" w:bidi="zh-CN"/>
        </w:rPr>
        <w:t>采用造价信息调整价格差额：</w:t>
      </w:r>
    </w:p>
    <w:p w14:paraId="6FA5ED2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工程造价信息的来源：</w:t>
      </w:r>
      <w:r>
        <w:rPr>
          <w:rStyle w:val="29"/>
          <w:rFonts w:hint="eastAsia" w:ascii="宋体" w:hAnsi="宋体" w:eastAsia="宋体" w:cs="宋体"/>
          <w:color w:val="auto"/>
          <w:kern w:val="2"/>
          <w:sz w:val="21"/>
          <w:szCs w:val="21"/>
          <w:highlight w:val="none"/>
          <w:u w:val="single"/>
          <w:lang w:val="zh-CN" w:eastAsia="zh-CN" w:bidi="zh-CN"/>
        </w:rPr>
        <w:t>基准期主要补差材料价格：以《</w:t>
      </w:r>
      <w:r>
        <w:rPr>
          <w:rStyle w:val="29"/>
          <w:rFonts w:hint="eastAsia" w:ascii="宋体" w:hAnsi="宋体" w:eastAsia="宋体" w:cs="宋体"/>
          <w:color w:val="auto"/>
          <w:kern w:val="2"/>
          <w:sz w:val="21"/>
          <w:szCs w:val="21"/>
          <w:highlight w:val="none"/>
          <w:u w:val="single"/>
          <w:lang w:val="en-US" w:eastAsia="zh-CN" w:bidi="zh-CN"/>
        </w:rPr>
        <w:t>南宁</w:t>
      </w:r>
      <w:r>
        <w:rPr>
          <w:rStyle w:val="29"/>
          <w:rFonts w:hint="eastAsia" w:ascii="宋体" w:hAnsi="宋体" w:eastAsia="宋体" w:cs="宋体"/>
          <w:color w:val="auto"/>
          <w:kern w:val="2"/>
          <w:sz w:val="21"/>
          <w:szCs w:val="21"/>
          <w:highlight w:val="none"/>
          <w:u w:val="single"/>
          <w:lang w:val="zh-CN" w:eastAsia="zh-CN" w:bidi="zh-CN"/>
        </w:rPr>
        <w:t>建设工程造价信息》2026年第</w:t>
      </w:r>
      <w:r>
        <w:rPr>
          <w:rStyle w:val="29"/>
          <w:rFonts w:hint="eastAsia" w:ascii="宋体" w:hAnsi="宋体" w:eastAsia="宋体" w:cs="宋体"/>
          <w:color w:val="auto"/>
          <w:kern w:val="2"/>
          <w:sz w:val="21"/>
          <w:szCs w:val="21"/>
          <w:highlight w:val="none"/>
          <w:u w:val="single"/>
          <w:lang w:val="en-US" w:eastAsia="zh-CN" w:bidi="zh-CN"/>
        </w:rPr>
        <w:t>4</w:t>
      </w:r>
      <w:r>
        <w:rPr>
          <w:rStyle w:val="29"/>
          <w:rFonts w:hint="eastAsia" w:ascii="宋体" w:hAnsi="宋体" w:eastAsia="宋体" w:cs="宋体"/>
          <w:color w:val="auto"/>
          <w:kern w:val="2"/>
          <w:sz w:val="21"/>
          <w:szCs w:val="21"/>
          <w:highlight w:val="none"/>
          <w:u w:val="single"/>
          <w:lang w:val="zh-CN" w:eastAsia="zh-CN" w:bidi="zh-CN"/>
        </w:rPr>
        <w:t>期上半月刊发布的</w:t>
      </w:r>
      <w:r>
        <w:rPr>
          <w:rStyle w:val="29"/>
          <w:rFonts w:hint="eastAsia" w:ascii="宋体" w:hAnsi="宋体" w:eastAsia="宋体" w:cs="宋体"/>
          <w:color w:val="auto"/>
          <w:kern w:val="2"/>
          <w:sz w:val="21"/>
          <w:szCs w:val="21"/>
          <w:highlight w:val="none"/>
          <w:u w:val="single"/>
          <w:lang w:val="en-US" w:eastAsia="zh-CN" w:bidi="zh-CN"/>
        </w:rPr>
        <w:t>南宁</w:t>
      </w:r>
      <w:r>
        <w:rPr>
          <w:rStyle w:val="29"/>
          <w:rFonts w:hint="eastAsia" w:ascii="宋体" w:hAnsi="宋体" w:eastAsia="宋体" w:cs="宋体"/>
          <w:color w:val="auto"/>
          <w:kern w:val="2"/>
          <w:sz w:val="21"/>
          <w:szCs w:val="21"/>
          <w:highlight w:val="none"/>
          <w:u w:val="single"/>
          <w:lang w:val="zh-CN" w:eastAsia="zh-CN" w:bidi="zh-CN"/>
        </w:rPr>
        <w:t>市建筑材料市场价格为基准。结算期主要材料价格：结算月度出版的《</w:t>
      </w:r>
      <w:r>
        <w:rPr>
          <w:rStyle w:val="29"/>
          <w:rFonts w:hint="eastAsia" w:ascii="宋体" w:hAnsi="宋体" w:eastAsia="宋体" w:cs="宋体"/>
          <w:color w:val="auto"/>
          <w:kern w:val="2"/>
          <w:sz w:val="21"/>
          <w:szCs w:val="21"/>
          <w:highlight w:val="none"/>
          <w:u w:val="single"/>
          <w:lang w:val="en-US" w:eastAsia="zh-CN" w:bidi="zh-CN"/>
        </w:rPr>
        <w:t>南宁</w:t>
      </w:r>
      <w:r>
        <w:rPr>
          <w:rStyle w:val="29"/>
          <w:rFonts w:hint="eastAsia" w:ascii="宋体" w:hAnsi="宋体" w:eastAsia="宋体" w:cs="宋体"/>
          <w:color w:val="auto"/>
          <w:kern w:val="2"/>
          <w:sz w:val="21"/>
          <w:szCs w:val="21"/>
          <w:highlight w:val="none"/>
          <w:u w:val="single"/>
          <w:lang w:val="zh-CN" w:eastAsia="zh-CN" w:bidi="zh-CN"/>
        </w:rPr>
        <w:t>建设工程造价信息》中发布的主要补差材料信息价格</w:t>
      </w:r>
      <w:r>
        <w:rPr>
          <w:rStyle w:val="29"/>
          <w:rFonts w:hint="eastAsia" w:ascii="宋体" w:hAnsi="宋体" w:eastAsia="宋体" w:cs="宋体"/>
          <w:color w:val="auto"/>
          <w:kern w:val="2"/>
          <w:sz w:val="21"/>
          <w:szCs w:val="21"/>
          <w:highlight w:val="none"/>
          <w:lang w:eastAsia="zh-CN" w:bidi="ar-SA"/>
        </w:rPr>
        <w:t>。</w:t>
      </w:r>
    </w:p>
    <w:p w14:paraId="4BBB6B6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u w:val="single"/>
          <w:lang w:val="zh-CN" w:eastAsia="zh-CN" w:bidi="zh-CN"/>
        </w:rPr>
      </w:pPr>
      <w:r>
        <w:rPr>
          <w:rStyle w:val="29"/>
          <w:rFonts w:hint="eastAsia" w:ascii="宋体" w:hAnsi="宋体" w:eastAsia="宋体" w:cs="宋体"/>
          <w:color w:val="auto"/>
          <w:kern w:val="2"/>
          <w:sz w:val="21"/>
          <w:szCs w:val="21"/>
          <w:highlight w:val="none"/>
          <w:lang w:val="zh-CN" w:eastAsia="zh-CN" w:bidi="zh-CN"/>
        </w:rPr>
        <w:t>价格调整的项目和系数：</w:t>
      </w:r>
      <w:r>
        <w:rPr>
          <w:rStyle w:val="29"/>
          <w:rFonts w:hint="eastAsia" w:ascii="宋体" w:hAnsi="宋体" w:eastAsia="宋体" w:cs="宋体"/>
          <w:color w:val="auto"/>
          <w:kern w:val="2"/>
          <w:sz w:val="21"/>
          <w:szCs w:val="21"/>
          <w:highlight w:val="none"/>
          <w:u w:val="single"/>
          <w:lang w:val="zh-CN" w:eastAsia="zh-CN" w:bidi="zh-CN"/>
        </w:rPr>
        <w:t>（1）计算季度最后一期的《南宁建设工程造价信息》（工程所在地）主要补差材料信息价格高于基准期主要补差价格5%的，承包人提出书面报告，由发包人在7个工作日内确认后对超过部分以价格之差予以价差调整。承包人应当在以上情况发生后14天内，将调整原因，金额以书面形式通知监理工程师，监理工程师确认调整金额后作为追加合同价款，经审计，财政部门评审认可后与工程款同期支付。</w:t>
      </w:r>
    </w:p>
    <w:p w14:paraId="6556303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u w:val="single"/>
          <w:lang w:val="zh-CN" w:eastAsia="zh-CN" w:bidi="zh-CN"/>
        </w:rPr>
      </w:pPr>
      <w:r>
        <w:rPr>
          <w:rStyle w:val="29"/>
          <w:rFonts w:hint="eastAsia" w:ascii="宋体" w:hAnsi="宋体" w:eastAsia="宋体" w:cs="宋体"/>
          <w:color w:val="auto"/>
          <w:kern w:val="2"/>
          <w:sz w:val="21"/>
          <w:szCs w:val="21"/>
          <w:highlight w:val="none"/>
          <w:u w:val="single"/>
          <w:lang w:val="zh-CN" w:eastAsia="zh-CN" w:bidi="zh-CN"/>
        </w:rPr>
        <w:t>（2）计算季度最后一期的《南宁建设工程造价信息》（工程所在地）主要补差材料信息价格低于基准期主要补差材料价格5%的，发包人在当期合同款中对超出部门予以价差调整并扣除相关款项。</w:t>
      </w:r>
    </w:p>
    <w:p w14:paraId="3526AC8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u w:val="single"/>
          <w:lang w:val="zh-CN" w:eastAsia="zh-CN" w:bidi="zh-CN"/>
        </w:rPr>
      </w:pPr>
      <w:r>
        <w:rPr>
          <w:rStyle w:val="29"/>
          <w:rFonts w:hint="eastAsia" w:ascii="宋体" w:hAnsi="宋体" w:eastAsia="宋体" w:cs="宋体"/>
          <w:color w:val="auto"/>
          <w:kern w:val="2"/>
          <w:sz w:val="21"/>
          <w:szCs w:val="21"/>
          <w:highlight w:val="none"/>
          <w:u w:val="single"/>
          <w:lang w:val="zh-CN" w:eastAsia="zh-CN" w:bidi="zh-CN"/>
        </w:rPr>
        <w:t>材料补差不以承包人做出的工地价为依据，也不考虑对运杂费、采保费和保险费进行补差。</w:t>
      </w:r>
    </w:p>
    <w:p w14:paraId="4EBCD21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u w:val="single"/>
          <w:lang w:val="zh-CN" w:eastAsia="zh-CN" w:bidi="zh-CN"/>
        </w:rPr>
        <w:t>因承包人原因未在约定的工期内完工，因延误工期而遇上价格上涨的，则价格上涨金额由承包人自行承担</w:t>
      </w:r>
      <w:r>
        <w:rPr>
          <w:rStyle w:val="29"/>
          <w:rFonts w:hint="eastAsia" w:ascii="宋体" w:hAnsi="宋体" w:eastAsia="宋体" w:cs="宋体"/>
          <w:color w:val="auto"/>
          <w:kern w:val="2"/>
          <w:sz w:val="21"/>
          <w:szCs w:val="21"/>
          <w:highlight w:val="none"/>
          <w:lang w:eastAsia="zh-CN" w:bidi="ar-SA"/>
        </w:rPr>
        <w:t>。</w:t>
      </w:r>
    </w:p>
    <w:p w14:paraId="7E2AA3F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538" w:name="bookmark1779"/>
      <w:bookmarkEnd w:id="1538"/>
      <w:bookmarkStart w:id="1539" w:name="_Toc13939"/>
      <w:bookmarkStart w:id="1540" w:name="_Toc49083464"/>
      <w:bookmarkStart w:id="1541" w:name="bookmark1777"/>
      <w:bookmarkStart w:id="1542" w:name="bookmark1780"/>
      <w:bookmarkStart w:id="1543" w:name="_Toc12454"/>
      <w:bookmarkStart w:id="1544" w:name="bookmark1778"/>
      <w:r>
        <w:rPr>
          <w:rStyle w:val="29"/>
          <w:rFonts w:hint="eastAsia" w:ascii="宋体" w:hAnsi="宋体" w:eastAsia="宋体" w:cs="宋体"/>
          <w:color w:val="auto"/>
          <w:kern w:val="2"/>
          <w:sz w:val="21"/>
          <w:szCs w:val="21"/>
          <w:highlight w:val="none"/>
          <w:lang w:eastAsia="zh-CN"/>
        </w:rPr>
        <w:t>17.计量与支付</w:t>
      </w:r>
      <w:bookmarkEnd w:id="1539"/>
      <w:bookmarkEnd w:id="1540"/>
      <w:bookmarkEnd w:id="1541"/>
      <w:bookmarkEnd w:id="1542"/>
      <w:bookmarkEnd w:id="1543"/>
      <w:bookmarkEnd w:id="1544"/>
    </w:p>
    <w:p w14:paraId="7894CBC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45" w:name="bookmark1783"/>
      <w:bookmarkStart w:id="1546" w:name="bookmark1782"/>
      <w:bookmarkStart w:id="1547" w:name="bookmark1781"/>
      <w:r>
        <w:rPr>
          <w:rStyle w:val="29"/>
          <w:rFonts w:hint="eastAsia" w:ascii="宋体" w:hAnsi="宋体" w:eastAsia="宋体" w:cs="宋体"/>
          <w:color w:val="auto"/>
          <w:kern w:val="2"/>
          <w:sz w:val="21"/>
          <w:szCs w:val="21"/>
          <w:highlight w:val="none"/>
          <w:lang w:eastAsia="zh-CN"/>
        </w:rPr>
        <w:t>17.2</w:t>
      </w:r>
      <w:r>
        <w:rPr>
          <w:rStyle w:val="29"/>
          <w:rFonts w:hint="eastAsia" w:ascii="宋体" w:hAnsi="宋体" w:eastAsia="宋体" w:cs="宋体"/>
          <w:color w:val="auto"/>
          <w:kern w:val="2"/>
          <w:sz w:val="21"/>
          <w:szCs w:val="21"/>
          <w:highlight w:val="none"/>
          <w:lang w:val="zh-CN" w:eastAsia="zh-CN"/>
        </w:rPr>
        <w:t>预付款</w:t>
      </w:r>
      <w:bookmarkEnd w:id="1545"/>
      <w:bookmarkEnd w:id="1546"/>
      <w:bookmarkEnd w:id="1547"/>
    </w:p>
    <w:p w14:paraId="16AC5EA0">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17.2.1</w:t>
      </w:r>
      <w:r>
        <w:rPr>
          <w:rStyle w:val="29"/>
          <w:rFonts w:hint="eastAsia" w:ascii="宋体" w:hAnsi="宋体" w:eastAsia="宋体" w:cs="宋体"/>
          <w:color w:val="auto"/>
          <w:kern w:val="2"/>
          <w:sz w:val="21"/>
          <w:szCs w:val="21"/>
          <w:highlight w:val="none"/>
          <w:lang w:val="zh-CN" w:eastAsia="zh-CN" w:bidi="zh-CN"/>
        </w:rPr>
        <w:t>预付款</w:t>
      </w:r>
    </w:p>
    <w:p w14:paraId="2966AED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548" w:name="bookmark1784"/>
      <w:bookmarkEnd w:id="1548"/>
      <w:r>
        <w:rPr>
          <w:rStyle w:val="29"/>
          <w:rFonts w:hint="eastAsia" w:ascii="宋体" w:hAnsi="宋体" w:eastAsia="宋体" w:cs="宋体"/>
          <w:color w:val="auto"/>
          <w:kern w:val="2"/>
          <w:sz w:val="21"/>
          <w:szCs w:val="21"/>
          <w:highlight w:val="none"/>
          <w:lang w:val="zh-CN" w:eastAsia="zh-CN" w:bidi="zh-CN"/>
        </w:rPr>
        <w:t>（1）工程预付款</w:t>
      </w:r>
      <w:r>
        <w:rPr>
          <w:rStyle w:val="29"/>
          <w:rFonts w:hint="eastAsia" w:ascii="宋体" w:hAnsi="宋体" w:eastAsia="宋体" w:cs="宋体"/>
          <w:color w:val="auto"/>
          <w:kern w:val="2"/>
          <w:sz w:val="21"/>
          <w:szCs w:val="21"/>
          <w:highlight w:val="none"/>
          <w:lang w:eastAsia="zh-CN" w:bidi="zh-CN"/>
        </w:rPr>
        <w:t>按</w:t>
      </w:r>
      <w:r>
        <w:rPr>
          <w:rStyle w:val="29"/>
          <w:rFonts w:hint="eastAsia" w:ascii="宋体" w:hAnsi="宋体" w:eastAsia="宋体" w:cs="宋体"/>
          <w:color w:val="auto"/>
          <w:kern w:val="2"/>
          <w:sz w:val="21"/>
          <w:szCs w:val="21"/>
          <w:highlight w:val="none"/>
          <w:lang w:val="zh-CN" w:eastAsia="zh-CN" w:bidi="zh-CN"/>
        </w:rPr>
        <w:t>签约合同价</w:t>
      </w:r>
      <w:r>
        <w:rPr>
          <w:rStyle w:val="29"/>
          <w:rFonts w:hint="eastAsia" w:ascii="宋体" w:hAnsi="宋体" w:eastAsia="宋体" w:cs="宋体"/>
          <w:color w:val="auto"/>
          <w:kern w:val="2"/>
          <w:sz w:val="21"/>
          <w:szCs w:val="21"/>
          <w:highlight w:val="none"/>
          <w:lang w:eastAsia="zh-CN" w:bidi="zh-CN"/>
        </w:rPr>
        <w:t>总金额</w:t>
      </w:r>
      <w:r>
        <w:rPr>
          <w:rStyle w:val="29"/>
          <w:rFonts w:hint="eastAsia" w:ascii="宋体" w:hAnsi="宋体" w:eastAsia="宋体" w:cs="宋体"/>
          <w:color w:val="auto"/>
          <w:kern w:val="2"/>
          <w:sz w:val="21"/>
          <w:szCs w:val="21"/>
          <w:highlight w:val="none"/>
          <w:lang w:val="zh-CN" w:eastAsia="zh-CN" w:bidi="zh-CN"/>
        </w:rPr>
        <w:t>的</w:t>
      </w:r>
      <w:r>
        <w:rPr>
          <w:rStyle w:val="29"/>
          <w:rFonts w:hint="eastAsia" w:ascii="宋体" w:hAnsi="宋体" w:eastAsia="宋体" w:cs="宋体"/>
          <w:color w:val="auto"/>
          <w:kern w:val="2"/>
          <w:sz w:val="21"/>
          <w:szCs w:val="21"/>
          <w:highlight w:val="none"/>
          <w:u w:val="single"/>
          <w:lang w:val="en-US" w:eastAsia="zh-CN" w:bidi="zh-CN"/>
        </w:rPr>
        <w:t xml:space="preserve">  /  </w:t>
      </w:r>
      <w:r>
        <w:rPr>
          <w:rStyle w:val="29"/>
          <w:rFonts w:hint="eastAsia" w:ascii="宋体" w:hAnsi="宋体" w:eastAsia="宋体" w:cs="宋体"/>
          <w:color w:val="auto"/>
          <w:kern w:val="2"/>
          <w:sz w:val="21"/>
          <w:szCs w:val="21"/>
          <w:highlight w:val="none"/>
          <w:lang w:val="zh-CN" w:eastAsia="zh-CN" w:bidi="zh-CN"/>
        </w:rPr>
        <w:t>%支付给承包人。付款时间应在合同协议书签订并进场施工后，经监理人出具付款证书，报送发包人批准后14天内予以支付。</w:t>
      </w:r>
    </w:p>
    <w:p w14:paraId="50B3EF7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val="en-US" w:eastAsia="zh-CN" w:bidi="zh-CN"/>
        </w:rPr>
        <w:t>2</w:t>
      </w:r>
      <w:r>
        <w:rPr>
          <w:rStyle w:val="29"/>
          <w:rFonts w:hint="eastAsia" w:ascii="宋体" w:hAnsi="宋体" w:eastAsia="宋体" w:cs="宋体"/>
          <w:color w:val="auto"/>
          <w:kern w:val="2"/>
          <w:sz w:val="21"/>
          <w:szCs w:val="21"/>
          <w:highlight w:val="none"/>
          <w:lang w:val="zh-CN" w:eastAsia="zh-CN" w:bidi="zh-CN"/>
        </w:rPr>
        <w:t>）工程材料预付款的额度和预付办法约定为：</w:t>
      </w:r>
      <w:r>
        <w:rPr>
          <w:rStyle w:val="29"/>
          <w:rFonts w:hint="eastAsia" w:ascii="宋体" w:hAnsi="宋体" w:eastAsia="宋体" w:cs="宋体"/>
          <w:color w:val="auto"/>
          <w:kern w:val="2"/>
          <w:sz w:val="21"/>
          <w:szCs w:val="21"/>
          <w:highlight w:val="none"/>
          <w:u w:val="single"/>
          <w:lang w:val="zh-CN" w:eastAsia="zh-CN" w:bidi="zh-CN"/>
        </w:rPr>
        <w:t>无</w:t>
      </w:r>
      <w:r>
        <w:rPr>
          <w:rStyle w:val="29"/>
          <w:rFonts w:hint="eastAsia" w:ascii="宋体" w:hAnsi="宋体" w:eastAsia="宋体" w:cs="宋体"/>
          <w:color w:val="auto"/>
          <w:kern w:val="2"/>
          <w:sz w:val="21"/>
          <w:szCs w:val="21"/>
          <w:highlight w:val="none"/>
          <w:lang w:eastAsia="zh-CN" w:bidi="ar-SA"/>
        </w:rPr>
        <w:t>。</w:t>
      </w:r>
    </w:p>
    <w:p w14:paraId="54E3F6E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bidi="zh-CN"/>
        </w:rPr>
      </w:pPr>
      <w:r>
        <w:rPr>
          <w:rStyle w:val="29"/>
          <w:rFonts w:hint="eastAsia" w:ascii="宋体" w:hAnsi="宋体" w:eastAsia="宋体" w:cs="宋体"/>
          <w:color w:val="auto"/>
          <w:kern w:val="2"/>
          <w:sz w:val="21"/>
          <w:szCs w:val="21"/>
          <w:highlight w:val="none"/>
          <w:lang w:eastAsia="zh-CN" w:bidi="ar-SA"/>
        </w:rPr>
        <w:t>16.1.2</w:t>
      </w:r>
      <w:r>
        <w:rPr>
          <w:rStyle w:val="29"/>
          <w:rFonts w:hint="eastAsia" w:ascii="宋体" w:hAnsi="宋体" w:eastAsia="宋体" w:cs="宋体"/>
          <w:color w:val="auto"/>
          <w:kern w:val="2"/>
          <w:sz w:val="21"/>
          <w:szCs w:val="21"/>
          <w:highlight w:val="none"/>
          <w:lang w:val="zh-CN" w:eastAsia="zh-CN" w:bidi="zh-CN"/>
        </w:rPr>
        <w:t>预付款保函(担保)</w:t>
      </w:r>
    </w:p>
    <w:p w14:paraId="0F3AA0F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val="en-US" w:eastAsia="zh-CN" w:bidi="zh-CN"/>
        </w:rPr>
        <w:t>2</w:t>
      </w:r>
      <w:r>
        <w:rPr>
          <w:rStyle w:val="29"/>
          <w:rFonts w:hint="eastAsia" w:ascii="宋体" w:hAnsi="宋体" w:eastAsia="宋体" w:cs="宋体"/>
          <w:color w:val="auto"/>
          <w:kern w:val="2"/>
          <w:sz w:val="21"/>
          <w:szCs w:val="21"/>
          <w:highlight w:val="none"/>
          <w:lang w:val="zh-CN" w:eastAsia="zh-CN" w:bidi="zh-CN"/>
        </w:rPr>
        <w:t>）工程材料预付款的担保约定为：</w:t>
      </w:r>
      <w:r>
        <w:rPr>
          <w:rStyle w:val="29"/>
          <w:rFonts w:hint="eastAsia" w:ascii="宋体" w:hAnsi="宋体" w:eastAsia="宋体" w:cs="宋体"/>
          <w:color w:val="auto"/>
          <w:kern w:val="2"/>
          <w:sz w:val="21"/>
          <w:szCs w:val="21"/>
          <w:highlight w:val="none"/>
          <w:u w:val="single"/>
          <w:lang w:val="zh-CN" w:eastAsia="zh-CN" w:bidi="zh-CN"/>
        </w:rPr>
        <w:t>无</w:t>
      </w:r>
      <w:r>
        <w:rPr>
          <w:rStyle w:val="29"/>
          <w:rFonts w:hint="eastAsia" w:ascii="宋体" w:hAnsi="宋体" w:eastAsia="宋体" w:cs="宋体"/>
          <w:color w:val="auto"/>
          <w:kern w:val="2"/>
          <w:sz w:val="21"/>
          <w:szCs w:val="21"/>
          <w:highlight w:val="none"/>
          <w:lang w:eastAsia="zh-CN" w:bidi="ar-SA"/>
        </w:rPr>
        <w:t>。</w:t>
      </w:r>
    </w:p>
    <w:p w14:paraId="6CC9F8C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bookmarkStart w:id="1549" w:name="bookmark1786"/>
      <w:bookmarkEnd w:id="1549"/>
      <w:r>
        <w:rPr>
          <w:rStyle w:val="29"/>
          <w:rFonts w:hint="eastAsia" w:ascii="宋体" w:hAnsi="宋体" w:eastAsia="宋体" w:cs="宋体"/>
          <w:color w:val="auto"/>
          <w:kern w:val="2"/>
          <w:sz w:val="21"/>
          <w:szCs w:val="21"/>
          <w:highlight w:val="none"/>
          <w:lang w:eastAsia="zh-CN" w:bidi="ar-SA"/>
        </w:rPr>
        <w:t>17.2.3</w:t>
      </w:r>
      <w:r>
        <w:rPr>
          <w:rStyle w:val="29"/>
          <w:rFonts w:hint="eastAsia" w:ascii="宋体" w:hAnsi="宋体" w:eastAsia="宋体" w:cs="宋体"/>
          <w:color w:val="auto"/>
          <w:kern w:val="2"/>
          <w:sz w:val="21"/>
          <w:szCs w:val="21"/>
          <w:highlight w:val="none"/>
          <w:lang w:val="zh-CN" w:eastAsia="zh-CN" w:bidi="zh-CN"/>
        </w:rPr>
        <w:t>预付款的扣回与还清</w:t>
      </w:r>
    </w:p>
    <w:p w14:paraId="599C927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val="en-US" w:eastAsia="zh-CN" w:bidi="zh-CN"/>
        </w:rPr>
        <w:t>1</w:t>
      </w:r>
      <w:r>
        <w:rPr>
          <w:rStyle w:val="29"/>
          <w:rFonts w:hint="eastAsia" w:ascii="宋体" w:hAnsi="宋体" w:eastAsia="宋体" w:cs="宋体"/>
          <w:color w:val="auto"/>
          <w:kern w:val="2"/>
          <w:sz w:val="21"/>
          <w:szCs w:val="21"/>
          <w:highlight w:val="none"/>
          <w:lang w:val="zh-CN" w:eastAsia="zh-CN" w:bidi="zh-CN"/>
        </w:rPr>
        <w:t>）工程预付款在合同累计完成金额达到签约合同价格的</w:t>
      </w:r>
      <w:r>
        <w:rPr>
          <w:rStyle w:val="29"/>
          <w:rFonts w:hint="eastAsia" w:ascii="宋体" w:hAnsi="宋体" w:eastAsia="宋体" w:cs="宋体"/>
          <w:color w:val="auto"/>
          <w:kern w:val="2"/>
          <w:sz w:val="21"/>
          <w:szCs w:val="21"/>
          <w:highlight w:val="none"/>
          <w:u w:val="single"/>
          <w:lang w:val="zh-CN" w:eastAsia="zh-CN" w:bidi="zh-CN"/>
        </w:rPr>
        <w:t>30</w:t>
      </w:r>
      <w:r>
        <w:rPr>
          <w:rStyle w:val="29"/>
          <w:rFonts w:hint="eastAsia" w:ascii="宋体" w:hAnsi="宋体" w:eastAsia="宋体" w:cs="宋体"/>
          <w:color w:val="auto"/>
          <w:kern w:val="2"/>
          <w:sz w:val="21"/>
          <w:szCs w:val="21"/>
          <w:highlight w:val="none"/>
          <w:lang w:val="zh-CN" w:eastAsia="zh-CN" w:bidi="zh-CN"/>
        </w:rPr>
        <w:t>%时开始扣款，直至合同累计完成金额达到签约合同价的</w:t>
      </w:r>
      <w:r>
        <w:rPr>
          <w:rStyle w:val="29"/>
          <w:rFonts w:hint="eastAsia" w:ascii="宋体" w:hAnsi="宋体" w:eastAsia="宋体" w:cs="宋体"/>
          <w:color w:val="auto"/>
          <w:kern w:val="2"/>
          <w:sz w:val="21"/>
          <w:szCs w:val="21"/>
          <w:highlight w:val="none"/>
          <w:u w:val="single"/>
          <w:lang w:val="zh-CN" w:eastAsia="zh-CN" w:bidi="zh-CN"/>
        </w:rPr>
        <w:t>80</w:t>
      </w:r>
      <w:r>
        <w:rPr>
          <w:rStyle w:val="29"/>
          <w:rFonts w:hint="eastAsia" w:ascii="宋体" w:hAnsi="宋体" w:eastAsia="宋体" w:cs="宋体"/>
          <w:color w:val="auto"/>
          <w:kern w:val="2"/>
          <w:sz w:val="21"/>
          <w:szCs w:val="21"/>
          <w:highlight w:val="none"/>
          <w:lang w:val="zh-CN" w:eastAsia="zh-CN" w:bidi="zh-CN"/>
        </w:rPr>
        <w:t>%时全部扣清。</w:t>
      </w:r>
    </w:p>
    <w:p w14:paraId="4132FD8F">
      <w:pPr>
        <w:pStyle w:val="103"/>
        <w:shd w:val="clear" w:color="auto"/>
        <w:spacing w:line="350" w:lineRule="exact"/>
        <w:ind w:firstLine="420"/>
        <w:rPr>
          <w:rStyle w:val="29"/>
          <w:rFonts w:hint="eastAsia" w:ascii="宋体" w:hAnsi="宋体" w:eastAsia="宋体" w:cs="宋体"/>
          <w:color w:val="auto"/>
          <w:sz w:val="21"/>
          <w:szCs w:val="21"/>
          <w:highlight w:val="none"/>
          <w:lang w:val="zh-CN" w:eastAsia="zh-CN" w:bidi="mn-Mong-CN"/>
        </w:rPr>
      </w:pPr>
      <w:r>
        <w:rPr>
          <w:rFonts w:hint="eastAsia" w:ascii="宋体" w:hAnsi="宋体" w:eastAsia="宋体" w:cs="宋体"/>
          <w:color w:val="auto"/>
          <w:sz w:val="21"/>
          <w:szCs w:val="21"/>
          <w:highlight w:val="none"/>
          <w:lang w:val="zh-CN" w:eastAsia="zh-CN" w:bidi="mn-Mong-CN"/>
        </w:rPr>
        <w:drawing>
          <wp:anchor distT="0" distB="0" distL="114300" distR="114300" simplePos="0" relativeHeight="251659264" behindDoc="0" locked="0" layoutInCell="1" allowOverlap="1">
            <wp:simplePos x="0" y="0"/>
            <wp:positionH relativeFrom="column">
              <wp:posOffset>800100</wp:posOffset>
            </wp:positionH>
            <wp:positionV relativeFrom="paragraph">
              <wp:posOffset>100965</wp:posOffset>
            </wp:positionV>
            <wp:extent cx="1605280" cy="400050"/>
            <wp:effectExtent l="0" t="0" r="0" b="0"/>
            <wp:wrapSquare wrapText="bothSides"/>
            <wp:docPr id="8" name="对象 5"/>
            <wp:cNvGraphicFramePr/>
            <a:graphic xmlns:a="http://schemas.openxmlformats.org/drawingml/2006/main">
              <a:graphicData uri="http://schemas.openxmlformats.org/drawingml/2006/picture">
                <pic:pic xmlns:pic="http://schemas.openxmlformats.org/drawingml/2006/picture">
                  <pic:nvPicPr>
                    <pic:cNvPr id="8" name="对象 5"/>
                    <pic:cNvPicPr/>
                  </pic:nvPicPr>
                  <pic:blipFill>
                    <a:blip r:embed="rId19"/>
                    <a:stretch>
                      <a:fillRect/>
                    </a:stretch>
                  </pic:blipFill>
                  <pic:spPr>
                    <a:xfrm>
                      <a:off x="0" y="0"/>
                      <a:ext cx="1605280" cy="400050"/>
                    </a:xfrm>
                    <a:prstGeom prst="rect">
                      <a:avLst/>
                    </a:prstGeom>
                    <a:noFill/>
                    <a:ln>
                      <a:noFill/>
                    </a:ln>
                  </pic:spPr>
                </pic:pic>
              </a:graphicData>
            </a:graphic>
          </wp:anchor>
        </w:drawing>
      </w:r>
    </w:p>
    <w:p w14:paraId="0DB762D5">
      <w:pPr>
        <w:pStyle w:val="103"/>
        <w:shd w:val="clear" w:color="auto"/>
        <w:spacing w:line="350" w:lineRule="exact"/>
        <w:ind w:firstLine="420"/>
        <w:rPr>
          <w:rStyle w:val="29"/>
          <w:rFonts w:hint="eastAsia" w:ascii="宋体" w:hAnsi="宋体" w:eastAsia="宋体" w:cs="宋体"/>
          <w:color w:val="auto"/>
          <w:sz w:val="21"/>
          <w:szCs w:val="21"/>
          <w:highlight w:val="none"/>
          <w:lang w:val="zh-CN" w:eastAsia="zh-CN" w:bidi="mn-Mong-CN"/>
        </w:rPr>
      </w:pPr>
      <w:bookmarkStart w:id="1550" w:name="_Toc221951240"/>
    </w:p>
    <w:bookmarkEnd w:id="1550"/>
    <w:p w14:paraId="32FA7A7F">
      <w:pPr>
        <w:pStyle w:val="103"/>
        <w:shd w:val="clear" w:color="auto"/>
        <w:spacing w:line="350" w:lineRule="exact"/>
        <w:ind w:firstLine="420"/>
        <w:rPr>
          <w:rStyle w:val="29"/>
          <w:rFonts w:hint="eastAsia" w:ascii="宋体" w:hAnsi="宋体" w:eastAsia="宋体" w:cs="宋体"/>
          <w:color w:val="auto"/>
          <w:sz w:val="21"/>
          <w:szCs w:val="21"/>
          <w:highlight w:val="none"/>
          <w:lang w:val="zh-CN" w:eastAsia="zh-CN" w:bidi="mn-Mong-CN"/>
        </w:rPr>
      </w:pPr>
    </w:p>
    <w:p w14:paraId="397D093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mn-Mong-CN"/>
        </w:rPr>
      </w:pPr>
      <w:r>
        <w:rPr>
          <w:rStyle w:val="29"/>
          <w:rFonts w:hint="eastAsia" w:ascii="宋体" w:hAnsi="宋体" w:eastAsia="宋体" w:cs="宋体"/>
          <w:color w:val="auto"/>
          <w:kern w:val="2"/>
          <w:sz w:val="21"/>
          <w:szCs w:val="21"/>
          <w:highlight w:val="none"/>
          <w:lang w:val="zh-CN" w:eastAsia="zh-CN" w:bidi="mn-Mong-CN"/>
        </w:rPr>
        <w:t>式中：R——每次进度付款中累计扣回的金额；</w:t>
      </w:r>
    </w:p>
    <w:p w14:paraId="373D1D6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mn-Mong-CN"/>
        </w:rPr>
      </w:pPr>
      <w:r>
        <w:rPr>
          <w:rStyle w:val="29"/>
          <w:rFonts w:hint="eastAsia" w:ascii="宋体" w:hAnsi="宋体" w:eastAsia="宋体" w:cs="宋体"/>
          <w:color w:val="auto"/>
          <w:kern w:val="2"/>
          <w:sz w:val="21"/>
          <w:szCs w:val="21"/>
          <w:highlight w:val="none"/>
          <w:lang w:val="zh-CN" w:eastAsia="zh-CN" w:bidi="mn-Mong-CN"/>
        </w:rPr>
        <w:t xml:space="preserve">      </w:t>
      </w:r>
      <w:bookmarkStart w:id="1551" w:name="_Toc221951241"/>
      <w:r>
        <w:rPr>
          <w:rStyle w:val="29"/>
          <w:rFonts w:hint="eastAsia" w:ascii="宋体" w:hAnsi="宋体" w:eastAsia="宋体" w:cs="宋体"/>
          <w:color w:val="auto"/>
          <w:kern w:val="2"/>
          <w:sz w:val="21"/>
          <w:szCs w:val="21"/>
          <w:highlight w:val="none"/>
          <w:lang w:val="zh-CN" w:eastAsia="zh-CN" w:bidi="mn-Mong-CN"/>
        </w:rPr>
        <w:t>A——工程预付款总金额；</w:t>
      </w:r>
      <w:bookmarkEnd w:id="1551"/>
    </w:p>
    <w:p w14:paraId="343FFAE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mn-Mong-CN"/>
        </w:rPr>
      </w:pPr>
      <w:r>
        <w:rPr>
          <w:rStyle w:val="29"/>
          <w:rFonts w:hint="eastAsia" w:ascii="宋体" w:hAnsi="宋体" w:eastAsia="宋体" w:cs="宋体"/>
          <w:color w:val="auto"/>
          <w:kern w:val="2"/>
          <w:sz w:val="21"/>
          <w:szCs w:val="21"/>
          <w:highlight w:val="none"/>
          <w:lang w:val="zh-CN" w:eastAsia="zh-CN" w:bidi="mn-Mong-CN"/>
        </w:rPr>
        <w:t xml:space="preserve">      </w:t>
      </w:r>
      <w:bookmarkStart w:id="1552" w:name="_Toc221951242"/>
      <w:r>
        <w:rPr>
          <w:rStyle w:val="29"/>
          <w:rFonts w:hint="eastAsia" w:ascii="宋体" w:hAnsi="宋体" w:eastAsia="宋体" w:cs="宋体"/>
          <w:color w:val="auto"/>
          <w:kern w:val="2"/>
          <w:sz w:val="21"/>
          <w:szCs w:val="21"/>
          <w:highlight w:val="none"/>
          <w:lang w:val="zh-CN" w:eastAsia="zh-CN" w:bidi="mn-Mong-CN"/>
        </w:rPr>
        <w:t>S——签约合同价格；</w:t>
      </w:r>
      <w:bookmarkEnd w:id="1552"/>
    </w:p>
    <w:p w14:paraId="7A3473F9">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mn-Mong-CN"/>
        </w:rPr>
      </w:pPr>
      <w:r>
        <w:rPr>
          <w:rStyle w:val="29"/>
          <w:rFonts w:hint="eastAsia" w:ascii="宋体" w:hAnsi="宋体" w:eastAsia="宋体" w:cs="宋体"/>
          <w:color w:val="auto"/>
          <w:kern w:val="2"/>
          <w:sz w:val="21"/>
          <w:szCs w:val="21"/>
          <w:highlight w:val="none"/>
          <w:lang w:val="zh-CN" w:eastAsia="zh-CN" w:bidi="mn-Mong-CN"/>
        </w:rPr>
        <w:t xml:space="preserve">      </w:t>
      </w:r>
      <w:bookmarkStart w:id="1553" w:name="_Toc221951243"/>
      <w:r>
        <w:rPr>
          <w:rStyle w:val="29"/>
          <w:rFonts w:hint="eastAsia" w:ascii="宋体" w:hAnsi="宋体" w:eastAsia="宋体" w:cs="宋体"/>
          <w:color w:val="auto"/>
          <w:kern w:val="2"/>
          <w:sz w:val="21"/>
          <w:szCs w:val="21"/>
          <w:highlight w:val="none"/>
          <w:lang w:val="zh-CN" w:eastAsia="zh-CN" w:bidi="mn-Mong-CN"/>
        </w:rPr>
        <w:t>C——合同累计完成金额；</w:t>
      </w:r>
      <w:bookmarkEnd w:id="1553"/>
    </w:p>
    <w:p w14:paraId="1D8440F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mn-Mong-CN"/>
        </w:rPr>
      </w:pPr>
      <w:r>
        <w:rPr>
          <w:rStyle w:val="29"/>
          <w:rFonts w:hint="eastAsia" w:ascii="宋体" w:hAnsi="宋体" w:eastAsia="宋体" w:cs="宋体"/>
          <w:color w:val="auto"/>
          <w:kern w:val="2"/>
          <w:sz w:val="21"/>
          <w:szCs w:val="21"/>
          <w:highlight w:val="none"/>
          <w:lang w:val="zh-CN" w:eastAsia="zh-CN" w:bidi="mn-Mong-CN"/>
        </w:rPr>
        <w:t xml:space="preserve">      </w:t>
      </w:r>
      <w:bookmarkStart w:id="1554" w:name="_Toc221951244"/>
      <w:r>
        <w:rPr>
          <w:rStyle w:val="29"/>
          <w:rFonts w:hint="eastAsia" w:ascii="宋体" w:hAnsi="宋体" w:eastAsia="宋体" w:cs="宋体"/>
          <w:color w:val="auto"/>
          <w:kern w:val="2"/>
          <w:sz w:val="21"/>
          <w:szCs w:val="21"/>
          <w:highlight w:val="none"/>
          <w:lang w:val="zh-CN" w:eastAsia="zh-CN" w:bidi="mn-Mong-CN"/>
        </w:rPr>
        <w:t>F</w:t>
      </w:r>
      <w:r>
        <w:rPr>
          <w:rStyle w:val="29"/>
          <w:rFonts w:hint="eastAsia" w:ascii="宋体" w:hAnsi="宋体" w:eastAsia="宋体" w:cs="宋体"/>
          <w:color w:val="auto"/>
          <w:kern w:val="2"/>
          <w:sz w:val="21"/>
          <w:szCs w:val="21"/>
          <w:highlight w:val="none"/>
          <w:vertAlign w:val="subscript"/>
          <w:lang w:val="zh-CN" w:eastAsia="zh-CN" w:bidi="mn-Mong-CN"/>
        </w:rPr>
        <w:t>1</w:t>
      </w:r>
      <w:r>
        <w:rPr>
          <w:rStyle w:val="29"/>
          <w:rFonts w:hint="eastAsia" w:ascii="宋体" w:hAnsi="宋体" w:eastAsia="宋体" w:cs="宋体"/>
          <w:color w:val="auto"/>
          <w:kern w:val="2"/>
          <w:sz w:val="21"/>
          <w:szCs w:val="21"/>
          <w:highlight w:val="none"/>
          <w:lang w:val="zh-CN" w:eastAsia="zh-CN" w:bidi="mn-Mong-CN"/>
        </w:rPr>
        <w:t>——开始扣款时合同累计完成金额达到签约合同价格的比例；</w:t>
      </w:r>
      <w:bookmarkEnd w:id="1554"/>
    </w:p>
    <w:p w14:paraId="19DAC28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bidi="mn-Mong-CN"/>
        </w:rPr>
      </w:pPr>
      <w:r>
        <w:rPr>
          <w:rStyle w:val="29"/>
          <w:rFonts w:hint="eastAsia" w:ascii="宋体" w:hAnsi="宋体" w:eastAsia="宋体" w:cs="宋体"/>
          <w:color w:val="auto"/>
          <w:kern w:val="2"/>
          <w:sz w:val="21"/>
          <w:szCs w:val="21"/>
          <w:highlight w:val="none"/>
          <w:lang w:eastAsia="zh-CN" w:bidi="mn-Mong-CN"/>
        </w:rPr>
        <w:t xml:space="preserve">      </w:t>
      </w:r>
      <w:bookmarkStart w:id="1555" w:name="_Toc221951245"/>
      <w:r>
        <w:rPr>
          <w:rStyle w:val="29"/>
          <w:rFonts w:hint="eastAsia" w:ascii="宋体" w:hAnsi="宋体" w:eastAsia="宋体" w:cs="宋体"/>
          <w:color w:val="auto"/>
          <w:kern w:val="2"/>
          <w:sz w:val="21"/>
          <w:szCs w:val="21"/>
          <w:highlight w:val="none"/>
          <w:lang w:eastAsia="zh-CN" w:bidi="mn-Mong-CN"/>
        </w:rPr>
        <w:t>F</w:t>
      </w:r>
      <w:r>
        <w:rPr>
          <w:rStyle w:val="29"/>
          <w:rFonts w:hint="eastAsia" w:ascii="宋体" w:hAnsi="宋体" w:eastAsia="宋体" w:cs="宋体"/>
          <w:color w:val="auto"/>
          <w:kern w:val="2"/>
          <w:sz w:val="21"/>
          <w:szCs w:val="21"/>
          <w:highlight w:val="none"/>
          <w:vertAlign w:val="subscript"/>
          <w:lang w:eastAsia="zh-CN" w:bidi="mn-Mong-CN"/>
        </w:rPr>
        <w:t>2</w:t>
      </w:r>
      <w:r>
        <w:rPr>
          <w:rStyle w:val="29"/>
          <w:rFonts w:hint="eastAsia" w:ascii="宋体" w:hAnsi="宋体" w:eastAsia="宋体" w:cs="宋体"/>
          <w:color w:val="auto"/>
          <w:kern w:val="2"/>
          <w:sz w:val="21"/>
          <w:szCs w:val="21"/>
          <w:highlight w:val="none"/>
          <w:lang w:eastAsia="zh-CN" w:bidi="mn-Mong-CN"/>
        </w:rPr>
        <w:t>——全部扣清时合同累计完成金额达到签约合同价格的比例。</w:t>
      </w:r>
      <w:bookmarkEnd w:id="1555"/>
    </w:p>
    <w:p w14:paraId="76E9A2A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上述合同累计完成金额均指价格调整前未扣质量保证金的金额。</w:t>
      </w:r>
    </w:p>
    <w:p w14:paraId="606134C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(2)工程材料预付款的扣回与还清约定为：</w:t>
      </w:r>
      <w:r>
        <w:rPr>
          <w:rStyle w:val="29"/>
          <w:rFonts w:hint="eastAsia" w:ascii="宋体" w:hAnsi="宋体" w:eastAsia="宋体" w:cs="宋体"/>
          <w:color w:val="auto"/>
          <w:kern w:val="2"/>
          <w:sz w:val="21"/>
          <w:szCs w:val="21"/>
          <w:highlight w:val="none"/>
          <w:u w:val="single"/>
          <w:lang w:val="zh-CN" w:eastAsia="zh-CN" w:bidi="zh-CN"/>
        </w:rPr>
        <w:t>采用上述第（1）种方式</w:t>
      </w:r>
      <w:r>
        <w:rPr>
          <w:rStyle w:val="29"/>
          <w:rFonts w:hint="eastAsia" w:ascii="宋体" w:hAnsi="宋体" w:eastAsia="宋体" w:cs="宋体"/>
          <w:color w:val="auto"/>
          <w:kern w:val="2"/>
          <w:sz w:val="21"/>
          <w:szCs w:val="21"/>
          <w:highlight w:val="none"/>
          <w:lang w:eastAsia="zh-CN" w:bidi="ar-SA"/>
        </w:rPr>
        <w:t>。</w:t>
      </w:r>
    </w:p>
    <w:p w14:paraId="02540CBB">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56" w:name="bookmark1791"/>
      <w:bookmarkStart w:id="1557" w:name="bookmark1789"/>
      <w:bookmarkStart w:id="1558" w:name="bookmark1790"/>
      <w:r>
        <w:rPr>
          <w:rStyle w:val="29"/>
          <w:rFonts w:hint="eastAsia" w:ascii="宋体" w:hAnsi="宋体" w:eastAsia="宋体" w:cs="宋体"/>
          <w:color w:val="auto"/>
          <w:kern w:val="2"/>
          <w:sz w:val="21"/>
          <w:szCs w:val="21"/>
          <w:highlight w:val="none"/>
          <w:lang w:eastAsia="zh-CN"/>
        </w:rPr>
        <w:t>17.3</w:t>
      </w:r>
      <w:r>
        <w:rPr>
          <w:rStyle w:val="29"/>
          <w:rFonts w:hint="eastAsia" w:ascii="宋体" w:hAnsi="宋体" w:eastAsia="宋体" w:cs="宋体"/>
          <w:color w:val="auto"/>
          <w:kern w:val="2"/>
          <w:sz w:val="21"/>
          <w:szCs w:val="21"/>
          <w:highlight w:val="none"/>
          <w:lang w:val="zh-CN" w:eastAsia="zh-CN"/>
        </w:rPr>
        <w:t>工程进度付款</w:t>
      </w:r>
      <w:bookmarkEnd w:id="1556"/>
      <w:bookmarkEnd w:id="1557"/>
      <w:bookmarkEnd w:id="1558"/>
    </w:p>
    <w:p w14:paraId="1A84D42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17.3.2</w:t>
      </w:r>
      <w:r>
        <w:rPr>
          <w:rStyle w:val="29"/>
          <w:rFonts w:hint="eastAsia" w:ascii="宋体" w:hAnsi="宋体" w:eastAsia="宋体" w:cs="宋体"/>
          <w:color w:val="auto"/>
          <w:kern w:val="2"/>
          <w:sz w:val="21"/>
          <w:szCs w:val="21"/>
          <w:highlight w:val="none"/>
          <w:lang w:val="zh-CN" w:eastAsia="zh-CN" w:bidi="zh-CN"/>
        </w:rPr>
        <w:t>进度付款申请单</w:t>
      </w:r>
    </w:p>
    <w:p w14:paraId="4781834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zh-CN" w:eastAsia="zh-CN" w:bidi="zh-CN"/>
        </w:rPr>
        <w:t>承包人提交进度付款申请单的份数：</w:t>
      </w:r>
      <w:r>
        <w:rPr>
          <w:rStyle w:val="29"/>
          <w:rFonts w:hint="eastAsia" w:ascii="宋体" w:hAnsi="宋体" w:eastAsia="宋体" w:cs="宋体"/>
          <w:color w:val="auto"/>
          <w:kern w:val="2"/>
          <w:sz w:val="21"/>
          <w:szCs w:val="21"/>
          <w:highlight w:val="none"/>
          <w:u w:val="single"/>
          <w:lang w:val="zh-CN" w:eastAsia="zh-CN" w:bidi="zh-CN"/>
        </w:rPr>
        <w:t>在签订施工承包合同时约定</w:t>
      </w:r>
      <w:r>
        <w:rPr>
          <w:rStyle w:val="29"/>
          <w:rFonts w:hint="eastAsia" w:ascii="宋体" w:hAnsi="宋体" w:eastAsia="宋体" w:cs="宋体"/>
          <w:color w:val="auto"/>
          <w:kern w:val="2"/>
          <w:sz w:val="21"/>
          <w:szCs w:val="21"/>
          <w:highlight w:val="none"/>
          <w:lang w:eastAsia="zh-CN" w:bidi="ar-SA"/>
        </w:rPr>
        <w:t>。</w:t>
      </w:r>
    </w:p>
    <w:p w14:paraId="58091A3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17.3.3</w:t>
      </w:r>
      <w:r>
        <w:rPr>
          <w:rStyle w:val="29"/>
          <w:rFonts w:hint="eastAsia" w:ascii="宋体" w:hAnsi="宋体" w:eastAsia="宋体" w:cs="宋体"/>
          <w:color w:val="auto"/>
          <w:kern w:val="2"/>
          <w:sz w:val="21"/>
          <w:szCs w:val="21"/>
          <w:highlight w:val="none"/>
          <w:lang w:val="zh-CN" w:eastAsia="zh-CN" w:bidi="zh-CN"/>
        </w:rPr>
        <w:t>进度付款证书和支付时间</w:t>
      </w:r>
    </w:p>
    <w:p w14:paraId="6DBE7FB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(2)本款“专用合同条款的约定支付逾期付款违约金”为按中国人民银行规定的同期贷款利率计算的逾期付款金额的利息。由于财政资金审批延误等非发包人原因造成工程款支付延误，发包人不承担违约责任。</w:t>
      </w:r>
    </w:p>
    <w:p w14:paraId="2A853FC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17.3.5</w:t>
      </w:r>
      <w:r>
        <w:rPr>
          <w:rStyle w:val="29"/>
          <w:rFonts w:hint="eastAsia" w:ascii="宋体" w:hAnsi="宋体" w:eastAsia="宋体" w:cs="宋体"/>
          <w:color w:val="auto"/>
          <w:kern w:val="2"/>
          <w:sz w:val="21"/>
          <w:szCs w:val="21"/>
          <w:highlight w:val="none"/>
          <w:lang w:val="zh-CN" w:eastAsia="zh-CN" w:bidi="zh-CN"/>
        </w:rPr>
        <w:t>工程进度付款的支付比例</w:t>
      </w:r>
    </w:p>
    <w:p w14:paraId="788C6BB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工程款原则上按月支付，合同内进度款支付限额为已完成工程量的80%，工程变更部分进度款支付限额为已完成工程量的60%；工程竣工验收达到质量要求，结算经审定并项目通过竣工验收，财政资金到位，工程款支付至结算总价的97%（承包人同时开具含质保金在内的符合相关法律规定的正规发票）。</w:t>
      </w:r>
    </w:p>
    <w:p w14:paraId="2A5E0DA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每次付款前，承包人应按甲方的要求提供符合相关法律法规的增值税发票，如发票不符合要求，甲方有权拒收，乙方应承担因不合格发票产生的所有责任。</w:t>
      </w:r>
    </w:p>
    <w:p w14:paraId="58101AF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发包人最终向承包人支付的工程款，以财政部门、审计部门或其委托的审价机构审定的款项为准（如设备款不需财政或审计部门审定，即以发包人与承包人确认的款项为准）。发包人向承包人支付进度款、质保金等所有款项都是通过财政支付程序支付，在上述约定时间内发包人办理了付款给承包人的手续，如果因为财政支付程序造成款项有延迟到达承包人账户的情形，不视为发包人违约，承包人不因此要求发包人承担违约责任。</w:t>
      </w:r>
    </w:p>
    <w:p w14:paraId="1C32A362">
      <w:pPr>
        <w:pStyle w:val="103"/>
        <w:shd w:val="clear" w:color="auto"/>
        <w:tabs>
          <w:tab w:val="left" w:pos="4428"/>
        </w:tabs>
        <w:spacing w:line="358" w:lineRule="exact"/>
        <w:jc w:val="both"/>
        <w:rPr>
          <w:rStyle w:val="29"/>
          <w:rFonts w:hint="eastAsia" w:ascii="宋体" w:hAnsi="宋体" w:eastAsia="宋体" w:cs="宋体"/>
          <w:color w:val="auto"/>
          <w:sz w:val="21"/>
          <w:szCs w:val="21"/>
          <w:highlight w:val="none"/>
          <w:lang w:val="zh-CN" w:eastAsia="zh-CN" w:bidi="zh-CN"/>
        </w:rPr>
      </w:pPr>
    </w:p>
    <w:p w14:paraId="7CE9984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59" w:name="bookmark1793"/>
      <w:bookmarkStart w:id="1560" w:name="bookmark1794"/>
      <w:bookmarkStart w:id="1561" w:name="bookmark1792"/>
      <w:r>
        <w:rPr>
          <w:rStyle w:val="29"/>
          <w:rFonts w:hint="eastAsia" w:ascii="宋体" w:hAnsi="宋体" w:eastAsia="宋体" w:cs="宋体"/>
          <w:color w:val="auto"/>
          <w:kern w:val="2"/>
          <w:sz w:val="21"/>
          <w:szCs w:val="21"/>
          <w:highlight w:val="none"/>
          <w:lang w:eastAsia="zh-CN"/>
        </w:rPr>
        <w:t>17.4</w:t>
      </w:r>
      <w:r>
        <w:rPr>
          <w:rStyle w:val="29"/>
          <w:rFonts w:hint="eastAsia" w:ascii="宋体" w:hAnsi="宋体" w:eastAsia="宋体" w:cs="宋体"/>
          <w:color w:val="auto"/>
          <w:kern w:val="2"/>
          <w:sz w:val="21"/>
          <w:szCs w:val="21"/>
          <w:highlight w:val="none"/>
          <w:lang w:val="zh-CN" w:eastAsia="zh-CN"/>
        </w:rPr>
        <w:t>质量保证金</w:t>
      </w:r>
      <w:bookmarkEnd w:id="1559"/>
      <w:bookmarkEnd w:id="1560"/>
      <w:bookmarkEnd w:id="1561"/>
    </w:p>
    <w:p w14:paraId="13E65D2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eastAsia="zh-CN" w:bidi="ar-SA"/>
        </w:rPr>
        <w:t>17.4.1.1</w:t>
      </w:r>
      <w:r>
        <w:rPr>
          <w:rStyle w:val="29"/>
          <w:rFonts w:hint="eastAsia" w:ascii="宋体" w:hAnsi="宋体" w:eastAsia="宋体" w:cs="宋体"/>
          <w:color w:val="auto"/>
          <w:kern w:val="2"/>
          <w:sz w:val="21"/>
          <w:szCs w:val="21"/>
          <w:highlight w:val="none"/>
          <w:lang w:val="zh-CN" w:eastAsia="zh-CN" w:bidi="zh-CN"/>
        </w:rPr>
        <w:t>每个付款周期扣留的质量保证金为工程进度付款的3%，扣留的质量保证金总额为工程价款结算总额的</w:t>
      </w:r>
      <w:r>
        <w:rPr>
          <w:rStyle w:val="29"/>
          <w:rFonts w:hint="eastAsia" w:ascii="宋体" w:hAnsi="宋体" w:eastAsia="宋体" w:cs="宋体"/>
          <w:color w:val="auto"/>
          <w:kern w:val="2"/>
          <w:sz w:val="21"/>
          <w:szCs w:val="21"/>
          <w:highlight w:val="none"/>
          <w:u w:val="single"/>
          <w:lang w:val="en-US" w:eastAsia="zh-CN" w:bidi="zh-CN"/>
        </w:rPr>
        <w:t xml:space="preserve"> </w:t>
      </w:r>
      <w:r>
        <w:rPr>
          <w:rStyle w:val="29"/>
          <w:rFonts w:hint="eastAsia" w:ascii="宋体" w:hAnsi="宋体" w:eastAsia="宋体" w:cs="宋体"/>
          <w:color w:val="auto"/>
          <w:kern w:val="2"/>
          <w:sz w:val="21"/>
          <w:szCs w:val="21"/>
          <w:highlight w:val="none"/>
          <w:u w:val="single"/>
          <w:lang w:val="zh-CN" w:eastAsia="zh-CN" w:bidi="zh-CN"/>
        </w:rPr>
        <w:t xml:space="preserve">3% </w:t>
      </w:r>
      <w:r>
        <w:rPr>
          <w:rStyle w:val="29"/>
          <w:rFonts w:hint="eastAsia" w:ascii="宋体" w:hAnsi="宋体" w:eastAsia="宋体" w:cs="宋体"/>
          <w:color w:val="auto"/>
          <w:kern w:val="2"/>
          <w:sz w:val="21"/>
          <w:szCs w:val="21"/>
          <w:highlight w:val="none"/>
          <w:lang w:eastAsia="zh-CN" w:bidi="ar-SA"/>
        </w:rPr>
        <w:t>。</w:t>
      </w:r>
    </w:p>
    <w:p w14:paraId="1EAB1E7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eastAsia="zh-CN" w:bidi="ar-SA"/>
        </w:rPr>
        <w:t>17.4.1.2</w:t>
      </w:r>
      <w:r>
        <w:rPr>
          <w:rStyle w:val="29"/>
          <w:rFonts w:hint="eastAsia" w:ascii="宋体" w:hAnsi="宋体" w:eastAsia="宋体" w:cs="宋体"/>
          <w:color w:val="auto"/>
          <w:kern w:val="2"/>
          <w:sz w:val="21"/>
          <w:szCs w:val="21"/>
          <w:highlight w:val="none"/>
          <w:lang w:val="zh-CN" w:eastAsia="zh-CN" w:bidi="zh-CN"/>
        </w:rPr>
        <w:t>工程通过竣工验收并且工程结算经</w:t>
      </w:r>
      <w:r>
        <w:rPr>
          <w:rStyle w:val="29"/>
          <w:rFonts w:hint="eastAsia" w:ascii="宋体" w:hAnsi="宋体" w:eastAsia="宋体" w:cs="宋体"/>
          <w:color w:val="auto"/>
          <w:kern w:val="2"/>
          <w:sz w:val="21"/>
          <w:szCs w:val="21"/>
          <w:highlight w:val="none"/>
          <w:lang w:val="en-US" w:eastAsia="zh-CN" w:bidi="zh-CN"/>
        </w:rPr>
        <w:t>南宁市</w:t>
      </w:r>
      <w:r>
        <w:rPr>
          <w:rStyle w:val="29"/>
          <w:rFonts w:hint="eastAsia" w:ascii="宋体" w:hAnsi="宋体" w:eastAsia="宋体" w:cs="宋体"/>
          <w:color w:val="auto"/>
          <w:kern w:val="2"/>
          <w:sz w:val="21"/>
          <w:szCs w:val="21"/>
          <w:highlight w:val="none"/>
          <w:lang w:val="zh-CN" w:eastAsia="zh-CN" w:bidi="zh-CN"/>
        </w:rPr>
        <w:t>财政或审计部门审定后，一次性扣留的质量保证金总额为工程价款结算总额的3%，待工程质量保修期满14天内</w:t>
      </w:r>
      <w:r>
        <w:rPr>
          <w:rStyle w:val="29"/>
          <w:rFonts w:hint="eastAsia" w:ascii="宋体" w:hAnsi="宋体" w:eastAsia="宋体" w:cs="宋体"/>
          <w:color w:val="auto"/>
          <w:kern w:val="2"/>
          <w:sz w:val="21"/>
          <w:szCs w:val="21"/>
          <w:highlight w:val="none"/>
          <w:lang w:eastAsia="zh-CN" w:bidi="zh-CN"/>
        </w:rPr>
        <w:t>无息</w:t>
      </w:r>
      <w:r>
        <w:rPr>
          <w:rStyle w:val="29"/>
          <w:rFonts w:hint="eastAsia" w:ascii="宋体" w:hAnsi="宋体" w:eastAsia="宋体" w:cs="宋体"/>
          <w:color w:val="auto"/>
          <w:kern w:val="2"/>
          <w:sz w:val="21"/>
          <w:szCs w:val="21"/>
          <w:highlight w:val="none"/>
          <w:lang w:val="zh-CN" w:eastAsia="zh-CN" w:bidi="zh-CN"/>
        </w:rPr>
        <w:t>退还。</w:t>
      </w:r>
    </w:p>
    <w:p w14:paraId="33589A8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17.4.1.3</w:t>
      </w:r>
      <w:r>
        <w:rPr>
          <w:rStyle w:val="29"/>
          <w:rFonts w:hint="eastAsia" w:ascii="宋体" w:hAnsi="宋体" w:eastAsia="宋体" w:cs="宋体"/>
          <w:color w:val="auto"/>
          <w:kern w:val="2"/>
          <w:sz w:val="21"/>
          <w:szCs w:val="21"/>
          <w:highlight w:val="none"/>
          <w:lang w:val="zh-CN" w:eastAsia="zh-CN" w:bidi="zh-CN"/>
        </w:rPr>
        <w:t>在工程项目完工前，已经缴纳履约保证金的，发包人不得同时扣留工程质量保证金。</w:t>
      </w:r>
    </w:p>
    <w:p w14:paraId="1248D75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en-US" w:eastAsia="zh-CN"/>
        </w:rPr>
      </w:pPr>
      <w:bookmarkStart w:id="1562" w:name="bookmark1797"/>
      <w:bookmarkStart w:id="1563" w:name="bookmark1796"/>
      <w:bookmarkStart w:id="1564" w:name="bookmark1795"/>
      <w:r>
        <w:rPr>
          <w:rStyle w:val="29"/>
          <w:rFonts w:hint="eastAsia" w:ascii="宋体" w:hAnsi="宋体" w:eastAsia="宋体" w:cs="宋体"/>
          <w:color w:val="auto"/>
          <w:kern w:val="2"/>
          <w:sz w:val="21"/>
          <w:szCs w:val="21"/>
          <w:highlight w:val="none"/>
          <w:lang w:val="en-US" w:eastAsia="zh-CN"/>
        </w:rPr>
        <w:t>17.5竣工（完工）结算</w:t>
      </w:r>
    </w:p>
    <w:p w14:paraId="1CAD882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en-US" w:eastAsia="zh-CN" w:bidi="zh-CN"/>
        </w:rPr>
      </w:pPr>
      <w:r>
        <w:rPr>
          <w:rStyle w:val="29"/>
          <w:rFonts w:hint="eastAsia" w:ascii="宋体" w:hAnsi="宋体" w:eastAsia="宋体" w:cs="宋体"/>
          <w:color w:val="auto"/>
          <w:kern w:val="2"/>
          <w:sz w:val="21"/>
          <w:szCs w:val="21"/>
          <w:highlight w:val="none"/>
          <w:lang w:val="en-US" w:eastAsia="zh-CN" w:bidi="zh-CN"/>
        </w:rPr>
        <w:t>17.5.1竣工（完工）付款申请单</w:t>
      </w:r>
    </w:p>
    <w:p w14:paraId="56EFB45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en-US" w:eastAsia="zh-CN" w:bidi="zh-CN"/>
        </w:rPr>
      </w:pPr>
      <w:r>
        <w:rPr>
          <w:rStyle w:val="29"/>
          <w:rFonts w:hint="eastAsia" w:ascii="宋体" w:hAnsi="宋体" w:eastAsia="宋体" w:cs="宋体"/>
          <w:color w:val="auto"/>
          <w:kern w:val="2"/>
          <w:sz w:val="21"/>
          <w:szCs w:val="21"/>
          <w:highlight w:val="none"/>
          <w:lang w:val="en-US" w:eastAsia="zh-CN" w:bidi="zh-CN"/>
        </w:rPr>
        <w:t>（1）承包人应提交竣工付款申请单份数：在签订施工承包合同时明确。</w:t>
      </w:r>
    </w:p>
    <w:p w14:paraId="342C543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en-US" w:eastAsia="zh-CN" w:bidi="zh-CN"/>
        </w:rPr>
      </w:pPr>
      <w:r>
        <w:rPr>
          <w:rStyle w:val="29"/>
          <w:rFonts w:hint="eastAsia" w:ascii="宋体" w:hAnsi="宋体" w:eastAsia="宋体" w:cs="宋体"/>
          <w:color w:val="auto"/>
          <w:kern w:val="2"/>
          <w:sz w:val="21"/>
          <w:szCs w:val="21"/>
          <w:highlight w:val="none"/>
          <w:lang w:val="en-US" w:eastAsia="zh-CN" w:bidi="zh-CN"/>
        </w:rPr>
        <w:t>17.5.3除按通用合同条款所说的内容外，增加以下内容：最终结算以财政评审结果为准。</w:t>
      </w:r>
    </w:p>
    <w:p w14:paraId="2E7ECA08">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en-US" w:eastAsia="zh-CN"/>
        </w:rPr>
      </w:pPr>
      <w:r>
        <w:rPr>
          <w:rStyle w:val="29"/>
          <w:rFonts w:hint="eastAsia" w:ascii="宋体" w:hAnsi="宋体" w:eastAsia="宋体" w:cs="宋体"/>
          <w:color w:val="auto"/>
          <w:kern w:val="2"/>
          <w:sz w:val="21"/>
          <w:szCs w:val="21"/>
          <w:highlight w:val="none"/>
          <w:lang w:val="en-US" w:eastAsia="zh-CN"/>
        </w:rPr>
        <w:t>17.6最终结清</w:t>
      </w:r>
    </w:p>
    <w:p w14:paraId="1A77693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en-US" w:eastAsia="zh-CN" w:bidi="zh-CN"/>
        </w:rPr>
      </w:pPr>
      <w:r>
        <w:rPr>
          <w:rStyle w:val="29"/>
          <w:rFonts w:hint="eastAsia" w:ascii="宋体" w:hAnsi="宋体" w:eastAsia="宋体" w:cs="宋体"/>
          <w:color w:val="auto"/>
          <w:kern w:val="2"/>
          <w:sz w:val="21"/>
          <w:szCs w:val="21"/>
          <w:highlight w:val="none"/>
          <w:lang w:val="en-US" w:eastAsia="zh-CN" w:bidi="zh-CN"/>
        </w:rPr>
        <w:t>17.6.1最终结清申请单</w:t>
      </w:r>
    </w:p>
    <w:p w14:paraId="62EBD7C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en-US" w:eastAsia="zh-CN" w:bidi="zh-CN"/>
        </w:rPr>
      </w:pPr>
      <w:r>
        <w:rPr>
          <w:rStyle w:val="29"/>
          <w:rFonts w:hint="eastAsia" w:ascii="宋体" w:hAnsi="宋体" w:eastAsia="宋体" w:cs="宋体"/>
          <w:color w:val="auto"/>
          <w:kern w:val="2"/>
          <w:sz w:val="21"/>
          <w:szCs w:val="21"/>
          <w:highlight w:val="none"/>
          <w:lang w:val="en-US" w:eastAsia="zh-CN" w:bidi="zh-CN"/>
        </w:rPr>
        <w:t>（1）承包人应提交最终结清申请单份数：</w:t>
      </w:r>
      <w:r>
        <w:rPr>
          <w:rStyle w:val="29"/>
          <w:rFonts w:hint="eastAsia" w:ascii="宋体" w:hAnsi="宋体" w:eastAsia="宋体" w:cs="宋体"/>
          <w:color w:val="auto"/>
          <w:kern w:val="2"/>
          <w:sz w:val="21"/>
          <w:szCs w:val="21"/>
          <w:highlight w:val="none"/>
          <w:u w:val="single"/>
          <w:lang w:val="en-US" w:eastAsia="zh-CN" w:bidi="zh-CN"/>
        </w:rPr>
        <w:t>一式六份</w:t>
      </w:r>
      <w:r>
        <w:rPr>
          <w:rStyle w:val="29"/>
          <w:rFonts w:hint="eastAsia" w:ascii="宋体" w:hAnsi="宋体" w:eastAsia="宋体" w:cs="宋体"/>
          <w:color w:val="auto"/>
          <w:kern w:val="2"/>
          <w:sz w:val="21"/>
          <w:szCs w:val="21"/>
          <w:highlight w:val="none"/>
          <w:lang w:val="en-US" w:eastAsia="zh-CN" w:bidi="zh-CN"/>
        </w:rPr>
        <w:t>。</w:t>
      </w:r>
    </w:p>
    <w:p w14:paraId="251357A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en-US" w:eastAsia="zh-CN"/>
        </w:rPr>
      </w:pPr>
      <w:r>
        <w:rPr>
          <w:rStyle w:val="29"/>
          <w:rFonts w:hint="eastAsia" w:ascii="宋体" w:hAnsi="宋体" w:eastAsia="宋体" w:cs="宋体"/>
          <w:color w:val="auto"/>
          <w:kern w:val="2"/>
          <w:sz w:val="21"/>
          <w:szCs w:val="21"/>
          <w:highlight w:val="none"/>
          <w:lang w:val="en-US" w:eastAsia="zh-CN"/>
        </w:rPr>
        <w:t>17.7竣工财务决算</w:t>
      </w:r>
    </w:p>
    <w:p w14:paraId="76DEAB5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bidi="zh-CN"/>
        </w:rPr>
      </w:pPr>
      <w:r>
        <w:rPr>
          <w:rStyle w:val="29"/>
          <w:rFonts w:hint="eastAsia" w:ascii="宋体" w:hAnsi="宋体" w:eastAsia="宋体" w:cs="宋体"/>
          <w:color w:val="auto"/>
          <w:kern w:val="2"/>
          <w:sz w:val="21"/>
          <w:szCs w:val="21"/>
          <w:highlight w:val="none"/>
          <w:lang w:val="en-US" w:eastAsia="zh-CN" w:bidi="zh-CN"/>
        </w:rPr>
        <w:t>承包人</w:t>
      </w:r>
      <w:r>
        <w:rPr>
          <w:rStyle w:val="29"/>
          <w:rFonts w:hint="eastAsia" w:ascii="宋体" w:hAnsi="宋体" w:eastAsia="宋体" w:cs="宋体"/>
          <w:color w:val="auto"/>
          <w:kern w:val="2"/>
          <w:sz w:val="21"/>
          <w:szCs w:val="21"/>
          <w:highlight w:val="none"/>
          <w:lang w:eastAsia="zh-CN" w:bidi="zh-CN"/>
        </w:rPr>
        <w:t>应为竣工财务决算编制提供的资料：</w:t>
      </w:r>
      <w:r>
        <w:rPr>
          <w:rStyle w:val="29"/>
          <w:rFonts w:hint="eastAsia" w:ascii="宋体" w:hAnsi="宋体" w:eastAsia="宋体" w:cs="宋体"/>
          <w:color w:val="auto"/>
          <w:kern w:val="2"/>
          <w:sz w:val="21"/>
          <w:szCs w:val="21"/>
          <w:highlight w:val="none"/>
          <w:u w:val="single"/>
          <w:lang w:val="zh-CN" w:eastAsia="zh-CN" w:bidi="zh-CN"/>
        </w:rPr>
        <w:t>按现行《水利基本建设项目竣工财务决算编制规程》（SL 19-2014）及相关法律、法规和规章制度执行。决算费用由发包人另行支付</w:t>
      </w:r>
      <w:r>
        <w:rPr>
          <w:rStyle w:val="29"/>
          <w:rFonts w:hint="eastAsia" w:ascii="宋体" w:hAnsi="宋体" w:eastAsia="宋体" w:cs="宋体"/>
          <w:color w:val="auto"/>
          <w:kern w:val="2"/>
          <w:sz w:val="21"/>
          <w:szCs w:val="21"/>
          <w:highlight w:val="none"/>
          <w:lang w:eastAsia="zh-CN" w:bidi="zh-CN"/>
        </w:rPr>
        <w:t>。</w:t>
      </w:r>
    </w:p>
    <w:bookmarkEnd w:id="1562"/>
    <w:bookmarkEnd w:id="1563"/>
    <w:bookmarkEnd w:id="1564"/>
    <w:p w14:paraId="6CBF30BE">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565" w:name="bookmark1808"/>
      <w:bookmarkEnd w:id="1565"/>
      <w:bookmarkStart w:id="1566" w:name="bookmark1809"/>
      <w:bookmarkStart w:id="1567" w:name="_Toc30479"/>
      <w:bookmarkStart w:id="1568" w:name="_Toc49083465"/>
      <w:bookmarkStart w:id="1569" w:name="bookmark1807"/>
      <w:bookmarkStart w:id="1570" w:name="_Toc797"/>
      <w:bookmarkStart w:id="1571" w:name="bookmark1806"/>
      <w:r>
        <w:rPr>
          <w:rStyle w:val="29"/>
          <w:rFonts w:hint="eastAsia" w:ascii="宋体" w:hAnsi="宋体" w:eastAsia="宋体" w:cs="宋体"/>
          <w:color w:val="auto"/>
          <w:kern w:val="2"/>
          <w:sz w:val="21"/>
          <w:szCs w:val="21"/>
          <w:highlight w:val="none"/>
          <w:lang w:eastAsia="zh-CN"/>
        </w:rPr>
        <w:t>18.竣工验收（验收）</w:t>
      </w:r>
      <w:bookmarkEnd w:id="1566"/>
      <w:bookmarkEnd w:id="1567"/>
      <w:bookmarkEnd w:id="1568"/>
      <w:bookmarkEnd w:id="1569"/>
      <w:bookmarkEnd w:id="1570"/>
      <w:bookmarkEnd w:id="1571"/>
    </w:p>
    <w:p w14:paraId="6AB80BF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72" w:name="bookmark1810"/>
      <w:bookmarkStart w:id="1573" w:name="bookmark1812"/>
      <w:bookmarkStart w:id="1574" w:name="bookmark1811"/>
      <w:r>
        <w:rPr>
          <w:rStyle w:val="29"/>
          <w:rFonts w:hint="eastAsia" w:ascii="宋体" w:hAnsi="宋体" w:eastAsia="宋体" w:cs="宋体"/>
          <w:color w:val="auto"/>
          <w:kern w:val="2"/>
          <w:sz w:val="21"/>
          <w:szCs w:val="21"/>
          <w:highlight w:val="none"/>
          <w:lang w:eastAsia="zh-CN"/>
        </w:rPr>
        <w:t>18</w:t>
      </w:r>
      <w:r>
        <w:rPr>
          <w:rStyle w:val="29"/>
          <w:rFonts w:hint="eastAsia" w:ascii="宋体" w:hAnsi="宋体" w:eastAsia="宋体" w:cs="宋体"/>
          <w:color w:val="auto"/>
          <w:kern w:val="2"/>
          <w:sz w:val="21"/>
          <w:szCs w:val="21"/>
          <w:highlight w:val="none"/>
          <w:lang w:val="zh-CN" w:eastAsia="zh-CN"/>
        </w:rPr>
        <w:t>.1验收工作分类</w:t>
      </w:r>
      <w:bookmarkEnd w:id="1572"/>
      <w:bookmarkEnd w:id="1573"/>
      <w:bookmarkEnd w:id="1574"/>
    </w:p>
    <w:p w14:paraId="33F2DCE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根据《水利工程建设项目验收管理规定》（水利部令第30号）、《水利水电建设工程验收规程》</w:t>
      </w:r>
      <w:r>
        <w:rPr>
          <w:rStyle w:val="29"/>
          <w:rFonts w:hint="eastAsia" w:ascii="宋体" w:hAnsi="宋体" w:eastAsia="宋体" w:cs="宋体"/>
          <w:color w:val="auto"/>
          <w:kern w:val="2"/>
          <w:sz w:val="21"/>
          <w:szCs w:val="21"/>
          <w:highlight w:val="none"/>
          <w:lang w:val="en-US" w:eastAsia="zh-CN" w:bidi="zh-CN"/>
        </w:rPr>
        <w:t>（SL223）2008）和《小型水库雨水情测报和大坝安全监测设施建设与运行管理办法》</w:t>
      </w:r>
      <w:r>
        <w:rPr>
          <w:rStyle w:val="29"/>
          <w:rFonts w:hint="eastAsia" w:ascii="宋体" w:hAnsi="宋体" w:eastAsia="宋体" w:cs="宋体"/>
          <w:color w:val="auto"/>
          <w:kern w:val="2"/>
          <w:sz w:val="21"/>
          <w:szCs w:val="21"/>
          <w:highlight w:val="none"/>
          <w:lang w:val="zh-CN" w:eastAsia="zh-CN" w:bidi="zh-CN"/>
        </w:rPr>
        <w:t>的相关规定执行。</w:t>
      </w:r>
    </w:p>
    <w:p w14:paraId="6196B0A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75" w:name="bookmark1815"/>
      <w:bookmarkStart w:id="1576" w:name="bookmark1813"/>
      <w:bookmarkStart w:id="1577" w:name="bookmark1814"/>
      <w:r>
        <w:rPr>
          <w:rStyle w:val="29"/>
          <w:rFonts w:hint="eastAsia" w:ascii="宋体" w:hAnsi="宋体" w:eastAsia="宋体" w:cs="宋体"/>
          <w:color w:val="auto"/>
          <w:kern w:val="2"/>
          <w:sz w:val="21"/>
          <w:szCs w:val="21"/>
          <w:highlight w:val="none"/>
          <w:lang w:eastAsia="zh-CN"/>
        </w:rPr>
        <w:t>18</w:t>
      </w:r>
      <w:r>
        <w:rPr>
          <w:rStyle w:val="29"/>
          <w:rFonts w:hint="eastAsia" w:ascii="宋体" w:hAnsi="宋体" w:eastAsia="宋体" w:cs="宋体"/>
          <w:color w:val="auto"/>
          <w:kern w:val="2"/>
          <w:sz w:val="21"/>
          <w:szCs w:val="21"/>
          <w:highlight w:val="none"/>
          <w:lang w:val="zh-CN" w:eastAsia="zh-CN"/>
        </w:rPr>
        <w:t>.2分部工程验收</w:t>
      </w:r>
      <w:bookmarkEnd w:id="1575"/>
      <w:bookmarkEnd w:id="1576"/>
      <w:bookmarkEnd w:id="1577"/>
    </w:p>
    <w:p w14:paraId="3581DB4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18.2.2</w:t>
      </w:r>
      <w:r>
        <w:rPr>
          <w:rStyle w:val="29"/>
          <w:rFonts w:hint="eastAsia" w:ascii="宋体" w:hAnsi="宋体" w:eastAsia="宋体" w:cs="宋体"/>
          <w:color w:val="auto"/>
          <w:kern w:val="2"/>
          <w:sz w:val="21"/>
          <w:szCs w:val="21"/>
          <w:highlight w:val="none"/>
          <w:lang w:val="zh-CN" w:eastAsia="zh-CN" w:bidi="zh-CN"/>
        </w:rPr>
        <w:t>本工程由发包人主持的分部工程验收为：</w:t>
      </w:r>
      <w:r>
        <w:rPr>
          <w:rStyle w:val="29"/>
          <w:rFonts w:hint="eastAsia" w:ascii="宋体" w:hAnsi="宋体" w:eastAsia="宋体" w:cs="宋体"/>
          <w:color w:val="auto"/>
          <w:kern w:val="2"/>
          <w:sz w:val="21"/>
          <w:szCs w:val="21"/>
          <w:highlight w:val="none"/>
          <w:u w:val="single"/>
          <w:lang w:val="zh-CN" w:eastAsia="zh-CN" w:bidi="zh-CN"/>
        </w:rPr>
        <w:t>按相关规范规定,其余由监理主持</w:t>
      </w:r>
      <w:r>
        <w:rPr>
          <w:rStyle w:val="29"/>
          <w:rFonts w:hint="eastAsia" w:ascii="宋体" w:hAnsi="宋体" w:eastAsia="宋体" w:cs="宋体"/>
          <w:color w:val="auto"/>
          <w:kern w:val="2"/>
          <w:sz w:val="21"/>
          <w:szCs w:val="21"/>
          <w:highlight w:val="none"/>
          <w:lang w:val="zh-CN" w:eastAsia="zh-CN" w:bidi="zh-CN"/>
        </w:rPr>
        <w:t>。</w:t>
      </w:r>
    </w:p>
    <w:p w14:paraId="4F466481">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78" w:name="bookmark1818"/>
      <w:bookmarkStart w:id="1579" w:name="bookmark1817"/>
      <w:bookmarkStart w:id="1580" w:name="bookmark1816"/>
      <w:r>
        <w:rPr>
          <w:rStyle w:val="29"/>
          <w:rFonts w:hint="eastAsia" w:ascii="宋体" w:hAnsi="宋体" w:eastAsia="宋体" w:cs="宋体"/>
          <w:color w:val="auto"/>
          <w:kern w:val="2"/>
          <w:sz w:val="21"/>
          <w:szCs w:val="21"/>
          <w:highlight w:val="none"/>
          <w:lang w:eastAsia="zh-CN"/>
        </w:rPr>
        <w:t>18.3</w:t>
      </w:r>
      <w:r>
        <w:rPr>
          <w:rStyle w:val="29"/>
          <w:rFonts w:hint="eastAsia" w:ascii="宋体" w:hAnsi="宋体" w:eastAsia="宋体" w:cs="宋体"/>
          <w:color w:val="auto"/>
          <w:kern w:val="2"/>
          <w:sz w:val="21"/>
          <w:szCs w:val="21"/>
          <w:highlight w:val="none"/>
          <w:lang w:val="zh-CN" w:eastAsia="zh-CN"/>
        </w:rPr>
        <w:t>单位工程验收</w:t>
      </w:r>
      <w:bookmarkEnd w:id="1578"/>
      <w:bookmarkEnd w:id="1579"/>
      <w:bookmarkEnd w:id="1580"/>
    </w:p>
    <w:p w14:paraId="6311C19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18.3.4</w:t>
      </w:r>
      <w:r>
        <w:rPr>
          <w:rStyle w:val="29"/>
          <w:rFonts w:hint="eastAsia" w:ascii="宋体" w:hAnsi="宋体" w:eastAsia="宋体" w:cs="宋体"/>
          <w:color w:val="auto"/>
          <w:kern w:val="2"/>
          <w:sz w:val="21"/>
          <w:szCs w:val="21"/>
          <w:highlight w:val="none"/>
          <w:lang w:val="zh-CN" w:eastAsia="zh-CN" w:bidi="zh-CN"/>
        </w:rPr>
        <w:t>提前投入使用的单位工程包括：</w:t>
      </w:r>
      <w:r>
        <w:rPr>
          <w:rStyle w:val="29"/>
          <w:rFonts w:hint="eastAsia" w:ascii="宋体" w:hAnsi="宋体" w:eastAsia="宋体" w:cs="宋体"/>
          <w:color w:val="auto"/>
          <w:kern w:val="2"/>
          <w:sz w:val="21"/>
          <w:szCs w:val="21"/>
          <w:highlight w:val="none"/>
          <w:u w:val="single"/>
          <w:lang w:val="zh-CN" w:eastAsia="zh-CN" w:bidi="zh-CN"/>
        </w:rPr>
        <w:t>按相关规范规定</w:t>
      </w:r>
      <w:r>
        <w:rPr>
          <w:rStyle w:val="29"/>
          <w:rFonts w:hint="eastAsia" w:ascii="宋体" w:hAnsi="宋体" w:eastAsia="宋体" w:cs="宋体"/>
          <w:color w:val="auto"/>
          <w:kern w:val="2"/>
          <w:sz w:val="21"/>
          <w:szCs w:val="21"/>
          <w:highlight w:val="none"/>
          <w:lang w:val="en-US" w:eastAsia="zh-CN" w:bidi="zh-CN"/>
        </w:rPr>
        <w:t>。</w:t>
      </w:r>
    </w:p>
    <w:p w14:paraId="058FB2F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81" w:name="bookmark1821"/>
      <w:bookmarkStart w:id="1582" w:name="bookmark1819"/>
      <w:bookmarkStart w:id="1583" w:name="bookmark1820"/>
      <w:r>
        <w:rPr>
          <w:rStyle w:val="29"/>
          <w:rFonts w:hint="eastAsia" w:ascii="宋体" w:hAnsi="宋体" w:eastAsia="宋体" w:cs="宋体"/>
          <w:color w:val="auto"/>
          <w:kern w:val="2"/>
          <w:sz w:val="21"/>
          <w:szCs w:val="21"/>
          <w:highlight w:val="none"/>
          <w:lang w:eastAsia="zh-CN"/>
        </w:rPr>
        <w:t>18.5</w:t>
      </w:r>
      <w:r>
        <w:rPr>
          <w:rStyle w:val="29"/>
          <w:rFonts w:hint="eastAsia" w:ascii="宋体" w:hAnsi="宋体" w:eastAsia="宋体" w:cs="宋体"/>
          <w:color w:val="auto"/>
          <w:kern w:val="2"/>
          <w:sz w:val="21"/>
          <w:szCs w:val="21"/>
          <w:highlight w:val="none"/>
          <w:lang w:val="zh-CN" w:eastAsia="zh-CN"/>
        </w:rPr>
        <w:t>阶段验收</w:t>
      </w:r>
      <w:bookmarkEnd w:id="1581"/>
      <w:bookmarkEnd w:id="1582"/>
      <w:bookmarkEnd w:id="1583"/>
    </w:p>
    <w:p w14:paraId="7302EAF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18.5.1</w:t>
      </w:r>
      <w:r>
        <w:rPr>
          <w:rStyle w:val="29"/>
          <w:rFonts w:hint="eastAsia" w:ascii="宋体" w:hAnsi="宋体" w:eastAsia="宋体" w:cs="宋体"/>
          <w:color w:val="auto"/>
          <w:kern w:val="2"/>
          <w:sz w:val="21"/>
          <w:szCs w:val="21"/>
          <w:highlight w:val="none"/>
          <w:lang w:val="zh-CN" w:eastAsia="zh-CN" w:bidi="zh-CN"/>
        </w:rPr>
        <w:t>本合同工程阶段验收类别包括：</w:t>
      </w:r>
      <w:r>
        <w:rPr>
          <w:rStyle w:val="29"/>
          <w:rFonts w:hint="eastAsia" w:ascii="宋体" w:hAnsi="宋体" w:eastAsia="宋体" w:cs="宋体"/>
          <w:color w:val="auto"/>
          <w:kern w:val="2"/>
          <w:sz w:val="21"/>
          <w:szCs w:val="21"/>
          <w:highlight w:val="none"/>
          <w:u w:val="single"/>
          <w:lang w:val="zh-CN" w:eastAsia="zh-CN" w:bidi="zh-CN"/>
        </w:rPr>
        <w:t>按相关规范规定</w:t>
      </w:r>
      <w:r>
        <w:rPr>
          <w:rStyle w:val="29"/>
          <w:rFonts w:hint="eastAsia" w:ascii="宋体" w:hAnsi="宋体" w:eastAsia="宋体" w:cs="宋体"/>
          <w:color w:val="auto"/>
          <w:kern w:val="2"/>
          <w:sz w:val="21"/>
          <w:szCs w:val="21"/>
          <w:highlight w:val="none"/>
          <w:lang w:val="en-US" w:eastAsia="zh-CN" w:bidi="zh-CN"/>
        </w:rPr>
        <w:t>。</w:t>
      </w:r>
    </w:p>
    <w:p w14:paraId="44B8019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84" w:name="bookmark1823"/>
      <w:bookmarkStart w:id="1585" w:name="bookmark1822"/>
      <w:bookmarkStart w:id="1586" w:name="bookmark1824"/>
      <w:r>
        <w:rPr>
          <w:rStyle w:val="29"/>
          <w:rFonts w:hint="eastAsia" w:ascii="宋体" w:hAnsi="宋体" w:eastAsia="宋体" w:cs="宋体"/>
          <w:color w:val="auto"/>
          <w:kern w:val="2"/>
          <w:sz w:val="21"/>
          <w:szCs w:val="21"/>
          <w:highlight w:val="none"/>
          <w:lang w:eastAsia="zh-CN"/>
        </w:rPr>
        <w:t>18.6</w:t>
      </w:r>
      <w:r>
        <w:rPr>
          <w:rStyle w:val="29"/>
          <w:rFonts w:hint="eastAsia" w:ascii="宋体" w:hAnsi="宋体" w:eastAsia="宋体" w:cs="宋体"/>
          <w:color w:val="auto"/>
          <w:kern w:val="2"/>
          <w:sz w:val="21"/>
          <w:szCs w:val="21"/>
          <w:highlight w:val="none"/>
          <w:lang w:val="zh-CN" w:eastAsia="zh-CN"/>
        </w:rPr>
        <w:t>专项验收</w:t>
      </w:r>
      <w:bookmarkEnd w:id="1584"/>
      <w:bookmarkEnd w:id="1585"/>
      <w:bookmarkEnd w:id="1586"/>
    </w:p>
    <w:p w14:paraId="59D988A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18.6.2</w:t>
      </w:r>
      <w:r>
        <w:rPr>
          <w:rStyle w:val="29"/>
          <w:rFonts w:hint="eastAsia" w:ascii="宋体" w:hAnsi="宋体" w:eastAsia="宋体" w:cs="宋体"/>
          <w:color w:val="auto"/>
          <w:kern w:val="2"/>
          <w:sz w:val="21"/>
          <w:szCs w:val="21"/>
          <w:highlight w:val="none"/>
          <w:lang w:val="zh-CN" w:eastAsia="zh-CN" w:bidi="zh-CN"/>
        </w:rPr>
        <w:t>本合同工程专项验收类别包括：</w:t>
      </w:r>
      <w:r>
        <w:rPr>
          <w:rStyle w:val="29"/>
          <w:rFonts w:hint="eastAsia" w:ascii="宋体" w:hAnsi="宋体" w:eastAsia="宋体" w:cs="宋体"/>
          <w:color w:val="auto"/>
          <w:kern w:val="2"/>
          <w:sz w:val="21"/>
          <w:szCs w:val="21"/>
          <w:highlight w:val="none"/>
          <w:u w:val="single"/>
          <w:lang w:val="zh-CN" w:eastAsia="zh-CN" w:bidi="zh-CN"/>
        </w:rPr>
        <w:t>按相关规范规定</w:t>
      </w:r>
      <w:r>
        <w:rPr>
          <w:rStyle w:val="29"/>
          <w:rFonts w:hint="eastAsia" w:ascii="宋体" w:hAnsi="宋体" w:eastAsia="宋体" w:cs="宋体"/>
          <w:color w:val="auto"/>
          <w:kern w:val="2"/>
          <w:sz w:val="21"/>
          <w:szCs w:val="21"/>
          <w:highlight w:val="none"/>
          <w:lang w:val="en-US" w:eastAsia="zh-CN" w:bidi="zh-CN"/>
        </w:rPr>
        <w:t>。</w:t>
      </w:r>
    </w:p>
    <w:p w14:paraId="29ADEF0A">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87" w:name="bookmark1827"/>
      <w:bookmarkStart w:id="1588" w:name="bookmark1825"/>
      <w:bookmarkStart w:id="1589" w:name="bookmark1826"/>
      <w:r>
        <w:rPr>
          <w:rStyle w:val="29"/>
          <w:rFonts w:hint="eastAsia" w:ascii="宋体" w:hAnsi="宋体" w:eastAsia="宋体" w:cs="宋体"/>
          <w:color w:val="auto"/>
          <w:kern w:val="2"/>
          <w:sz w:val="21"/>
          <w:szCs w:val="21"/>
          <w:highlight w:val="none"/>
          <w:lang w:eastAsia="zh-CN"/>
        </w:rPr>
        <w:t>18.8</w:t>
      </w:r>
      <w:r>
        <w:rPr>
          <w:rStyle w:val="29"/>
          <w:rFonts w:hint="eastAsia" w:ascii="宋体" w:hAnsi="宋体" w:eastAsia="宋体" w:cs="宋体"/>
          <w:color w:val="auto"/>
          <w:kern w:val="2"/>
          <w:sz w:val="21"/>
          <w:szCs w:val="21"/>
          <w:highlight w:val="none"/>
          <w:lang w:val="zh-CN" w:eastAsia="zh-CN"/>
        </w:rPr>
        <w:t>施工期运行</w:t>
      </w:r>
      <w:bookmarkEnd w:id="1587"/>
      <w:bookmarkEnd w:id="1588"/>
      <w:bookmarkEnd w:id="1589"/>
    </w:p>
    <w:p w14:paraId="17AC328F">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en-US" w:eastAsia="zh-CN" w:bidi="zh-CN"/>
        </w:rPr>
      </w:pPr>
      <w:r>
        <w:rPr>
          <w:rStyle w:val="29"/>
          <w:rFonts w:hint="eastAsia" w:ascii="宋体" w:hAnsi="宋体" w:eastAsia="宋体" w:cs="宋体"/>
          <w:color w:val="auto"/>
          <w:kern w:val="2"/>
          <w:sz w:val="21"/>
          <w:szCs w:val="21"/>
          <w:highlight w:val="none"/>
          <w:lang w:val="en-US" w:eastAsia="zh-CN" w:bidi="zh-CN"/>
        </w:rPr>
        <w:t>18.8.1</w:t>
      </w:r>
      <w:r>
        <w:rPr>
          <w:rStyle w:val="29"/>
          <w:rFonts w:hint="eastAsia" w:ascii="宋体" w:hAnsi="宋体" w:eastAsia="宋体" w:cs="宋体"/>
          <w:color w:val="auto"/>
          <w:kern w:val="2"/>
          <w:sz w:val="21"/>
          <w:szCs w:val="21"/>
          <w:highlight w:val="none"/>
          <w:lang w:val="zh-CN" w:eastAsia="zh-CN" w:bidi="zh-CN"/>
        </w:rPr>
        <w:t>需要在施工期运行的单位工程或工程设备为：</w:t>
      </w:r>
      <w:r>
        <w:rPr>
          <w:rStyle w:val="29"/>
          <w:rFonts w:hint="eastAsia" w:ascii="宋体" w:hAnsi="宋体" w:eastAsia="宋体" w:cs="宋体"/>
          <w:color w:val="auto"/>
          <w:kern w:val="2"/>
          <w:sz w:val="21"/>
          <w:szCs w:val="21"/>
          <w:highlight w:val="none"/>
          <w:u w:val="single"/>
          <w:lang w:val="zh-CN" w:eastAsia="zh-CN" w:bidi="zh-CN"/>
        </w:rPr>
        <w:t>无</w:t>
      </w:r>
      <w:r>
        <w:rPr>
          <w:rStyle w:val="29"/>
          <w:rFonts w:hint="eastAsia" w:ascii="宋体" w:hAnsi="宋体" w:eastAsia="宋体" w:cs="宋体"/>
          <w:color w:val="auto"/>
          <w:kern w:val="2"/>
          <w:sz w:val="21"/>
          <w:szCs w:val="21"/>
          <w:highlight w:val="none"/>
          <w:lang w:val="en-US" w:eastAsia="zh-CN" w:bidi="zh-CN"/>
        </w:rPr>
        <w:t>。</w:t>
      </w:r>
    </w:p>
    <w:p w14:paraId="2DEEF47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90" w:name="bookmark1828"/>
      <w:bookmarkStart w:id="1591" w:name="bookmark1830"/>
      <w:bookmarkStart w:id="1592" w:name="bookmark1829"/>
      <w:r>
        <w:rPr>
          <w:rStyle w:val="29"/>
          <w:rFonts w:hint="eastAsia" w:ascii="宋体" w:hAnsi="宋体" w:eastAsia="宋体" w:cs="宋体"/>
          <w:color w:val="auto"/>
          <w:kern w:val="2"/>
          <w:sz w:val="21"/>
          <w:szCs w:val="21"/>
          <w:highlight w:val="none"/>
          <w:lang w:eastAsia="zh-CN"/>
        </w:rPr>
        <w:t>18.9</w:t>
      </w:r>
      <w:r>
        <w:rPr>
          <w:rStyle w:val="29"/>
          <w:rFonts w:hint="eastAsia" w:ascii="宋体" w:hAnsi="宋体" w:eastAsia="宋体" w:cs="宋体"/>
          <w:color w:val="auto"/>
          <w:kern w:val="2"/>
          <w:sz w:val="21"/>
          <w:szCs w:val="21"/>
          <w:highlight w:val="none"/>
          <w:lang w:val="zh-CN" w:eastAsia="zh-CN"/>
        </w:rPr>
        <w:t>试运行</w:t>
      </w:r>
      <w:bookmarkEnd w:id="1590"/>
      <w:bookmarkEnd w:id="1591"/>
      <w:bookmarkEnd w:id="1592"/>
    </w:p>
    <w:p w14:paraId="7D59786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18.9.1</w:t>
      </w:r>
      <w:r>
        <w:rPr>
          <w:rStyle w:val="29"/>
          <w:rFonts w:hint="eastAsia" w:ascii="宋体" w:hAnsi="宋体" w:eastAsia="宋体" w:cs="宋体"/>
          <w:color w:val="auto"/>
          <w:kern w:val="2"/>
          <w:sz w:val="21"/>
          <w:szCs w:val="21"/>
          <w:highlight w:val="none"/>
          <w:lang w:val="zh-CN" w:eastAsia="zh-CN" w:bidi="zh-CN"/>
        </w:rPr>
        <w:t>试运行的组织：</w:t>
      </w:r>
      <w:r>
        <w:rPr>
          <w:rStyle w:val="29"/>
          <w:rFonts w:hint="eastAsia" w:ascii="宋体" w:hAnsi="宋体" w:eastAsia="宋体" w:cs="宋体"/>
          <w:color w:val="auto"/>
          <w:kern w:val="2"/>
          <w:sz w:val="21"/>
          <w:szCs w:val="21"/>
          <w:highlight w:val="none"/>
          <w:u w:val="single"/>
          <w:lang w:val="zh-CN" w:eastAsia="zh-CN" w:bidi="zh-CN"/>
        </w:rPr>
        <w:t>发包人</w:t>
      </w:r>
      <w:bookmarkStart w:id="1593" w:name="_Toc24047"/>
      <w:bookmarkStart w:id="1594" w:name="bookmark1832"/>
      <w:bookmarkStart w:id="1595" w:name="_Toc21054"/>
      <w:bookmarkStart w:id="1596" w:name="bookmark1834"/>
      <w:bookmarkStart w:id="1597" w:name="bookmark1831"/>
      <w:r>
        <w:rPr>
          <w:rStyle w:val="29"/>
          <w:rFonts w:hint="eastAsia" w:ascii="宋体" w:hAnsi="宋体" w:eastAsia="宋体" w:cs="宋体"/>
          <w:color w:val="auto"/>
          <w:kern w:val="2"/>
          <w:sz w:val="21"/>
          <w:szCs w:val="21"/>
          <w:highlight w:val="none"/>
          <w:lang w:val="zh-CN" w:eastAsia="zh-CN" w:bidi="zh-CN"/>
        </w:rPr>
        <w:t>。</w:t>
      </w:r>
    </w:p>
    <w:p w14:paraId="102515E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598" w:name="_Toc49083466"/>
      <w:r>
        <w:rPr>
          <w:rStyle w:val="29"/>
          <w:rFonts w:hint="eastAsia" w:ascii="宋体" w:hAnsi="宋体" w:eastAsia="宋体" w:cs="宋体"/>
          <w:color w:val="auto"/>
          <w:kern w:val="2"/>
          <w:sz w:val="21"/>
          <w:szCs w:val="21"/>
          <w:highlight w:val="none"/>
          <w:lang w:eastAsia="zh-CN"/>
        </w:rPr>
        <w:t>19.缺陷责任与保修责任</w:t>
      </w:r>
      <w:bookmarkEnd w:id="1593"/>
      <w:bookmarkEnd w:id="1594"/>
      <w:bookmarkEnd w:id="1595"/>
      <w:bookmarkEnd w:id="1596"/>
      <w:bookmarkEnd w:id="1597"/>
      <w:bookmarkEnd w:id="1598"/>
    </w:p>
    <w:p w14:paraId="022CE9C5">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599" w:name="bookmark1836"/>
      <w:bookmarkStart w:id="1600" w:name="bookmark1837"/>
      <w:bookmarkStart w:id="1601" w:name="bookmark1835"/>
      <w:r>
        <w:rPr>
          <w:rStyle w:val="29"/>
          <w:rFonts w:hint="eastAsia" w:ascii="宋体" w:hAnsi="宋体" w:eastAsia="宋体" w:cs="宋体"/>
          <w:color w:val="auto"/>
          <w:kern w:val="2"/>
          <w:sz w:val="21"/>
          <w:szCs w:val="21"/>
          <w:highlight w:val="none"/>
          <w:lang w:eastAsia="zh-CN"/>
        </w:rPr>
        <w:t>19</w:t>
      </w:r>
      <w:r>
        <w:rPr>
          <w:rStyle w:val="29"/>
          <w:rFonts w:hint="eastAsia" w:ascii="宋体" w:hAnsi="宋体" w:eastAsia="宋体" w:cs="宋体"/>
          <w:color w:val="auto"/>
          <w:kern w:val="2"/>
          <w:sz w:val="21"/>
          <w:szCs w:val="21"/>
          <w:highlight w:val="none"/>
          <w:lang w:val="zh-CN" w:eastAsia="zh-CN"/>
        </w:rPr>
        <w:t>.1缺陷责任期的起算时间</w:t>
      </w:r>
      <w:bookmarkEnd w:id="1599"/>
      <w:bookmarkEnd w:id="1600"/>
      <w:bookmarkEnd w:id="1601"/>
    </w:p>
    <w:p w14:paraId="0DC89D2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本工程缺陷责任期计算如下：起算日按通用条款</w:t>
      </w:r>
      <w:r>
        <w:rPr>
          <w:rStyle w:val="29"/>
          <w:rFonts w:hint="eastAsia" w:ascii="宋体" w:hAnsi="宋体" w:eastAsia="宋体" w:cs="宋体"/>
          <w:color w:val="auto"/>
          <w:kern w:val="2"/>
          <w:sz w:val="21"/>
          <w:szCs w:val="21"/>
          <w:highlight w:val="none"/>
          <w:lang w:val="en-US" w:eastAsia="zh-CN" w:bidi="zh-CN"/>
        </w:rPr>
        <w:t>19.1</w:t>
      </w:r>
      <w:r>
        <w:rPr>
          <w:rStyle w:val="29"/>
          <w:rFonts w:hint="eastAsia" w:ascii="宋体" w:hAnsi="宋体" w:eastAsia="宋体" w:cs="宋体"/>
          <w:color w:val="auto"/>
          <w:kern w:val="2"/>
          <w:sz w:val="21"/>
          <w:szCs w:val="21"/>
          <w:highlight w:val="none"/>
          <w:lang w:val="zh-CN" w:eastAsia="zh-CN" w:bidi="zh-CN"/>
        </w:rPr>
        <w:t>和</w:t>
      </w:r>
      <w:r>
        <w:rPr>
          <w:rStyle w:val="29"/>
          <w:rFonts w:hint="eastAsia" w:ascii="宋体" w:hAnsi="宋体" w:eastAsia="宋体" w:cs="宋体"/>
          <w:color w:val="auto"/>
          <w:kern w:val="2"/>
          <w:sz w:val="21"/>
          <w:szCs w:val="21"/>
          <w:highlight w:val="none"/>
          <w:lang w:val="en-US" w:eastAsia="zh-CN" w:bidi="zh-CN"/>
        </w:rPr>
        <w:t>19.</w:t>
      </w:r>
      <w:r>
        <w:rPr>
          <w:rStyle w:val="29"/>
          <w:rFonts w:hint="eastAsia" w:ascii="宋体" w:hAnsi="宋体" w:eastAsia="宋体" w:cs="宋体"/>
          <w:color w:val="auto"/>
          <w:kern w:val="2"/>
          <w:sz w:val="21"/>
          <w:szCs w:val="21"/>
          <w:highlight w:val="none"/>
          <w:lang w:val="zh-CN" w:eastAsia="zh-CN" w:bidi="zh-CN"/>
        </w:rPr>
        <w:t>7的约定。</w:t>
      </w:r>
      <w:r>
        <w:rPr>
          <w:rStyle w:val="29"/>
          <w:rFonts w:hint="eastAsia" w:ascii="宋体" w:hAnsi="宋体" w:eastAsia="宋体" w:cs="宋体"/>
          <w:color w:val="auto"/>
          <w:kern w:val="2"/>
          <w:sz w:val="21"/>
          <w:szCs w:val="21"/>
          <w:highlight w:val="none"/>
          <w:lang w:val="en-US" w:eastAsia="zh-CN" w:bidi="zh-CN"/>
        </w:rPr>
        <w:t>终止日期按专用条款1.1.4.5约定</w:t>
      </w:r>
      <w:r>
        <w:rPr>
          <w:rStyle w:val="29"/>
          <w:rFonts w:hint="eastAsia" w:ascii="宋体" w:hAnsi="宋体" w:eastAsia="宋体" w:cs="宋体"/>
          <w:color w:val="auto"/>
          <w:kern w:val="2"/>
          <w:sz w:val="21"/>
          <w:szCs w:val="21"/>
          <w:highlight w:val="none"/>
          <w:lang w:val="zh-CN" w:eastAsia="zh-CN" w:bidi="zh-CN"/>
        </w:rPr>
        <w:t>。</w:t>
      </w:r>
    </w:p>
    <w:p w14:paraId="66E6D80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eastAsia="zh-CN"/>
        </w:rPr>
        <w:t>19</w:t>
      </w:r>
      <w:r>
        <w:rPr>
          <w:rStyle w:val="29"/>
          <w:rFonts w:hint="eastAsia" w:ascii="宋体" w:hAnsi="宋体" w:eastAsia="宋体" w:cs="宋体"/>
          <w:color w:val="auto"/>
          <w:kern w:val="2"/>
          <w:sz w:val="21"/>
          <w:szCs w:val="21"/>
          <w:highlight w:val="none"/>
          <w:lang w:val="zh-CN" w:eastAsia="zh-CN"/>
        </w:rPr>
        <w:t>.</w:t>
      </w:r>
      <w:r>
        <w:rPr>
          <w:rStyle w:val="29"/>
          <w:rFonts w:hint="eastAsia" w:ascii="宋体" w:hAnsi="宋体" w:eastAsia="宋体" w:cs="宋体"/>
          <w:color w:val="auto"/>
          <w:kern w:val="2"/>
          <w:sz w:val="21"/>
          <w:szCs w:val="21"/>
          <w:highlight w:val="none"/>
          <w:lang w:eastAsia="zh-CN"/>
        </w:rPr>
        <w:t>2</w:t>
      </w:r>
      <w:r>
        <w:rPr>
          <w:rStyle w:val="29"/>
          <w:rFonts w:hint="eastAsia" w:ascii="宋体" w:hAnsi="宋体" w:eastAsia="宋体" w:cs="宋体"/>
          <w:color w:val="auto"/>
          <w:kern w:val="2"/>
          <w:sz w:val="21"/>
          <w:szCs w:val="21"/>
          <w:highlight w:val="none"/>
          <w:lang w:val="zh-CN" w:eastAsia="zh-CN"/>
        </w:rPr>
        <w:t>保修责任</w:t>
      </w:r>
    </w:p>
    <w:p w14:paraId="59275CE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en-US" w:eastAsia="zh-CN" w:bidi="zh-CN"/>
        </w:rPr>
      </w:pPr>
      <w:r>
        <w:rPr>
          <w:rStyle w:val="29"/>
          <w:rFonts w:hint="eastAsia" w:ascii="宋体" w:hAnsi="宋体" w:eastAsia="宋体" w:cs="宋体"/>
          <w:color w:val="auto"/>
          <w:kern w:val="2"/>
          <w:sz w:val="21"/>
          <w:szCs w:val="21"/>
          <w:highlight w:val="none"/>
          <w:lang w:val="en-US" w:eastAsia="zh-CN" w:bidi="zh-CN"/>
        </w:rPr>
        <w:t>在保修期内，因承包原因造成工程的缺陷、损坏，承包人负责修复，并承担修复的费用；因发包人使用不当造成的缺陷、损坏，可以委托承包人修复，但发包人应承担修复的费用；因其他原因造成工程的缺陷、损坏，可以委托承包人修复，发包人应承担修复的费用，因工程的缺陷、损坏造成人身伤害和财产损失由责任方承担。</w:t>
      </w:r>
    </w:p>
    <w:p w14:paraId="48D69A8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保修期限为1年。</w:t>
      </w:r>
    </w:p>
    <w:p w14:paraId="3B75411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602" w:name="bookmark1840"/>
      <w:bookmarkEnd w:id="1602"/>
      <w:bookmarkStart w:id="1603" w:name="bookmark1841"/>
      <w:bookmarkStart w:id="1604" w:name="_Toc3197"/>
      <w:bookmarkStart w:id="1605" w:name="_Toc49083467"/>
      <w:bookmarkStart w:id="1606" w:name="_Toc5968"/>
      <w:bookmarkStart w:id="1607" w:name="bookmark1838"/>
      <w:bookmarkStart w:id="1608" w:name="bookmark1839"/>
      <w:r>
        <w:rPr>
          <w:rStyle w:val="29"/>
          <w:rFonts w:hint="eastAsia" w:ascii="宋体" w:hAnsi="宋体" w:eastAsia="宋体" w:cs="宋体"/>
          <w:color w:val="auto"/>
          <w:kern w:val="2"/>
          <w:sz w:val="21"/>
          <w:szCs w:val="21"/>
          <w:highlight w:val="none"/>
          <w:lang w:eastAsia="zh-CN"/>
        </w:rPr>
        <w:t>20.保险</w:t>
      </w:r>
      <w:bookmarkEnd w:id="1603"/>
      <w:bookmarkEnd w:id="1604"/>
      <w:bookmarkEnd w:id="1605"/>
      <w:bookmarkEnd w:id="1606"/>
    </w:p>
    <w:p w14:paraId="1E252C37">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609" w:name="bookmark1842"/>
      <w:r>
        <w:rPr>
          <w:rStyle w:val="29"/>
          <w:rFonts w:hint="eastAsia" w:ascii="宋体" w:hAnsi="宋体" w:eastAsia="宋体" w:cs="宋体"/>
          <w:color w:val="auto"/>
          <w:kern w:val="2"/>
          <w:sz w:val="21"/>
          <w:szCs w:val="21"/>
          <w:highlight w:val="none"/>
          <w:lang w:eastAsia="zh-CN"/>
        </w:rPr>
        <w:t>20</w:t>
      </w:r>
      <w:r>
        <w:rPr>
          <w:rStyle w:val="29"/>
          <w:rFonts w:hint="eastAsia" w:ascii="宋体" w:hAnsi="宋体" w:eastAsia="宋体" w:cs="宋体"/>
          <w:color w:val="auto"/>
          <w:kern w:val="2"/>
          <w:sz w:val="21"/>
          <w:szCs w:val="21"/>
          <w:highlight w:val="none"/>
          <w:lang w:val="zh-CN" w:eastAsia="zh-CN"/>
        </w:rPr>
        <w:t>.1工程保险</w:t>
      </w:r>
      <w:bookmarkEnd w:id="1607"/>
      <w:bookmarkEnd w:id="1608"/>
      <w:bookmarkEnd w:id="1609"/>
    </w:p>
    <w:p w14:paraId="0B347EA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ascii="宋体" w:hAnsi="宋体" w:eastAsia="宋体" w:cs="宋体"/>
          <w:color w:val="auto"/>
          <w:sz w:val="21"/>
          <w:szCs w:val="21"/>
          <w:highlight w:val="none"/>
          <w:u w:val="single"/>
          <w:lang w:eastAsia="zh-CN" w:bidi="zh-CN"/>
        </w:rPr>
      </w:pPr>
      <w:r>
        <w:rPr>
          <w:rStyle w:val="29"/>
          <w:rFonts w:hint="eastAsia" w:ascii="宋体" w:hAnsi="宋体" w:eastAsia="宋体" w:cs="宋体"/>
          <w:color w:val="auto"/>
          <w:kern w:val="2"/>
          <w:sz w:val="21"/>
          <w:szCs w:val="21"/>
          <w:highlight w:val="none"/>
          <w:lang w:val="zh-CN" w:eastAsia="zh-CN" w:bidi="zh-CN"/>
        </w:rPr>
        <w:t>建筑工程一切险和（或）安装工程一切险投保人：</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eastAsia="zh-CN" w:bidi="ar-SA"/>
        </w:rPr>
        <w:t>。</w:t>
      </w:r>
    </w:p>
    <w:p w14:paraId="04FB530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投保内容：</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eastAsia="zh-CN" w:bidi="ar-SA"/>
        </w:rPr>
        <w:t>。</w:t>
      </w:r>
    </w:p>
    <w:p w14:paraId="3367355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保险金额、保险费率和保险期限：</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eastAsia="zh-CN" w:bidi="ar-SA"/>
        </w:rPr>
        <w:t>。</w:t>
      </w:r>
    </w:p>
    <w:p w14:paraId="72203829">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610" w:name="bookmark1843"/>
      <w:bookmarkStart w:id="1611" w:name="_Toc49083468"/>
      <w:bookmarkStart w:id="1612" w:name="bookmark1844"/>
      <w:bookmarkStart w:id="1613" w:name="bookmark1845"/>
      <w:r>
        <w:rPr>
          <w:rStyle w:val="29"/>
          <w:rFonts w:hint="eastAsia" w:ascii="宋体" w:hAnsi="宋体" w:eastAsia="宋体" w:cs="宋体"/>
          <w:color w:val="auto"/>
          <w:kern w:val="2"/>
          <w:sz w:val="21"/>
          <w:szCs w:val="21"/>
          <w:highlight w:val="none"/>
          <w:lang w:val="zh-CN" w:eastAsia="zh-CN"/>
        </w:rPr>
        <w:t>20.</w:t>
      </w:r>
      <w:r>
        <w:rPr>
          <w:rStyle w:val="29"/>
          <w:rFonts w:hint="eastAsia" w:ascii="宋体" w:hAnsi="宋体" w:eastAsia="宋体" w:cs="宋体"/>
          <w:color w:val="auto"/>
          <w:kern w:val="2"/>
          <w:sz w:val="21"/>
          <w:szCs w:val="21"/>
          <w:highlight w:val="none"/>
          <w:lang w:eastAsia="zh-CN"/>
        </w:rPr>
        <w:t>4</w:t>
      </w:r>
      <w:r>
        <w:rPr>
          <w:rStyle w:val="29"/>
          <w:rFonts w:hint="eastAsia" w:ascii="宋体" w:hAnsi="宋体" w:eastAsia="宋体" w:cs="宋体"/>
          <w:color w:val="auto"/>
          <w:kern w:val="2"/>
          <w:sz w:val="21"/>
          <w:szCs w:val="21"/>
          <w:highlight w:val="none"/>
          <w:lang w:val="zh-CN" w:eastAsia="zh-CN"/>
        </w:rPr>
        <w:t>第三者责任险</w:t>
      </w:r>
      <w:bookmarkEnd w:id="1610"/>
      <w:bookmarkEnd w:id="1611"/>
      <w:bookmarkEnd w:id="1612"/>
      <w:bookmarkEnd w:id="1613"/>
    </w:p>
    <w:p w14:paraId="06EE9BB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eastAsia="zh-CN" w:bidi="ar-SA"/>
        </w:rPr>
        <w:t xml:space="preserve">20.4.2 </w:t>
      </w:r>
      <w:r>
        <w:rPr>
          <w:rStyle w:val="29"/>
          <w:rFonts w:hint="eastAsia" w:ascii="宋体" w:hAnsi="宋体" w:eastAsia="宋体" w:cs="宋体"/>
          <w:color w:val="auto"/>
          <w:kern w:val="2"/>
          <w:sz w:val="21"/>
          <w:szCs w:val="21"/>
          <w:highlight w:val="none"/>
          <w:lang w:val="zh-CN" w:eastAsia="zh-CN" w:bidi="zh-CN"/>
        </w:rPr>
        <w:t xml:space="preserve">第三者责任险保险费率： </w:t>
      </w:r>
    </w:p>
    <w:p w14:paraId="62339AA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第三者责任险保险金额：</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eastAsia="zh-CN" w:bidi="ar-SA"/>
        </w:rPr>
        <w:t>。</w:t>
      </w:r>
    </w:p>
    <w:p w14:paraId="621EBCD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614" w:name="bookmark1846"/>
      <w:bookmarkStart w:id="1615" w:name="bookmark1848"/>
      <w:bookmarkStart w:id="1616" w:name="bookmark1847"/>
      <w:r>
        <w:rPr>
          <w:rStyle w:val="29"/>
          <w:rFonts w:hint="eastAsia" w:ascii="宋体" w:hAnsi="宋体" w:eastAsia="宋体" w:cs="宋体"/>
          <w:color w:val="auto"/>
          <w:kern w:val="2"/>
          <w:sz w:val="21"/>
          <w:szCs w:val="21"/>
          <w:highlight w:val="none"/>
          <w:lang w:val="zh-CN" w:eastAsia="zh-CN"/>
        </w:rPr>
        <w:t>20.</w:t>
      </w:r>
      <w:r>
        <w:rPr>
          <w:rStyle w:val="29"/>
          <w:rFonts w:hint="eastAsia" w:ascii="宋体" w:hAnsi="宋体" w:eastAsia="宋体" w:cs="宋体"/>
          <w:color w:val="auto"/>
          <w:kern w:val="2"/>
          <w:sz w:val="21"/>
          <w:szCs w:val="21"/>
          <w:highlight w:val="none"/>
          <w:lang w:eastAsia="zh-CN"/>
        </w:rPr>
        <w:t>5</w:t>
      </w:r>
      <w:r>
        <w:rPr>
          <w:rStyle w:val="29"/>
          <w:rFonts w:hint="eastAsia" w:ascii="宋体" w:hAnsi="宋体" w:eastAsia="宋体" w:cs="宋体"/>
          <w:color w:val="auto"/>
          <w:kern w:val="2"/>
          <w:sz w:val="21"/>
          <w:szCs w:val="21"/>
          <w:highlight w:val="none"/>
          <w:lang w:val="zh-CN" w:eastAsia="zh-CN"/>
        </w:rPr>
        <w:t>其他保险</w:t>
      </w:r>
      <w:bookmarkEnd w:id="1614"/>
      <w:bookmarkEnd w:id="1615"/>
      <w:bookmarkEnd w:id="1616"/>
    </w:p>
    <w:p w14:paraId="6BB7C1F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bidi="zh-CN"/>
        </w:rPr>
      </w:pPr>
      <w:r>
        <w:rPr>
          <w:rStyle w:val="29"/>
          <w:rFonts w:hint="eastAsia" w:ascii="宋体" w:hAnsi="宋体" w:eastAsia="宋体" w:cs="宋体"/>
          <w:color w:val="auto"/>
          <w:kern w:val="2"/>
          <w:sz w:val="21"/>
          <w:szCs w:val="21"/>
          <w:highlight w:val="none"/>
          <w:lang w:val="zh-CN" w:eastAsia="zh-CN" w:bidi="zh-CN"/>
        </w:rPr>
        <w:t xml:space="preserve">需要投保的其他内容： </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eastAsia="zh-CN" w:bidi="zh-CN"/>
        </w:rPr>
        <w:t>。</w:t>
      </w:r>
    </w:p>
    <w:p w14:paraId="6FFBC69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保险金额、保险费率和保险期限</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val="zh-CN" w:eastAsia="zh-CN" w:bidi="zh-CN"/>
        </w:rPr>
        <w:t>。</w:t>
      </w:r>
    </w:p>
    <w:p w14:paraId="36CD9FC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617" w:name="bookmark1850"/>
      <w:bookmarkStart w:id="1618" w:name="bookmark1851"/>
      <w:bookmarkStart w:id="1619" w:name="_Toc49083469"/>
      <w:bookmarkStart w:id="1620" w:name="bookmark1849"/>
      <w:r>
        <w:rPr>
          <w:rStyle w:val="29"/>
          <w:rFonts w:hint="eastAsia" w:ascii="宋体" w:hAnsi="宋体" w:eastAsia="宋体" w:cs="宋体"/>
          <w:color w:val="auto"/>
          <w:kern w:val="2"/>
          <w:sz w:val="21"/>
          <w:szCs w:val="21"/>
          <w:highlight w:val="none"/>
          <w:lang w:val="zh-CN" w:eastAsia="zh-CN"/>
        </w:rPr>
        <w:t>20.</w:t>
      </w:r>
      <w:r>
        <w:rPr>
          <w:rStyle w:val="29"/>
          <w:rFonts w:hint="eastAsia" w:ascii="宋体" w:hAnsi="宋体" w:eastAsia="宋体" w:cs="宋体"/>
          <w:color w:val="auto"/>
          <w:kern w:val="2"/>
          <w:sz w:val="21"/>
          <w:szCs w:val="21"/>
          <w:highlight w:val="none"/>
          <w:lang w:eastAsia="zh-CN"/>
        </w:rPr>
        <w:t>6</w:t>
      </w:r>
      <w:r>
        <w:rPr>
          <w:rStyle w:val="29"/>
          <w:rFonts w:hint="eastAsia" w:ascii="宋体" w:hAnsi="宋体" w:eastAsia="宋体" w:cs="宋体"/>
          <w:color w:val="auto"/>
          <w:kern w:val="2"/>
          <w:sz w:val="21"/>
          <w:szCs w:val="21"/>
          <w:highlight w:val="none"/>
          <w:lang w:val="zh-CN" w:eastAsia="zh-CN"/>
        </w:rPr>
        <w:t>对各项保险的一般要求</w:t>
      </w:r>
      <w:bookmarkEnd w:id="1617"/>
      <w:bookmarkEnd w:id="1618"/>
      <w:bookmarkEnd w:id="1619"/>
      <w:bookmarkEnd w:id="1620"/>
    </w:p>
    <w:p w14:paraId="2FA932F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21" w:name="_Toc49083470"/>
      <w:r>
        <w:rPr>
          <w:rStyle w:val="29"/>
          <w:rFonts w:hint="eastAsia" w:ascii="宋体" w:hAnsi="宋体" w:eastAsia="宋体" w:cs="宋体"/>
          <w:color w:val="auto"/>
          <w:kern w:val="2"/>
          <w:sz w:val="21"/>
          <w:szCs w:val="21"/>
          <w:highlight w:val="none"/>
          <w:lang w:val="en-US" w:eastAsia="zh-CN" w:bidi="zh-CN"/>
        </w:rPr>
        <w:t>20</w:t>
      </w:r>
      <w:r>
        <w:rPr>
          <w:rStyle w:val="29"/>
          <w:rFonts w:hint="eastAsia" w:ascii="宋体" w:hAnsi="宋体" w:eastAsia="宋体" w:cs="宋体"/>
          <w:color w:val="auto"/>
          <w:kern w:val="2"/>
          <w:sz w:val="21"/>
          <w:szCs w:val="21"/>
          <w:highlight w:val="none"/>
          <w:lang w:eastAsia="zh-CN" w:bidi="ar-SA"/>
        </w:rPr>
        <w:t>.6.</w:t>
      </w:r>
      <w:r>
        <w:rPr>
          <w:rStyle w:val="29"/>
          <w:rFonts w:hint="eastAsia" w:ascii="宋体" w:hAnsi="宋体" w:eastAsia="宋体" w:cs="宋体"/>
          <w:color w:val="auto"/>
          <w:kern w:val="2"/>
          <w:sz w:val="21"/>
          <w:szCs w:val="21"/>
          <w:highlight w:val="none"/>
          <w:lang w:val="zh-CN" w:eastAsia="zh-CN" w:bidi="zh-CN"/>
        </w:rPr>
        <w:t>1保险凭证</w:t>
      </w:r>
      <w:bookmarkEnd w:id="1621"/>
    </w:p>
    <w:p w14:paraId="32778C5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承包人提交保险凭证的期限：</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val="zh-CN" w:eastAsia="zh-CN" w:bidi="zh-CN"/>
        </w:rPr>
        <w:t xml:space="preserve">； </w:t>
      </w:r>
    </w:p>
    <w:p w14:paraId="486776C1">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保险条件：</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eastAsia="zh-CN" w:bidi="ar-SA"/>
        </w:rPr>
        <w:t>。</w:t>
      </w:r>
    </w:p>
    <w:p w14:paraId="62394942">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20</w:t>
      </w:r>
      <w:r>
        <w:rPr>
          <w:rStyle w:val="29"/>
          <w:rFonts w:hint="eastAsia" w:ascii="宋体" w:hAnsi="宋体" w:eastAsia="宋体" w:cs="宋体"/>
          <w:color w:val="auto"/>
          <w:kern w:val="2"/>
          <w:sz w:val="21"/>
          <w:szCs w:val="21"/>
          <w:highlight w:val="none"/>
          <w:lang w:eastAsia="zh-CN" w:bidi="ar-SA"/>
        </w:rPr>
        <w:t>.6.</w:t>
      </w:r>
      <w:r>
        <w:rPr>
          <w:rStyle w:val="29"/>
          <w:rFonts w:hint="eastAsia" w:ascii="宋体" w:hAnsi="宋体" w:eastAsia="宋体" w:cs="宋体"/>
          <w:color w:val="auto"/>
          <w:kern w:val="2"/>
          <w:sz w:val="21"/>
          <w:szCs w:val="21"/>
          <w:highlight w:val="none"/>
          <w:lang w:eastAsia="zh-CN" w:bidi="zh-CN"/>
        </w:rPr>
        <w:t>4</w:t>
      </w:r>
      <w:r>
        <w:rPr>
          <w:rStyle w:val="29"/>
          <w:rFonts w:hint="eastAsia" w:ascii="宋体" w:hAnsi="宋体" w:eastAsia="宋体" w:cs="宋体"/>
          <w:color w:val="auto"/>
          <w:kern w:val="2"/>
          <w:sz w:val="21"/>
          <w:szCs w:val="21"/>
          <w:highlight w:val="none"/>
          <w:lang w:val="zh-CN" w:eastAsia="zh-CN" w:bidi="zh-CN"/>
        </w:rPr>
        <w:t>保险金不足的补偿</w:t>
      </w:r>
    </w:p>
    <w:p w14:paraId="791D615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承包人负责补偿的范围与金额：</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val="zh-CN" w:eastAsia="zh-CN" w:bidi="zh-CN"/>
        </w:rPr>
        <w:t xml:space="preserve">；  </w:t>
      </w:r>
    </w:p>
    <w:p w14:paraId="3836F52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发包人负责补偿的范围与金额：</w:t>
      </w:r>
      <w:r>
        <w:rPr>
          <w:rStyle w:val="29"/>
          <w:rFonts w:hint="eastAsia" w:ascii="宋体" w:hAnsi="宋体" w:eastAsia="宋体" w:cs="宋体"/>
          <w:color w:val="auto"/>
          <w:kern w:val="2"/>
          <w:sz w:val="21"/>
          <w:szCs w:val="21"/>
          <w:highlight w:val="none"/>
          <w:u w:val="single"/>
          <w:lang w:eastAsia="zh-CN" w:bidi="zh-CN"/>
        </w:rPr>
        <w:t xml:space="preserve">                                      </w:t>
      </w:r>
      <w:r>
        <w:rPr>
          <w:rStyle w:val="29"/>
          <w:rFonts w:hint="eastAsia" w:ascii="宋体" w:hAnsi="宋体" w:eastAsia="宋体" w:cs="宋体"/>
          <w:color w:val="auto"/>
          <w:kern w:val="2"/>
          <w:sz w:val="21"/>
          <w:szCs w:val="21"/>
          <w:highlight w:val="none"/>
          <w:lang w:eastAsia="zh-CN" w:bidi="ar-SA"/>
        </w:rPr>
        <w:t>。</w:t>
      </w:r>
    </w:p>
    <w:p w14:paraId="104CD19B">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622" w:name="bookmark1854"/>
      <w:bookmarkEnd w:id="1622"/>
      <w:bookmarkStart w:id="1623" w:name="_Toc49083471"/>
      <w:bookmarkStart w:id="1624" w:name="_Toc31045"/>
      <w:bookmarkStart w:id="1625" w:name="_Toc13643"/>
      <w:bookmarkStart w:id="1626" w:name="bookmark1855"/>
      <w:bookmarkStart w:id="1627" w:name="bookmark1853"/>
      <w:bookmarkStart w:id="1628" w:name="bookmark1852"/>
      <w:r>
        <w:rPr>
          <w:rStyle w:val="29"/>
          <w:rFonts w:hint="eastAsia" w:ascii="宋体" w:hAnsi="宋体" w:eastAsia="宋体" w:cs="宋体"/>
          <w:color w:val="auto"/>
          <w:kern w:val="2"/>
          <w:sz w:val="21"/>
          <w:szCs w:val="21"/>
          <w:highlight w:val="none"/>
          <w:lang w:eastAsia="zh-CN"/>
        </w:rPr>
        <w:t>21.不可抗力</w:t>
      </w:r>
      <w:bookmarkEnd w:id="1623"/>
      <w:bookmarkEnd w:id="1624"/>
      <w:bookmarkEnd w:id="1625"/>
      <w:bookmarkEnd w:id="1626"/>
    </w:p>
    <w:p w14:paraId="0BBCEBF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629" w:name="bookmark1856"/>
      <w:r>
        <w:rPr>
          <w:rStyle w:val="29"/>
          <w:rFonts w:hint="eastAsia" w:ascii="宋体" w:hAnsi="宋体" w:eastAsia="宋体" w:cs="宋体"/>
          <w:color w:val="auto"/>
          <w:kern w:val="2"/>
          <w:sz w:val="21"/>
          <w:szCs w:val="21"/>
          <w:highlight w:val="none"/>
          <w:lang w:val="zh-CN" w:eastAsia="zh-CN"/>
        </w:rPr>
        <w:t>21.1不可抗力的确认</w:t>
      </w:r>
      <w:bookmarkEnd w:id="1627"/>
      <w:bookmarkEnd w:id="1628"/>
      <w:bookmarkEnd w:id="1629"/>
    </w:p>
    <w:p w14:paraId="04CB736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21.1.1</w:t>
      </w:r>
      <w:r>
        <w:rPr>
          <w:rStyle w:val="29"/>
          <w:rFonts w:hint="eastAsia" w:ascii="宋体" w:hAnsi="宋体" w:eastAsia="宋体" w:cs="宋体"/>
          <w:color w:val="auto"/>
          <w:kern w:val="2"/>
          <w:sz w:val="21"/>
          <w:szCs w:val="21"/>
          <w:highlight w:val="none"/>
          <w:lang w:val="zh-CN" w:eastAsia="zh-CN" w:bidi="zh-CN"/>
        </w:rPr>
        <w:t>不可抗力是指承包人和发包人在订立合同时不可预见，在工程施工过程中不可避免发生并不能克服的自然灾害和社会性突发事件，如地震、海啸、瘟疫、水灾、骚乱、暴动、战争和本合同专用合同条款第</w:t>
      </w:r>
      <w:r>
        <w:rPr>
          <w:rStyle w:val="29"/>
          <w:rFonts w:hint="eastAsia" w:ascii="宋体" w:hAnsi="宋体" w:eastAsia="宋体" w:cs="宋体"/>
          <w:color w:val="auto"/>
          <w:kern w:val="2"/>
          <w:sz w:val="21"/>
          <w:szCs w:val="21"/>
          <w:highlight w:val="none"/>
          <w:lang w:val="en-US" w:eastAsia="zh-CN" w:bidi="zh-CN"/>
        </w:rPr>
        <w:t>11.</w:t>
      </w:r>
      <w:r>
        <w:rPr>
          <w:rStyle w:val="29"/>
          <w:rFonts w:hint="eastAsia" w:ascii="宋体" w:hAnsi="宋体" w:eastAsia="宋体" w:cs="宋体"/>
          <w:color w:val="auto"/>
          <w:kern w:val="2"/>
          <w:sz w:val="21"/>
          <w:szCs w:val="21"/>
          <w:highlight w:val="none"/>
          <w:lang w:val="zh-CN" w:eastAsia="zh-CN" w:bidi="zh-CN"/>
        </w:rPr>
        <w:t>4款的约定。</w:t>
      </w:r>
    </w:p>
    <w:p w14:paraId="6ACB37F3">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630" w:name="_Toc17737"/>
      <w:bookmarkStart w:id="1631" w:name="_Toc49083472"/>
      <w:bookmarkStart w:id="1632" w:name="bookmark1858"/>
      <w:bookmarkStart w:id="1633" w:name="_Toc2281"/>
      <w:bookmarkStart w:id="1634" w:name="bookmark1857"/>
      <w:bookmarkStart w:id="1635" w:name="bookmark1859"/>
      <w:r>
        <w:rPr>
          <w:rStyle w:val="29"/>
          <w:rFonts w:hint="eastAsia" w:ascii="宋体" w:hAnsi="宋体" w:eastAsia="宋体" w:cs="宋体"/>
          <w:color w:val="auto"/>
          <w:kern w:val="2"/>
          <w:sz w:val="21"/>
          <w:szCs w:val="21"/>
          <w:highlight w:val="none"/>
          <w:lang w:eastAsia="zh-CN"/>
        </w:rPr>
        <w:t>24.争议的解决</w:t>
      </w:r>
      <w:bookmarkEnd w:id="1630"/>
      <w:bookmarkEnd w:id="1631"/>
      <w:bookmarkEnd w:id="1632"/>
      <w:bookmarkEnd w:id="1633"/>
      <w:bookmarkEnd w:id="1634"/>
      <w:bookmarkEnd w:id="1635"/>
    </w:p>
    <w:p w14:paraId="5E4E3E54">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val="zh-CN" w:eastAsia="zh-CN"/>
        </w:rPr>
      </w:pPr>
      <w:bookmarkStart w:id="1636" w:name="bookmark1860"/>
      <w:bookmarkStart w:id="1637" w:name="bookmark1862"/>
      <w:bookmarkStart w:id="1638" w:name="bookmark1861"/>
      <w:r>
        <w:rPr>
          <w:rStyle w:val="29"/>
          <w:rFonts w:hint="eastAsia" w:ascii="宋体" w:hAnsi="宋体" w:eastAsia="宋体" w:cs="宋体"/>
          <w:color w:val="auto"/>
          <w:kern w:val="2"/>
          <w:sz w:val="21"/>
          <w:szCs w:val="21"/>
          <w:highlight w:val="none"/>
          <w:lang w:val="zh-CN" w:eastAsia="zh-CN"/>
        </w:rPr>
        <w:t>2</w:t>
      </w:r>
      <w:r>
        <w:rPr>
          <w:rStyle w:val="29"/>
          <w:rFonts w:hint="eastAsia" w:ascii="宋体" w:hAnsi="宋体" w:eastAsia="宋体" w:cs="宋体"/>
          <w:color w:val="auto"/>
          <w:kern w:val="2"/>
          <w:sz w:val="21"/>
          <w:szCs w:val="21"/>
          <w:highlight w:val="none"/>
          <w:lang w:eastAsia="zh-CN"/>
        </w:rPr>
        <w:t>4</w:t>
      </w:r>
      <w:r>
        <w:rPr>
          <w:rStyle w:val="29"/>
          <w:rFonts w:hint="eastAsia" w:ascii="宋体" w:hAnsi="宋体" w:eastAsia="宋体" w:cs="宋体"/>
          <w:color w:val="auto"/>
          <w:kern w:val="2"/>
          <w:sz w:val="21"/>
          <w:szCs w:val="21"/>
          <w:highlight w:val="none"/>
          <w:lang w:val="zh-CN" w:eastAsia="zh-CN"/>
        </w:rPr>
        <w:t>.1争议的解决方式</w:t>
      </w:r>
      <w:bookmarkEnd w:id="1636"/>
      <w:bookmarkEnd w:id="1637"/>
      <w:bookmarkEnd w:id="1638"/>
    </w:p>
    <w:p w14:paraId="3873C12A">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合同当事人友好协商解决不成、不愿提请争议评审或不接受争议评审组意见的，约定的合同争议解决方式为以下第（2）项：</w:t>
      </w:r>
    </w:p>
    <w:p w14:paraId="156582A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（1）向约定的仲裁委员会申请仲裁；</w:t>
      </w:r>
    </w:p>
    <w:p w14:paraId="4F687C20">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en-US" w:eastAsia="zh-CN" w:bidi="zh-CN"/>
        </w:rPr>
      </w:pPr>
      <w:r>
        <w:rPr>
          <w:rStyle w:val="29"/>
          <w:rFonts w:hint="eastAsia" w:ascii="宋体" w:hAnsi="宋体" w:eastAsia="宋体" w:cs="宋体"/>
          <w:color w:val="auto"/>
          <w:kern w:val="2"/>
          <w:sz w:val="21"/>
          <w:szCs w:val="21"/>
          <w:highlight w:val="none"/>
          <w:lang w:val="zh-CN" w:eastAsia="zh-CN" w:bidi="zh-CN"/>
        </w:rPr>
        <w:t>（2）向有管辖权的人民法院提起诉讼</w:t>
      </w:r>
      <w:r>
        <w:rPr>
          <w:rStyle w:val="29"/>
          <w:rFonts w:hint="eastAsia" w:ascii="宋体" w:hAnsi="宋体" w:eastAsia="宋体" w:cs="宋体"/>
          <w:color w:val="auto"/>
          <w:kern w:val="2"/>
          <w:sz w:val="21"/>
          <w:szCs w:val="21"/>
          <w:highlight w:val="none"/>
          <w:lang w:val="en-US" w:eastAsia="zh-CN" w:bidi="zh-CN"/>
        </w:rPr>
        <w:t>。</w:t>
      </w:r>
    </w:p>
    <w:p w14:paraId="3D0126EC">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639" w:name="_Toc49083473"/>
      <w:bookmarkStart w:id="1640" w:name="_Toc30466"/>
      <w:bookmarkStart w:id="1641" w:name="bookmark1864"/>
      <w:bookmarkStart w:id="1642" w:name="_Toc26089"/>
      <w:bookmarkStart w:id="1643" w:name="bookmark1865"/>
      <w:bookmarkStart w:id="1644" w:name="bookmark1863"/>
      <w:r>
        <w:rPr>
          <w:rStyle w:val="29"/>
          <w:rFonts w:hint="eastAsia" w:ascii="宋体" w:hAnsi="宋体" w:eastAsia="宋体" w:cs="宋体"/>
          <w:color w:val="auto"/>
          <w:kern w:val="2"/>
          <w:sz w:val="21"/>
          <w:szCs w:val="21"/>
          <w:highlight w:val="none"/>
          <w:lang w:eastAsia="zh-CN"/>
        </w:rPr>
        <w:t>25.附加条款</w:t>
      </w:r>
      <w:bookmarkEnd w:id="1639"/>
      <w:bookmarkEnd w:id="1640"/>
      <w:bookmarkEnd w:id="1641"/>
      <w:bookmarkEnd w:id="1642"/>
      <w:bookmarkEnd w:id="1643"/>
      <w:bookmarkEnd w:id="1644"/>
    </w:p>
    <w:p w14:paraId="00DC830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25.1对承包人的要求</w:t>
      </w:r>
      <w:bookmarkStart w:id="1645" w:name="bookmark1869"/>
      <w:bookmarkEnd w:id="1645"/>
    </w:p>
    <w:p w14:paraId="45B89AB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1.</w:t>
      </w:r>
      <w:r>
        <w:rPr>
          <w:rStyle w:val="29"/>
          <w:rFonts w:hint="eastAsia" w:ascii="宋体" w:hAnsi="宋体" w:eastAsia="宋体" w:cs="宋体"/>
          <w:color w:val="auto"/>
          <w:kern w:val="2"/>
          <w:sz w:val="21"/>
          <w:szCs w:val="21"/>
          <w:highlight w:val="none"/>
          <w:lang w:val="zh-CN" w:eastAsia="zh-CN" w:bidi="zh-CN"/>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使用承包人设备、临时工程和材料，另行组织人员或委托其他承包人施工，但发包人的这一行为不免除承包人按合同规定应负的责任。</w:t>
      </w:r>
      <w:bookmarkStart w:id="1646" w:name="bookmark1870"/>
      <w:bookmarkEnd w:id="1646"/>
    </w:p>
    <w:p w14:paraId="6672E87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2.</w:t>
      </w:r>
      <w:r>
        <w:rPr>
          <w:rStyle w:val="29"/>
          <w:rFonts w:hint="eastAsia" w:ascii="宋体" w:hAnsi="宋体" w:eastAsia="宋体" w:cs="宋体"/>
          <w:color w:val="auto"/>
          <w:kern w:val="2"/>
          <w:sz w:val="21"/>
          <w:szCs w:val="21"/>
          <w:highlight w:val="none"/>
          <w:lang w:val="zh-CN" w:eastAsia="zh-CN" w:bidi="zh-CN"/>
        </w:rPr>
        <w:t>遵守国务院《建设工程质量管理条例》，根据水利部、自治区和水利厅的有关质量管理规定，建立健全质量管理机构，结合工程实际制定完善的可操作性强的质量管理制度，施工质量等级达到合同约定等级。</w:t>
      </w:r>
      <w:bookmarkStart w:id="1647" w:name="bookmark1871"/>
      <w:bookmarkEnd w:id="1647"/>
    </w:p>
    <w:p w14:paraId="2463497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3.</w:t>
      </w:r>
      <w:r>
        <w:rPr>
          <w:rStyle w:val="29"/>
          <w:rFonts w:hint="eastAsia" w:ascii="宋体" w:hAnsi="宋体" w:eastAsia="宋体" w:cs="宋体"/>
          <w:color w:val="auto"/>
          <w:kern w:val="2"/>
          <w:sz w:val="21"/>
          <w:szCs w:val="21"/>
          <w:highlight w:val="none"/>
          <w:lang w:val="zh-CN" w:eastAsia="zh-CN" w:bidi="zh-CN"/>
        </w:rPr>
        <w:t>按国家《中华人民共和国生产安全法》、《建设工程安全生产管理条例》、自治区安全生产法规和水利水电工程施工安全操作规程的规定建立健全安全管理机构和安全管理制度，采取安全施工保障措施保障工程施工安全。</w:t>
      </w:r>
      <w:bookmarkStart w:id="1648" w:name="bookmark1872"/>
      <w:bookmarkEnd w:id="1648"/>
    </w:p>
    <w:p w14:paraId="2FA05C15">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4.</w:t>
      </w:r>
      <w:r>
        <w:rPr>
          <w:rStyle w:val="29"/>
          <w:rFonts w:hint="eastAsia" w:ascii="宋体" w:hAnsi="宋体" w:eastAsia="宋体" w:cs="宋体"/>
          <w:color w:val="auto"/>
          <w:kern w:val="2"/>
          <w:sz w:val="21"/>
          <w:szCs w:val="21"/>
          <w:highlight w:val="none"/>
          <w:lang w:val="zh-CN" w:eastAsia="zh-CN" w:bidi="zh-CN"/>
        </w:rPr>
        <w:t>按有关施工规程规范及本招标文件技术条款进行组织施工并实施施工过程和移交前工程保护措施。</w:t>
      </w:r>
      <w:bookmarkStart w:id="1649" w:name="bookmark1873"/>
      <w:bookmarkEnd w:id="1649"/>
    </w:p>
    <w:p w14:paraId="0EDB6C4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5.</w:t>
      </w:r>
      <w:r>
        <w:rPr>
          <w:rStyle w:val="29"/>
          <w:rFonts w:hint="eastAsia" w:ascii="宋体" w:hAnsi="宋体" w:eastAsia="宋体" w:cs="宋体"/>
          <w:color w:val="auto"/>
          <w:kern w:val="2"/>
          <w:sz w:val="21"/>
          <w:szCs w:val="21"/>
          <w:highlight w:val="none"/>
          <w:lang w:val="zh-CN" w:eastAsia="zh-CN" w:bidi="zh-CN"/>
        </w:rPr>
        <w:t>承包人违约有以下情况之一者，发包人有权采取合同规定的以下措施处理，并视情节轻重处予违约金。</w:t>
      </w:r>
      <w:bookmarkStart w:id="1650" w:name="bookmark1874"/>
      <w:bookmarkEnd w:id="1650"/>
    </w:p>
    <w:p w14:paraId="6723CD2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en-US" w:eastAsia="zh-CN" w:bidi="zh-CN"/>
        </w:rPr>
      </w:pPr>
      <w:r>
        <w:rPr>
          <w:rStyle w:val="29"/>
          <w:rFonts w:hint="eastAsia" w:ascii="宋体" w:hAnsi="宋体" w:eastAsia="宋体" w:cs="宋体"/>
          <w:color w:val="auto"/>
          <w:kern w:val="2"/>
          <w:sz w:val="21"/>
          <w:szCs w:val="21"/>
          <w:highlight w:val="none"/>
          <w:lang w:val="en-US" w:eastAsia="zh-CN" w:bidi="zh-CN"/>
        </w:rPr>
        <w:t>（1）</w:t>
      </w:r>
      <w:r>
        <w:rPr>
          <w:rStyle w:val="29"/>
          <w:rFonts w:hint="eastAsia" w:ascii="宋体" w:hAnsi="宋体" w:eastAsia="宋体" w:cs="宋体"/>
          <w:color w:val="auto"/>
          <w:kern w:val="2"/>
          <w:sz w:val="21"/>
          <w:szCs w:val="21"/>
          <w:highlight w:val="none"/>
          <w:lang w:val="zh-CN" w:eastAsia="zh-CN" w:bidi="zh-CN"/>
        </w:rPr>
        <w:t>未经发包人批准，施工期内承包人调走主要施工技术人员(包括建造师、专业工程师)，经发现不及时调回的，违约金额为履约保证金金额的5%～20%(视情节严重而定)</w:t>
      </w:r>
      <w:r>
        <w:rPr>
          <w:rStyle w:val="29"/>
          <w:rFonts w:hint="eastAsia" w:ascii="宋体" w:hAnsi="宋体" w:eastAsia="宋体" w:cs="宋体"/>
          <w:color w:val="auto"/>
          <w:kern w:val="2"/>
          <w:sz w:val="21"/>
          <w:szCs w:val="21"/>
          <w:highlight w:val="none"/>
          <w:lang w:val="en-US" w:eastAsia="zh-CN" w:bidi="zh-CN"/>
        </w:rPr>
        <w:t>。</w:t>
      </w:r>
      <w:bookmarkStart w:id="1651" w:name="bookmark1875"/>
      <w:bookmarkEnd w:id="1651"/>
    </w:p>
    <w:p w14:paraId="4BAE162B">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en-US" w:eastAsia="zh-CN" w:bidi="zh-CN"/>
        </w:rPr>
      </w:pP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val="en-US" w:eastAsia="zh-CN" w:bidi="zh-CN"/>
        </w:rPr>
        <w:t>2</w:t>
      </w:r>
      <w:r>
        <w:rPr>
          <w:rStyle w:val="29"/>
          <w:rFonts w:hint="eastAsia" w:ascii="宋体" w:hAnsi="宋体" w:eastAsia="宋体" w:cs="宋体"/>
          <w:color w:val="auto"/>
          <w:kern w:val="2"/>
          <w:sz w:val="21"/>
          <w:szCs w:val="21"/>
          <w:highlight w:val="none"/>
          <w:lang w:val="zh-CN" w:eastAsia="zh-CN" w:bidi="zh-CN"/>
        </w:rPr>
        <w:t>）未经发包人批准，施工期内自行调走主要施工机械，经发现不及时调回的，违约金额为履约保证金金额的5%～20%(视情节严重而定)</w:t>
      </w:r>
      <w:r>
        <w:rPr>
          <w:rStyle w:val="29"/>
          <w:rFonts w:hint="eastAsia" w:ascii="宋体" w:hAnsi="宋体" w:eastAsia="宋体" w:cs="宋体"/>
          <w:color w:val="auto"/>
          <w:kern w:val="2"/>
          <w:sz w:val="21"/>
          <w:szCs w:val="21"/>
          <w:highlight w:val="none"/>
          <w:lang w:val="en-US" w:eastAsia="zh-CN" w:bidi="zh-CN"/>
        </w:rPr>
        <w:t>。</w:t>
      </w:r>
      <w:bookmarkStart w:id="1652" w:name="bookmark1876"/>
      <w:bookmarkEnd w:id="1652"/>
    </w:p>
    <w:p w14:paraId="78478D7D">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val="en-US" w:eastAsia="zh-CN" w:bidi="zh-CN"/>
        </w:rPr>
        <w:t>3</w:t>
      </w:r>
      <w:r>
        <w:rPr>
          <w:rStyle w:val="29"/>
          <w:rFonts w:hint="eastAsia" w:ascii="宋体" w:hAnsi="宋体" w:eastAsia="宋体" w:cs="宋体"/>
          <w:color w:val="auto"/>
          <w:kern w:val="2"/>
          <w:sz w:val="21"/>
          <w:szCs w:val="21"/>
          <w:highlight w:val="none"/>
          <w:lang w:val="zh-CN" w:eastAsia="zh-CN" w:bidi="zh-CN"/>
        </w:rPr>
        <w:t>）所有以上违约金额均在承包人的履约保证金(包括银行利息)及计量支付款内扣除，承包人履约保证金被扣除后，由发包人从最后一次计量支付时扣相应金额补足履约保证金。</w:t>
      </w:r>
      <w:bookmarkStart w:id="1653" w:name="bookmark1877"/>
      <w:bookmarkEnd w:id="1653"/>
    </w:p>
    <w:p w14:paraId="0B83CB1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val="en-US" w:eastAsia="zh-CN" w:bidi="zh-CN"/>
        </w:rPr>
        <w:t>4</w:t>
      </w:r>
      <w:r>
        <w:rPr>
          <w:rStyle w:val="29"/>
          <w:rFonts w:hint="eastAsia" w:ascii="宋体" w:hAnsi="宋体" w:eastAsia="宋体" w:cs="宋体"/>
          <w:color w:val="auto"/>
          <w:kern w:val="2"/>
          <w:sz w:val="21"/>
          <w:szCs w:val="21"/>
          <w:highlight w:val="none"/>
          <w:lang w:val="zh-CN" w:eastAsia="zh-CN" w:bidi="zh-CN"/>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械、材料和劳动力不能满足施工进度要求，有权指令承包人增加机械、材料和劳动力投入,承包人不得拒绝。</w:t>
      </w:r>
      <w:bookmarkStart w:id="1654" w:name="bookmark1878"/>
      <w:bookmarkEnd w:id="1654"/>
    </w:p>
    <w:p w14:paraId="5152735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val="en-US" w:eastAsia="zh-CN" w:bidi="zh-CN"/>
        </w:rPr>
        <w:t>5</w:t>
      </w:r>
      <w:r>
        <w:rPr>
          <w:rStyle w:val="29"/>
          <w:rFonts w:hint="eastAsia" w:ascii="宋体" w:hAnsi="宋体" w:eastAsia="宋体" w:cs="宋体"/>
          <w:color w:val="auto"/>
          <w:kern w:val="2"/>
          <w:sz w:val="21"/>
          <w:szCs w:val="21"/>
          <w:highlight w:val="none"/>
          <w:lang w:val="zh-CN" w:eastAsia="zh-CN" w:bidi="zh-CN"/>
        </w:rPr>
        <w:t>）合同签订之日起15日内，承包人无法按合同规定进场全部人员和机械时，作为承包人违约，发包人可解除合同，没收其全部履约保证金，另行发包工程。</w:t>
      </w:r>
      <w:bookmarkStart w:id="1655" w:name="bookmark1879"/>
      <w:bookmarkEnd w:id="1655"/>
    </w:p>
    <w:p w14:paraId="66BFB37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w:t>
      </w:r>
      <w:r>
        <w:rPr>
          <w:rStyle w:val="29"/>
          <w:rFonts w:hint="eastAsia" w:ascii="宋体" w:hAnsi="宋体" w:eastAsia="宋体" w:cs="宋体"/>
          <w:color w:val="auto"/>
          <w:kern w:val="2"/>
          <w:sz w:val="21"/>
          <w:szCs w:val="21"/>
          <w:highlight w:val="none"/>
          <w:lang w:val="en-US" w:eastAsia="zh-CN" w:bidi="zh-CN"/>
        </w:rPr>
        <w:t>6</w:t>
      </w:r>
      <w:r>
        <w:rPr>
          <w:rStyle w:val="29"/>
          <w:rFonts w:hint="eastAsia" w:ascii="宋体" w:hAnsi="宋体" w:eastAsia="宋体" w:cs="宋体"/>
          <w:color w:val="auto"/>
          <w:kern w:val="2"/>
          <w:sz w:val="21"/>
          <w:szCs w:val="21"/>
          <w:highlight w:val="none"/>
          <w:lang w:val="zh-CN" w:eastAsia="zh-CN" w:bidi="zh-CN"/>
        </w:rPr>
        <w:t>）合同履行过程中，承包人未按规定要求落实安全生产措施费用专款专用，挪用、扣减安全生产措施费用，且不服从发包人或监理人的安全生产管理，发包人有权对违反安全生产相关规定的行为处以罚款直至终止合同。</w:t>
      </w:r>
      <w:bookmarkStart w:id="1656" w:name="bookmark1880"/>
      <w:bookmarkEnd w:id="1656"/>
    </w:p>
    <w:p w14:paraId="47880FE0">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6.</w:t>
      </w:r>
      <w:r>
        <w:rPr>
          <w:rStyle w:val="29"/>
          <w:rFonts w:hint="eastAsia" w:ascii="宋体" w:hAnsi="宋体" w:eastAsia="宋体" w:cs="宋体"/>
          <w:color w:val="auto"/>
          <w:kern w:val="2"/>
          <w:sz w:val="21"/>
          <w:szCs w:val="21"/>
          <w:highlight w:val="none"/>
          <w:lang w:val="zh-CN" w:eastAsia="zh-CN" w:bidi="zh-CN"/>
        </w:rPr>
        <w:t>承包人生活设施及施工场地，应自费配备消防设备，防止火灾发生。</w:t>
      </w:r>
      <w:bookmarkStart w:id="1657" w:name="bookmark1881"/>
      <w:bookmarkEnd w:id="1657"/>
    </w:p>
    <w:p w14:paraId="6436ADA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承包人使用的劳动力均应进行保险，否则不准安排工作，禁止使用童工。</w:t>
      </w:r>
    </w:p>
    <w:p w14:paraId="1DBF25E8">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7.</w:t>
      </w:r>
      <w:r>
        <w:rPr>
          <w:rStyle w:val="29"/>
          <w:rFonts w:hint="eastAsia" w:ascii="宋体" w:hAnsi="宋体" w:eastAsia="宋体" w:cs="宋体"/>
          <w:color w:val="auto"/>
          <w:kern w:val="2"/>
          <w:sz w:val="21"/>
          <w:szCs w:val="21"/>
          <w:highlight w:val="none"/>
          <w:lang w:val="zh-CN" w:eastAsia="zh-CN" w:bidi="zh-CN"/>
        </w:rPr>
        <w:t>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bookmarkStart w:id="1658" w:name="bookmark1883"/>
      <w:bookmarkEnd w:id="1658"/>
    </w:p>
    <w:p w14:paraId="163C9237">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8.</w:t>
      </w:r>
      <w:r>
        <w:rPr>
          <w:rStyle w:val="29"/>
          <w:rFonts w:hint="eastAsia" w:ascii="宋体" w:hAnsi="宋体" w:eastAsia="宋体" w:cs="宋体"/>
          <w:color w:val="auto"/>
          <w:kern w:val="2"/>
          <w:sz w:val="21"/>
          <w:szCs w:val="21"/>
          <w:highlight w:val="none"/>
          <w:lang w:val="zh-CN" w:eastAsia="zh-CN" w:bidi="zh-CN"/>
        </w:rPr>
        <w:t>承包人未能按时完成当月合同进度计划70%工程量的，发包人有权自行组织施工，以不超过投标报价的2倍单价扣减承包人的进度款，支付自行组织施工完成的工程款。也有权终止本合同并清退承包人，承包人须在10天内离场，否则发包人将强行撤出所有施工设备，所造成的全部损失由承包人承担。</w:t>
      </w:r>
      <w:bookmarkStart w:id="1659" w:name="bookmark1884"/>
      <w:bookmarkEnd w:id="1659"/>
    </w:p>
    <w:p w14:paraId="069A4A54">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en-US" w:eastAsia="zh-CN" w:bidi="zh-CN"/>
        </w:rPr>
        <w:t>9.</w:t>
      </w:r>
      <w:r>
        <w:rPr>
          <w:rStyle w:val="29"/>
          <w:rFonts w:hint="eastAsia" w:ascii="宋体" w:hAnsi="宋体" w:eastAsia="宋体" w:cs="宋体"/>
          <w:color w:val="auto"/>
          <w:kern w:val="2"/>
          <w:sz w:val="21"/>
          <w:szCs w:val="21"/>
          <w:highlight w:val="none"/>
          <w:lang w:val="zh-CN" w:eastAsia="zh-CN" w:bidi="zh-CN"/>
        </w:rPr>
        <w:t>有关主管部门及发包人检查发现问题时，承包人应按要求整改。在规定时间内不进行整改或整改无效的，发包人有权终止本施工合同并清退承包人。承包人须在10天内离场，否则发包人将强行撤出所有施工设备，所造成的全部损失由承包人承担。</w:t>
      </w:r>
      <w:bookmarkStart w:id="1660" w:name="bookmark1886"/>
      <w:bookmarkStart w:id="1661" w:name="bookmark1885"/>
      <w:bookmarkStart w:id="1662" w:name="bookmark1887"/>
    </w:p>
    <w:p w14:paraId="771647AE">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color w:val="auto"/>
          <w:kern w:val="2"/>
          <w:sz w:val="21"/>
          <w:szCs w:val="21"/>
          <w:highlight w:val="none"/>
          <w:lang w:val="zh-CN" w:eastAsia="zh-CN" w:bidi="zh-CN"/>
        </w:rPr>
        <w:t>25.2发包人所有付款（含预付款）均转入如下承包人单位基本账户</w:t>
      </w:r>
      <w:r>
        <w:rPr>
          <w:rStyle w:val="29"/>
          <w:rFonts w:hint="eastAsia" w:ascii="宋体" w:hAnsi="宋体" w:eastAsia="宋体" w:cs="宋体"/>
          <w:color w:val="auto"/>
          <w:kern w:val="2"/>
          <w:sz w:val="21"/>
          <w:szCs w:val="21"/>
          <w:highlight w:val="none"/>
          <w:lang w:val="zh-CN" w:eastAsia="zh-CN" w:bidi="zh-CN"/>
        </w:rPr>
        <w:tab/>
      </w:r>
      <w:r>
        <w:rPr>
          <w:rStyle w:val="29"/>
          <w:rFonts w:hint="eastAsia" w:ascii="宋体" w:hAnsi="宋体" w:eastAsia="宋体" w:cs="宋体"/>
          <w:color w:val="auto"/>
          <w:kern w:val="2"/>
          <w:sz w:val="21"/>
          <w:szCs w:val="21"/>
          <w:highlight w:val="none"/>
          <w:lang w:val="zh-CN" w:eastAsia="zh-CN" w:bidi="zh-CN"/>
        </w:rPr>
        <w:t>（签订施工合同时标明），承包人单位基本账户发生改变时，承包人应书面通知（法定代表人签字并加盖单位公章）发包人。</w:t>
      </w:r>
      <w:bookmarkEnd w:id="1660"/>
      <w:bookmarkEnd w:id="1661"/>
      <w:bookmarkEnd w:id="1662"/>
      <w:bookmarkStart w:id="1663" w:name="bookmark1888"/>
      <w:bookmarkStart w:id="1664" w:name="bookmark1889"/>
      <w:bookmarkStart w:id="1665" w:name="bookmark1890"/>
      <w:bookmarkStart w:id="1666" w:name="_Toc256000177"/>
    </w:p>
    <w:p w14:paraId="3947A98C">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r>
        <w:rPr>
          <w:rStyle w:val="29"/>
          <w:rFonts w:hint="eastAsia" w:ascii="宋体" w:hAnsi="宋体" w:eastAsia="宋体" w:cs="宋体"/>
          <w:b/>
          <w:bCs/>
          <w:color w:val="auto"/>
          <w:kern w:val="2"/>
          <w:sz w:val="21"/>
          <w:szCs w:val="21"/>
          <w:highlight w:val="none"/>
          <w:lang w:val="zh-CN" w:eastAsia="zh-CN" w:bidi="zh-CN"/>
        </w:rPr>
        <w:t>25.3专用合同条款中未尽事宜，在签订施工合同时双方再商定</w:t>
      </w:r>
      <w:r>
        <w:rPr>
          <w:rStyle w:val="29"/>
          <w:rFonts w:hint="eastAsia" w:ascii="宋体" w:hAnsi="宋体" w:eastAsia="宋体" w:cs="宋体"/>
          <w:color w:val="auto"/>
          <w:kern w:val="2"/>
          <w:sz w:val="21"/>
          <w:szCs w:val="21"/>
          <w:highlight w:val="none"/>
          <w:lang w:val="zh-CN" w:eastAsia="zh-CN" w:bidi="zh-CN"/>
        </w:rPr>
        <w:t>。</w:t>
      </w:r>
      <w:bookmarkEnd w:id="1663"/>
      <w:bookmarkEnd w:id="1664"/>
      <w:bookmarkEnd w:id="1665"/>
    </w:p>
    <w:p w14:paraId="6475746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p>
    <w:p w14:paraId="06E54163">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textAlignment w:val="auto"/>
        <w:rPr>
          <w:rStyle w:val="29"/>
          <w:rFonts w:hint="eastAsia" w:ascii="宋体" w:hAnsi="宋体" w:eastAsia="宋体" w:cs="宋体"/>
          <w:color w:val="auto"/>
          <w:sz w:val="21"/>
          <w:szCs w:val="21"/>
          <w:highlight w:val="none"/>
          <w:lang w:val="zh-CN" w:eastAsia="zh-CN" w:bidi="zh-CN"/>
        </w:rPr>
      </w:pPr>
    </w:p>
    <w:p w14:paraId="2E802DA6">
      <w:pPr>
        <w:pStyle w:val="103"/>
        <w:keepNext w:val="0"/>
        <w:keepLines w:val="0"/>
        <w:pageBreakBefore w:val="0"/>
        <w:widowControl w:val="0"/>
        <w:shd w:val="clear" w:color="auto"/>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Times New Roman"/>
          <w:b/>
          <w:color w:val="auto"/>
          <w:sz w:val="32"/>
          <w:szCs w:val="24"/>
          <w:highlight w:val="none"/>
          <w:lang w:val="en-US" w:eastAsia="zh-CN"/>
        </w:rPr>
      </w:pPr>
      <w:r>
        <w:rPr>
          <w:rStyle w:val="29"/>
          <w:rFonts w:ascii="Times New Roman" w:hAnsi="Times New Roman" w:eastAsia="宋体" w:cs="Times New Roman"/>
          <w:color w:val="auto"/>
          <w:kern w:val="2"/>
          <w:sz w:val="32"/>
          <w:szCs w:val="32"/>
          <w:highlight w:val="none"/>
          <w:lang w:eastAsia="zh-CN" w:bidi="ar-SA"/>
        </w:rPr>
        <w:br w:type="page"/>
      </w:r>
      <w:r>
        <w:rPr>
          <w:rFonts w:hint="default" w:ascii="宋体" w:hAnsi="宋体" w:eastAsia="宋体" w:cs="Times New Roman"/>
          <w:b/>
          <w:color w:val="auto"/>
          <w:sz w:val="32"/>
          <w:szCs w:val="24"/>
          <w:highlight w:val="none"/>
          <w:lang w:val="en-US" w:eastAsia="zh-CN"/>
        </w:rPr>
        <w:t>第三节  合同附件格式</w:t>
      </w:r>
      <w:bookmarkEnd w:id="1666"/>
    </w:p>
    <w:p w14:paraId="776480E6">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rPr>
        <w:t>附件一：合同协议书</w:t>
      </w:r>
      <w:bookmarkEnd w:id="1301"/>
      <w:bookmarkEnd w:id="1302"/>
      <w:bookmarkEnd w:id="1303"/>
      <w:bookmarkEnd w:id="1304"/>
      <w:bookmarkEnd w:id="1305"/>
      <w:bookmarkEnd w:id="1306"/>
    </w:p>
    <w:p w14:paraId="19EF29CF">
      <w:pPr>
        <w:pStyle w:val="104"/>
        <w:keepNext w:val="0"/>
        <w:keepLines w:val="0"/>
        <w:pageBreakBefore w:val="0"/>
        <w:widowControl w:val="0"/>
        <w:shd w:val="clear" w:color="auto"/>
        <w:kinsoku/>
        <w:wordWrap/>
        <w:overflowPunct/>
        <w:topLinePunct w:val="0"/>
        <w:autoSpaceDE/>
        <w:autoSpaceDN/>
        <w:bidi w:val="0"/>
        <w:adjustRightInd/>
        <w:snapToGrid/>
        <w:spacing w:before="160" w:beforeLines="50" w:after="160" w:afterLines="50" w:line="400" w:lineRule="exact"/>
        <w:jc w:val="center"/>
        <w:textAlignment w:val="auto"/>
        <w:rPr>
          <w:rStyle w:val="29"/>
          <w:rFonts w:ascii="宋体" w:hAnsi="宋体" w:eastAsia="宋体" w:cs="宋体"/>
          <w:b/>
          <w:color w:val="auto"/>
          <w:highlight w:val="none"/>
          <w:lang w:eastAsia="zh-CN"/>
        </w:rPr>
      </w:pPr>
      <w:bookmarkStart w:id="1667" w:name="bookmark1895"/>
      <w:bookmarkStart w:id="1668" w:name="bookmark1896"/>
      <w:bookmarkStart w:id="1669" w:name="bookmark1894"/>
      <w:r>
        <w:rPr>
          <w:rStyle w:val="29"/>
          <w:rFonts w:hint="eastAsia" w:ascii="宋体" w:hAnsi="宋体" w:eastAsia="宋体" w:cs="宋体"/>
          <w:b/>
          <w:color w:val="auto"/>
          <w:kern w:val="2"/>
          <w:sz w:val="21"/>
          <w:highlight w:val="none"/>
          <w:lang w:eastAsia="zh-CN" w:bidi="ar-SA"/>
        </w:rPr>
        <w:t>合同协议书</w:t>
      </w:r>
      <w:bookmarkEnd w:id="1667"/>
      <w:bookmarkEnd w:id="1668"/>
      <w:bookmarkEnd w:id="1669"/>
    </w:p>
    <w:p w14:paraId="0AB2E862">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（发包人名称，以下简称“发包人”）为实施</w:t>
      </w:r>
      <w:r>
        <w:rPr>
          <w:rStyle w:val="29"/>
          <w:rFonts w:hint="eastAsia" w:ascii="宋体" w:hAnsi="宋体" w:eastAsia="宋体" w:cs="宋体"/>
          <w:color w:val="auto"/>
          <w:kern w:val="2"/>
          <w:sz w:val="21"/>
          <w:szCs w:val="21"/>
          <w:highlight w:val="none"/>
          <w:lang w:eastAsia="zh-CN" w:bidi="ar-SA"/>
        </w:rPr>
        <w:tab/>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（项目名称），已接受</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（承包人名称，以下简称“承包人”）对该项目</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（项目名称）</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（标段名称）的投标，并确定其为成交人。发包人和承包人共同达成如下协议。</w:t>
      </w:r>
    </w:p>
    <w:p w14:paraId="0F06359D">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70" w:name="bookmark1897"/>
      <w:bookmarkEnd w:id="1670"/>
      <w:r>
        <w:rPr>
          <w:rStyle w:val="29"/>
          <w:rFonts w:hint="eastAsia" w:ascii="宋体" w:hAnsi="宋体" w:eastAsia="宋体" w:cs="宋体"/>
          <w:color w:val="auto"/>
          <w:kern w:val="2"/>
          <w:sz w:val="21"/>
          <w:szCs w:val="21"/>
          <w:highlight w:val="none"/>
          <w:lang w:val="en-US" w:eastAsia="en-US" w:bidi="ar-SA"/>
        </w:rPr>
        <w:t>1.</w:t>
      </w:r>
      <w:r>
        <w:rPr>
          <w:rStyle w:val="29"/>
          <w:rFonts w:hint="eastAsia" w:ascii="宋体" w:hAnsi="宋体" w:eastAsia="宋体" w:cs="宋体"/>
          <w:color w:val="auto"/>
          <w:kern w:val="2"/>
          <w:sz w:val="21"/>
          <w:szCs w:val="21"/>
          <w:highlight w:val="none"/>
          <w:lang w:eastAsia="zh-CN" w:bidi="ar-SA"/>
        </w:rPr>
        <w:t>本协议书与下列文件一起构成合同文件：</w:t>
      </w:r>
    </w:p>
    <w:p w14:paraId="4141B614">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71" w:name="bookmark1898"/>
      <w:r>
        <w:rPr>
          <w:rStyle w:val="29"/>
          <w:rFonts w:hint="eastAsia" w:ascii="宋体" w:hAnsi="宋体" w:eastAsia="宋体" w:cs="宋体"/>
          <w:color w:val="auto"/>
          <w:kern w:val="2"/>
          <w:sz w:val="21"/>
          <w:szCs w:val="21"/>
          <w:highlight w:val="none"/>
          <w:lang w:eastAsia="zh-CN" w:bidi="ar-SA"/>
        </w:rPr>
        <w:t>（</w:t>
      </w:r>
      <w:bookmarkEnd w:id="1671"/>
      <w:r>
        <w:rPr>
          <w:rStyle w:val="29"/>
          <w:rFonts w:hint="eastAsia" w:ascii="宋体" w:hAnsi="宋体" w:eastAsia="宋体" w:cs="宋体"/>
          <w:color w:val="auto"/>
          <w:kern w:val="2"/>
          <w:sz w:val="21"/>
          <w:szCs w:val="21"/>
          <w:highlight w:val="none"/>
          <w:lang w:eastAsia="zh-CN" w:bidi="ar-SA"/>
        </w:rPr>
        <w:t>1）成交通知书；</w:t>
      </w:r>
    </w:p>
    <w:p w14:paraId="275C65AF">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72" w:name="bookmark1899"/>
      <w:r>
        <w:rPr>
          <w:rStyle w:val="29"/>
          <w:rFonts w:hint="eastAsia" w:ascii="宋体" w:hAnsi="宋体" w:eastAsia="宋体" w:cs="宋体"/>
          <w:color w:val="auto"/>
          <w:kern w:val="2"/>
          <w:sz w:val="21"/>
          <w:szCs w:val="21"/>
          <w:highlight w:val="none"/>
          <w:lang w:eastAsia="zh-CN" w:bidi="ar-SA"/>
        </w:rPr>
        <w:t>（</w:t>
      </w:r>
      <w:bookmarkEnd w:id="1672"/>
      <w:r>
        <w:rPr>
          <w:rStyle w:val="29"/>
          <w:rFonts w:hint="eastAsia" w:ascii="宋体" w:hAnsi="宋体" w:eastAsia="宋体" w:cs="宋体"/>
          <w:color w:val="auto"/>
          <w:kern w:val="2"/>
          <w:sz w:val="21"/>
          <w:szCs w:val="21"/>
          <w:highlight w:val="none"/>
          <w:lang w:eastAsia="zh-CN" w:bidi="ar-SA"/>
        </w:rPr>
        <w:t>2）投标函及投标函附录；</w:t>
      </w:r>
    </w:p>
    <w:p w14:paraId="12EAF717">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73" w:name="bookmark1900"/>
      <w:r>
        <w:rPr>
          <w:rStyle w:val="29"/>
          <w:rFonts w:hint="eastAsia" w:ascii="宋体" w:hAnsi="宋体" w:eastAsia="宋体" w:cs="宋体"/>
          <w:color w:val="auto"/>
          <w:kern w:val="2"/>
          <w:sz w:val="21"/>
          <w:szCs w:val="21"/>
          <w:highlight w:val="none"/>
          <w:lang w:eastAsia="zh-CN" w:bidi="ar-SA"/>
        </w:rPr>
        <w:t>（</w:t>
      </w:r>
      <w:bookmarkEnd w:id="1673"/>
      <w:r>
        <w:rPr>
          <w:rStyle w:val="29"/>
          <w:rFonts w:hint="eastAsia" w:ascii="宋体" w:hAnsi="宋体" w:eastAsia="宋体" w:cs="宋体"/>
          <w:color w:val="auto"/>
          <w:kern w:val="2"/>
          <w:sz w:val="21"/>
          <w:szCs w:val="21"/>
          <w:highlight w:val="none"/>
          <w:lang w:eastAsia="zh-CN" w:bidi="ar-SA"/>
        </w:rPr>
        <w:t>3）专用合同条款（含附加条款）；</w:t>
      </w:r>
    </w:p>
    <w:p w14:paraId="198DB24E">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74" w:name="bookmark1901"/>
      <w:r>
        <w:rPr>
          <w:rStyle w:val="29"/>
          <w:rFonts w:hint="eastAsia" w:ascii="宋体" w:hAnsi="宋体" w:eastAsia="宋体" w:cs="宋体"/>
          <w:color w:val="auto"/>
          <w:kern w:val="2"/>
          <w:sz w:val="21"/>
          <w:szCs w:val="21"/>
          <w:highlight w:val="none"/>
          <w:lang w:eastAsia="zh-CN" w:bidi="ar-SA"/>
        </w:rPr>
        <w:t>（</w:t>
      </w:r>
      <w:bookmarkEnd w:id="1674"/>
      <w:r>
        <w:rPr>
          <w:rStyle w:val="29"/>
          <w:rFonts w:hint="eastAsia" w:ascii="宋体" w:hAnsi="宋体" w:eastAsia="宋体" w:cs="宋体"/>
          <w:color w:val="auto"/>
          <w:kern w:val="2"/>
          <w:sz w:val="21"/>
          <w:szCs w:val="21"/>
          <w:highlight w:val="none"/>
          <w:lang w:eastAsia="zh-CN" w:bidi="ar-SA"/>
        </w:rPr>
        <w:t>4）通用合同条款；</w:t>
      </w:r>
    </w:p>
    <w:p w14:paraId="293EA203">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75" w:name="bookmark1902"/>
      <w:r>
        <w:rPr>
          <w:rStyle w:val="29"/>
          <w:rFonts w:hint="eastAsia" w:ascii="宋体" w:hAnsi="宋体" w:eastAsia="宋体" w:cs="宋体"/>
          <w:color w:val="auto"/>
          <w:kern w:val="2"/>
          <w:sz w:val="21"/>
          <w:szCs w:val="21"/>
          <w:highlight w:val="none"/>
          <w:lang w:eastAsia="zh-CN" w:bidi="ar-SA"/>
        </w:rPr>
        <w:t>（</w:t>
      </w:r>
      <w:bookmarkEnd w:id="1675"/>
      <w:r>
        <w:rPr>
          <w:rStyle w:val="29"/>
          <w:rFonts w:hint="eastAsia" w:ascii="宋体" w:hAnsi="宋体" w:eastAsia="宋体" w:cs="宋体"/>
          <w:color w:val="auto"/>
          <w:kern w:val="2"/>
          <w:sz w:val="21"/>
          <w:szCs w:val="21"/>
          <w:highlight w:val="none"/>
          <w:lang w:eastAsia="zh-CN" w:bidi="ar-SA"/>
        </w:rPr>
        <w:t>5）技术标准和要求（合同技术条款）；</w:t>
      </w:r>
    </w:p>
    <w:p w14:paraId="1A5C46C4">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76" w:name="bookmark1903"/>
      <w:r>
        <w:rPr>
          <w:rStyle w:val="29"/>
          <w:rFonts w:hint="eastAsia" w:ascii="宋体" w:hAnsi="宋体" w:eastAsia="宋体" w:cs="宋体"/>
          <w:color w:val="auto"/>
          <w:kern w:val="2"/>
          <w:sz w:val="21"/>
          <w:szCs w:val="21"/>
          <w:highlight w:val="none"/>
          <w:lang w:eastAsia="zh-CN" w:bidi="ar-SA"/>
        </w:rPr>
        <w:t>（</w:t>
      </w:r>
      <w:bookmarkEnd w:id="1676"/>
      <w:r>
        <w:rPr>
          <w:rStyle w:val="29"/>
          <w:rFonts w:hint="eastAsia" w:ascii="宋体" w:hAnsi="宋体" w:eastAsia="宋体" w:cs="宋体"/>
          <w:color w:val="auto"/>
          <w:kern w:val="2"/>
          <w:sz w:val="21"/>
          <w:szCs w:val="21"/>
          <w:highlight w:val="none"/>
          <w:lang w:eastAsia="zh-CN" w:bidi="ar-SA"/>
        </w:rPr>
        <w:t>6）图纸；</w:t>
      </w:r>
    </w:p>
    <w:p w14:paraId="216D44B3">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77" w:name="bookmark1904"/>
      <w:r>
        <w:rPr>
          <w:rStyle w:val="29"/>
          <w:rFonts w:hint="eastAsia" w:ascii="宋体" w:hAnsi="宋体" w:eastAsia="宋体" w:cs="宋体"/>
          <w:color w:val="auto"/>
          <w:kern w:val="2"/>
          <w:sz w:val="21"/>
          <w:szCs w:val="21"/>
          <w:highlight w:val="none"/>
          <w:lang w:eastAsia="zh-CN" w:bidi="ar-SA"/>
        </w:rPr>
        <w:t>（</w:t>
      </w:r>
      <w:bookmarkEnd w:id="1677"/>
      <w:r>
        <w:rPr>
          <w:rStyle w:val="29"/>
          <w:rFonts w:hint="eastAsia" w:ascii="宋体" w:hAnsi="宋体" w:eastAsia="宋体" w:cs="宋体"/>
          <w:color w:val="auto"/>
          <w:kern w:val="2"/>
          <w:sz w:val="21"/>
          <w:szCs w:val="21"/>
          <w:highlight w:val="none"/>
          <w:lang w:eastAsia="zh-CN" w:bidi="ar-SA"/>
        </w:rPr>
        <w:t>7）已标价工程量清单；</w:t>
      </w:r>
    </w:p>
    <w:p w14:paraId="4C439F37">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78" w:name="bookmark1905"/>
      <w:r>
        <w:rPr>
          <w:rStyle w:val="29"/>
          <w:rFonts w:hint="eastAsia" w:ascii="宋体" w:hAnsi="宋体" w:eastAsia="宋体" w:cs="宋体"/>
          <w:color w:val="auto"/>
          <w:kern w:val="2"/>
          <w:sz w:val="21"/>
          <w:szCs w:val="21"/>
          <w:highlight w:val="none"/>
          <w:lang w:eastAsia="zh-CN" w:bidi="ar-SA"/>
        </w:rPr>
        <w:t>（</w:t>
      </w:r>
      <w:bookmarkEnd w:id="1678"/>
      <w:r>
        <w:rPr>
          <w:rStyle w:val="29"/>
          <w:rFonts w:hint="eastAsia" w:ascii="宋体" w:hAnsi="宋体" w:eastAsia="宋体" w:cs="宋体"/>
          <w:color w:val="auto"/>
          <w:kern w:val="2"/>
          <w:sz w:val="21"/>
          <w:szCs w:val="21"/>
          <w:highlight w:val="none"/>
          <w:lang w:eastAsia="zh-CN" w:bidi="ar-SA"/>
        </w:rPr>
        <w:t>8）其他合同文件。</w:t>
      </w:r>
    </w:p>
    <w:p w14:paraId="605B7F73">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79" w:name="bookmark1906"/>
      <w:bookmarkEnd w:id="1679"/>
      <w:r>
        <w:rPr>
          <w:rStyle w:val="29"/>
          <w:rFonts w:hint="eastAsia" w:ascii="宋体" w:hAnsi="宋体" w:eastAsia="宋体" w:cs="宋体"/>
          <w:color w:val="auto"/>
          <w:kern w:val="2"/>
          <w:sz w:val="21"/>
          <w:szCs w:val="21"/>
          <w:highlight w:val="none"/>
          <w:lang w:val="en-US" w:eastAsia="en-US" w:bidi="ar-SA"/>
        </w:rPr>
        <w:t>2.</w:t>
      </w:r>
      <w:r>
        <w:rPr>
          <w:rStyle w:val="29"/>
          <w:rFonts w:hint="eastAsia" w:ascii="宋体" w:hAnsi="宋体" w:eastAsia="宋体" w:cs="宋体"/>
          <w:color w:val="auto"/>
          <w:kern w:val="2"/>
          <w:sz w:val="21"/>
          <w:szCs w:val="21"/>
          <w:highlight w:val="none"/>
          <w:lang w:eastAsia="zh-CN" w:bidi="ar-SA"/>
        </w:rPr>
        <w:t>上述文件互相补充和解释，如有不明确或不一致之处，以合同约定次序在先者为准。</w:t>
      </w:r>
    </w:p>
    <w:p w14:paraId="0EA06B33">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rPr>
      </w:pPr>
      <w:bookmarkStart w:id="1680" w:name="bookmark1907"/>
      <w:bookmarkEnd w:id="1680"/>
      <w:r>
        <w:rPr>
          <w:rFonts w:hint="eastAsia" w:ascii="宋体" w:hAnsi="宋体" w:eastAsia="宋体" w:cs="宋体"/>
          <w:b w:val="0"/>
          <w:bCs w:val="0"/>
          <w:i w:val="0"/>
          <w:iCs w:val="0"/>
          <w:smallCaps w:val="0"/>
          <w:strike w:val="0"/>
          <w:color w:val="auto"/>
          <w:spacing w:val="0"/>
          <w:w w:val="100"/>
          <w:position w:val="0"/>
          <w:sz w:val="21"/>
          <w:szCs w:val="21"/>
          <w:highlight w:val="none"/>
          <w:u w:val="none"/>
          <w:shd w:val="clear" w:color="auto" w:fill="auto"/>
          <w:lang w:val="en-US" w:eastAsia="en-US" w:bidi="en-US"/>
        </w:rPr>
        <w:t>3.</w:t>
      </w:r>
      <w:r>
        <w:rPr>
          <w:rStyle w:val="29"/>
          <w:rFonts w:hint="eastAsia" w:ascii="宋体" w:hAnsi="宋体" w:eastAsia="宋体" w:cs="宋体"/>
          <w:color w:val="auto"/>
          <w:kern w:val="2"/>
          <w:sz w:val="21"/>
          <w:szCs w:val="21"/>
          <w:highlight w:val="none"/>
          <w:lang w:eastAsia="zh-CN" w:bidi="ar-SA"/>
        </w:rPr>
        <w:t>签约合同价：人民币（大写）</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eastAsia="zh-CN" w:bidi="ar-SA"/>
        </w:rPr>
        <w:t>元（¥</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val="en-US" w:eastAsia="zh-CN" w:bidi="en-US"/>
        </w:rPr>
        <w:t>）</w:t>
      </w:r>
      <w:r>
        <w:rPr>
          <w:rStyle w:val="29"/>
          <w:rFonts w:hint="eastAsia" w:ascii="宋体" w:hAnsi="宋体" w:eastAsia="宋体" w:cs="宋体"/>
          <w:color w:val="auto"/>
          <w:kern w:val="2"/>
          <w:sz w:val="21"/>
          <w:szCs w:val="21"/>
          <w:highlight w:val="none"/>
          <w:vertAlign w:val="subscript"/>
          <w:lang w:val="en-US" w:eastAsia="zh-CN" w:bidi="en-US"/>
        </w:rPr>
        <w:t>o</w:t>
      </w:r>
    </w:p>
    <w:p w14:paraId="24BFC886">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rPr>
      </w:pPr>
      <w:bookmarkStart w:id="1681" w:name="bookmark1908"/>
      <w:bookmarkEnd w:id="1681"/>
      <w:r>
        <w:rPr>
          <w:rFonts w:hint="eastAsia" w:ascii="宋体" w:hAnsi="宋体" w:eastAsia="宋体" w:cs="宋体"/>
          <w:b w:val="0"/>
          <w:bCs w:val="0"/>
          <w:i w:val="0"/>
          <w:iCs w:val="0"/>
          <w:smallCaps w:val="0"/>
          <w:strike w:val="0"/>
          <w:color w:val="auto"/>
          <w:spacing w:val="0"/>
          <w:w w:val="100"/>
          <w:position w:val="0"/>
          <w:sz w:val="21"/>
          <w:szCs w:val="21"/>
          <w:highlight w:val="none"/>
          <w:u w:val="none"/>
          <w:shd w:val="clear" w:color="auto" w:fill="auto"/>
          <w:lang w:val="en-US" w:eastAsia="en-US" w:bidi="en-US"/>
        </w:rPr>
        <w:t>4.</w:t>
      </w:r>
      <w:r>
        <w:rPr>
          <w:rStyle w:val="29"/>
          <w:rFonts w:hint="eastAsia" w:ascii="宋体" w:hAnsi="宋体" w:eastAsia="宋体" w:cs="宋体"/>
          <w:color w:val="auto"/>
          <w:kern w:val="2"/>
          <w:sz w:val="21"/>
          <w:szCs w:val="21"/>
          <w:highlight w:val="none"/>
          <w:lang w:eastAsia="zh-CN" w:bidi="ar-SA"/>
        </w:rPr>
        <w:t>承包人项目经理：</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val="en-US" w:eastAsia="zh-CN" w:bidi="en-US"/>
        </w:rPr>
        <w:t>。</w:t>
      </w:r>
    </w:p>
    <w:p w14:paraId="6800C44F">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rPr>
      </w:pPr>
      <w:bookmarkStart w:id="1682" w:name="bookmark1909"/>
      <w:bookmarkEnd w:id="1682"/>
      <w:r>
        <w:rPr>
          <w:rFonts w:hint="eastAsia" w:ascii="宋体" w:hAnsi="宋体" w:eastAsia="宋体" w:cs="宋体"/>
          <w:b w:val="0"/>
          <w:bCs w:val="0"/>
          <w:i w:val="0"/>
          <w:iCs w:val="0"/>
          <w:smallCaps w:val="0"/>
          <w:strike w:val="0"/>
          <w:color w:val="auto"/>
          <w:spacing w:val="0"/>
          <w:w w:val="100"/>
          <w:position w:val="0"/>
          <w:sz w:val="21"/>
          <w:szCs w:val="21"/>
          <w:highlight w:val="none"/>
          <w:u w:val="none"/>
          <w:shd w:val="clear" w:color="auto" w:fill="auto"/>
          <w:lang w:val="en-US" w:eastAsia="en-US" w:bidi="en-US"/>
        </w:rPr>
        <w:t>5.</w:t>
      </w:r>
      <w:r>
        <w:rPr>
          <w:rStyle w:val="29"/>
          <w:rFonts w:hint="eastAsia" w:ascii="宋体" w:hAnsi="宋体" w:eastAsia="宋体" w:cs="宋体"/>
          <w:color w:val="auto"/>
          <w:kern w:val="2"/>
          <w:sz w:val="21"/>
          <w:szCs w:val="21"/>
          <w:highlight w:val="none"/>
          <w:lang w:eastAsia="zh-CN" w:bidi="ar-SA"/>
        </w:rPr>
        <w:t>工程质量符合</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eastAsia="zh-CN" w:bidi="ar-SA"/>
        </w:rPr>
        <w:t>标准。</w:t>
      </w:r>
    </w:p>
    <w:p w14:paraId="08C487FF">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rPr>
      </w:pPr>
      <w:bookmarkStart w:id="1683" w:name="bookmark1910"/>
      <w:bookmarkEnd w:id="1683"/>
      <w:r>
        <w:rPr>
          <w:rFonts w:hint="eastAsia" w:ascii="宋体" w:hAnsi="宋体" w:eastAsia="宋体" w:cs="宋体"/>
          <w:b w:val="0"/>
          <w:bCs w:val="0"/>
          <w:i w:val="0"/>
          <w:iCs w:val="0"/>
          <w:smallCaps w:val="0"/>
          <w:strike w:val="0"/>
          <w:color w:val="auto"/>
          <w:spacing w:val="0"/>
          <w:w w:val="100"/>
          <w:position w:val="0"/>
          <w:sz w:val="21"/>
          <w:szCs w:val="21"/>
          <w:highlight w:val="none"/>
          <w:u w:val="none"/>
          <w:shd w:val="clear" w:color="auto" w:fill="auto"/>
          <w:lang w:val="en-US" w:eastAsia="en-US" w:bidi="en-US"/>
        </w:rPr>
        <w:t>6.</w:t>
      </w:r>
      <w:r>
        <w:rPr>
          <w:rStyle w:val="29"/>
          <w:rFonts w:hint="eastAsia" w:ascii="宋体" w:hAnsi="宋体" w:eastAsia="宋体" w:cs="宋体"/>
          <w:color w:val="auto"/>
          <w:kern w:val="2"/>
          <w:sz w:val="21"/>
          <w:szCs w:val="21"/>
          <w:highlight w:val="none"/>
          <w:lang w:eastAsia="zh-CN" w:bidi="ar-SA"/>
        </w:rPr>
        <w:t>承包人承诺按合同约定承担工程的实施、完成及缺陷修复。</w:t>
      </w:r>
    </w:p>
    <w:p w14:paraId="4CAF5659">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rPr>
      </w:pPr>
      <w:bookmarkStart w:id="1684" w:name="bookmark1911"/>
      <w:bookmarkEnd w:id="1684"/>
      <w:r>
        <w:rPr>
          <w:rFonts w:hint="eastAsia" w:ascii="宋体" w:hAnsi="宋体" w:eastAsia="宋体" w:cs="宋体"/>
          <w:b w:val="0"/>
          <w:bCs w:val="0"/>
          <w:i w:val="0"/>
          <w:iCs w:val="0"/>
          <w:smallCaps w:val="0"/>
          <w:strike w:val="0"/>
          <w:color w:val="auto"/>
          <w:spacing w:val="0"/>
          <w:w w:val="100"/>
          <w:position w:val="0"/>
          <w:sz w:val="21"/>
          <w:szCs w:val="21"/>
          <w:highlight w:val="none"/>
          <w:u w:val="none"/>
          <w:shd w:val="clear" w:color="auto" w:fill="auto"/>
          <w:lang w:val="en-US" w:eastAsia="en-US" w:bidi="en-US"/>
        </w:rPr>
        <w:t>7.</w:t>
      </w:r>
      <w:r>
        <w:rPr>
          <w:rStyle w:val="29"/>
          <w:rFonts w:hint="eastAsia" w:ascii="宋体" w:hAnsi="宋体" w:eastAsia="宋体" w:cs="宋体"/>
          <w:color w:val="auto"/>
          <w:kern w:val="2"/>
          <w:sz w:val="21"/>
          <w:szCs w:val="21"/>
          <w:highlight w:val="none"/>
          <w:lang w:eastAsia="zh-CN" w:bidi="ar-SA"/>
        </w:rPr>
        <w:t>发包人承诺按合同约定的条件、时间和方式向承包人支付合同价款。</w:t>
      </w:r>
    </w:p>
    <w:p w14:paraId="09DB2C83">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rPr>
      </w:pPr>
      <w:bookmarkStart w:id="1685" w:name="bookmark1912"/>
      <w:bookmarkEnd w:id="1685"/>
      <w:r>
        <w:rPr>
          <w:rFonts w:hint="eastAsia" w:ascii="宋体" w:hAnsi="宋体" w:eastAsia="宋体" w:cs="宋体"/>
          <w:b w:val="0"/>
          <w:bCs w:val="0"/>
          <w:i w:val="0"/>
          <w:iCs w:val="0"/>
          <w:smallCaps w:val="0"/>
          <w:strike w:val="0"/>
          <w:color w:val="auto"/>
          <w:spacing w:val="0"/>
          <w:w w:val="100"/>
          <w:position w:val="0"/>
          <w:sz w:val="21"/>
          <w:szCs w:val="21"/>
          <w:highlight w:val="none"/>
          <w:u w:val="none"/>
          <w:shd w:val="clear" w:color="auto" w:fill="auto"/>
          <w:lang w:val="en-US" w:eastAsia="en-US" w:bidi="en-US"/>
        </w:rPr>
        <w:t>8.</w:t>
      </w:r>
      <w:r>
        <w:rPr>
          <w:rStyle w:val="29"/>
          <w:rFonts w:hint="eastAsia" w:ascii="宋体" w:hAnsi="宋体" w:eastAsia="宋体" w:cs="宋体"/>
          <w:color w:val="auto"/>
          <w:kern w:val="2"/>
          <w:sz w:val="21"/>
          <w:szCs w:val="21"/>
          <w:highlight w:val="none"/>
          <w:lang w:eastAsia="zh-CN" w:bidi="ar-SA"/>
        </w:rPr>
        <w:t>承包人承诺执行监理人开工通知，计划工期为</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eastAsia="zh-CN" w:bidi="ar-SA"/>
        </w:rPr>
        <w:t>天。</w:t>
      </w:r>
    </w:p>
    <w:p w14:paraId="22120D50">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rPr>
      </w:pPr>
      <w:bookmarkStart w:id="1686" w:name="bookmark1913"/>
      <w:bookmarkEnd w:id="1686"/>
      <w:r>
        <w:rPr>
          <w:rFonts w:hint="eastAsia" w:ascii="宋体" w:hAnsi="宋体" w:eastAsia="宋体" w:cs="宋体"/>
          <w:b w:val="0"/>
          <w:bCs w:val="0"/>
          <w:i w:val="0"/>
          <w:iCs w:val="0"/>
          <w:smallCaps w:val="0"/>
          <w:strike w:val="0"/>
          <w:color w:val="auto"/>
          <w:spacing w:val="0"/>
          <w:w w:val="100"/>
          <w:position w:val="0"/>
          <w:sz w:val="21"/>
          <w:szCs w:val="21"/>
          <w:highlight w:val="none"/>
          <w:u w:val="none"/>
          <w:shd w:val="clear" w:color="auto" w:fill="auto"/>
          <w:lang w:val="en-US" w:eastAsia="en-US" w:bidi="en-US"/>
        </w:rPr>
        <w:t>9.</w:t>
      </w:r>
      <w:r>
        <w:rPr>
          <w:rStyle w:val="29"/>
          <w:rFonts w:hint="eastAsia" w:ascii="宋体" w:hAnsi="宋体" w:eastAsia="宋体" w:cs="宋体"/>
          <w:color w:val="auto"/>
          <w:kern w:val="2"/>
          <w:sz w:val="21"/>
          <w:szCs w:val="21"/>
          <w:highlight w:val="none"/>
          <w:lang w:eastAsia="zh-CN" w:bidi="ar-SA"/>
        </w:rPr>
        <w:t>本协议书一式</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lang w:eastAsia="zh-CN" w:bidi="ar-SA"/>
        </w:rPr>
        <w:t>份，合同双方各执</w:t>
      </w:r>
      <w:r>
        <w:rPr>
          <w:rStyle w:val="29"/>
          <w:rFonts w:hint="eastAsia" w:ascii="宋体" w:hAnsi="宋体" w:eastAsia="宋体" w:cs="宋体"/>
          <w:color w:val="auto"/>
          <w:kern w:val="2"/>
          <w:sz w:val="21"/>
          <w:szCs w:val="21"/>
          <w:highlight w:val="none"/>
          <w:lang w:val="en-US" w:eastAsia="zh-CN"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份。</w:t>
      </w:r>
    </w:p>
    <w:p w14:paraId="28FECFF9">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rPr>
      </w:pPr>
      <w:bookmarkStart w:id="1687" w:name="bookmark1914"/>
      <w:bookmarkEnd w:id="1687"/>
      <w:r>
        <w:rPr>
          <w:rFonts w:hint="eastAsia" w:ascii="宋体" w:hAnsi="宋体" w:eastAsia="宋体" w:cs="宋体"/>
          <w:b w:val="0"/>
          <w:bCs w:val="0"/>
          <w:i w:val="0"/>
          <w:iCs w:val="0"/>
          <w:smallCaps w:val="0"/>
          <w:strike w:val="0"/>
          <w:color w:val="auto"/>
          <w:spacing w:val="0"/>
          <w:w w:val="100"/>
          <w:position w:val="0"/>
          <w:sz w:val="21"/>
          <w:szCs w:val="21"/>
          <w:highlight w:val="none"/>
          <w:u w:val="none"/>
          <w:shd w:val="clear" w:color="auto" w:fill="auto"/>
          <w:lang w:val="en-US" w:eastAsia="en-US" w:bidi="en-US"/>
        </w:rPr>
        <w:t>10.</w:t>
      </w:r>
      <w:r>
        <w:rPr>
          <w:rStyle w:val="29"/>
          <w:rFonts w:hint="eastAsia" w:ascii="宋体" w:hAnsi="宋体" w:eastAsia="宋体" w:cs="宋体"/>
          <w:color w:val="auto"/>
          <w:kern w:val="2"/>
          <w:sz w:val="21"/>
          <w:szCs w:val="21"/>
          <w:highlight w:val="none"/>
          <w:lang w:eastAsia="zh-CN" w:bidi="ar-SA"/>
        </w:rPr>
        <w:t>合同未尽事宜，双方另行签订补充协议。补充协议是合同的组成部分。</w:t>
      </w:r>
    </w:p>
    <w:p w14:paraId="43714AE7">
      <w:pPr>
        <w:pStyle w:val="106"/>
        <w:shd w:val="clear" w:color="auto"/>
        <w:tabs>
          <w:tab w:val="left" w:pos="2532"/>
          <w:tab w:val="left" w:pos="3132"/>
          <w:tab w:val="left" w:pos="6926"/>
        </w:tabs>
        <w:spacing w:line="355" w:lineRule="exact"/>
        <w:ind w:firstLine="0"/>
        <w:jc w:val="both"/>
        <w:rPr>
          <w:rStyle w:val="29"/>
          <w:rFonts w:hint="eastAsia" w:ascii="宋体" w:hAnsi="宋体" w:eastAsia="宋体" w:cs="宋体"/>
          <w:color w:val="auto"/>
          <w:sz w:val="21"/>
          <w:szCs w:val="21"/>
          <w:highlight w:val="none"/>
        </w:rPr>
      </w:pPr>
    </w:p>
    <w:p w14:paraId="3865CF86">
      <w:pPr>
        <w:pStyle w:val="106"/>
        <w:shd w:val="clear" w:color="auto"/>
        <w:tabs>
          <w:tab w:val="left" w:pos="2532"/>
          <w:tab w:val="left" w:pos="3132"/>
          <w:tab w:val="left" w:pos="6926"/>
        </w:tabs>
        <w:spacing w:line="355" w:lineRule="exact"/>
        <w:ind w:firstLine="0"/>
        <w:jc w:val="both"/>
        <w:rPr>
          <w:rStyle w:val="29"/>
          <w:rFonts w:hint="eastAsia" w:ascii="宋体" w:hAnsi="宋体" w:eastAsia="宋体" w:cs="宋体"/>
          <w:color w:val="auto"/>
          <w:sz w:val="21"/>
          <w:szCs w:val="21"/>
          <w:highlight w:val="none"/>
        </w:rPr>
      </w:pPr>
    </w:p>
    <w:p w14:paraId="248524FF">
      <w:pPr>
        <w:pStyle w:val="106"/>
        <w:shd w:val="clear" w:color="auto"/>
        <w:tabs>
          <w:tab w:val="left" w:pos="2532"/>
          <w:tab w:val="left" w:pos="3132"/>
          <w:tab w:val="left" w:pos="6926"/>
        </w:tabs>
        <w:spacing w:line="355" w:lineRule="exact"/>
        <w:ind w:firstLine="0"/>
        <w:jc w:val="both"/>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发包人：</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Times New Roman" w:hAnsi="Times New Roman"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宋体" w:hAnsi="宋体" w:eastAsia="宋体" w:cs="宋体"/>
          <w:color w:val="auto"/>
          <w:kern w:val="2"/>
          <w:sz w:val="21"/>
          <w:szCs w:val="21"/>
          <w:highlight w:val="none"/>
          <w:lang w:val="en-US" w:bidi="ar-SA"/>
        </w:rPr>
        <w:t xml:space="preserve">（盖单位公章） </w:t>
      </w:r>
      <w:r>
        <w:rPr>
          <w:rStyle w:val="29"/>
          <w:rFonts w:hint="eastAsia" w:ascii="宋体" w:hAnsi="宋体" w:eastAsia="宋体" w:cs="宋体"/>
          <w:color w:val="auto"/>
          <w:kern w:val="2"/>
          <w:sz w:val="21"/>
          <w:szCs w:val="21"/>
          <w:highlight w:val="none"/>
          <w:lang w:val="en-US" w:eastAsia="zh-CN" w:bidi="ar-SA"/>
        </w:rPr>
        <w:t xml:space="preserve">  </w:t>
      </w:r>
      <w:r>
        <w:rPr>
          <w:rStyle w:val="29"/>
          <w:rFonts w:hint="eastAsia" w:ascii="宋体" w:hAnsi="宋体" w:eastAsia="宋体" w:cs="宋体"/>
          <w:color w:val="auto"/>
          <w:kern w:val="2"/>
          <w:sz w:val="21"/>
          <w:szCs w:val="21"/>
          <w:highlight w:val="none"/>
          <w:lang w:val="en-US" w:bidi="ar-SA"/>
        </w:rPr>
        <w:t>承包人：</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Times New Roman" w:hAnsi="Times New Roman"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宋体" w:hAnsi="宋体" w:eastAsia="宋体" w:cs="宋体"/>
          <w:color w:val="auto"/>
          <w:kern w:val="2"/>
          <w:sz w:val="21"/>
          <w:szCs w:val="21"/>
          <w:highlight w:val="none"/>
          <w:lang w:val="en-US" w:bidi="ar-SA"/>
        </w:rPr>
        <w:t xml:space="preserve">（盖单位公章） </w:t>
      </w:r>
    </w:p>
    <w:p w14:paraId="10BEBDC3">
      <w:pPr>
        <w:pStyle w:val="106"/>
        <w:shd w:val="clear" w:color="auto"/>
        <w:tabs>
          <w:tab w:val="left" w:pos="2532"/>
          <w:tab w:val="left" w:pos="3132"/>
          <w:tab w:val="left" w:pos="6926"/>
        </w:tabs>
        <w:spacing w:line="355" w:lineRule="exact"/>
        <w:ind w:firstLine="0"/>
        <w:jc w:val="both"/>
        <w:rPr>
          <w:rStyle w:val="29"/>
          <w:rFonts w:hint="eastAsia" w:ascii="宋体" w:hAnsi="宋体" w:eastAsia="宋体" w:cs="宋体"/>
          <w:color w:val="auto"/>
          <w:sz w:val="21"/>
          <w:szCs w:val="21"/>
          <w:highlight w:val="none"/>
        </w:rPr>
      </w:pPr>
      <w:r>
        <w:rPr>
          <w:rStyle w:val="29"/>
          <w:rFonts w:hint="eastAsia" w:ascii="宋体" w:hAnsi="宋体" w:eastAsia="宋体" w:cs="宋体"/>
          <w:color w:val="auto"/>
          <w:kern w:val="2"/>
          <w:sz w:val="21"/>
          <w:szCs w:val="21"/>
          <w:highlight w:val="none"/>
          <w:lang w:val="en-US" w:bidi="ar-SA"/>
        </w:rPr>
        <w:t>法定代表人(或项目负责人)：</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Times New Roman" w:hAnsi="Times New Roman"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宋体" w:hAnsi="宋体" w:eastAsia="宋体" w:cs="宋体"/>
          <w:color w:val="auto"/>
          <w:kern w:val="2"/>
          <w:sz w:val="21"/>
          <w:szCs w:val="21"/>
          <w:highlight w:val="none"/>
          <w:lang w:val="en-US" w:bidi="ar-SA"/>
        </w:rPr>
        <w:t xml:space="preserve"> （签字）   法定代表人(或其委托代理人)：</w:t>
      </w:r>
      <w:r>
        <w:rPr>
          <w:rStyle w:val="29"/>
          <w:rFonts w:hint="eastAsia" w:ascii="宋体" w:hAnsi="宋体" w:eastAsia="宋体" w:cs="宋体"/>
          <w:color w:val="auto"/>
          <w:kern w:val="2"/>
          <w:sz w:val="21"/>
          <w:szCs w:val="21"/>
          <w:highlight w:val="none"/>
          <w:u w:val="single"/>
          <w:lang w:val="en-US" w:bidi="ar-SA"/>
        </w:rPr>
        <w:tab/>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宋体" w:hAnsi="宋体" w:eastAsia="宋体" w:cs="宋体"/>
          <w:color w:val="auto"/>
          <w:kern w:val="2"/>
          <w:sz w:val="21"/>
          <w:szCs w:val="21"/>
          <w:highlight w:val="none"/>
          <w:lang w:val="en-US" w:bidi="ar-SA"/>
        </w:rPr>
        <w:t>（签字）</w:t>
      </w:r>
    </w:p>
    <w:p w14:paraId="202C8FD2">
      <w:pPr>
        <w:pStyle w:val="106"/>
        <w:shd w:val="clear" w:color="auto"/>
        <w:tabs>
          <w:tab w:val="left" w:pos="1590"/>
          <w:tab w:val="left" w:pos="2648"/>
          <w:tab w:val="left" w:pos="3704"/>
          <w:tab w:val="left" w:pos="5089"/>
          <w:tab w:val="left" w:pos="6018"/>
          <w:tab w:val="left" w:pos="7074"/>
          <w:tab w:val="left" w:pos="8132"/>
        </w:tabs>
        <w:spacing w:line="355" w:lineRule="exact"/>
        <w:jc w:val="both"/>
        <w:rPr>
          <w:rStyle w:val="29"/>
          <w:rFonts w:hint="eastAsia" w:ascii="宋体" w:hAnsi="宋体" w:eastAsia="宋体" w:cs="宋体"/>
          <w:color w:val="auto"/>
          <w:sz w:val="21"/>
          <w:szCs w:val="21"/>
          <w:highlight w:val="none"/>
          <w:u w:val="single"/>
        </w:rPr>
      </w:pP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val="en-US" w:bidi="ar-SA"/>
        </w:rPr>
        <w:t>年</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宋体" w:hAnsi="宋体" w:eastAsia="宋体" w:cs="宋体"/>
          <w:color w:val="auto"/>
          <w:kern w:val="2"/>
          <w:sz w:val="21"/>
          <w:szCs w:val="21"/>
          <w:highlight w:val="none"/>
          <w:lang w:val="en-US" w:bidi="ar-SA"/>
        </w:rPr>
        <w:t>月</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宋体" w:hAnsi="宋体" w:eastAsia="宋体" w:cs="宋体"/>
          <w:color w:val="auto"/>
          <w:kern w:val="2"/>
          <w:sz w:val="21"/>
          <w:szCs w:val="21"/>
          <w:highlight w:val="none"/>
          <w:lang w:val="en-US" w:bidi="ar-SA"/>
        </w:rPr>
        <w:t xml:space="preserve">日  </w:t>
      </w:r>
      <w:r>
        <w:rPr>
          <w:rStyle w:val="29"/>
          <w:rFonts w:hint="eastAsia" w:ascii="宋体" w:hAnsi="宋体" w:eastAsia="宋体" w:cs="宋体"/>
          <w:color w:val="auto"/>
          <w:kern w:val="2"/>
          <w:sz w:val="21"/>
          <w:szCs w:val="21"/>
          <w:highlight w:val="none"/>
          <w:u w:val="none"/>
          <w:lang w:val="en-US" w:eastAsia="zh-CN"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val="en-US" w:bidi="ar-SA"/>
        </w:rPr>
        <w:t>年</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宋体" w:hAnsi="宋体" w:eastAsia="宋体" w:cs="宋体"/>
          <w:color w:val="auto"/>
          <w:kern w:val="2"/>
          <w:sz w:val="21"/>
          <w:szCs w:val="21"/>
          <w:highlight w:val="none"/>
          <w:lang w:val="en-US" w:bidi="ar-SA"/>
        </w:rPr>
        <w:t>月</w:t>
      </w:r>
      <w:r>
        <w:rPr>
          <w:rStyle w:val="29"/>
          <w:rFonts w:hint="eastAsia" w:ascii="宋体" w:hAnsi="宋体" w:eastAsia="宋体" w:cs="宋体"/>
          <w:color w:val="auto"/>
          <w:kern w:val="2"/>
          <w:sz w:val="21"/>
          <w:szCs w:val="21"/>
          <w:highlight w:val="none"/>
          <w:u w:val="single"/>
          <w:lang w:val="en-US" w:bidi="ar-SA"/>
        </w:rPr>
        <w:t xml:space="preserve">        </w:t>
      </w:r>
      <w:r>
        <w:rPr>
          <w:rStyle w:val="29"/>
          <w:rFonts w:hint="eastAsia" w:ascii="宋体" w:hAnsi="宋体" w:eastAsia="宋体" w:cs="宋体"/>
          <w:color w:val="auto"/>
          <w:kern w:val="2"/>
          <w:sz w:val="21"/>
          <w:szCs w:val="21"/>
          <w:highlight w:val="none"/>
          <w:lang w:val="en-US" w:bidi="ar-SA"/>
        </w:rPr>
        <w:t>日</w:t>
      </w:r>
      <w:r>
        <w:rPr>
          <w:rStyle w:val="29"/>
          <w:rFonts w:hint="eastAsia" w:ascii="宋体" w:hAnsi="宋体" w:eastAsia="宋体" w:cs="宋体"/>
          <w:color w:val="auto"/>
          <w:kern w:val="2"/>
          <w:sz w:val="21"/>
          <w:szCs w:val="21"/>
          <w:highlight w:val="none"/>
          <w:u w:val="single"/>
          <w:lang w:val="en-US" w:bidi="ar-SA"/>
        </w:rPr>
        <w:t xml:space="preserve">       </w:t>
      </w:r>
    </w:p>
    <w:p w14:paraId="655F7C40">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688" w:name="bookmark1915"/>
      <w:bookmarkStart w:id="1689" w:name="bookmark1916"/>
      <w:bookmarkStart w:id="1690" w:name="bookmark1917"/>
      <w:bookmarkStart w:id="1691" w:name="_Toc10532"/>
      <w:bookmarkStart w:id="1692" w:name="_Toc7161"/>
      <w:bookmarkStart w:id="1693" w:name="_Toc21416"/>
      <w:r>
        <w:rPr>
          <w:rStyle w:val="29"/>
          <w:rFonts w:hint="eastAsia" w:ascii="宋体" w:hAnsi="宋体" w:eastAsia="宋体" w:cs="宋体"/>
          <w:b/>
          <w:bCs/>
          <w:color w:val="auto"/>
          <w:kern w:val="2"/>
          <w:sz w:val="28"/>
          <w:szCs w:val="28"/>
          <w:highlight w:val="none"/>
          <w:lang w:eastAsia="zh-CN"/>
        </w:rPr>
        <w:br w:type="page"/>
      </w:r>
      <w:r>
        <w:rPr>
          <w:rStyle w:val="29"/>
          <w:rFonts w:hint="eastAsia" w:ascii="宋体" w:hAnsi="宋体" w:eastAsia="宋体" w:cs="宋体"/>
          <w:color w:val="auto"/>
          <w:kern w:val="2"/>
          <w:sz w:val="21"/>
          <w:szCs w:val="21"/>
          <w:highlight w:val="none"/>
          <w:lang w:eastAsia="zh-CN"/>
        </w:rPr>
        <w:t>附件二：履约保函</w:t>
      </w:r>
      <w:bookmarkEnd w:id="1688"/>
      <w:bookmarkEnd w:id="1689"/>
      <w:bookmarkEnd w:id="1690"/>
      <w:bookmarkEnd w:id="1691"/>
      <w:bookmarkEnd w:id="1692"/>
      <w:bookmarkEnd w:id="1693"/>
    </w:p>
    <w:p w14:paraId="38AEDF2A">
      <w:pPr>
        <w:pStyle w:val="104"/>
        <w:keepNext w:val="0"/>
        <w:keepLines w:val="0"/>
        <w:pageBreakBefore w:val="0"/>
        <w:widowControl w:val="0"/>
        <w:shd w:val="clear" w:color="auto"/>
        <w:kinsoku/>
        <w:wordWrap/>
        <w:overflowPunct/>
        <w:topLinePunct w:val="0"/>
        <w:autoSpaceDE/>
        <w:autoSpaceDN/>
        <w:bidi w:val="0"/>
        <w:adjustRightInd/>
        <w:snapToGrid/>
        <w:spacing w:before="160" w:beforeLines="50" w:after="160" w:afterLines="50" w:line="400" w:lineRule="exact"/>
        <w:jc w:val="center"/>
        <w:textAlignment w:val="auto"/>
        <w:rPr>
          <w:rStyle w:val="29"/>
          <w:rFonts w:hint="eastAsia" w:ascii="宋体" w:hAnsi="宋体" w:eastAsia="宋体" w:cs="宋体"/>
          <w:b/>
          <w:color w:val="auto"/>
          <w:highlight w:val="none"/>
          <w:lang w:eastAsia="zh-CN"/>
        </w:rPr>
      </w:pPr>
      <w:bookmarkStart w:id="1694" w:name="bookmark1918"/>
      <w:bookmarkStart w:id="1695" w:name="bookmark1920"/>
      <w:bookmarkStart w:id="1696" w:name="bookmark1919"/>
      <w:r>
        <w:rPr>
          <w:rStyle w:val="29"/>
          <w:rFonts w:hint="eastAsia" w:ascii="宋体" w:hAnsi="宋体" w:eastAsia="宋体" w:cs="宋体"/>
          <w:b/>
          <w:color w:val="auto"/>
          <w:kern w:val="2"/>
          <w:sz w:val="21"/>
          <w:highlight w:val="none"/>
          <w:lang w:eastAsia="zh-CN" w:bidi="ar-SA"/>
        </w:rPr>
        <w:t>履约保函</w:t>
      </w:r>
      <w:bookmarkEnd w:id="1694"/>
      <w:bookmarkEnd w:id="1695"/>
      <w:bookmarkEnd w:id="1696"/>
    </w:p>
    <w:p w14:paraId="73EE23A0">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（发包人名称）：</w:t>
      </w:r>
    </w:p>
    <w:p w14:paraId="3F39AEA7">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鉴于</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（发包人名称，以下简称“发包人”）接受</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（承包人名称，以下称“承包人”）于</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年</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月</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日递交的</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（项目名称）</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（标段名称）的响应文件。我方愿意无条件地、不可撤销地就承包人履行与你方订立的合同，向你方提供担保。</w:t>
      </w:r>
    </w:p>
    <w:p w14:paraId="5C153936">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97" w:name="bookmark1921"/>
      <w:bookmarkEnd w:id="1697"/>
      <w:r>
        <w:rPr>
          <w:rStyle w:val="29"/>
          <w:rFonts w:hint="eastAsia" w:ascii="宋体" w:hAnsi="宋体" w:eastAsia="宋体" w:cs="宋体"/>
          <w:color w:val="auto"/>
          <w:kern w:val="2"/>
          <w:sz w:val="21"/>
          <w:szCs w:val="21"/>
          <w:highlight w:val="none"/>
          <w:lang w:val="en-US" w:eastAsia="en-US" w:bidi="ar-SA"/>
        </w:rPr>
        <w:t>1.</w:t>
      </w:r>
      <w:r>
        <w:rPr>
          <w:rStyle w:val="29"/>
          <w:rFonts w:hint="eastAsia" w:ascii="宋体" w:hAnsi="宋体" w:eastAsia="宋体" w:cs="宋体"/>
          <w:color w:val="auto"/>
          <w:kern w:val="2"/>
          <w:sz w:val="21"/>
          <w:szCs w:val="21"/>
          <w:highlight w:val="none"/>
          <w:lang w:eastAsia="zh-CN" w:bidi="ar-SA"/>
        </w:rPr>
        <w:t>担保金额人民币（大写）</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元（¥</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val="en-US" w:eastAsia="zh-CN" w:bidi="ar-SA"/>
        </w:rPr>
        <w:t>元）。</w:t>
      </w:r>
    </w:p>
    <w:p w14:paraId="720E801F">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98" w:name="bookmark1922"/>
      <w:bookmarkEnd w:id="1698"/>
      <w:r>
        <w:rPr>
          <w:rStyle w:val="29"/>
          <w:rFonts w:hint="eastAsia" w:ascii="宋体" w:hAnsi="宋体" w:eastAsia="宋体" w:cs="宋体"/>
          <w:color w:val="auto"/>
          <w:kern w:val="2"/>
          <w:sz w:val="21"/>
          <w:szCs w:val="21"/>
          <w:highlight w:val="none"/>
          <w:lang w:val="en-US" w:eastAsia="en-US" w:bidi="ar-SA"/>
        </w:rPr>
        <w:t>2.</w:t>
      </w:r>
      <w:r>
        <w:rPr>
          <w:rStyle w:val="29"/>
          <w:rFonts w:hint="eastAsia" w:ascii="宋体" w:hAnsi="宋体" w:eastAsia="宋体" w:cs="宋体"/>
          <w:color w:val="auto"/>
          <w:kern w:val="2"/>
          <w:sz w:val="21"/>
          <w:szCs w:val="21"/>
          <w:highlight w:val="none"/>
          <w:lang w:eastAsia="zh-CN" w:bidi="ar-SA"/>
        </w:rPr>
        <w:t>担保有效期自发包人与承包人签订的合同生效之日起至发包人签发工程完工证书之日止。</w:t>
      </w:r>
    </w:p>
    <w:p w14:paraId="2862E9B3">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699" w:name="bookmark1923"/>
      <w:bookmarkEnd w:id="1699"/>
      <w:r>
        <w:rPr>
          <w:rStyle w:val="29"/>
          <w:rFonts w:hint="eastAsia" w:ascii="宋体" w:hAnsi="宋体" w:eastAsia="宋体" w:cs="宋体"/>
          <w:color w:val="auto"/>
          <w:kern w:val="2"/>
          <w:sz w:val="21"/>
          <w:szCs w:val="21"/>
          <w:highlight w:val="none"/>
          <w:lang w:val="en-US" w:eastAsia="en-US" w:bidi="ar-SA"/>
        </w:rPr>
        <w:t>3.</w:t>
      </w:r>
      <w:r>
        <w:rPr>
          <w:rStyle w:val="29"/>
          <w:rFonts w:hint="eastAsia" w:ascii="宋体" w:hAnsi="宋体" w:eastAsia="宋体" w:cs="宋体"/>
          <w:color w:val="auto"/>
          <w:kern w:val="2"/>
          <w:sz w:val="21"/>
          <w:szCs w:val="21"/>
          <w:highlight w:val="none"/>
          <w:lang w:eastAsia="zh-CN" w:bidi="ar-SA"/>
        </w:rPr>
        <w:t>在本担保有效期内，因承包人违反合同约定的义务给你方造成经济损失时，我方在收到你方以书面形式提出的在担保金额内的赔偿要求后，无条件地在7天内予以支付。</w:t>
      </w:r>
    </w:p>
    <w:p w14:paraId="10D40CA5">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700" w:name="bookmark1924"/>
      <w:bookmarkEnd w:id="1700"/>
      <w:r>
        <w:rPr>
          <w:rStyle w:val="29"/>
          <w:rFonts w:hint="eastAsia" w:ascii="宋体" w:hAnsi="宋体" w:eastAsia="宋体" w:cs="宋体"/>
          <w:color w:val="auto"/>
          <w:kern w:val="2"/>
          <w:sz w:val="21"/>
          <w:szCs w:val="21"/>
          <w:highlight w:val="none"/>
          <w:lang w:val="en-US" w:eastAsia="en-US" w:bidi="ar-SA"/>
        </w:rPr>
        <w:t>4.</w:t>
      </w:r>
      <w:r>
        <w:rPr>
          <w:rStyle w:val="29"/>
          <w:rFonts w:hint="eastAsia" w:ascii="宋体" w:hAnsi="宋体" w:eastAsia="宋体" w:cs="宋体"/>
          <w:color w:val="auto"/>
          <w:kern w:val="2"/>
          <w:sz w:val="21"/>
          <w:szCs w:val="21"/>
          <w:highlight w:val="none"/>
          <w:lang w:eastAsia="zh-CN" w:bidi="ar-SA"/>
        </w:rPr>
        <w:t>发包人和承包人按《通用合同条款》第15条变更合同时，我方承担本担保规定的义务不变。</w:t>
      </w:r>
    </w:p>
    <w:p w14:paraId="277A50F1">
      <w:pPr>
        <w:pStyle w:val="106"/>
        <w:shd w:val="clear" w:color="auto"/>
        <w:tabs>
          <w:tab w:val="left" w:pos="740"/>
        </w:tabs>
        <w:spacing w:after="340"/>
        <w:ind w:firstLine="0"/>
        <w:jc w:val="both"/>
        <w:rPr>
          <w:rStyle w:val="29"/>
          <w:color w:val="auto"/>
          <w:highlight w:val="none"/>
        </w:rPr>
      </w:pPr>
    </w:p>
    <w:p w14:paraId="5E21386E">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担  保 人：</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 xml:space="preserve">（盖单位章） </w:t>
      </w:r>
    </w:p>
    <w:p w14:paraId="7D92E60C">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en-US" w:eastAsia="zh-CN" w:bidi="ar-SA"/>
        </w:rPr>
        <w:t>法</w:t>
      </w:r>
      <w:r>
        <w:rPr>
          <w:rStyle w:val="29"/>
          <w:rFonts w:hint="eastAsia" w:ascii="宋体" w:hAnsi="宋体" w:eastAsia="宋体" w:cs="宋体"/>
          <w:color w:val="auto"/>
          <w:kern w:val="2"/>
          <w:sz w:val="21"/>
          <w:szCs w:val="21"/>
          <w:highlight w:val="none"/>
          <w:lang w:eastAsia="zh-CN" w:bidi="ar-SA"/>
        </w:rPr>
        <w:t>定代表人(或委托代理人)：</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（签字）</w:t>
      </w:r>
    </w:p>
    <w:p w14:paraId="694D04CB">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地</w:t>
      </w:r>
      <w:r>
        <w:rPr>
          <w:rStyle w:val="29"/>
          <w:rFonts w:hint="eastAsia" w:ascii="宋体" w:hAnsi="宋体" w:eastAsia="宋体" w:cs="宋体"/>
          <w:color w:val="auto"/>
          <w:kern w:val="2"/>
          <w:sz w:val="21"/>
          <w:szCs w:val="21"/>
          <w:highlight w:val="none"/>
          <w:lang w:val="en-US" w:eastAsia="zh-CN" w:bidi="ar-SA"/>
        </w:rPr>
        <w:t xml:space="preserve">    </w:t>
      </w:r>
      <w:r>
        <w:rPr>
          <w:rStyle w:val="29"/>
          <w:rFonts w:hint="eastAsia" w:ascii="宋体" w:hAnsi="宋体" w:eastAsia="宋体" w:cs="宋体"/>
          <w:color w:val="auto"/>
          <w:kern w:val="2"/>
          <w:sz w:val="21"/>
          <w:szCs w:val="21"/>
          <w:highlight w:val="none"/>
          <w:lang w:eastAsia="zh-CN" w:bidi="ar-SA"/>
        </w:rPr>
        <w:t>址：</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p>
    <w:p w14:paraId="5A474AB2">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u w:val="single"/>
          <w:lang w:eastAsia="zh-CN"/>
        </w:rPr>
      </w:pPr>
      <w:r>
        <w:rPr>
          <w:rStyle w:val="29"/>
          <w:rFonts w:hint="eastAsia" w:ascii="宋体" w:hAnsi="宋体" w:eastAsia="宋体" w:cs="宋体"/>
          <w:color w:val="auto"/>
          <w:kern w:val="2"/>
          <w:sz w:val="21"/>
          <w:szCs w:val="21"/>
          <w:highlight w:val="none"/>
          <w:lang w:eastAsia="zh-CN" w:bidi="ar-SA"/>
        </w:rPr>
        <w:t>邮政编码：</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p>
    <w:p w14:paraId="6B21C067">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u w:val="single"/>
          <w:lang w:eastAsia="zh-CN"/>
        </w:rPr>
      </w:pPr>
      <w:r>
        <w:rPr>
          <w:rStyle w:val="29"/>
          <w:rFonts w:hint="eastAsia" w:ascii="宋体" w:hAnsi="宋体" w:eastAsia="宋体" w:cs="宋体"/>
          <w:color w:val="auto"/>
          <w:kern w:val="2"/>
          <w:sz w:val="21"/>
          <w:szCs w:val="21"/>
          <w:highlight w:val="none"/>
          <w:lang w:eastAsia="zh-CN" w:bidi="ar-SA"/>
        </w:rPr>
        <w:t>电    话：</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p>
    <w:p w14:paraId="215CBF97">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u w:val="single"/>
          <w:lang w:eastAsia="zh-CN"/>
        </w:rPr>
      </w:pPr>
      <w:r>
        <w:rPr>
          <w:rStyle w:val="29"/>
          <w:rFonts w:hint="eastAsia" w:ascii="宋体" w:hAnsi="宋体" w:eastAsia="宋体" w:cs="宋体"/>
          <w:color w:val="auto"/>
          <w:kern w:val="2"/>
          <w:sz w:val="21"/>
          <w:szCs w:val="21"/>
          <w:highlight w:val="none"/>
          <w:lang w:eastAsia="zh-CN" w:bidi="ar-SA"/>
        </w:rPr>
        <w:t>传    真：</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p>
    <w:p w14:paraId="514F499A">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年</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月</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 xml:space="preserve">日     </w:t>
      </w:r>
    </w:p>
    <w:p w14:paraId="4152BBF5">
      <w:pPr>
        <w:pStyle w:val="104"/>
        <w:shd w:val="clear" w:color="auto"/>
        <w:rPr>
          <w:rStyle w:val="29"/>
          <w:rFonts w:hint="eastAsia" w:ascii="宋体" w:hAnsi="宋体" w:eastAsia="宋体" w:cs="宋体"/>
          <w:color w:val="auto"/>
          <w:sz w:val="20"/>
          <w:szCs w:val="20"/>
          <w:highlight w:val="none"/>
          <w:lang w:val="zh-CN" w:eastAsia="zh-CN" w:bidi="zh-CN"/>
        </w:rPr>
      </w:pPr>
    </w:p>
    <w:p w14:paraId="1F32E981">
      <w:pPr>
        <w:pStyle w:val="104"/>
        <w:shd w:val="clear" w:color="auto"/>
        <w:rPr>
          <w:rStyle w:val="29"/>
          <w:rFonts w:hint="eastAsia" w:ascii="宋体" w:hAnsi="宋体" w:eastAsia="宋体" w:cs="宋体"/>
          <w:color w:val="auto"/>
          <w:sz w:val="20"/>
          <w:szCs w:val="20"/>
          <w:highlight w:val="none"/>
          <w:lang w:val="zh-CN" w:eastAsia="zh-CN" w:bidi="zh-CN"/>
        </w:rPr>
      </w:pPr>
    </w:p>
    <w:p w14:paraId="2ABAC497">
      <w:pPr>
        <w:pStyle w:val="104"/>
        <w:shd w:val="clear" w:color="auto"/>
        <w:rPr>
          <w:rStyle w:val="29"/>
          <w:rFonts w:hint="eastAsia" w:ascii="宋体" w:hAnsi="宋体" w:eastAsia="宋体" w:cs="宋体"/>
          <w:color w:val="auto"/>
          <w:sz w:val="20"/>
          <w:szCs w:val="20"/>
          <w:highlight w:val="none"/>
          <w:lang w:val="zh-CN" w:eastAsia="zh-CN" w:bidi="zh-CN"/>
        </w:rPr>
      </w:pPr>
    </w:p>
    <w:p w14:paraId="7DCE9F5D">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注：</w:t>
      </w:r>
    </w:p>
    <w:p w14:paraId="56B6A086">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701" w:name="bookmark1925"/>
      <w:bookmarkEnd w:id="1701"/>
      <w:r>
        <w:rPr>
          <w:rStyle w:val="29"/>
          <w:rFonts w:hint="eastAsia" w:ascii="宋体" w:hAnsi="宋体" w:eastAsia="宋体" w:cs="宋体"/>
          <w:color w:val="auto"/>
          <w:kern w:val="2"/>
          <w:sz w:val="21"/>
          <w:szCs w:val="21"/>
          <w:highlight w:val="none"/>
          <w:lang w:val="en-US" w:eastAsia="zh-CN" w:bidi="ar-SA"/>
        </w:rPr>
        <w:t>1.</w:t>
      </w:r>
      <w:r>
        <w:rPr>
          <w:rStyle w:val="29"/>
          <w:rFonts w:hint="eastAsia" w:ascii="宋体" w:hAnsi="宋体" w:eastAsia="宋体" w:cs="宋体"/>
          <w:color w:val="auto"/>
          <w:kern w:val="2"/>
          <w:sz w:val="21"/>
          <w:szCs w:val="21"/>
          <w:highlight w:val="none"/>
          <w:lang w:eastAsia="zh-CN" w:bidi="ar-SA"/>
        </w:rPr>
        <w:t>担保人必须是投标人单位基本账户的开户银行。</w:t>
      </w:r>
    </w:p>
    <w:p w14:paraId="0FCB80D7">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702" w:name="bookmark1926"/>
      <w:bookmarkEnd w:id="1702"/>
      <w:r>
        <w:rPr>
          <w:rStyle w:val="29"/>
          <w:rFonts w:hint="eastAsia" w:ascii="宋体" w:hAnsi="宋体" w:eastAsia="宋体" w:cs="宋体"/>
          <w:color w:val="auto"/>
          <w:kern w:val="2"/>
          <w:sz w:val="21"/>
          <w:szCs w:val="21"/>
          <w:highlight w:val="none"/>
          <w:lang w:val="en-US" w:eastAsia="zh-CN" w:bidi="ar-SA"/>
        </w:rPr>
        <w:t>2.</w:t>
      </w:r>
      <w:r>
        <w:rPr>
          <w:rStyle w:val="29"/>
          <w:rFonts w:hint="eastAsia" w:ascii="宋体" w:hAnsi="宋体" w:eastAsia="宋体" w:cs="宋体"/>
          <w:color w:val="auto"/>
          <w:kern w:val="2"/>
          <w:sz w:val="21"/>
          <w:szCs w:val="21"/>
          <w:highlight w:val="none"/>
          <w:lang w:eastAsia="zh-CN" w:bidi="ar-SA"/>
        </w:rPr>
        <w:t>委托代理人应附授权委托书。</w:t>
      </w:r>
      <w:bookmarkStart w:id="1703" w:name="bookmark1927"/>
      <w:bookmarkStart w:id="1704" w:name="bookmark1928"/>
      <w:bookmarkStart w:id="1705" w:name="_Toc21423"/>
      <w:bookmarkStart w:id="1706" w:name="_Toc4188"/>
      <w:bookmarkStart w:id="1707" w:name="bookmark1929"/>
    </w:p>
    <w:p w14:paraId="20018102">
      <w:pPr>
        <w:pStyle w:val="99"/>
        <w:keepNext/>
        <w:keepLines/>
        <w:pageBreakBefore w:val="0"/>
        <w:widowControl w:val="0"/>
        <w:shd w:val="clear" w:color="auto"/>
        <w:kinsoku/>
        <w:wordWrap/>
        <w:overflowPunct/>
        <w:topLinePunct w:val="0"/>
        <w:autoSpaceDE/>
        <w:autoSpaceDN/>
        <w:bidi w:val="0"/>
        <w:adjustRightInd/>
        <w:snapToGrid/>
        <w:spacing w:before="0" w:after="0" w:line="400" w:lineRule="exact"/>
        <w:textAlignment w:val="auto"/>
        <w:rPr>
          <w:rStyle w:val="29"/>
          <w:rFonts w:hint="eastAsia" w:ascii="宋体" w:hAnsi="宋体" w:eastAsia="宋体" w:cs="宋体"/>
          <w:color w:val="auto"/>
          <w:sz w:val="21"/>
          <w:szCs w:val="21"/>
          <w:highlight w:val="none"/>
          <w:lang w:eastAsia="zh-CN"/>
        </w:rPr>
      </w:pPr>
      <w:bookmarkStart w:id="1708" w:name="_Toc25045"/>
      <w:r>
        <w:rPr>
          <w:rStyle w:val="29"/>
          <w:rFonts w:hint="eastAsia" w:ascii="宋体" w:hAnsi="宋体" w:eastAsia="宋体" w:cs="宋体"/>
          <w:b/>
          <w:bCs/>
          <w:color w:val="auto"/>
          <w:kern w:val="2"/>
          <w:sz w:val="28"/>
          <w:szCs w:val="28"/>
          <w:highlight w:val="none"/>
          <w:lang w:eastAsia="zh-CN"/>
        </w:rPr>
        <w:br w:type="page"/>
      </w:r>
      <w:r>
        <w:rPr>
          <w:rStyle w:val="29"/>
          <w:rFonts w:hint="eastAsia" w:ascii="宋体" w:hAnsi="宋体" w:eastAsia="宋体" w:cs="宋体"/>
          <w:color w:val="auto"/>
          <w:kern w:val="2"/>
          <w:sz w:val="21"/>
          <w:szCs w:val="21"/>
          <w:highlight w:val="none"/>
          <w:lang w:eastAsia="zh-CN"/>
        </w:rPr>
        <w:t>附件三：预付款担保函</w:t>
      </w:r>
      <w:bookmarkEnd w:id="1703"/>
      <w:bookmarkEnd w:id="1704"/>
      <w:bookmarkEnd w:id="1705"/>
      <w:bookmarkEnd w:id="1706"/>
      <w:bookmarkEnd w:id="1707"/>
      <w:bookmarkEnd w:id="1708"/>
    </w:p>
    <w:p w14:paraId="522955CB">
      <w:pPr>
        <w:pStyle w:val="104"/>
        <w:keepNext w:val="0"/>
        <w:keepLines w:val="0"/>
        <w:pageBreakBefore w:val="0"/>
        <w:widowControl w:val="0"/>
        <w:shd w:val="clear" w:color="auto"/>
        <w:kinsoku/>
        <w:wordWrap/>
        <w:overflowPunct/>
        <w:topLinePunct w:val="0"/>
        <w:autoSpaceDE/>
        <w:autoSpaceDN/>
        <w:bidi w:val="0"/>
        <w:adjustRightInd/>
        <w:snapToGrid/>
        <w:spacing w:before="160" w:beforeLines="50" w:after="160" w:afterLines="50" w:line="400" w:lineRule="exact"/>
        <w:jc w:val="center"/>
        <w:textAlignment w:val="auto"/>
        <w:rPr>
          <w:rStyle w:val="29"/>
          <w:rFonts w:hint="eastAsia" w:ascii="宋体" w:hAnsi="宋体" w:eastAsia="宋体" w:cs="宋体"/>
          <w:b/>
          <w:color w:val="auto"/>
          <w:highlight w:val="none"/>
          <w:lang w:eastAsia="zh-CN"/>
        </w:rPr>
      </w:pPr>
      <w:bookmarkStart w:id="1709" w:name="bookmark1931"/>
      <w:bookmarkStart w:id="1710" w:name="bookmark1930"/>
      <w:bookmarkStart w:id="1711" w:name="bookmark1932"/>
      <w:r>
        <w:rPr>
          <w:rStyle w:val="29"/>
          <w:rFonts w:hint="eastAsia" w:ascii="宋体" w:hAnsi="宋体" w:eastAsia="宋体" w:cs="宋体"/>
          <w:b/>
          <w:color w:val="auto"/>
          <w:kern w:val="2"/>
          <w:sz w:val="21"/>
          <w:highlight w:val="none"/>
          <w:lang w:eastAsia="zh-CN" w:bidi="ar-SA"/>
        </w:rPr>
        <w:t>预付款担保函</w:t>
      </w:r>
      <w:bookmarkEnd w:id="1709"/>
      <w:bookmarkEnd w:id="1710"/>
      <w:bookmarkEnd w:id="1711"/>
    </w:p>
    <w:p w14:paraId="014BCCE1">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（发包人名称）:</w:t>
      </w:r>
    </w:p>
    <w:p w14:paraId="6141715F">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根据</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（承包人名称，以下称“承包人”）与</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（发包人名称，以下简称“发包人”）于</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年</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月</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日签订的</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（项目名称）</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（标段名称）合同协议书，承包人按约定的金额向发包人提交一份预付款担保，即有权得到发包人支付相等金额的预付款。 我方愿意就你方提供给承包人的预付款提供担保。</w:t>
      </w:r>
    </w:p>
    <w:p w14:paraId="7FB4E5FA">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712" w:name="bookmark1933"/>
      <w:bookmarkEnd w:id="1712"/>
      <w:r>
        <w:rPr>
          <w:rStyle w:val="29"/>
          <w:rFonts w:hint="eastAsia" w:ascii="宋体" w:hAnsi="宋体" w:eastAsia="宋体" w:cs="宋体"/>
          <w:color w:val="auto"/>
          <w:kern w:val="2"/>
          <w:sz w:val="21"/>
          <w:szCs w:val="21"/>
          <w:highlight w:val="none"/>
          <w:lang w:val="en-US" w:eastAsia="en-US" w:bidi="ar-SA"/>
        </w:rPr>
        <w:t>1.</w:t>
      </w:r>
      <w:r>
        <w:rPr>
          <w:rStyle w:val="29"/>
          <w:rFonts w:hint="eastAsia" w:ascii="宋体" w:hAnsi="宋体" w:eastAsia="宋体" w:cs="宋体"/>
          <w:color w:val="auto"/>
          <w:kern w:val="2"/>
          <w:sz w:val="21"/>
          <w:szCs w:val="21"/>
          <w:highlight w:val="none"/>
          <w:lang w:eastAsia="zh-CN" w:bidi="ar-SA"/>
        </w:rPr>
        <w:t>担保金额人民币（大写）</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eastAsia="zh-CN" w:bidi="ar-SA"/>
        </w:rPr>
        <w:t>元（¥</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lang w:val="en-US" w:eastAsia="zh-CN" w:bidi="ar-SA"/>
        </w:rPr>
        <w:t>）。</w:t>
      </w:r>
    </w:p>
    <w:p w14:paraId="39280EFC">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713" w:name="bookmark1934"/>
      <w:bookmarkEnd w:id="1713"/>
      <w:r>
        <w:rPr>
          <w:rStyle w:val="29"/>
          <w:rFonts w:hint="eastAsia" w:ascii="宋体" w:hAnsi="宋体" w:eastAsia="宋体" w:cs="宋体"/>
          <w:color w:val="auto"/>
          <w:kern w:val="2"/>
          <w:sz w:val="21"/>
          <w:szCs w:val="21"/>
          <w:highlight w:val="none"/>
          <w:lang w:val="en-US" w:eastAsia="en-US" w:bidi="ar-SA"/>
        </w:rPr>
        <w:t>2.</w:t>
      </w:r>
      <w:r>
        <w:rPr>
          <w:rStyle w:val="29"/>
          <w:rFonts w:hint="eastAsia" w:ascii="宋体" w:hAnsi="宋体" w:eastAsia="宋体" w:cs="宋体"/>
          <w:color w:val="auto"/>
          <w:kern w:val="2"/>
          <w:sz w:val="21"/>
          <w:szCs w:val="21"/>
          <w:highlight w:val="none"/>
          <w:lang w:eastAsia="zh-CN" w:bidi="ar-SA"/>
        </w:rPr>
        <w:t>担保有效期自预付款支付给承包人起生效，至发包人签发的进度付款证书说明已完全扣清止。</w:t>
      </w:r>
    </w:p>
    <w:p w14:paraId="63E6E527">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bookmarkStart w:id="1714" w:name="bookmark1935"/>
      <w:bookmarkEnd w:id="1714"/>
      <w:r>
        <w:rPr>
          <w:rStyle w:val="29"/>
          <w:rFonts w:hint="eastAsia" w:ascii="宋体" w:hAnsi="宋体" w:eastAsia="宋体" w:cs="宋体"/>
          <w:color w:val="auto"/>
          <w:kern w:val="2"/>
          <w:sz w:val="21"/>
          <w:szCs w:val="21"/>
          <w:highlight w:val="none"/>
          <w:lang w:val="en-US" w:eastAsia="en-US" w:bidi="ar-SA"/>
        </w:rPr>
        <w:t>3.</w:t>
      </w:r>
      <w:r>
        <w:rPr>
          <w:rStyle w:val="29"/>
          <w:rFonts w:hint="eastAsia" w:ascii="宋体" w:hAnsi="宋体" w:eastAsia="宋体" w:cs="宋体"/>
          <w:color w:val="auto"/>
          <w:kern w:val="2"/>
          <w:sz w:val="21"/>
          <w:szCs w:val="21"/>
          <w:highlight w:val="none"/>
          <w:lang w:eastAsia="zh-CN" w:bidi="ar-SA"/>
        </w:rPr>
        <w:t>在本担保有效期内，因承包人违反合同约定的义务而要求收回预付款时，我方在收到你方的书面通知后，无条件地在7天内予以支付。但本担保的担保金额，在任何时候不应超过预付款金额减去发包人按合同约定在向承包人签发的进度付款证书中已扣回的金额。</w:t>
      </w:r>
      <w:bookmarkStart w:id="1715" w:name="bookmark1936"/>
      <w:bookmarkEnd w:id="1715"/>
    </w:p>
    <w:p w14:paraId="652957DF">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en-US" w:eastAsia="en-US" w:bidi="ar-SA"/>
        </w:rPr>
        <w:t>4.</w:t>
      </w:r>
      <w:r>
        <w:rPr>
          <w:rStyle w:val="29"/>
          <w:rFonts w:hint="eastAsia" w:ascii="宋体" w:hAnsi="宋体" w:eastAsia="宋体" w:cs="宋体"/>
          <w:color w:val="auto"/>
          <w:kern w:val="2"/>
          <w:sz w:val="21"/>
          <w:szCs w:val="21"/>
          <w:highlight w:val="none"/>
          <w:lang w:eastAsia="zh-CN" w:bidi="ar-SA"/>
        </w:rPr>
        <w:t>发包人和承包人按《通用合同条款》第15条变更合同时，我方承担本担保规定的义务不变。</w:t>
      </w:r>
    </w:p>
    <w:p w14:paraId="32DF59A6">
      <w:pPr>
        <w:pStyle w:val="106"/>
        <w:shd w:val="clear" w:color="auto"/>
        <w:tabs>
          <w:tab w:val="left" w:pos="731"/>
        </w:tabs>
        <w:ind w:firstLine="0"/>
        <w:jc w:val="both"/>
        <w:rPr>
          <w:rStyle w:val="29"/>
          <w:color w:val="auto"/>
          <w:highlight w:val="none"/>
        </w:rPr>
      </w:pPr>
    </w:p>
    <w:p w14:paraId="06A13B3F">
      <w:pPr>
        <w:pStyle w:val="106"/>
        <w:shd w:val="clear" w:color="auto"/>
        <w:tabs>
          <w:tab w:val="left" w:pos="731"/>
        </w:tabs>
        <w:ind w:left="420" w:firstLine="0"/>
        <w:jc w:val="both"/>
        <w:rPr>
          <w:rStyle w:val="29"/>
          <w:color w:val="auto"/>
          <w:highlight w:val="none"/>
        </w:rPr>
      </w:pPr>
    </w:p>
    <w:p w14:paraId="79F3A696">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担  保 人：</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 xml:space="preserve">（盖单位章） </w:t>
      </w:r>
    </w:p>
    <w:p w14:paraId="53C763D6">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en-US" w:eastAsia="zh-CN" w:bidi="ar-SA"/>
        </w:rPr>
        <w:t>法</w:t>
      </w:r>
      <w:r>
        <w:rPr>
          <w:rStyle w:val="29"/>
          <w:rFonts w:hint="eastAsia" w:ascii="宋体" w:hAnsi="宋体" w:eastAsia="宋体" w:cs="宋体"/>
          <w:color w:val="auto"/>
          <w:kern w:val="2"/>
          <w:sz w:val="21"/>
          <w:szCs w:val="21"/>
          <w:highlight w:val="none"/>
          <w:lang w:eastAsia="zh-CN" w:bidi="ar-SA"/>
        </w:rPr>
        <w:t>定代表人(或委托代理人)：</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（签字）</w:t>
      </w:r>
    </w:p>
    <w:p w14:paraId="4080DE65">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eastAsia="zh-CN" w:bidi="ar-SA"/>
        </w:rPr>
        <w:t>地</w:t>
      </w:r>
      <w:r>
        <w:rPr>
          <w:rStyle w:val="29"/>
          <w:rFonts w:hint="eastAsia" w:ascii="宋体" w:hAnsi="宋体" w:eastAsia="宋体" w:cs="宋体"/>
          <w:color w:val="auto"/>
          <w:kern w:val="2"/>
          <w:sz w:val="21"/>
          <w:szCs w:val="21"/>
          <w:highlight w:val="none"/>
          <w:lang w:val="en-US" w:eastAsia="zh-CN" w:bidi="ar-SA"/>
        </w:rPr>
        <w:t xml:space="preserve">    </w:t>
      </w:r>
      <w:r>
        <w:rPr>
          <w:rStyle w:val="29"/>
          <w:rFonts w:hint="eastAsia" w:ascii="宋体" w:hAnsi="宋体" w:eastAsia="宋体" w:cs="宋体"/>
          <w:color w:val="auto"/>
          <w:kern w:val="2"/>
          <w:sz w:val="21"/>
          <w:szCs w:val="21"/>
          <w:highlight w:val="none"/>
          <w:lang w:eastAsia="zh-CN" w:bidi="ar-SA"/>
        </w:rPr>
        <w:t>址：</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p>
    <w:p w14:paraId="15E994C9">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u w:val="single"/>
          <w:lang w:eastAsia="zh-CN"/>
        </w:rPr>
      </w:pPr>
      <w:r>
        <w:rPr>
          <w:rStyle w:val="29"/>
          <w:rFonts w:hint="eastAsia" w:ascii="宋体" w:hAnsi="宋体" w:eastAsia="宋体" w:cs="宋体"/>
          <w:color w:val="auto"/>
          <w:kern w:val="2"/>
          <w:sz w:val="21"/>
          <w:szCs w:val="21"/>
          <w:highlight w:val="none"/>
          <w:lang w:eastAsia="zh-CN" w:bidi="ar-SA"/>
        </w:rPr>
        <w:t>邮政编码：</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p>
    <w:p w14:paraId="2ADC722A">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u w:val="single"/>
          <w:lang w:eastAsia="zh-CN"/>
        </w:rPr>
      </w:pPr>
      <w:r>
        <w:rPr>
          <w:rStyle w:val="29"/>
          <w:rFonts w:hint="eastAsia" w:ascii="宋体" w:hAnsi="宋体" w:eastAsia="宋体" w:cs="宋体"/>
          <w:color w:val="auto"/>
          <w:kern w:val="2"/>
          <w:sz w:val="21"/>
          <w:szCs w:val="21"/>
          <w:highlight w:val="none"/>
          <w:lang w:eastAsia="zh-CN" w:bidi="ar-SA"/>
        </w:rPr>
        <w:t>电    话：</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p>
    <w:p w14:paraId="1BACCC9B">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u w:val="single"/>
          <w:lang w:eastAsia="zh-CN"/>
        </w:rPr>
      </w:pPr>
      <w:r>
        <w:rPr>
          <w:rStyle w:val="29"/>
          <w:rFonts w:hint="eastAsia" w:ascii="宋体" w:hAnsi="宋体" w:eastAsia="宋体" w:cs="宋体"/>
          <w:color w:val="auto"/>
          <w:kern w:val="2"/>
          <w:sz w:val="21"/>
          <w:szCs w:val="21"/>
          <w:highlight w:val="none"/>
          <w:lang w:eastAsia="zh-CN" w:bidi="ar-SA"/>
        </w:rPr>
        <w:t>传    真：</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ab/>
      </w:r>
    </w:p>
    <w:p w14:paraId="4DD34121">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年</w:t>
      </w:r>
      <w:r>
        <w:rPr>
          <w:rStyle w:val="29"/>
          <w:rFonts w:hint="eastAsia" w:ascii="宋体" w:hAnsi="宋体" w:eastAsia="宋体" w:cs="宋体"/>
          <w:color w:val="auto"/>
          <w:kern w:val="2"/>
          <w:sz w:val="21"/>
          <w:szCs w:val="21"/>
          <w:highlight w:val="none"/>
          <w:u w:val="single"/>
          <w:lang w:eastAsia="zh-CN" w:bidi="ar-SA"/>
        </w:rPr>
        <w:tab/>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u w:val="single"/>
          <w:lang w:val="en-US" w:eastAsia="zh-CN" w:bidi="ar-SA"/>
        </w:rPr>
        <w:t xml:space="preserve">   </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月</w:t>
      </w:r>
      <w:r>
        <w:rPr>
          <w:rStyle w:val="29"/>
          <w:rFonts w:hint="eastAsia" w:ascii="宋体" w:hAnsi="宋体" w:eastAsia="宋体" w:cs="宋体"/>
          <w:color w:val="auto"/>
          <w:kern w:val="2"/>
          <w:sz w:val="21"/>
          <w:szCs w:val="21"/>
          <w:highlight w:val="none"/>
          <w:u w:val="single"/>
          <w:lang w:eastAsia="zh-CN" w:bidi="ar-SA"/>
        </w:rPr>
        <w:t xml:space="preserve">             </w:t>
      </w:r>
      <w:r>
        <w:rPr>
          <w:rStyle w:val="29"/>
          <w:rFonts w:hint="eastAsia" w:ascii="宋体" w:hAnsi="宋体" w:eastAsia="宋体" w:cs="宋体"/>
          <w:color w:val="auto"/>
          <w:kern w:val="2"/>
          <w:sz w:val="21"/>
          <w:szCs w:val="21"/>
          <w:highlight w:val="none"/>
          <w:lang w:eastAsia="zh-CN" w:bidi="ar-SA"/>
        </w:rPr>
        <w:t xml:space="preserve">日     </w:t>
      </w:r>
    </w:p>
    <w:p w14:paraId="7A7A63A0">
      <w:pPr>
        <w:pStyle w:val="106"/>
        <w:shd w:val="clear" w:color="auto"/>
        <w:tabs>
          <w:tab w:val="left" w:pos="726"/>
        </w:tabs>
        <w:spacing w:after="340" w:line="355" w:lineRule="exact"/>
        <w:ind w:firstLine="0"/>
        <w:jc w:val="both"/>
        <w:rPr>
          <w:rStyle w:val="29"/>
          <w:color w:val="auto"/>
          <w:highlight w:val="none"/>
        </w:rPr>
      </w:pPr>
    </w:p>
    <w:p w14:paraId="72D8F9C9">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textAlignment w:val="auto"/>
        <w:rPr>
          <w:rStyle w:val="29"/>
          <w:rFonts w:hint="eastAsia" w:ascii="宋体" w:hAnsi="宋体" w:eastAsia="宋体" w:cs="宋体"/>
          <w:color w:val="auto"/>
          <w:sz w:val="21"/>
          <w:szCs w:val="21"/>
          <w:highlight w:val="none"/>
          <w:lang w:val="zh-CN" w:eastAsia="zh-CN"/>
        </w:rPr>
      </w:pPr>
      <w:r>
        <w:rPr>
          <w:rStyle w:val="29"/>
          <w:rFonts w:hint="eastAsia" w:ascii="宋体" w:hAnsi="宋体" w:eastAsia="宋体" w:cs="宋体"/>
          <w:color w:val="auto"/>
          <w:kern w:val="2"/>
          <w:sz w:val="21"/>
          <w:szCs w:val="21"/>
          <w:highlight w:val="none"/>
          <w:lang w:val="zh-CN" w:eastAsia="zh-CN" w:bidi="ar-SA"/>
        </w:rPr>
        <w:t>注：</w:t>
      </w:r>
    </w:p>
    <w:p w14:paraId="2AB1C198">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en-US" w:eastAsia="zh-CN" w:bidi="ar-SA"/>
        </w:rPr>
        <w:t>1.</w:t>
      </w:r>
      <w:r>
        <w:rPr>
          <w:rStyle w:val="29"/>
          <w:rFonts w:hint="eastAsia" w:ascii="宋体" w:hAnsi="宋体" w:eastAsia="宋体" w:cs="宋体"/>
          <w:color w:val="auto"/>
          <w:kern w:val="2"/>
          <w:sz w:val="21"/>
          <w:szCs w:val="21"/>
          <w:highlight w:val="none"/>
          <w:lang w:eastAsia="zh-CN" w:bidi="ar-SA"/>
        </w:rPr>
        <w:t>担保人必须是投标人单位基本账户的开户银行。</w:t>
      </w:r>
    </w:p>
    <w:p w14:paraId="5A963076">
      <w:pPr>
        <w:pStyle w:val="104"/>
        <w:keepNext w:val="0"/>
        <w:keepLines w:val="0"/>
        <w:pageBreakBefore w:val="0"/>
        <w:widowControl w:val="0"/>
        <w:shd w:val="clear" w:color="auto"/>
        <w:kinsoku/>
        <w:wordWrap w:val="0"/>
        <w:overflowPunct/>
        <w:topLinePunct w:val="0"/>
        <w:autoSpaceDE/>
        <w:autoSpaceDN/>
        <w:bidi w:val="0"/>
        <w:adjustRightInd/>
        <w:snapToGrid/>
        <w:spacing w:line="440" w:lineRule="exact"/>
        <w:ind w:firstLine="420" w:firstLineChars="200"/>
        <w:textAlignment w:val="auto"/>
        <w:rPr>
          <w:rStyle w:val="29"/>
          <w:rFonts w:hint="eastAsia" w:ascii="宋体" w:hAnsi="宋体" w:eastAsia="宋体" w:cs="宋体"/>
          <w:color w:val="auto"/>
          <w:sz w:val="21"/>
          <w:szCs w:val="21"/>
          <w:highlight w:val="none"/>
          <w:lang w:eastAsia="zh-CN"/>
        </w:rPr>
      </w:pPr>
      <w:r>
        <w:rPr>
          <w:rStyle w:val="29"/>
          <w:rFonts w:hint="eastAsia" w:ascii="宋体" w:hAnsi="宋体" w:eastAsia="宋体" w:cs="宋体"/>
          <w:color w:val="auto"/>
          <w:kern w:val="2"/>
          <w:sz w:val="21"/>
          <w:szCs w:val="21"/>
          <w:highlight w:val="none"/>
          <w:lang w:val="en-US" w:eastAsia="zh-CN" w:bidi="ar-SA"/>
        </w:rPr>
        <w:t>2.</w:t>
      </w:r>
      <w:r>
        <w:rPr>
          <w:rStyle w:val="29"/>
          <w:rFonts w:hint="eastAsia" w:ascii="宋体" w:hAnsi="宋体" w:eastAsia="宋体" w:cs="宋体"/>
          <w:color w:val="auto"/>
          <w:kern w:val="2"/>
          <w:sz w:val="21"/>
          <w:szCs w:val="21"/>
          <w:highlight w:val="none"/>
          <w:lang w:eastAsia="zh-CN" w:bidi="ar-SA"/>
        </w:rPr>
        <w:t>委托代理人应附授权委托书。</w:t>
      </w:r>
    </w:p>
    <w:p w14:paraId="4E5E744F">
      <w:pPr>
        <w:keepNext/>
        <w:keepLines/>
        <w:shd w:val="clear" w:color="auto"/>
        <w:spacing w:before="260" w:after="260" w:line="24" w:lineRule="auto"/>
        <w:jc w:val="center"/>
        <w:rPr>
          <w:rFonts w:hAnsi="Courier New" w:eastAsia="宋体"/>
          <w:b/>
          <w:color w:val="auto"/>
          <w:sz w:val="24"/>
          <w:szCs w:val="20"/>
          <w:highlight w:val="none"/>
        </w:rPr>
      </w:pPr>
      <w:r>
        <w:rPr>
          <w:rFonts w:hAnsi="Courier New" w:eastAsia="宋体"/>
          <w:b/>
          <w:color w:val="auto"/>
          <w:sz w:val="24"/>
          <w:szCs w:val="20"/>
          <w:highlight w:val="none"/>
        </w:rPr>
        <w:t xml:space="preserve"> </w:t>
      </w:r>
    </w:p>
    <w:p w14:paraId="09A9F226">
      <w:pPr>
        <w:shd w:val="clear" w:color="auto"/>
        <w:snapToGrid w:val="0"/>
        <w:spacing w:line="360" w:lineRule="auto"/>
        <w:jc w:val="center"/>
        <w:rPr>
          <w:rFonts w:ascii="宋体" w:hAnsi="宋体" w:eastAsia="宋体" w:cs="仿宋_GB2312"/>
          <w:b/>
          <w:color w:val="auto"/>
          <w:sz w:val="44"/>
          <w:szCs w:val="44"/>
          <w:highlight w:val="none"/>
        </w:rPr>
      </w:pPr>
      <w:r>
        <w:rPr>
          <w:rFonts w:ascii="Times New Roman" w:hAnsi="Times New Roman" w:eastAsia="宋体" w:cs="Times New Roman"/>
          <w:color w:val="auto"/>
          <w:highlight w:val="none"/>
        </w:rPr>
        <w:br w:type="page"/>
      </w:r>
    </w:p>
    <w:p w14:paraId="76F70EDC">
      <w:pPr>
        <w:shd w:val="clear" w:color="auto"/>
        <w:tabs>
          <w:tab w:val="left" w:pos="3261"/>
        </w:tabs>
        <w:spacing w:line="360" w:lineRule="auto"/>
        <w:contextualSpacing/>
        <w:jc w:val="center"/>
        <w:rPr>
          <w:rFonts w:ascii="宋体" w:hAnsi="宋体" w:eastAsia="宋体" w:cs="仿宋_GB2312"/>
          <w:b/>
          <w:color w:val="auto"/>
          <w:sz w:val="44"/>
          <w:szCs w:val="44"/>
          <w:highlight w:val="none"/>
        </w:rPr>
      </w:pPr>
    </w:p>
    <w:p w14:paraId="14B775EC">
      <w:pPr>
        <w:shd w:val="clear" w:color="auto"/>
        <w:tabs>
          <w:tab w:val="left" w:pos="3261"/>
        </w:tabs>
        <w:spacing w:line="360" w:lineRule="auto"/>
        <w:contextualSpacing/>
        <w:jc w:val="center"/>
        <w:rPr>
          <w:rFonts w:ascii="宋体" w:hAnsi="宋体" w:eastAsia="宋体" w:cs="仿宋_GB2312"/>
          <w:b/>
          <w:color w:val="auto"/>
          <w:sz w:val="44"/>
          <w:szCs w:val="44"/>
          <w:highlight w:val="none"/>
        </w:rPr>
      </w:pPr>
    </w:p>
    <w:p w14:paraId="5A1CEF1A">
      <w:pPr>
        <w:shd w:val="clear" w:color="auto"/>
        <w:tabs>
          <w:tab w:val="left" w:pos="3261"/>
        </w:tabs>
        <w:spacing w:line="360" w:lineRule="auto"/>
        <w:contextualSpacing/>
        <w:jc w:val="center"/>
        <w:rPr>
          <w:rFonts w:ascii="宋体" w:hAnsi="宋体" w:eastAsia="宋体" w:cs="仿宋_GB2312"/>
          <w:b/>
          <w:color w:val="auto"/>
          <w:sz w:val="44"/>
          <w:szCs w:val="44"/>
          <w:highlight w:val="none"/>
        </w:rPr>
      </w:pPr>
    </w:p>
    <w:p w14:paraId="4F1999B4">
      <w:pPr>
        <w:shd w:val="clear" w:color="auto"/>
        <w:tabs>
          <w:tab w:val="left" w:pos="3261"/>
        </w:tabs>
        <w:spacing w:line="360" w:lineRule="auto"/>
        <w:contextualSpacing/>
        <w:jc w:val="center"/>
        <w:rPr>
          <w:rFonts w:ascii="宋体" w:hAnsi="宋体" w:eastAsia="宋体" w:cs="仿宋_GB2312"/>
          <w:b/>
          <w:color w:val="auto"/>
          <w:sz w:val="44"/>
          <w:szCs w:val="44"/>
          <w:highlight w:val="none"/>
        </w:rPr>
      </w:pPr>
    </w:p>
    <w:p w14:paraId="5D6FD568">
      <w:pPr>
        <w:shd w:val="clear" w:color="auto"/>
        <w:jc w:val="center"/>
        <w:rPr>
          <w:rFonts w:hint="eastAsia" w:ascii="宋体" w:hAnsi="宋体" w:cs="仿宋_GB2312"/>
          <w:color w:val="auto"/>
          <w:highlight w:val="none"/>
        </w:rPr>
        <w:sectPr>
          <w:footerReference r:id="rId12" w:type="default"/>
          <w:pgSz w:w="11905" w:h="16838"/>
          <w:pgMar w:top="1134" w:right="1134" w:bottom="1134" w:left="1134" w:header="850" w:footer="1191" w:gutter="0"/>
          <w:pgBorders w:offsetFrom="page">
            <w:top w:val="none" w:sz="0" w:space="0"/>
            <w:left w:val="none" w:sz="0" w:space="0"/>
            <w:bottom w:val="none" w:sz="0" w:space="0"/>
            <w:right w:val="none" w:sz="0" w:space="0"/>
          </w:pgBorders>
          <w:cols w:space="720" w:num="1"/>
          <w:titlePg/>
          <w:rtlGutter w:val="0"/>
          <w:docGrid w:type="linesAndChars" w:linePitch="317" w:charSpace="0"/>
        </w:sectPr>
      </w:pPr>
      <w:bookmarkStart w:id="1716" w:name="_Toc87898664"/>
      <w:r>
        <w:rPr>
          <w:rFonts w:hint="eastAsia" w:ascii="宋体" w:hAnsi="宋体" w:eastAsia="宋体" w:cs="仿宋_GB2312"/>
          <w:b/>
          <w:bCs w:val="0"/>
          <w:color w:val="auto"/>
          <w:kern w:val="44"/>
          <w:sz w:val="32"/>
          <w:szCs w:val="44"/>
          <w:highlight w:val="none"/>
          <w:lang w:val="en-US" w:eastAsia="zh-CN" w:bidi="ar-SA"/>
        </w:rPr>
        <w:t>第七章 质疑、投诉材料格式</w:t>
      </w:r>
      <w:bookmarkEnd w:id="1716"/>
    </w:p>
    <w:p w14:paraId="5A59405B">
      <w:pPr>
        <w:shd w:val="clear" w:color="auto"/>
        <w:spacing w:line="360" w:lineRule="auto"/>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质疑函（格式）</w:t>
      </w:r>
    </w:p>
    <w:p w14:paraId="3B845A4B">
      <w:pPr>
        <w:widowControl w:val="0"/>
        <w:shd w:val="clear" w:color="auto"/>
        <w:spacing w:line="360" w:lineRule="auto"/>
        <w:ind w:firstLine="480" w:firstLineChars="200"/>
        <w:contextualSpacing/>
        <w:jc w:val="both"/>
        <w:rPr>
          <w:rFonts w:ascii="宋体" w:hAnsi="宋体" w:eastAsia="宋体" w:cs="Times New Roman"/>
          <w:b/>
          <w:bCs/>
          <w:color w:val="auto"/>
          <w:kern w:val="0"/>
          <w:sz w:val="24"/>
          <w:szCs w:val="24"/>
          <w:highlight w:val="none"/>
          <w:lang w:val="en-US" w:eastAsia="zh-CN" w:bidi="ar-SA"/>
        </w:rPr>
      </w:pPr>
      <w:r>
        <w:rPr>
          <w:rFonts w:hint="eastAsia" w:ascii="宋体" w:hAnsi="宋体" w:eastAsia="宋体" w:cs="Times New Roman"/>
          <w:b/>
          <w:bCs/>
          <w:color w:val="auto"/>
          <w:kern w:val="0"/>
          <w:sz w:val="24"/>
          <w:szCs w:val="24"/>
          <w:highlight w:val="none"/>
          <w:lang w:val="en-US" w:eastAsia="zh-CN" w:bidi="ar-SA"/>
        </w:rPr>
        <w:t>一、质疑供应商基本信息：</w:t>
      </w:r>
    </w:p>
    <w:p w14:paraId="30AF6A2D">
      <w:pPr>
        <w:widowControl w:val="0"/>
        <w:shd w:val="clear" w:color="auto"/>
        <w:spacing w:line="360" w:lineRule="auto"/>
        <w:ind w:firstLine="480" w:firstLineChars="200"/>
        <w:contextualSpacing/>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质疑供应商：</w:t>
      </w:r>
      <w:r>
        <w:rPr>
          <w:rFonts w:hint="eastAsia" w:ascii="宋体" w:hAnsi="宋体" w:eastAsia="宋体" w:cs="Times New Roman"/>
          <w:bCs/>
          <w:color w:val="auto"/>
          <w:kern w:val="0"/>
          <w:sz w:val="24"/>
          <w:szCs w:val="24"/>
          <w:highlight w:val="none"/>
          <w:u w:val="single"/>
          <w:lang w:val="en-US" w:eastAsia="zh-CN" w:bidi="ar-SA"/>
        </w:rPr>
        <w:t xml:space="preserve">                                       </w:t>
      </w:r>
      <w:r>
        <w:rPr>
          <w:rFonts w:hint="eastAsia" w:ascii="宋体" w:hAnsi="宋体" w:eastAsia="宋体" w:cs="Times New Roman"/>
          <w:bCs/>
          <w:color w:val="auto"/>
          <w:kern w:val="0"/>
          <w:sz w:val="24"/>
          <w:szCs w:val="24"/>
          <w:highlight w:val="none"/>
          <w:lang w:val="en-US" w:eastAsia="zh-CN" w:bidi="ar-SA"/>
        </w:rPr>
        <w:t xml:space="preserve">                 </w:t>
      </w:r>
    </w:p>
    <w:p w14:paraId="4276DEAF">
      <w:pPr>
        <w:widowControl w:val="0"/>
        <w:shd w:val="clear" w:color="auto"/>
        <w:spacing w:line="360" w:lineRule="auto"/>
        <w:ind w:firstLine="480" w:firstLineChars="200"/>
        <w:contextualSpacing/>
        <w:jc w:val="both"/>
        <w:rPr>
          <w:rFonts w:hint="eastAsia" w:ascii="宋体" w:hAnsi="宋体" w:eastAsia="宋体" w:cs="Times New Roman"/>
          <w:bCs/>
          <w:color w:val="auto"/>
          <w:kern w:val="0"/>
          <w:sz w:val="24"/>
          <w:szCs w:val="24"/>
          <w:highlight w:val="none"/>
          <w:lang w:val="en-US" w:eastAsia="zh-CN" w:bidi="ar-SA"/>
        </w:rPr>
      </w:pPr>
      <w:r>
        <w:rPr>
          <w:rFonts w:ascii="宋体" w:hAnsi="宋体" w:eastAsia="宋体" w:cs="Times New Roman"/>
          <w:bCs/>
          <w:color w:val="auto"/>
          <w:kern w:val="0"/>
          <w:sz w:val="24"/>
          <w:szCs w:val="24"/>
          <w:highlight w:val="none"/>
          <w:lang w:val="en-US" w:eastAsia="zh-CN" w:bidi="ar-SA"/>
        </w:rPr>
        <w:t>地址</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r>
        <w:rPr>
          <w:rFonts w:ascii="宋体" w:hAnsi="宋体" w:eastAsia="宋体" w:cs="Times New Roman"/>
          <w:bCs/>
          <w:color w:val="auto"/>
          <w:kern w:val="0"/>
          <w:sz w:val="24"/>
          <w:szCs w:val="24"/>
          <w:highlight w:val="none"/>
          <w:lang w:val="en-US" w:eastAsia="zh-CN" w:bidi="ar-SA"/>
        </w:rPr>
        <w:t>邮编</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r>
        <w:rPr>
          <w:rFonts w:hint="eastAsia" w:ascii="宋体" w:hAnsi="宋体" w:eastAsia="宋体" w:cs="Times New Roman"/>
          <w:bCs/>
          <w:color w:val="auto"/>
          <w:kern w:val="0"/>
          <w:sz w:val="24"/>
          <w:szCs w:val="24"/>
          <w:highlight w:val="none"/>
          <w:lang w:val="en-US" w:eastAsia="zh-CN" w:bidi="ar-SA"/>
        </w:rPr>
        <w:t xml:space="preserve">                 </w:t>
      </w:r>
    </w:p>
    <w:p w14:paraId="5F230C56">
      <w:pPr>
        <w:widowControl w:val="0"/>
        <w:shd w:val="clear" w:color="auto"/>
        <w:spacing w:line="360" w:lineRule="auto"/>
        <w:ind w:firstLine="480" w:firstLineChars="200"/>
        <w:contextualSpacing/>
        <w:jc w:val="both"/>
        <w:rPr>
          <w:rFonts w:hint="eastAsia" w:ascii="宋体" w:hAnsi="宋体" w:eastAsia="宋体" w:cs="Times New Roman"/>
          <w:bCs/>
          <w:color w:val="auto"/>
          <w:kern w:val="0"/>
          <w:sz w:val="24"/>
          <w:szCs w:val="24"/>
          <w:highlight w:val="none"/>
          <w:lang w:val="en-US" w:eastAsia="zh-CN" w:bidi="ar-SA"/>
        </w:rPr>
      </w:pPr>
      <w:r>
        <w:rPr>
          <w:rFonts w:ascii="宋体" w:hAnsi="宋体" w:eastAsia="宋体" w:cs="Times New Roman"/>
          <w:bCs/>
          <w:color w:val="auto"/>
          <w:kern w:val="0"/>
          <w:sz w:val="24"/>
          <w:szCs w:val="24"/>
          <w:highlight w:val="none"/>
          <w:lang w:val="en-US" w:eastAsia="zh-CN" w:bidi="ar-SA"/>
        </w:rPr>
        <w:t>联系人</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r>
        <w:rPr>
          <w:rFonts w:ascii="宋体" w:hAnsi="宋体" w:eastAsia="宋体" w:cs="Times New Roman"/>
          <w:bCs/>
          <w:color w:val="auto"/>
          <w:kern w:val="0"/>
          <w:sz w:val="24"/>
          <w:szCs w:val="24"/>
          <w:highlight w:val="none"/>
          <w:lang w:val="en-US" w:eastAsia="zh-CN" w:bidi="ar-SA"/>
        </w:rPr>
        <w:t>联系电话</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p>
    <w:p w14:paraId="5791CB5B">
      <w:pPr>
        <w:widowControl w:val="0"/>
        <w:shd w:val="clear" w:color="auto"/>
        <w:spacing w:line="360" w:lineRule="auto"/>
        <w:ind w:firstLine="480" w:firstLineChars="200"/>
        <w:contextualSpacing/>
        <w:jc w:val="both"/>
        <w:rPr>
          <w:rFonts w:hint="eastAsia" w:ascii="宋体" w:hAnsi="宋体" w:eastAsia="宋体" w:cs="Times New Roman"/>
          <w:bCs/>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lang w:val="en-US" w:eastAsia="zh-CN" w:bidi="ar-SA"/>
        </w:rPr>
        <w:t>授权代表：</w:t>
      </w:r>
      <w:r>
        <w:rPr>
          <w:rFonts w:hint="eastAsia" w:ascii="宋体" w:hAnsi="宋体" w:eastAsia="宋体" w:cs="Times New Roman"/>
          <w:bCs/>
          <w:color w:val="auto"/>
          <w:kern w:val="0"/>
          <w:sz w:val="24"/>
          <w:szCs w:val="24"/>
          <w:highlight w:val="none"/>
          <w:u w:val="single"/>
          <w:lang w:val="en-US" w:eastAsia="zh-CN" w:bidi="ar-SA"/>
        </w:rPr>
        <w:t xml:space="preserve">                      </w:t>
      </w:r>
    </w:p>
    <w:p w14:paraId="15F3F501">
      <w:pPr>
        <w:widowControl w:val="0"/>
        <w:shd w:val="clear" w:color="auto"/>
        <w:spacing w:line="360" w:lineRule="auto"/>
        <w:ind w:firstLine="480" w:firstLineChars="200"/>
        <w:contextualSpacing/>
        <w:jc w:val="both"/>
        <w:rPr>
          <w:rFonts w:hint="eastAsia" w:ascii="宋体" w:hAnsi="宋体" w:eastAsia="宋体" w:cs="Times New Roman"/>
          <w:bCs/>
          <w:color w:val="auto"/>
          <w:kern w:val="0"/>
          <w:sz w:val="24"/>
          <w:szCs w:val="24"/>
          <w:highlight w:val="none"/>
          <w:u w:val="single"/>
          <w:lang w:val="en-US" w:eastAsia="zh-CN" w:bidi="ar-SA"/>
        </w:rPr>
      </w:pPr>
      <w:r>
        <w:rPr>
          <w:rFonts w:ascii="宋体" w:hAnsi="宋体" w:eastAsia="宋体" w:cs="Times New Roman"/>
          <w:bCs/>
          <w:color w:val="auto"/>
          <w:kern w:val="0"/>
          <w:sz w:val="24"/>
          <w:szCs w:val="24"/>
          <w:highlight w:val="none"/>
          <w:lang w:val="en-US" w:eastAsia="zh-CN" w:bidi="ar-SA"/>
        </w:rPr>
        <w:t>联系</w:t>
      </w:r>
      <w:r>
        <w:rPr>
          <w:rFonts w:hint="eastAsia" w:ascii="宋体" w:hAnsi="宋体" w:eastAsia="宋体" w:cs="Times New Roman"/>
          <w:bCs/>
          <w:color w:val="auto"/>
          <w:kern w:val="0"/>
          <w:sz w:val="24"/>
          <w:szCs w:val="24"/>
          <w:highlight w:val="none"/>
          <w:lang w:val="en-US" w:eastAsia="zh-CN" w:bidi="ar-SA"/>
        </w:rPr>
        <w:t>电话：</w:t>
      </w:r>
      <w:r>
        <w:rPr>
          <w:rFonts w:hint="eastAsia" w:ascii="宋体" w:hAnsi="宋体" w:eastAsia="宋体" w:cs="Times New Roman"/>
          <w:bCs/>
          <w:color w:val="auto"/>
          <w:kern w:val="0"/>
          <w:sz w:val="24"/>
          <w:szCs w:val="24"/>
          <w:highlight w:val="none"/>
          <w:u w:val="single"/>
          <w:lang w:val="en-US" w:eastAsia="zh-CN" w:bidi="ar-SA"/>
        </w:rPr>
        <w:t xml:space="preserve">                      </w:t>
      </w:r>
    </w:p>
    <w:p w14:paraId="3A277C86">
      <w:pPr>
        <w:widowControl w:val="0"/>
        <w:shd w:val="clear" w:color="auto"/>
        <w:spacing w:line="360" w:lineRule="auto"/>
        <w:ind w:firstLine="480" w:firstLineChars="200"/>
        <w:contextualSpacing/>
        <w:jc w:val="both"/>
        <w:rPr>
          <w:rFonts w:hint="eastAsia" w:ascii="宋体" w:hAnsi="宋体" w:eastAsia="宋体" w:cs="Times New Roman"/>
          <w:bCs/>
          <w:color w:val="auto"/>
          <w:kern w:val="0"/>
          <w:sz w:val="24"/>
          <w:szCs w:val="24"/>
          <w:highlight w:val="none"/>
          <w:lang w:val="en-US" w:eastAsia="zh-CN" w:bidi="ar-SA"/>
        </w:rPr>
      </w:pPr>
      <w:r>
        <w:rPr>
          <w:rFonts w:ascii="宋体" w:hAnsi="宋体" w:eastAsia="宋体" w:cs="Times New Roman"/>
          <w:bCs/>
          <w:color w:val="auto"/>
          <w:kern w:val="0"/>
          <w:sz w:val="24"/>
          <w:szCs w:val="24"/>
          <w:highlight w:val="none"/>
          <w:lang w:val="en-US" w:eastAsia="zh-CN" w:bidi="ar-SA"/>
        </w:rPr>
        <w:t>地址</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r>
        <w:rPr>
          <w:rFonts w:ascii="宋体" w:hAnsi="宋体" w:eastAsia="宋体" w:cs="Times New Roman"/>
          <w:bCs/>
          <w:color w:val="auto"/>
          <w:kern w:val="0"/>
          <w:sz w:val="24"/>
          <w:szCs w:val="24"/>
          <w:highlight w:val="none"/>
          <w:lang w:val="en-US" w:eastAsia="zh-CN" w:bidi="ar-SA"/>
        </w:rPr>
        <w:t>邮编</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r>
        <w:rPr>
          <w:rFonts w:hint="eastAsia" w:ascii="宋体" w:hAnsi="宋体" w:eastAsia="宋体" w:cs="Times New Roman"/>
          <w:bCs/>
          <w:color w:val="auto"/>
          <w:kern w:val="0"/>
          <w:sz w:val="24"/>
          <w:szCs w:val="24"/>
          <w:highlight w:val="none"/>
          <w:lang w:val="en-US" w:eastAsia="zh-CN" w:bidi="ar-SA"/>
        </w:rPr>
        <w:t xml:space="preserve">     </w:t>
      </w:r>
    </w:p>
    <w:p w14:paraId="291B4D22">
      <w:pPr>
        <w:widowControl w:val="0"/>
        <w:shd w:val="clear" w:color="auto"/>
        <w:spacing w:line="360" w:lineRule="auto"/>
        <w:ind w:firstLine="480" w:firstLineChars="200"/>
        <w:contextualSpacing/>
        <w:jc w:val="both"/>
        <w:rPr>
          <w:rFonts w:hint="eastAsia" w:ascii="宋体" w:hAnsi="宋体" w:eastAsia="宋体" w:cs="Times New Roman"/>
          <w:b/>
          <w:bCs/>
          <w:color w:val="auto"/>
          <w:kern w:val="0"/>
          <w:sz w:val="24"/>
          <w:szCs w:val="24"/>
          <w:highlight w:val="none"/>
          <w:lang w:val="en-US" w:eastAsia="zh-CN" w:bidi="ar-SA"/>
        </w:rPr>
      </w:pPr>
      <w:r>
        <w:rPr>
          <w:rFonts w:hint="eastAsia" w:ascii="宋体" w:hAnsi="宋体" w:eastAsia="宋体" w:cs="Times New Roman"/>
          <w:b/>
          <w:bCs/>
          <w:color w:val="auto"/>
          <w:kern w:val="0"/>
          <w:sz w:val="24"/>
          <w:szCs w:val="24"/>
          <w:highlight w:val="none"/>
          <w:lang w:val="en-US" w:eastAsia="zh-CN" w:bidi="ar-SA"/>
        </w:rPr>
        <w:t>二、质疑项目基本情况：</w:t>
      </w:r>
    </w:p>
    <w:p w14:paraId="22A0A3EC">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lang w:val="en-US" w:eastAsia="zh-CN" w:bidi="ar-SA"/>
        </w:rPr>
        <w:t>质疑</w:t>
      </w:r>
      <w:r>
        <w:rPr>
          <w:rFonts w:hint="eastAsia" w:ascii="宋体" w:hAnsi="宋体" w:eastAsia="宋体" w:cs="Times New Roman"/>
          <w:color w:val="auto"/>
          <w:kern w:val="0"/>
          <w:sz w:val="24"/>
          <w:szCs w:val="24"/>
          <w:highlight w:val="none"/>
          <w:lang w:val="en-US" w:eastAsia="zh-CN" w:bidi="ar-SA"/>
        </w:rPr>
        <w:t>项目的名称：</w:t>
      </w:r>
      <w:r>
        <w:rPr>
          <w:rFonts w:hint="eastAsia" w:ascii="宋体" w:hAnsi="宋体" w:eastAsia="宋体" w:cs="Times New Roman"/>
          <w:bCs/>
          <w:color w:val="auto"/>
          <w:kern w:val="0"/>
          <w:sz w:val="24"/>
          <w:szCs w:val="24"/>
          <w:highlight w:val="none"/>
          <w:u w:val="single"/>
          <w:lang w:val="en-US" w:eastAsia="zh-CN" w:bidi="ar-SA"/>
        </w:rPr>
        <w:t xml:space="preserve">                                     </w:t>
      </w:r>
    </w:p>
    <w:p w14:paraId="13666591">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lang w:val="en-US" w:eastAsia="zh-CN" w:bidi="ar-SA"/>
        </w:rPr>
        <w:t>质疑</w:t>
      </w:r>
      <w:r>
        <w:rPr>
          <w:rFonts w:hint="eastAsia" w:ascii="宋体" w:hAnsi="宋体" w:eastAsia="宋体" w:cs="Times New Roman"/>
          <w:color w:val="auto"/>
          <w:kern w:val="0"/>
          <w:sz w:val="24"/>
          <w:szCs w:val="24"/>
          <w:highlight w:val="none"/>
          <w:lang w:val="en-US" w:eastAsia="zh-CN" w:bidi="ar-SA"/>
        </w:rPr>
        <w:t>项目的编号：</w:t>
      </w:r>
      <w:r>
        <w:rPr>
          <w:rFonts w:hint="eastAsia" w:ascii="宋体" w:hAnsi="宋体" w:eastAsia="宋体" w:cs="Times New Roman"/>
          <w:bCs/>
          <w:color w:val="auto"/>
          <w:kern w:val="0"/>
          <w:sz w:val="24"/>
          <w:szCs w:val="24"/>
          <w:highlight w:val="none"/>
          <w:u w:val="single"/>
          <w:lang w:val="en-US" w:eastAsia="zh-CN" w:bidi="ar-SA"/>
        </w:rPr>
        <w:t xml:space="preserve">                                     </w:t>
      </w:r>
    </w:p>
    <w:p w14:paraId="082F85CD">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采购人名称：</w:t>
      </w:r>
      <w:r>
        <w:rPr>
          <w:rFonts w:hint="eastAsia" w:ascii="宋体" w:hAnsi="宋体" w:eastAsia="宋体" w:cs="Times New Roman"/>
          <w:bCs/>
          <w:color w:val="auto"/>
          <w:kern w:val="0"/>
          <w:sz w:val="24"/>
          <w:szCs w:val="24"/>
          <w:highlight w:val="none"/>
          <w:u w:val="single"/>
          <w:lang w:val="en-US" w:eastAsia="zh-CN" w:bidi="ar-SA"/>
        </w:rPr>
        <w:t xml:space="preserve">                                         </w:t>
      </w:r>
    </w:p>
    <w:p w14:paraId="0AB6F345">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质疑事项：</w:t>
      </w:r>
    </w:p>
    <w:p w14:paraId="4CF20A3F">
      <w:pPr>
        <w:widowControl w:val="0"/>
        <w:shd w:val="clear" w:color="auto"/>
        <w:spacing w:line="360" w:lineRule="auto"/>
        <w:ind w:left="25" w:leftChars="12" w:firstLine="352" w:firstLineChars="14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□采购文件   采购文件获取日期：</w:t>
      </w:r>
      <w:r>
        <w:rPr>
          <w:rFonts w:hint="eastAsia" w:ascii="宋体" w:hAnsi="宋体" w:eastAsia="宋体" w:cs="Times New Roman"/>
          <w:bCs/>
          <w:color w:val="auto"/>
          <w:kern w:val="0"/>
          <w:sz w:val="24"/>
          <w:szCs w:val="24"/>
          <w:highlight w:val="none"/>
          <w:u w:val="single"/>
          <w:lang w:val="en-US" w:eastAsia="zh-CN" w:bidi="ar-SA"/>
        </w:rPr>
        <w:t xml:space="preserve">                                   </w:t>
      </w:r>
    </w:p>
    <w:p w14:paraId="00BE8954">
      <w:pPr>
        <w:widowControl w:val="0"/>
        <w:shd w:val="clear" w:color="auto"/>
        <w:spacing w:line="360" w:lineRule="auto"/>
        <w:ind w:left="25" w:leftChars="12" w:firstLine="352" w:firstLineChars="14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 xml:space="preserve">□采购过程   </w:t>
      </w:r>
    </w:p>
    <w:p w14:paraId="1DD0524F">
      <w:pPr>
        <w:widowControl w:val="0"/>
        <w:shd w:val="clear" w:color="auto"/>
        <w:spacing w:line="360" w:lineRule="auto"/>
        <w:ind w:left="25" w:leftChars="12" w:firstLine="352" w:firstLineChars="147"/>
        <w:contextualSpacing/>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color w:val="auto"/>
          <w:kern w:val="0"/>
          <w:sz w:val="24"/>
          <w:szCs w:val="24"/>
          <w:highlight w:val="none"/>
          <w:lang w:val="en-US" w:eastAsia="zh-CN" w:bidi="ar-SA"/>
        </w:rPr>
        <w:t xml:space="preserve">□成交结果   </w:t>
      </w:r>
    </w:p>
    <w:p w14:paraId="6547E707">
      <w:pPr>
        <w:widowControl w:val="0"/>
        <w:shd w:val="clear" w:color="auto"/>
        <w:spacing w:line="360" w:lineRule="auto"/>
        <w:ind w:left="25" w:leftChars="12" w:firstLine="471" w:firstLineChars="196"/>
        <w:contextualSpacing/>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三、质疑事项具体内容</w:t>
      </w:r>
    </w:p>
    <w:p w14:paraId="10043E6A">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质疑事项1：</w:t>
      </w:r>
      <w:r>
        <w:rPr>
          <w:rFonts w:hint="eastAsia" w:ascii="宋体" w:hAnsi="宋体" w:eastAsia="宋体" w:cs="Times New Roman"/>
          <w:bCs/>
          <w:color w:val="auto"/>
          <w:kern w:val="0"/>
          <w:sz w:val="24"/>
          <w:szCs w:val="24"/>
          <w:highlight w:val="none"/>
          <w:u w:val="single"/>
          <w:lang w:val="en-US" w:eastAsia="zh-CN" w:bidi="ar-SA"/>
        </w:rPr>
        <w:t xml:space="preserve">                                                                    </w:t>
      </w:r>
    </w:p>
    <w:p w14:paraId="5116ACB4">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事实依据：</w:t>
      </w:r>
      <w:r>
        <w:rPr>
          <w:rFonts w:hint="eastAsia" w:ascii="宋体" w:hAnsi="宋体" w:eastAsia="宋体" w:cs="Times New Roman"/>
          <w:bCs/>
          <w:color w:val="auto"/>
          <w:kern w:val="0"/>
          <w:sz w:val="24"/>
          <w:szCs w:val="24"/>
          <w:highlight w:val="none"/>
          <w:u w:val="single"/>
          <w:lang w:val="en-US" w:eastAsia="zh-CN" w:bidi="ar-SA"/>
        </w:rPr>
        <w:t xml:space="preserve">                                                                      </w:t>
      </w:r>
    </w:p>
    <w:p w14:paraId="5F2F6438">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法律依据：</w:t>
      </w:r>
      <w:r>
        <w:rPr>
          <w:rFonts w:hint="eastAsia" w:ascii="宋体" w:hAnsi="宋体" w:eastAsia="宋体" w:cs="Times New Roman"/>
          <w:color w:val="auto"/>
          <w:kern w:val="0"/>
          <w:sz w:val="24"/>
          <w:szCs w:val="24"/>
          <w:highlight w:val="none"/>
          <w:u w:val="single"/>
          <w:lang w:val="en-US" w:eastAsia="zh-CN" w:bidi="ar-SA"/>
        </w:rPr>
        <w:t xml:space="preserve">                                                        </w:t>
      </w:r>
      <w:r>
        <w:rPr>
          <w:rFonts w:hint="eastAsia" w:ascii="宋体" w:hAnsi="宋体" w:eastAsia="宋体" w:cs="Times New Roman"/>
          <w:bCs/>
          <w:color w:val="auto"/>
          <w:kern w:val="0"/>
          <w:sz w:val="24"/>
          <w:szCs w:val="24"/>
          <w:highlight w:val="none"/>
          <w:u w:val="single"/>
          <w:lang w:val="en-US" w:eastAsia="zh-CN" w:bidi="ar-SA"/>
        </w:rPr>
        <w:t xml:space="preserve">               </w:t>
      </w:r>
    </w:p>
    <w:p w14:paraId="32B750C3">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质疑事项2</w:t>
      </w:r>
    </w:p>
    <w:p w14:paraId="6F345BB9">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ascii="宋体" w:hAnsi="宋体" w:eastAsia="宋体" w:cs="Times New Roman"/>
          <w:color w:val="auto"/>
          <w:kern w:val="0"/>
          <w:sz w:val="24"/>
          <w:szCs w:val="24"/>
          <w:highlight w:val="none"/>
          <w:lang w:val="en-US" w:eastAsia="zh-CN" w:bidi="ar-SA"/>
        </w:rPr>
        <w:t>……</w:t>
      </w:r>
    </w:p>
    <w:p w14:paraId="664A89A0">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四、与质疑事项相关的质疑请求：</w:t>
      </w:r>
    </w:p>
    <w:p w14:paraId="43A12332">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请求：</w:t>
      </w:r>
      <w:r>
        <w:rPr>
          <w:rFonts w:hint="eastAsia" w:ascii="宋体" w:hAnsi="宋体" w:eastAsia="宋体" w:cs="Times New Roman"/>
          <w:bCs/>
          <w:color w:val="auto"/>
          <w:kern w:val="0"/>
          <w:sz w:val="24"/>
          <w:szCs w:val="24"/>
          <w:highlight w:val="none"/>
          <w:u w:val="single"/>
          <w:lang w:val="en-US" w:eastAsia="zh-CN" w:bidi="ar-SA"/>
        </w:rPr>
        <w:t xml:space="preserve">                                                                </w:t>
      </w:r>
    </w:p>
    <w:p w14:paraId="7B87EA56">
      <w:pPr>
        <w:widowControl w:val="0"/>
        <w:shd w:val="clear" w:color="auto"/>
        <w:spacing w:line="360" w:lineRule="auto"/>
        <w:ind w:left="25" w:leftChars="12" w:firstLine="352" w:firstLineChars="147"/>
        <w:contextualSpacing/>
        <w:jc w:val="both"/>
        <w:rPr>
          <w:rFonts w:hint="eastAsia" w:ascii="宋体" w:hAnsi="宋体" w:eastAsia="宋体" w:cs="Times New Roman"/>
          <w:color w:val="auto"/>
          <w:kern w:val="0"/>
          <w:sz w:val="24"/>
          <w:szCs w:val="24"/>
          <w:highlight w:val="none"/>
          <w:lang w:val="en-US" w:eastAsia="zh-CN" w:bidi="ar-SA"/>
        </w:rPr>
      </w:pPr>
    </w:p>
    <w:p w14:paraId="1C98B51F">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签字（签章）：                                       公章：</w:t>
      </w:r>
    </w:p>
    <w:p w14:paraId="6514B75A">
      <w:pPr>
        <w:widowControl w:val="0"/>
        <w:shd w:val="clear" w:color="auto"/>
        <w:spacing w:line="360" w:lineRule="auto"/>
        <w:ind w:left="25" w:leftChars="12" w:firstLine="352" w:firstLineChars="147"/>
        <w:contextualSpacing/>
        <w:jc w:val="both"/>
        <w:rPr>
          <w:rFonts w:hint="eastAsia" w:ascii="宋体" w:hAnsi="宋体" w:eastAsia="宋体" w:cs="Times New Roman"/>
          <w:color w:val="auto"/>
          <w:kern w:val="0"/>
          <w:sz w:val="24"/>
          <w:szCs w:val="24"/>
          <w:highlight w:val="none"/>
          <w:lang w:val="en-US" w:eastAsia="zh-CN" w:bidi="ar-SA"/>
        </w:rPr>
      </w:pPr>
    </w:p>
    <w:p w14:paraId="0D0CEB20">
      <w:pPr>
        <w:widowControl w:val="0"/>
        <w:shd w:val="clear" w:color="auto"/>
        <w:spacing w:line="360" w:lineRule="auto"/>
        <w:ind w:left="25" w:leftChars="12" w:firstLine="472" w:firstLineChars="197"/>
        <w:contextualSpacing/>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日期：</w:t>
      </w:r>
    </w:p>
    <w:p w14:paraId="514C3C9E">
      <w:pPr>
        <w:widowControl w:val="0"/>
        <w:shd w:val="clear" w:color="auto"/>
        <w:spacing w:line="360" w:lineRule="auto"/>
        <w:contextualSpacing/>
        <w:jc w:val="both"/>
        <w:rPr>
          <w:rFonts w:hint="eastAsia" w:ascii="宋体" w:hAnsi="宋体" w:eastAsia="宋体" w:cs="Times New Roman"/>
          <w:b/>
          <w:color w:val="auto"/>
          <w:kern w:val="0"/>
          <w:sz w:val="24"/>
          <w:szCs w:val="24"/>
          <w:highlight w:val="none"/>
          <w:lang w:val="en-US" w:eastAsia="zh-CN" w:bidi="ar-SA"/>
        </w:rPr>
      </w:pPr>
    </w:p>
    <w:p w14:paraId="2A93AF02">
      <w:pPr>
        <w:widowControl w:val="0"/>
        <w:shd w:val="clear" w:color="auto"/>
        <w:spacing w:line="360" w:lineRule="auto"/>
        <w:contextualSpacing/>
        <w:jc w:val="both"/>
        <w:rPr>
          <w:rFonts w:hint="eastAsia" w:ascii="宋体" w:hAnsi="宋体" w:eastAsia="宋体" w:cs="Times New Roman"/>
          <w:b/>
          <w:color w:val="auto"/>
          <w:kern w:val="0"/>
          <w:sz w:val="24"/>
          <w:szCs w:val="24"/>
          <w:highlight w:val="none"/>
          <w:lang w:val="en-US" w:eastAsia="zh-CN" w:bidi="ar-SA"/>
        </w:rPr>
      </w:pPr>
    </w:p>
    <w:p w14:paraId="298D486B">
      <w:pPr>
        <w:widowControl w:val="0"/>
        <w:shd w:val="clear" w:color="auto"/>
        <w:spacing w:line="360" w:lineRule="auto"/>
        <w:contextualSpacing/>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说明：</w:t>
      </w:r>
    </w:p>
    <w:p w14:paraId="2B23A123">
      <w:pPr>
        <w:widowControl w:val="0"/>
        <w:shd w:val="clear" w:color="auto"/>
        <w:spacing w:line="360" w:lineRule="auto"/>
        <w:ind w:left="25" w:leftChars="12" w:firstLine="353" w:firstLineChars="147"/>
        <w:contextualSpacing/>
        <w:jc w:val="both"/>
        <w:rPr>
          <w:rFonts w:hint="eastAsia" w:ascii="宋体" w:hAnsi="宋体" w:eastAsia="宋体" w:cs="Times New Roman"/>
          <w:b/>
          <w:bCs/>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1.供应商提出质疑时，应提交质疑函和必要的证明材料</w:t>
      </w:r>
      <w:r>
        <w:rPr>
          <w:rFonts w:hint="eastAsia" w:ascii="宋体" w:hAnsi="宋体" w:eastAsia="宋体" w:cs="Times New Roman"/>
          <w:b/>
          <w:bCs/>
          <w:color w:val="auto"/>
          <w:kern w:val="0"/>
          <w:sz w:val="24"/>
          <w:szCs w:val="24"/>
          <w:highlight w:val="none"/>
          <w:lang w:val="en-US" w:eastAsia="zh-CN" w:bidi="ar-SA"/>
        </w:rPr>
        <w:t>。</w:t>
      </w:r>
    </w:p>
    <w:p w14:paraId="0FE68C4A">
      <w:pPr>
        <w:widowControl w:val="0"/>
        <w:shd w:val="clear" w:color="auto"/>
        <w:spacing w:line="360" w:lineRule="auto"/>
        <w:ind w:left="25" w:leftChars="12" w:firstLine="353" w:firstLineChars="147"/>
        <w:contextualSpacing/>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3B8521E">
      <w:pPr>
        <w:widowControl w:val="0"/>
        <w:shd w:val="clear" w:color="auto"/>
        <w:spacing w:line="360" w:lineRule="auto"/>
        <w:ind w:left="25" w:leftChars="12" w:firstLine="353" w:firstLineChars="147"/>
        <w:contextualSpacing/>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3.质疑函的质疑事项应具体、明确，并有必要的事实依据和法律依据。</w:t>
      </w:r>
    </w:p>
    <w:p w14:paraId="3B13CE59">
      <w:pPr>
        <w:widowControl w:val="0"/>
        <w:shd w:val="clear" w:color="auto"/>
        <w:spacing w:line="360" w:lineRule="auto"/>
        <w:ind w:left="25" w:leftChars="12" w:firstLine="353" w:firstLineChars="147"/>
        <w:contextualSpacing/>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4.质疑函的质疑请求应与质疑事项相关。</w:t>
      </w:r>
    </w:p>
    <w:p w14:paraId="07E262DA">
      <w:pPr>
        <w:widowControl w:val="0"/>
        <w:shd w:val="clear" w:color="auto"/>
        <w:spacing w:line="360" w:lineRule="auto"/>
        <w:ind w:left="25" w:leftChars="12" w:firstLine="353" w:firstLineChars="147"/>
        <w:contextualSpacing/>
        <w:jc w:val="both"/>
        <w:rPr>
          <w:rFonts w:hint="eastAsia" w:ascii="宋体" w:hAnsi="宋体" w:eastAsia="宋体" w:cs="Times New Roman"/>
          <w:b/>
          <w:color w:val="auto"/>
          <w:kern w:val="0"/>
          <w:sz w:val="20"/>
          <w:szCs w:val="21"/>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5.质疑供应商为法人或者其他组织的，质疑函应由法定代表人、主要负责人，或者其授权代表签字或者盖章，并加盖公章。</w:t>
      </w:r>
    </w:p>
    <w:p w14:paraId="4426FAAD">
      <w:pPr>
        <w:widowControl w:val="0"/>
        <w:shd w:val="clear" w:color="auto"/>
        <w:snapToGrid w:val="0"/>
        <w:jc w:val="both"/>
        <w:rPr>
          <w:rFonts w:hint="eastAsia" w:ascii="宋体" w:hAnsi="Courier New" w:eastAsia="宋体" w:cs="Times New Roman"/>
          <w:b/>
          <w:color w:val="auto"/>
          <w:kern w:val="0"/>
          <w:sz w:val="24"/>
          <w:szCs w:val="24"/>
          <w:highlight w:val="none"/>
          <w:lang w:val="en-US" w:eastAsia="zh-CN" w:bidi="ar-SA"/>
        </w:rPr>
      </w:pPr>
    </w:p>
    <w:p w14:paraId="122178E8">
      <w:pPr>
        <w:shd w:val="clear" w:color="auto"/>
        <w:spacing w:line="460" w:lineRule="exact"/>
        <w:jc w:val="center"/>
        <w:rPr>
          <w:rFonts w:hint="eastAsia" w:ascii="宋体" w:hAnsi="宋体" w:eastAsia="宋体" w:cs="Times New Roman"/>
          <w:b/>
          <w:bCs/>
          <w:color w:val="auto"/>
          <w:sz w:val="32"/>
          <w:szCs w:val="32"/>
          <w:highlight w:val="none"/>
        </w:rPr>
      </w:pPr>
      <w:r>
        <w:rPr>
          <w:rFonts w:ascii="Times New Roman" w:hAnsi="Times New Roman" w:eastAsia="隶书" w:cs="Times New Roman"/>
          <w:color w:val="auto"/>
          <w:sz w:val="44"/>
          <w:highlight w:val="none"/>
        </w:rPr>
        <w:br w:type="page"/>
      </w:r>
      <w:r>
        <w:rPr>
          <w:rFonts w:hint="eastAsia" w:ascii="宋体" w:hAnsi="宋体" w:eastAsia="宋体" w:cs="Times New Roman"/>
          <w:b/>
          <w:bCs/>
          <w:color w:val="auto"/>
          <w:sz w:val="32"/>
          <w:szCs w:val="32"/>
          <w:highlight w:val="none"/>
        </w:rPr>
        <w:t>投诉书（格式）</w:t>
      </w:r>
    </w:p>
    <w:p w14:paraId="73D256CA">
      <w:pPr>
        <w:widowControl w:val="0"/>
        <w:shd w:val="clear" w:color="auto"/>
        <w:snapToGrid w:val="0"/>
        <w:spacing w:line="360" w:lineRule="auto"/>
        <w:ind w:firstLine="480" w:firstLineChars="200"/>
        <w:jc w:val="both"/>
        <w:rPr>
          <w:rFonts w:ascii="宋体" w:hAnsi="宋体" w:eastAsia="宋体" w:cs="Times New Roman"/>
          <w:b/>
          <w:bCs/>
          <w:color w:val="auto"/>
          <w:kern w:val="0"/>
          <w:sz w:val="24"/>
          <w:szCs w:val="24"/>
          <w:highlight w:val="none"/>
          <w:lang w:val="en-US" w:eastAsia="zh-CN" w:bidi="ar-SA"/>
        </w:rPr>
      </w:pPr>
      <w:r>
        <w:rPr>
          <w:rFonts w:hint="eastAsia" w:ascii="宋体" w:hAnsi="宋体" w:eastAsia="宋体" w:cs="Times New Roman"/>
          <w:b/>
          <w:bCs/>
          <w:color w:val="auto"/>
          <w:kern w:val="0"/>
          <w:sz w:val="24"/>
          <w:szCs w:val="24"/>
          <w:highlight w:val="none"/>
          <w:lang w:val="en-US" w:eastAsia="zh-CN" w:bidi="ar-SA"/>
        </w:rPr>
        <w:t>一、投诉相关主体基本情况：</w:t>
      </w:r>
    </w:p>
    <w:p w14:paraId="5A40C237">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供应商：</w:t>
      </w:r>
      <w:r>
        <w:rPr>
          <w:rFonts w:hint="eastAsia" w:ascii="宋体" w:hAnsi="宋体" w:eastAsia="宋体" w:cs="Times New Roman"/>
          <w:bCs/>
          <w:color w:val="auto"/>
          <w:kern w:val="0"/>
          <w:sz w:val="24"/>
          <w:szCs w:val="24"/>
          <w:highlight w:val="none"/>
          <w:u w:val="single"/>
          <w:lang w:val="en-US" w:eastAsia="zh-CN" w:bidi="ar-SA"/>
        </w:rPr>
        <w:t xml:space="preserve">                                                                        </w:t>
      </w:r>
      <w:r>
        <w:rPr>
          <w:rFonts w:hint="eastAsia" w:ascii="宋体" w:hAnsi="宋体" w:eastAsia="宋体" w:cs="Times New Roman"/>
          <w:bCs/>
          <w:color w:val="auto"/>
          <w:kern w:val="0"/>
          <w:sz w:val="24"/>
          <w:szCs w:val="24"/>
          <w:highlight w:val="none"/>
          <w:lang w:val="en-US" w:eastAsia="zh-CN" w:bidi="ar-SA"/>
        </w:rPr>
        <w:t xml:space="preserve">                 </w:t>
      </w:r>
    </w:p>
    <w:p w14:paraId="7CE6B5B0">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lang w:val="en-US" w:eastAsia="zh-CN" w:bidi="ar-SA"/>
        </w:rPr>
      </w:pPr>
      <w:r>
        <w:rPr>
          <w:rFonts w:ascii="宋体" w:hAnsi="宋体" w:eastAsia="宋体" w:cs="Times New Roman"/>
          <w:bCs/>
          <w:color w:val="auto"/>
          <w:kern w:val="0"/>
          <w:sz w:val="24"/>
          <w:szCs w:val="24"/>
          <w:highlight w:val="none"/>
          <w:lang w:val="en-US" w:eastAsia="zh-CN" w:bidi="ar-SA"/>
        </w:rPr>
        <w:t>地址</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r>
        <w:rPr>
          <w:rFonts w:ascii="宋体" w:hAnsi="宋体" w:eastAsia="宋体" w:cs="Times New Roman"/>
          <w:bCs/>
          <w:color w:val="auto"/>
          <w:kern w:val="0"/>
          <w:sz w:val="24"/>
          <w:szCs w:val="24"/>
          <w:highlight w:val="none"/>
          <w:lang w:val="en-US" w:eastAsia="zh-CN" w:bidi="ar-SA"/>
        </w:rPr>
        <w:t>邮编</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r>
        <w:rPr>
          <w:rFonts w:hint="eastAsia" w:ascii="宋体" w:hAnsi="宋体" w:eastAsia="宋体" w:cs="Times New Roman"/>
          <w:bCs/>
          <w:color w:val="auto"/>
          <w:kern w:val="0"/>
          <w:sz w:val="24"/>
          <w:szCs w:val="24"/>
          <w:highlight w:val="none"/>
          <w:lang w:val="en-US" w:eastAsia="zh-CN" w:bidi="ar-SA"/>
        </w:rPr>
        <w:t xml:space="preserve">                 </w:t>
      </w:r>
    </w:p>
    <w:p w14:paraId="71E1ECFE">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法定代表人/主要负责人：</w:t>
      </w:r>
      <w:r>
        <w:rPr>
          <w:rFonts w:hint="eastAsia" w:ascii="宋体" w:hAnsi="宋体" w:eastAsia="宋体" w:cs="Times New Roman"/>
          <w:bCs/>
          <w:color w:val="auto"/>
          <w:kern w:val="0"/>
          <w:sz w:val="24"/>
          <w:szCs w:val="24"/>
          <w:highlight w:val="none"/>
          <w:u w:val="single"/>
          <w:lang w:val="en-US" w:eastAsia="zh-CN" w:bidi="ar-SA"/>
        </w:rPr>
        <w:t xml:space="preserve">                                                         </w:t>
      </w:r>
    </w:p>
    <w:p w14:paraId="797737C0">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lang w:val="en-US" w:eastAsia="zh-CN" w:bidi="ar-SA"/>
        </w:rPr>
      </w:pPr>
      <w:r>
        <w:rPr>
          <w:rFonts w:ascii="宋体" w:hAnsi="宋体" w:eastAsia="宋体" w:cs="Times New Roman"/>
          <w:bCs/>
          <w:color w:val="auto"/>
          <w:kern w:val="0"/>
          <w:sz w:val="24"/>
          <w:szCs w:val="24"/>
          <w:highlight w:val="none"/>
          <w:lang w:val="en-US" w:eastAsia="zh-CN" w:bidi="ar-SA"/>
        </w:rPr>
        <w:t>联系电话</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p>
    <w:p w14:paraId="25332F67">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授权代表：</w:t>
      </w:r>
      <w:r>
        <w:rPr>
          <w:rFonts w:hint="eastAsia" w:ascii="宋体" w:hAnsi="宋体" w:eastAsia="宋体" w:cs="Times New Roman"/>
          <w:bCs/>
          <w:color w:val="auto"/>
          <w:kern w:val="0"/>
          <w:sz w:val="24"/>
          <w:szCs w:val="24"/>
          <w:highlight w:val="none"/>
          <w:u w:val="single"/>
          <w:lang w:val="en-US" w:eastAsia="zh-CN" w:bidi="ar-SA"/>
        </w:rPr>
        <w:t xml:space="preserve">                                         </w:t>
      </w:r>
      <w:r>
        <w:rPr>
          <w:rFonts w:ascii="宋体" w:hAnsi="宋体" w:eastAsia="宋体" w:cs="Times New Roman"/>
          <w:bCs/>
          <w:color w:val="auto"/>
          <w:kern w:val="0"/>
          <w:sz w:val="24"/>
          <w:szCs w:val="24"/>
          <w:highlight w:val="none"/>
          <w:lang w:val="en-US" w:eastAsia="zh-CN" w:bidi="ar-SA"/>
        </w:rPr>
        <w:t>联系</w:t>
      </w:r>
      <w:r>
        <w:rPr>
          <w:rFonts w:hint="eastAsia" w:ascii="宋体" w:hAnsi="宋体" w:eastAsia="宋体" w:cs="Times New Roman"/>
          <w:bCs/>
          <w:color w:val="auto"/>
          <w:kern w:val="0"/>
          <w:sz w:val="24"/>
          <w:szCs w:val="24"/>
          <w:highlight w:val="none"/>
          <w:lang w:val="en-US" w:eastAsia="zh-CN" w:bidi="ar-SA"/>
        </w:rPr>
        <w:t>电话：</w:t>
      </w:r>
      <w:r>
        <w:rPr>
          <w:rFonts w:hint="eastAsia" w:ascii="宋体" w:hAnsi="宋体" w:eastAsia="宋体" w:cs="Times New Roman"/>
          <w:bCs/>
          <w:color w:val="auto"/>
          <w:kern w:val="0"/>
          <w:sz w:val="24"/>
          <w:szCs w:val="24"/>
          <w:highlight w:val="none"/>
          <w:u w:val="single"/>
          <w:lang w:val="en-US" w:eastAsia="zh-CN" w:bidi="ar-SA"/>
        </w:rPr>
        <w:t xml:space="preserve">                   </w:t>
      </w:r>
    </w:p>
    <w:p w14:paraId="415B957F">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u w:val="single"/>
          <w:lang w:val="en-US" w:eastAsia="zh-CN" w:bidi="ar-SA"/>
        </w:rPr>
      </w:pPr>
      <w:r>
        <w:rPr>
          <w:rFonts w:ascii="宋体" w:hAnsi="宋体" w:eastAsia="宋体" w:cs="Times New Roman"/>
          <w:bCs/>
          <w:color w:val="auto"/>
          <w:kern w:val="0"/>
          <w:sz w:val="24"/>
          <w:szCs w:val="24"/>
          <w:highlight w:val="none"/>
          <w:lang w:val="en-US" w:eastAsia="zh-CN" w:bidi="ar-SA"/>
        </w:rPr>
        <w:t>地址</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p>
    <w:p w14:paraId="1C76D830">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lang w:val="en-US" w:eastAsia="zh-CN" w:bidi="ar-SA"/>
        </w:rPr>
      </w:pPr>
      <w:r>
        <w:rPr>
          <w:rFonts w:ascii="宋体" w:hAnsi="宋体" w:eastAsia="宋体" w:cs="Times New Roman"/>
          <w:bCs/>
          <w:color w:val="auto"/>
          <w:kern w:val="0"/>
          <w:sz w:val="24"/>
          <w:szCs w:val="24"/>
          <w:highlight w:val="none"/>
          <w:lang w:val="en-US" w:eastAsia="zh-CN" w:bidi="ar-SA"/>
        </w:rPr>
        <w:t>邮编</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r>
        <w:rPr>
          <w:rFonts w:hint="eastAsia" w:ascii="宋体" w:hAnsi="宋体" w:eastAsia="宋体" w:cs="Times New Roman"/>
          <w:bCs/>
          <w:color w:val="auto"/>
          <w:kern w:val="0"/>
          <w:sz w:val="24"/>
          <w:szCs w:val="24"/>
          <w:highlight w:val="none"/>
          <w:lang w:val="en-US" w:eastAsia="zh-CN" w:bidi="ar-SA"/>
        </w:rPr>
        <w:t xml:space="preserve">   </w:t>
      </w:r>
    </w:p>
    <w:p w14:paraId="4D9071FF">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lang w:val="en-US" w:eastAsia="zh-CN" w:bidi="ar-SA"/>
        </w:rPr>
        <w:t>被投诉人1：</w:t>
      </w:r>
    </w:p>
    <w:p w14:paraId="3EA68567">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地址：</w:t>
      </w:r>
      <w:r>
        <w:rPr>
          <w:rFonts w:hint="eastAsia" w:ascii="宋体" w:hAnsi="宋体" w:eastAsia="宋体" w:cs="Times New Roman"/>
          <w:bCs/>
          <w:color w:val="auto"/>
          <w:kern w:val="0"/>
          <w:sz w:val="24"/>
          <w:szCs w:val="24"/>
          <w:highlight w:val="none"/>
          <w:u w:val="single"/>
          <w:lang w:val="en-US" w:eastAsia="zh-CN" w:bidi="ar-SA"/>
        </w:rPr>
        <w:t xml:space="preserve">                                                            </w:t>
      </w:r>
    </w:p>
    <w:p w14:paraId="31DB6817">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lang w:val="en-US" w:eastAsia="zh-CN" w:bidi="ar-SA"/>
        </w:rPr>
      </w:pPr>
      <w:r>
        <w:rPr>
          <w:rFonts w:ascii="宋体" w:hAnsi="宋体" w:eastAsia="宋体" w:cs="Times New Roman"/>
          <w:bCs/>
          <w:color w:val="auto"/>
          <w:kern w:val="0"/>
          <w:sz w:val="24"/>
          <w:szCs w:val="24"/>
          <w:highlight w:val="none"/>
          <w:lang w:val="en-US" w:eastAsia="zh-CN" w:bidi="ar-SA"/>
        </w:rPr>
        <w:t>邮编</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r>
        <w:rPr>
          <w:rFonts w:hint="eastAsia" w:ascii="宋体" w:hAnsi="宋体" w:eastAsia="宋体" w:cs="Times New Roman"/>
          <w:bCs/>
          <w:color w:val="auto"/>
          <w:kern w:val="0"/>
          <w:sz w:val="24"/>
          <w:szCs w:val="24"/>
          <w:highlight w:val="none"/>
          <w:lang w:val="en-US" w:eastAsia="zh-CN" w:bidi="ar-SA"/>
        </w:rPr>
        <w:t xml:space="preserve">  </w:t>
      </w:r>
    </w:p>
    <w:p w14:paraId="43D4C37F">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联系人：</w:t>
      </w:r>
      <w:r>
        <w:rPr>
          <w:rFonts w:hint="eastAsia" w:ascii="宋体" w:hAnsi="宋体" w:eastAsia="宋体" w:cs="Times New Roman"/>
          <w:bCs/>
          <w:color w:val="auto"/>
          <w:kern w:val="0"/>
          <w:sz w:val="24"/>
          <w:szCs w:val="24"/>
          <w:highlight w:val="none"/>
          <w:u w:val="single"/>
          <w:lang w:val="en-US" w:eastAsia="zh-CN" w:bidi="ar-SA"/>
        </w:rPr>
        <w:t xml:space="preserve">                                                </w:t>
      </w:r>
      <w:r>
        <w:rPr>
          <w:rFonts w:ascii="宋体" w:hAnsi="宋体" w:eastAsia="宋体" w:cs="Times New Roman"/>
          <w:bCs/>
          <w:color w:val="auto"/>
          <w:kern w:val="0"/>
          <w:sz w:val="24"/>
          <w:szCs w:val="24"/>
          <w:highlight w:val="none"/>
          <w:lang w:val="en-US" w:eastAsia="zh-CN" w:bidi="ar-SA"/>
        </w:rPr>
        <w:t>联系</w:t>
      </w:r>
      <w:r>
        <w:rPr>
          <w:rFonts w:hint="eastAsia" w:ascii="宋体" w:hAnsi="宋体" w:eastAsia="宋体" w:cs="Times New Roman"/>
          <w:bCs/>
          <w:color w:val="auto"/>
          <w:kern w:val="0"/>
          <w:sz w:val="24"/>
          <w:szCs w:val="24"/>
          <w:highlight w:val="none"/>
          <w:lang w:val="en-US" w:eastAsia="zh-CN" w:bidi="ar-SA"/>
        </w:rPr>
        <w:t>电话：</w:t>
      </w:r>
      <w:r>
        <w:rPr>
          <w:rFonts w:hint="eastAsia" w:ascii="宋体" w:hAnsi="宋体" w:eastAsia="宋体" w:cs="Times New Roman"/>
          <w:bCs/>
          <w:color w:val="auto"/>
          <w:kern w:val="0"/>
          <w:sz w:val="24"/>
          <w:szCs w:val="24"/>
          <w:highlight w:val="none"/>
          <w:u w:val="single"/>
          <w:lang w:val="en-US" w:eastAsia="zh-CN" w:bidi="ar-SA"/>
        </w:rPr>
        <w:t xml:space="preserve">                </w:t>
      </w:r>
    </w:p>
    <w:p w14:paraId="7EF0F245">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lang w:val="en-US" w:eastAsia="zh-CN" w:bidi="ar-SA"/>
        </w:rPr>
        <w:t>被投诉人2：</w:t>
      </w:r>
    </w:p>
    <w:p w14:paraId="330C9CC6">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lang w:val="en-US" w:eastAsia="zh-CN" w:bidi="ar-SA"/>
        </w:rPr>
      </w:pPr>
      <w:r>
        <w:rPr>
          <w:rFonts w:ascii="宋体" w:hAnsi="宋体" w:eastAsia="宋体" w:cs="Times New Roman"/>
          <w:bCs/>
          <w:color w:val="auto"/>
          <w:kern w:val="0"/>
          <w:sz w:val="24"/>
          <w:szCs w:val="24"/>
          <w:highlight w:val="none"/>
          <w:lang w:val="en-US" w:eastAsia="zh-CN" w:bidi="ar-SA"/>
        </w:rPr>
        <w:t>……</w:t>
      </w:r>
    </w:p>
    <w:p w14:paraId="623704CC">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相关供应商：</w:t>
      </w:r>
      <w:r>
        <w:rPr>
          <w:rFonts w:hint="eastAsia" w:ascii="宋体" w:hAnsi="宋体" w:eastAsia="宋体" w:cs="Times New Roman"/>
          <w:bCs/>
          <w:color w:val="auto"/>
          <w:kern w:val="0"/>
          <w:sz w:val="24"/>
          <w:szCs w:val="24"/>
          <w:highlight w:val="none"/>
          <w:u w:val="single"/>
          <w:lang w:val="en-US" w:eastAsia="zh-CN" w:bidi="ar-SA"/>
        </w:rPr>
        <w:t xml:space="preserve">                                                                       </w:t>
      </w:r>
    </w:p>
    <w:p w14:paraId="7B4335ED">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u w:val="single"/>
          <w:lang w:val="en-US" w:eastAsia="zh-CN" w:bidi="ar-SA"/>
        </w:rPr>
      </w:pPr>
      <w:r>
        <w:rPr>
          <w:rFonts w:ascii="宋体" w:hAnsi="宋体" w:eastAsia="宋体" w:cs="Times New Roman"/>
          <w:bCs/>
          <w:color w:val="auto"/>
          <w:kern w:val="0"/>
          <w:sz w:val="24"/>
          <w:szCs w:val="24"/>
          <w:highlight w:val="none"/>
          <w:lang w:val="en-US" w:eastAsia="zh-CN" w:bidi="ar-SA"/>
        </w:rPr>
        <w:t>地址</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r>
        <w:rPr>
          <w:rFonts w:ascii="宋体" w:hAnsi="宋体" w:eastAsia="宋体" w:cs="Times New Roman"/>
          <w:bCs/>
          <w:color w:val="auto"/>
          <w:kern w:val="0"/>
          <w:sz w:val="24"/>
          <w:szCs w:val="24"/>
          <w:highlight w:val="none"/>
          <w:lang w:val="en-US" w:eastAsia="zh-CN" w:bidi="ar-SA"/>
        </w:rPr>
        <w:t>邮编</w:t>
      </w:r>
      <w:r>
        <w:rPr>
          <w:rFonts w:hint="eastAsia" w:ascii="宋体" w:hAnsi="宋体" w:eastAsia="宋体" w:cs="Times New Roman"/>
          <w:bCs/>
          <w:color w:val="auto"/>
          <w:kern w:val="0"/>
          <w:sz w:val="24"/>
          <w:szCs w:val="24"/>
          <w:highlight w:val="none"/>
          <w:lang w:val="en-US" w:eastAsia="zh-CN" w:bidi="ar-SA"/>
        </w:rPr>
        <w:t>：</w:t>
      </w:r>
      <w:r>
        <w:rPr>
          <w:rFonts w:hint="eastAsia" w:ascii="宋体" w:hAnsi="宋体" w:eastAsia="宋体" w:cs="Times New Roman"/>
          <w:bCs/>
          <w:color w:val="auto"/>
          <w:kern w:val="0"/>
          <w:sz w:val="24"/>
          <w:szCs w:val="24"/>
          <w:highlight w:val="none"/>
          <w:u w:val="single"/>
          <w:lang w:val="en-US" w:eastAsia="zh-CN" w:bidi="ar-SA"/>
        </w:rPr>
        <w:t xml:space="preserve">                         </w:t>
      </w:r>
    </w:p>
    <w:p w14:paraId="2B991082">
      <w:pPr>
        <w:widowControl w:val="0"/>
        <w:shd w:val="clear" w:color="auto"/>
        <w:snapToGrid w:val="0"/>
        <w:spacing w:line="360" w:lineRule="auto"/>
        <w:ind w:firstLine="480" w:firstLineChars="200"/>
        <w:jc w:val="both"/>
        <w:rPr>
          <w:rFonts w:hint="eastAsia" w:ascii="宋体" w:hAnsi="宋体" w:eastAsia="宋体" w:cs="Times New Roman"/>
          <w:bCs/>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lang w:val="en-US" w:eastAsia="zh-CN" w:bidi="ar-SA"/>
        </w:rPr>
        <w:t>联系人：</w:t>
      </w:r>
      <w:r>
        <w:rPr>
          <w:rFonts w:hint="eastAsia" w:ascii="宋体" w:hAnsi="宋体" w:eastAsia="宋体" w:cs="Times New Roman"/>
          <w:bCs/>
          <w:color w:val="auto"/>
          <w:kern w:val="0"/>
          <w:sz w:val="24"/>
          <w:szCs w:val="24"/>
          <w:highlight w:val="none"/>
          <w:u w:val="single"/>
          <w:lang w:val="en-US" w:eastAsia="zh-CN" w:bidi="ar-SA"/>
        </w:rPr>
        <w:t xml:space="preserve">                                            </w:t>
      </w:r>
      <w:r>
        <w:rPr>
          <w:rFonts w:ascii="宋体" w:hAnsi="宋体" w:eastAsia="宋体" w:cs="Times New Roman"/>
          <w:bCs/>
          <w:color w:val="auto"/>
          <w:kern w:val="0"/>
          <w:sz w:val="24"/>
          <w:szCs w:val="24"/>
          <w:highlight w:val="none"/>
          <w:lang w:val="en-US" w:eastAsia="zh-CN" w:bidi="ar-SA"/>
        </w:rPr>
        <w:t>联系</w:t>
      </w:r>
      <w:r>
        <w:rPr>
          <w:rFonts w:hint="eastAsia" w:ascii="宋体" w:hAnsi="宋体" w:eastAsia="宋体" w:cs="Times New Roman"/>
          <w:bCs/>
          <w:color w:val="auto"/>
          <w:kern w:val="0"/>
          <w:sz w:val="24"/>
          <w:szCs w:val="24"/>
          <w:highlight w:val="none"/>
          <w:lang w:val="en-US" w:eastAsia="zh-CN" w:bidi="ar-SA"/>
        </w:rPr>
        <w:t>电话：</w:t>
      </w:r>
      <w:r>
        <w:rPr>
          <w:rFonts w:hint="eastAsia" w:ascii="宋体" w:hAnsi="宋体" w:eastAsia="宋体" w:cs="Times New Roman"/>
          <w:bCs/>
          <w:color w:val="auto"/>
          <w:kern w:val="0"/>
          <w:sz w:val="24"/>
          <w:szCs w:val="24"/>
          <w:highlight w:val="none"/>
          <w:u w:val="single"/>
          <w:lang w:val="en-US" w:eastAsia="zh-CN" w:bidi="ar-SA"/>
        </w:rPr>
        <w:t xml:space="preserve">                     </w:t>
      </w:r>
      <w:r>
        <w:rPr>
          <w:rFonts w:hint="eastAsia" w:ascii="宋体" w:hAnsi="宋体" w:eastAsia="宋体" w:cs="Times New Roman"/>
          <w:bCs/>
          <w:color w:val="auto"/>
          <w:kern w:val="0"/>
          <w:sz w:val="24"/>
          <w:szCs w:val="24"/>
          <w:highlight w:val="none"/>
          <w:lang w:val="en-US" w:eastAsia="zh-CN" w:bidi="ar-SA"/>
        </w:rPr>
        <w:t xml:space="preserve">                </w:t>
      </w:r>
    </w:p>
    <w:p w14:paraId="2A418170">
      <w:pPr>
        <w:widowControl w:val="0"/>
        <w:shd w:val="clear" w:color="auto"/>
        <w:snapToGrid w:val="0"/>
        <w:spacing w:line="360" w:lineRule="auto"/>
        <w:ind w:firstLine="480" w:firstLineChars="200"/>
        <w:jc w:val="both"/>
        <w:rPr>
          <w:rFonts w:hint="eastAsia" w:ascii="宋体" w:hAnsi="宋体" w:eastAsia="宋体" w:cs="Times New Roman"/>
          <w:b/>
          <w:bCs/>
          <w:color w:val="auto"/>
          <w:kern w:val="0"/>
          <w:sz w:val="24"/>
          <w:szCs w:val="24"/>
          <w:highlight w:val="none"/>
          <w:lang w:val="en-US" w:eastAsia="zh-CN" w:bidi="ar-SA"/>
        </w:rPr>
      </w:pPr>
      <w:r>
        <w:rPr>
          <w:rFonts w:hint="eastAsia" w:ascii="宋体" w:hAnsi="宋体" w:eastAsia="宋体" w:cs="Times New Roman"/>
          <w:b/>
          <w:bCs/>
          <w:color w:val="auto"/>
          <w:kern w:val="0"/>
          <w:sz w:val="24"/>
          <w:szCs w:val="24"/>
          <w:highlight w:val="none"/>
          <w:lang w:val="en-US" w:eastAsia="zh-CN" w:bidi="ar-SA"/>
        </w:rPr>
        <w:t>二、投诉项目基本情况：</w:t>
      </w:r>
    </w:p>
    <w:p w14:paraId="03403F40">
      <w:pPr>
        <w:widowControl w:val="0"/>
        <w:shd w:val="clear" w:color="auto"/>
        <w:spacing w:line="360" w:lineRule="auto"/>
        <w:ind w:left="25" w:leftChars="12" w:firstLine="472" w:firstLineChars="197"/>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lang w:val="en-US" w:eastAsia="zh-CN" w:bidi="ar-SA"/>
        </w:rPr>
        <w:t>采购</w:t>
      </w:r>
      <w:r>
        <w:rPr>
          <w:rFonts w:hint="eastAsia" w:ascii="宋体" w:hAnsi="宋体" w:eastAsia="宋体" w:cs="Times New Roman"/>
          <w:color w:val="auto"/>
          <w:kern w:val="0"/>
          <w:sz w:val="24"/>
          <w:szCs w:val="24"/>
          <w:highlight w:val="none"/>
          <w:lang w:val="en-US" w:eastAsia="zh-CN" w:bidi="ar-SA"/>
        </w:rPr>
        <w:t>项目的名称：</w:t>
      </w:r>
      <w:r>
        <w:rPr>
          <w:rFonts w:hint="eastAsia" w:ascii="宋体" w:hAnsi="宋体" w:eastAsia="宋体" w:cs="Times New Roman"/>
          <w:bCs/>
          <w:color w:val="auto"/>
          <w:kern w:val="0"/>
          <w:sz w:val="24"/>
          <w:szCs w:val="24"/>
          <w:highlight w:val="none"/>
          <w:u w:val="single"/>
          <w:lang w:val="en-US" w:eastAsia="zh-CN" w:bidi="ar-SA"/>
        </w:rPr>
        <w:t xml:space="preserve">                                                                   </w:t>
      </w:r>
    </w:p>
    <w:p w14:paraId="193AA9FC">
      <w:pPr>
        <w:widowControl w:val="0"/>
        <w:shd w:val="clear" w:color="auto"/>
        <w:spacing w:line="360" w:lineRule="auto"/>
        <w:ind w:left="25" w:leftChars="12" w:firstLine="472" w:firstLineChars="197"/>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lang w:val="en-US" w:eastAsia="zh-CN" w:bidi="ar-SA"/>
        </w:rPr>
        <w:t>采购</w:t>
      </w:r>
      <w:r>
        <w:rPr>
          <w:rFonts w:hint="eastAsia" w:ascii="宋体" w:hAnsi="宋体" w:eastAsia="宋体" w:cs="Times New Roman"/>
          <w:color w:val="auto"/>
          <w:kern w:val="0"/>
          <w:sz w:val="24"/>
          <w:szCs w:val="24"/>
          <w:highlight w:val="none"/>
          <w:lang w:val="en-US" w:eastAsia="zh-CN" w:bidi="ar-SA"/>
        </w:rPr>
        <w:t>项目的编号：</w:t>
      </w:r>
      <w:r>
        <w:rPr>
          <w:rFonts w:hint="eastAsia" w:ascii="宋体" w:hAnsi="宋体" w:eastAsia="宋体" w:cs="Times New Roman"/>
          <w:bCs/>
          <w:color w:val="auto"/>
          <w:kern w:val="0"/>
          <w:sz w:val="24"/>
          <w:szCs w:val="24"/>
          <w:highlight w:val="none"/>
          <w:u w:val="single"/>
          <w:lang w:val="en-US" w:eastAsia="zh-CN" w:bidi="ar-SA"/>
        </w:rPr>
        <w:t xml:space="preserve">                                          </w:t>
      </w:r>
    </w:p>
    <w:p w14:paraId="7D1A1836">
      <w:pPr>
        <w:widowControl w:val="0"/>
        <w:shd w:val="clear" w:color="auto"/>
        <w:spacing w:line="360" w:lineRule="auto"/>
        <w:ind w:left="25" w:leftChars="12" w:firstLine="472" w:firstLineChars="197"/>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color w:val="auto"/>
          <w:kern w:val="0"/>
          <w:sz w:val="24"/>
          <w:szCs w:val="24"/>
          <w:highlight w:val="none"/>
          <w:lang w:val="en-US" w:eastAsia="zh-CN" w:bidi="ar-SA"/>
        </w:rPr>
        <w:t>采购人名称：</w:t>
      </w:r>
      <w:r>
        <w:rPr>
          <w:rFonts w:hint="eastAsia" w:ascii="宋体" w:hAnsi="宋体" w:eastAsia="宋体" w:cs="Times New Roman"/>
          <w:bCs/>
          <w:color w:val="auto"/>
          <w:kern w:val="0"/>
          <w:sz w:val="24"/>
          <w:szCs w:val="24"/>
          <w:highlight w:val="none"/>
          <w:u w:val="single"/>
          <w:lang w:val="en-US" w:eastAsia="zh-CN" w:bidi="ar-SA"/>
        </w:rPr>
        <w:t xml:space="preserve">                                                                        </w:t>
      </w:r>
    </w:p>
    <w:p w14:paraId="7CC58214">
      <w:pPr>
        <w:widowControl w:val="0"/>
        <w:shd w:val="clear" w:color="auto"/>
        <w:spacing w:line="360" w:lineRule="auto"/>
        <w:ind w:left="25" w:leftChars="12" w:firstLine="472" w:firstLineChars="197"/>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color w:val="auto"/>
          <w:kern w:val="0"/>
          <w:sz w:val="24"/>
          <w:szCs w:val="24"/>
          <w:highlight w:val="none"/>
          <w:lang w:val="en-US" w:eastAsia="zh-CN" w:bidi="ar-SA"/>
        </w:rPr>
        <w:t>代理机构名称：</w:t>
      </w:r>
      <w:r>
        <w:rPr>
          <w:rFonts w:hint="eastAsia" w:ascii="宋体" w:hAnsi="宋体" w:eastAsia="宋体" w:cs="Times New Roman"/>
          <w:bCs/>
          <w:color w:val="auto"/>
          <w:kern w:val="0"/>
          <w:sz w:val="24"/>
          <w:szCs w:val="24"/>
          <w:highlight w:val="none"/>
          <w:u w:val="single"/>
          <w:lang w:val="en-US" w:eastAsia="zh-CN" w:bidi="ar-SA"/>
        </w:rPr>
        <w:t xml:space="preserve">                                                                      </w:t>
      </w:r>
    </w:p>
    <w:p w14:paraId="4CAF0D67">
      <w:pPr>
        <w:widowControl w:val="0"/>
        <w:shd w:val="clear" w:color="auto"/>
        <w:spacing w:line="360" w:lineRule="auto"/>
        <w:ind w:left="25" w:leftChars="12" w:firstLine="472" w:firstLineChars="197"/>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招标文件公告：</w:t>
      </w:r>
      <w:r>
        <w:rPr>
          <w:rFonts w:hint="eastAsia" w:ascii="宋体" w:hAnsi="宋体" w:eastAsia="宋体" w:cs="Times New Roman"/>
          <w:bCs/>
          <w:color w:val="auto"/>
          <w:kern w:val="0"/>
          <w:sz w:val="24"/>
          <w:szCs w:val="24"/>
          <w:highlight w:val="none"/>
          <w:u w:val="single"/>
          <w:lang w:val="en-US" w:eastAsia="zh-CN" w:bidi="ar-SA"/>
        </w:rPr>
        <w:t>是/否</w:t>
      </w:r>
      <w:r>
        <w:rPr>
          <w:rFonts w:hint="eastAsia" w:ascii="宋体" w:hAnsi="宋体" w:eastAsia="宋体" w:cs="Times New Roman"/>
          <w:bCs/>
          <w:color w:val="auto"/>
          <w:kern w:val="0"/>
          <w:sz w:val="24"/>
          <w:szCs w:val="24"/>
          <w:highlight w:val="none"/>
          <w:lang w:val="en-US" w:eastAsia="zh-CN" w:bidi="ar-SA"/>
        </w:rPr>
        <w:t>公告期限：</w:t>
      </w:r>
      <w:r>
        <w:rPr>
          <w:rFonts w:hint="eastAsia" w:ascii="宋体" w:hAnsi="宋体" w:eastAsia="宋体" w:cs="Times New Roman"/>
          <w:bCs/>
          <w:color w:val="auto"/>
          <w:kern w:val="0"/>
          <w:sz w:val="24"/>
          <w:szCs w:val="24"/>
          <w:highlight w:val="none"/>
          <w:u w:val="single"/>
          <w:lang w:val="en-US" w:eastAsia="zh-CN" w:bidi="ar-SA"/>
        </w:rPr>
        <w:t xml:space="preserve">                                                       </w:t>
      </w:r>
    </w:p>
    <w:p w14:paraId="78C5EC93">
      <w:pPr>
        <w:widowControl w:val="0"/>
        <w:shd w:val="clear" w:color="auto"/>
        <w:spacing w:line="360" w:lineRule="auto"/>
        <w:ind w:left="25" w:leftChars="12" w:firstLine="472" w:firstLineChars="197"/>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lang w:val="en-US" w:eastAsia="zh-CN" w:bidi="ar-SA"/>
        </w:rPr>
        <w:t>采购结果公告：</w:t>
      </w:r>
      <w:r>
        <w:rPr>
          <w:rFonts w:hint="eastAsia" w:ascii="宋体" w:hAnsi="宋体" w:eastAsia="宋体" w:cs="Times New Roman"/>
          <w:bCs/>
          <w:color w:val="auto"/>
          <w:kern w:val="0"/>
          <w:sz w:val="24"/>
          <w:szCs w:val="24"/>
          <w:highlight w:val="none"/>
          <w:u w:val="single"/>
          <w:lang w:val="en-US" w:eastAsia="zh-CN" w:bidi="ar-SA"/>
        </w:rPr>
        <w:t>是/否</w:t>
      </w:r>
      <w:r>
        <w:rPr>
          <w:rFonts w:hint="eastAsia" w:ascii="宋体" w:hAnsi="宋体" w:eastAsia="宋体" w:cs="Times New Roman"/>
          <w:bCs/>
          <w:color w:val="auto"/>
          <w:kern w:val="0"/>
          <w:sz w:val="24"/>
          <w:szCs w:val="24"/>
          <w:highlight w:val="none"/>
          <w:lang w:val="en-US" w:eastAsia="zh-CN" w:bidi="ar-SA"/>
        </w:rPr>
        <w:t>公告期限：</w:t>
      </w:r>
      <w:r>
        <w:rPr>
          <w:rFonts w:hint="eastAsia" w:ascii="宋体" w:hAnsi="宋体" w:eastAsia="宋体" w:cs="Times New Roman"/>
          <w:bCs/>
          <w:color w:val="auto"/>
          <w:kern w:val="0"/>
          <w:sz w:val="24"/>
          <w:szCs w:val="24"/>
          <w:highlight w:val="none"/>
          <w:u w:val="single"/>
          <w:lang w:val="en-US" w:eastAsia="zh-CN" w:bidi="ar-SA"/>
        </w:rPr>
        <w:t xml:space="preserve">                                                       </w:t>
      </w:r>
    </w:p>
    <w:p w14:paraId="46677AE4">
      <w:pPr>
        <w:widowControl w:val="0"/>
        <w:shd w:val="clear" w:color="auto"/>
        <w:spacing w:line="360" w:lineRule="auto"/>
        <w:ind w:left="25" w:leftChars="12" w:firstLine="471" w:firstLineChars="196"/>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三、质疑基本情况</w:t>
      </w:r>
    </w:p>
    <w:p w14:paraId="6FD11AB9">
      <w:pPr>
        <w:widowControl w:val="0"/>
        <w:shd w:val="clear" w:color="auto"/>
        <w:spacing w:line="360" w:lineRule="auto"/>
        <w:ind w:firstLine="480" w:firstLineChars="200"/>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投诉人于</w:t>
      </w:r>
      <w:r>
        <w:rPr>
          <w:rFonts w:hint="eastAsia" w:ascii="宋体" w:hAnsi="宋体" w:eastAsia="宋体" w:cs="Times New Roman"/>
          <w:color w:val="auto"/>
          <w:kern w:val="0"/>
          <w:sz w:val="24"/>
          <w:szCs w:val="24"/>
          <w:highlight w:val="none"/>
          <w:u w:val="single"/>
          <w:lang w:val="en-US" w:eastAsia="zh-CN" w:bidi="ar-SA"/>
        </w:rPr>
        <w:t xml:space="preserve">      </w:t>
      </w:r>
      <w:r>
        <w:rPr>
          <w:rFonts w:hint="eastAsia" w:ascii="宋体" w:hAnsi="宋体" w:eastAsia="宋体" w:cs="Times New Roman"/>
          <w:color w:val="auto"/>
          <w:kern w:val="0"/>
          <w:sz w:val="24"/>
          <w:szCs w:val="24"/>
          <w:highlight w:val="none"/>
          <w:lang w:val="en-US" w:eastAsia="zh-CN" w:bidi="ar-SA"/>
        </w:rPr>
        <w:t>年</w:t>
      </w:r>
      <w:r>
        <w:rPr>
          <w:rFonts w:hint="eastAsia" w:ascii="宋体" w:hAnsi="宋体" w:eastAsia="宋体" w:cs="Times New Roman"/>
          <w:color w:val="auto"/>
          <w:kern w:val="0"/>
          <w:sz w:val="24"/>
          <w:szCs w:val="24"/>
          <w:highlight w:val="none"/>
          <w:u w:val="single"/>
          <w:lang w:val="en-US" w:eastAsia="zh-CN" w:bidi="ar-SA"/>
        </w:rPr>
        <w:t xml:space="preserve">   </w:t>
      </w:r>
      <w:r>
        <w:rPr>
          <w:rFonts w:hint="eastAsia" w:ascii="宋体" w:hAnsi="宋体" w:eastAsia="宋体" w:cs="Times New Roman"/>
          <w:color w:val="auto"/>
          <w:kern w:val="0"/>
          <w:sz w:val="24"/>
          <w:szCs w:val="24"/>
          <w:highlight w:val="none"/>
          <w:lang w:val="en-US" w:eastAsia="zh-CN" w:bidi="ar-SA"/>
        </w:rPr>
        <w:t>月</w:t>
      </w:r>
      <w:r>
        <w:rPr>
          <w:rFonts w:hint="eastAsia" w:ascii="宋体" w:hAnsi="宋体" w:eastAsia="宋体" w:cs="Times New Roman"/>
          <w:color w:val="auto"/>
          <w:kern w:val="0"/>
          <w:sz w:val="24"/>
          <w:szCs w:val="24"/>
          <w:highlight w:val="none"/>
          <w:u w:val="single"/>
          <w:lang w:val="en-US" w:eastAsia="zh-CN" w:bidi="ar-SA"/>
        </w:rPr>
        <w:t xml:space="preserve">   </w:t>
      </w:r>
      <w:r>
        <w:rPr>
          <w:rFonts w:hint="eastAsia" w:ascii="宋体" w:hAnsi="宋体" w:eastAsia="宋体" w:cs="Times New Roman"/>
          <w:color w:val="auto"/>
          <w:kern w:val="0"/>
          <w:sz w:val="24"/>
          <w:szCs w:val="24"/>
          <w:highlight w:val="none"/>
          <w:lang w:val="en-US" w:eastAsia="zh-CN" w:bidi="ar-SA"/>
        </w:rPr>
        <w:t>日，向</w:t>
      </w:r>
      <w:r>
        <w:rPr>
          <w:rFonts w:hint="eastAsia" w:ascii="宋体" w:hAnsi="宋体" w:eastAsia="宋体" w:cs="Times New Roman"/>
          <w:color w:val="auto"/>
          <w:kern w:val="0"/>
          <w:sz w:val="24"/>
          <w:szCs w:val="24"/>
          <w:highlight w:val="none"/>
          <w:u w:val="single"/>
          <w:lang w:val="en-US" w:eastAsia="zh-CN" w:bidi="ar-SA"/>
        </w:rPr>
        <w:t xml:space="preserve">                                </w:t>
      </w:r>
      <w:r>
        <w:rPr>
          <w:rFonts w:hint="eastAsia" w:ascii="宋体" w:hAnsi="宋体" w:eastAsia="宋体" w:cs="Times New Roman"/>
          <w:color w:val="auto"/>
          <w:kern w:val="0"/>
          <w:sz w:val="24"/>
          <w:szCs w:val="24"/>
          <w:highlight w:val="none"/>
          <w:lang w:val="en-US" w:eastAsia="zh-CN" w:bidi="ar-SA"/>
        </w:rPr>
        <w:t>提出质疑，质疑事项为：</w:t>
      </w:r>
    </w:p>
    <w:p w14:paraId="45F0CA3F">
      <w:pPr>
        <w:widowControl w:val="0"/>
        <w:shd w:val="clear" w:color="auto"/>
        <w:spacing w:line="360" w:lineRule="auto"/>
        <w:ind w:firstLine="241"/>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color w:val="auto"/>
          <w:kern w:val="0"/>
          <w:sz w:val="24"/>
          <w:szCs w:val="24"/>
          <w:highlight w:val="none"/>
          <w:lang w:val="en-US" w:eastAsia="zh-CN" w:bidi="ar-SA"/>
        </w:rPr>
        <w:t xml:space="preserve">    </w:t>
      </w:r>
      <w:r>
        <w:rPr>
          <w:rFonts w:hint="eastAsia" w:ascii="宋体" w:hAnsi="宋体" w:eastAsia="宋体" w:cs="Times New Roman"/>
          <w:bCs/>
          <w:color w:val="auto"/>
          <w:kern w:val="0"/>
          <w:sz w:val="24"/>
          <w:szCs w:val="24"/>
          <w:highlight w:val="none"/>
          <w:u w:val="single"/>
          <w:lang w:val="en-US" w:eastAsia="zh-CN" w:bidi="ar-SA"/>
        </w:rPr>
        <w:t xml:space="preserve">                                                                                      </w:t>
      </w:r>
    </w:p>
    <w:p w14:paraId="50B67C00">
      <w:pPr>
        <w:widowControl w:val="0"/>
        <w:shd w:val="clear" w:color="auto"/>
        <w:spacing w:line="360" w:lineRule="auto"/>
        <w:ind w:firstLine="241"/>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 xml:space="preserve">    </w:t>
      </w:r>
      <w:r>
        <w:rPr>
          <w:rFonts w:hint="eastAsia" w:ascii="宋体" w:hAnsi="宋体" w:eastAsia="宋体" w:cs="Times New Roman"/>
          <w:bCs/>
          <w:color w:val="auto"/>
          <w:kern w:val="0"/>
          <w:sz w:val="24"/>
          <w:szCs w:val="24"/>
          <w:highlight w:val="none"/>
          <w:u w:val="single"/>
          <w:lang w:val="en-US" w:eastAsia="zh-CN" w:bidi="ar-SA"/>
        </w:rPr>
        <w:t xml:space="preserve">                                                                                      </w:t>
      </w:r>
    </w:p>
    <w:p w14:paraId="04322531">
      <w:pPr>
        <w:widowControl w:val="0"/>
        <w:shd w:val="clear" w:color="auto"/>
        <w:spacing w:line="360" w:lineRule="auto"/>
        <w:ind w:firstLine="480" w:firstLineChars="200"/>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u w:val="single"/>
          <w:lang w:val="en-US" w:eastAsia="zh-CN" w:bidi="ar-SA"/>
        </w:rPr>
        <w:t>采购人/代理机构</w:t>
      </w:r>
      <w:r>
        <w:rPr>
          <w:rFonts w:hint="eastAsia" w:ascii="宋体" w:hAnsi="宋体" w:eastAsia="宋体" w:cs="Times New Roman"/>
          <w:bCs/>
          <w:color w:val="auto"/>
          <w:kern w:val="0"/>
          <w:sz w:val="24"/>
          <w:szCs w:val="24"/>
          <w:highlight w:val="none"/>
          <w:lang w:val="en-US" w:eastAsia="zh-CN" w:bidi="ar-SA"/>
        </w:rPr>
        <w:t>于</w:t>
      </w:r>
      <w:r>
        <w:rPr>
          <w:rFonts w:hint="eastAsia" w:ascii="宋体" w:hAnsi="宋体" w:eastAsia="宋体" w:cs="Times New Roman"/>
          <w:color w:val="auto"/>
          <w:kern w:val="0"/>
          <w:sz w:val="24"/>
          <w:szCs w:val="24"/>
          <w:highlight w:val="none"/>
          <w:u w:val="single"/>
          <w:lang w:val="en-US" w:eastAsia="zh-CN" w:bidi="ar-SA"/>
        </w:rPr>
        <w:t xml:space="preserve">      </w:t>
      </w:r>
      <w:r>
        <w:rPr>
          <w:rFonts w:hint="eastAsia" w:ascii="宋体" w:hAnsi="宋体" w:eastAsia="宋体" w:cs="Times New Roman"/>
          <w:color w:val="auto"/>
          <w:kern w:val="0"/>
          <w:sz w:val="24"/>
          <w:szCs w:val="24"/>
          <w:highlight w:val="none"/>
          <w:lang w:val="en-US" w:eastAsia="zh-CN" w:bidi="ar-SA"/>
        </w:rPr>
        <w:t>年</w:t>
      </w:r>
      <w:r>
        <w:rPr>
          <w:rFonts w:hint="eastAsia" w:ascii="宋体" w:hAnsi="宋体" w:eastAsia="宋体" w:cs="Times New Roman"/>
          <w:color w:val="auto"/>
          <w:kern w:val="0"/>
          <w:sz w:val="24"/>
          <w:szCs w:val="24"/>
          <w:highlight w:val="none"/>
          <w:u w:val="single"/>
          <w:lang w:val="en-US" w:eastAsia="zh-CN" w:bidi="ar-SA"/>
        </w:rPr>
        <w:t xml:space="preserve">   </w:t>
      </w:r>
      <w:r>
        <w:rPr>
          <w:rFonts w:hint="eastAsia" w:ascii="宋体" w:hAnsi="宋体" w:eastAsia="宋体" w:cs="Times New Roman"/>
          <w:color w:val="auto"/>
          <w:kern w:val="0"/>
          <w:sz w:val="24"/>
          <w:szCs w:val="24"/>
          <w:highlight w:val="none"/>
          <w:lang w:val="en-US" w:eastAsia="zh-CN" w:bidi="ar-SA"/>
        </w:rPr>
        <w:t>月</w:t>
      </w:r>
      <w:r>
        <w:rPr>
          <w:rFonts w:hint="eastAsia" w:ascii="宋体" w:hAnsi="宋体" w:eastAsia="宋体" w:cs="Times New Roman"/>
          <w:color w:val="auto"/>
          <w:kern w:val="0"/>
          <w:sz w:val="24"/>
          <w:szCs w:val="24"/>
          <w:highlight w:val="none"/>
          <w:u w:val="single"/>
          <w:lang w:val="en-US" w:eastAsia="zh-CN" w:bidi="ar-SA"/>
        </w:rPr>
        <w:t xml:space="preserve">   </w:t>
      </w:r>
      <w:r>
        <w:rPr>
          <w:rFonts w:hint="eastAsia" w:ascii="宋体" w:hAnsi="宋体" w:eastAsia="宋体" w:cs="Times New Roman"/>
          <w:color w:val="auto"/>
          <w:kern w:val="0"/>
          <w:sz w:val="24"/>
          <w:szCs w:val="24"/>
          <w:highlight w:val="none"/>
          <w:lang w:val="en-US" w:eastAsia="zh-CN" w:bidi="ar-SA"/>
        </w:rPr>
        <w:t>日，</w:t>
      </w:r>
      <w:r>
        <w:rPr>
          <w:rFonts w:hint="eastAsia" w:ascii="宋体" w:hAnsi="宋体" w:eastAsia="宋体" w:cs="Times New Roman"/>
          <w:bCs/>
          <w:color w:val="auto"/>
          <w:kern w:val="0"/>
          <w:sz w:val="24"/>
          <w:szCs w:val="24"/>
          <w:highlight w:val="none"/>
          <w:lang w:val="en-US" w:eastAsia="zh-CN" w:bidi="ar-SA"/>
        </w:rPr>
        <w:t xml:space="preserve">就质疑事项作出了答复/没有在法定期限内作出答复。                                                                                             </w:t>
      </w:r>
    </w:p>
    <w:p w14:paraId="13C72294">
      <w:pPr>
        <w:widowControl w:val="0"/>
        <w:shd w:val="clear" w:color="auto"/>
        <w:spacing w:line="360" w:lineRule="auto"/>
        <w:ind w:left="25" w:leftChars="12" w:firstLine="471" w:firstLineChars="196"/>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四、投诉事项具体内容</w:t>
      </w:r>
    </w:p>
    <w:p w14:paraId="2E8085F0">
      <w:pPr>
        <w:widowControl w:val="0"/>
        <w:shd w:val="clear" w:color="auto"/>
        <w:spacing w:line="360" w:lineRule="auto"/>
        <w:ind w:left="25" w:leftChars="12" w:firstLine="472" w:firstLineChars="197"/>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color w:val="auto"/>
          <w:kern w:val="0"/>
          <w:sz w:val="24"/>
          <w:szCs w:val="24"/>
          <w:highlight w:val="none"/>
          <w:lang w:val="en-US" w:eastAsia="zh-CN" w:bidi="ar-SA"/>
        </w:rPr>
        <w:t>投诉事项1：</w:t>
      </w:r>
      <w:r>
        <w:rPr>
          <w:rFonts w:hint="eastAsia" w:ascii="宋体" w:hAnsi="宋体" w:eastAsia="宋体" w:cs="Times New Roman"/>
          <w:bCs/>
          <w:color w:val="auto"/>
          <w:kern w:val="0"/>
          <w:sz w:val="24"/>
          <w:szCs w:val="24"/>
          <w:highlight w:val="none"/>
          <w:u w:val="single"/>
          <w:lang w:val="en-US" w:eastAsia="zh-CN" w:bidi="ar-SA"/>
        </w:rPr>
        <w:t xml:space="preserve">                                                                           </w:t>
      </w:r>
    </w:p>
    <w:p w14:paraId="31B1AA0F">
      <w:pPr>
        <w:widowControl w:val="0"/>
        <w:shd w:val="clear" w:color="auto"/>
        <w:spacing w:line="360" w:lineRule="auto"/>
        <w:ind w:firstLine="480" w:firstLineChars="200"/>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事实依据：</w:t>
      </w:r>
      <w:r>
        <w:rPr>
          <w:rFonts w:hint="eastAsia" w:ascii="宋体" w:hAnsi="宋体" w:eastAsia="宋体" w:cs="Times New Roman"/>
          <w:color w:val="auto"/>
          <w:kern w:val="0"/>
          <w:sz w:val="24"/>
          <w:szCs w:val="24"/>
          <w:highlight w:val="none"/>
          <w:lang w:val="en-US" w:eastAsia="zh-CN" w:bidi="ar-SA"/>
        </w:rPr>
        <w:t xml:space="preserve"> </w:t>
      </w:r>
      <w:r>
        <w:rPr>
          <w:rFonts w:hint="eastAsia" w:ascii="宋体" w:hAnsi="宋体" w:eastAsia="宋体" w:cs="Times New Roman"/>
          <w:bCs/>
          <w:color w:val="auto"/>
          <w:kern w:val="0"/>
          <w:sz w:val="24"/>
          <w:szCs w:val="24"/>
          <w:highlight w:val="none"/>
          <w:u w:val="single"/>
          <w:lang w:val="en-US" w:eastAsia="zh-CN" w:bidi="ar-SA"/>
        </w:rPr>
        <w:t xml:space="preserve">                                                                                      </w:t>
      </w:r>
    </w:p>
    <w:p w14:paraId="69130E3B">
      <w:pPr>
        <w:widowControl w:val="0"/>
        <w:shd w:val="clear" w:color="auto"/>
        <w:spacing w:line="360" w:lineRule="auto"/>
        <w:ind w:left="25" w:leftChars="12" w:firstLine="472" w:firstLineChars="197"/>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u w:val="single"/>
          <w:lang w:val="en-US" w:eastAsia="zh-CN" w:bidi="ar-SA"/>
        </w:rPr>
        <w:t xml:space="preserve">                                                                                        </w:t>
      </w:r>
    </w:p>
    <w:p w14:paraId="4FA42EE1">
      <w:pPr>
        <w:widowControl w:val="0"/>
        <w:shd w:val="clear" w:color="auto"/>
        <w:spacing w:line="360" w:lineRule="auto"/>
        <w:ind w:firstLine="480" w:firstLineChars="200"/>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法律依据：</w:t>
      </w:r>
      <w:r>
        <w:rPr>
          <w:rFonts w:hint="eastAsia" w:ascii="宋体" w:hAnsi="宋体" w:eastAsia="宋体" w:cs="Times New Roman"/>
          <w:color w:val="auto"/>
          <w:kern w:val="0"/>
          <w:sz w:val="24"/>
          <w:szCs w:val="24"/>
          <w:highlight w:val="none"/>
          <w:lang w:val="en-US" w:eastAsia="zh-CN" w:bidi="ar-SA"/>
        </w:rPr>
        <w:t xml:space="preserve"> </w:t>
      </w:r>
      <w:r>
        <w:rPr>
          <w:rFonts w:hint="eastAsia" w:ascii="宋体" w:hAnsi="宋体" w:eastAsia="宋体" w:cs="Times New Roman"/>
          <w:bCs/>
          <w:color w:val="auto"/>
          <w:kern w:val="0"/>
          <w:sz w:val="24"/>
          <w:szCs w:val="24"/>
          <w:highlight w:val="none"/>
          <w:u w:val="single"/>
          <w:lang w:val="en-US" w:eastAsia="zh-CN" w:bidi="ar-SA"/>
        </w:rPr>
        <w:t xml:space="preserve">                                                                                      </w:t>
      </w:r>
    </w:p>
    <w:p w14:paraId="2D680A42">
      <w:pPr>
        <w:widowControl w:val="0"/>
        <w:shd w:val="clear" w:color="auto"/>
        <w:spacing w:line="360" w:lineRule="auto"/>
        <w:ind w:left="25" w:leftChars="12" w:firstLine="352" w:firstLineChars="147"/>
        <w:jc w:val="both"/>
        <w:rPr>
          <w:rFonts w:hint="eastAsia" w:ascii="宋体" w:hAnsi="宋体" w:eastAsia="宋体" w:cs="Times New Roman"/>
          <w:bCs/>
          <w:color w:val="auto"/>
          <w:kern w:val="0"/>
          <w:sz w:val="24"/>
          <w:szCs w:val="24"/>
          <w:highlight w:val="none"/>
          <w:u w:val="single"/>
          <w:lang w:val="en-US" w:eastAsia="zh-CN" w:bidi="ar-SA"/>
        </w:rPr>
      </w:pPr>
      <w:r>
        <w:rPr>
          <w:rFonts w:hint="eastAsia" w:ascii="宋体" w:hAnsi="宋体" w:eastAsia="宋体" w:cs="Times New Roman"/>
          <w:bCs/>
          <w:color w:val="auto"/>
          <w:kern w:val="0"/>
          <w:sz w:val="24"/>
          <w:szCs w:val="24"/>
          <w:highlight w:val="none"/>
          <w:lang w:val="en-US" w:eastAsia="zh-CN" w:bidi="ar-SA"/>
        </w:rPr>
        <w:t xml:space="preserve"> </w:t>
      </w:r>
      <w:r>
        <w:rPr>
          <w:rFonts w:hint="eastAsia" w:ascii="宋体" w:hAnsi="宋体" w:eastAsia="宋体" w:cs="Times New Roman"/>
          <w:bCs/>
          <w:color w:val="auto"/>
          <w:kern w:val="0"/>
          <w:sz w:val="24"/>
          <w:szCs w:val="24"/>
          <w:highlight w:val="none"/>
          <w:u w:val="single"/>
          <w:lang w:val="en-US" w:eastAsia="zh-CN" w:bidi="ar-SA"/>
        </w:rPr>
        <w:t xml:space="preserve">                                                                                        </w:t>
      </w:r>
    </w:p>
    <w:p w14:paraId="35E01F2C">
      <w:pPr>
        <w:widowControl w:val="0"/>
        <w:shd w:val="clear" w:color="auto"/>
        <w:spacing w:line="360" w:lineRule="auto"/>
        <w:ind w:left="25" w:leftChars="12" w:firstLine="472" w:firstLineChars="197"/>
        <w:jc w:val="both"/>
        <w:rPr>
          <w:rFonts w:hint="eastAsia" w:ascii="宋体" w:hAnsi="宋体" w:eastAsia="宋体" w:cs="Times New Roman"/>
          <w:bCs/>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 xml:space="preserve">投诉事项2  </w:t>
      </w:r>
      <w:r>
        <w:rPr>
          <w:rFonts w:hint="eastAsia" w:ascii="宋体" w:hAnsi="宋体" w:eastAsia="宋体" w:cs="Times New Roman"/>
          <w:bCs/>
          <w:color w:val="auto"/>
          <w:kern w:val="0"/>
          <w:sz w:val="24"/>
          <w:szCs w:val="24"/>
          <w:highlight w:val="none"/>
          <w:lang w:val="en-US" w:eastAsia="zh-CN" w:bidi="ar-SA"/>
        </w:rPr>
        <w:t xml:space="preserve">   </w:t>
      </w:r>
    </w:p>
    <w:p w14:paraId="4C48E755">
      <w:pPr>
        <w:widowControl w:val="0"/>
        <w:shd w:val="clear" w:color="auto"/>
        <w:spacing w:line="360" w:lineRule="auto"/>
        <w:ind w:left="25" w:leftChars="12" w:firstLine="472" w:firstLineChars="197"/>
        <w:jc w:val="both"/>
        <w:rPr>
          <w:rFonts w:hint="eastAsia" w:ascii="宋体" w:hAnsi="宋体" w:eastAsia="宋体" w:cs="Times New Roman"/>
          <w:bCs/>
          <w:color w:val="auto"/>
          <w:kern w:val="0"/>
          <w:sz w:val="24"/>
          <w:szCs w:val="24"/>
          <w:highlight w:val="none"/>
          <w:lang w:val="en-US" w:eastAsia="zh-CN" w:bidi="ar-SA"/>
        </w:rPr>
      </w:pPr>
      <w:r>
        <w:rPr>
          <w:rFonts w:ascii="宋体" w:hAnsi="宋体" w:eastAsia="宋体" w:cs="Times New Roman"/>
          <w:bCs/>
          <w:color w:val="auto"/>
          <w:kern w:val="0"/>
          <w:sz w:val="24"/>
          <w:szCs w:val="24"/>
          <w:highlight w:val="none"/>
          <w:lang w:val="en-US" w:eastAsia="zh-CN" w:bidi="ar-SA"/>
        </w:rPr>
        <w:t>……</w:t>
      </w:r>
    </w:p>
    <w:p w14:paraId="375D3B93">
      <w:pPr>
        <w:widowControl w:val="0"/>
        <w:shd w:val="clear" w:color="auto"/>
        <w:spacing w:line="360" w:lineRule="auto"/>
        <w:ind w:left="25" w:leftChars="12" w:firstLine="471" w:firstLineChars="196"/>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五、与投诉事项相关的投诉请求：</w:t>
      </w:r>
    </w:p>
    <w:p w14:paraId="6B3AEB28">
      <w:pPr>
        <w:widowControl w:val="0"/>
        <w:shd w:val="clear" w:color="auto"/>
        <w:spacing w:line="360" w:lineRule="auto"/>
        <w:ind w:left="25" w:leftChars="12" w:firstLine="472" w:firstLineChars="197"/>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请求：</w:t>
      </w:r>
      <w:r>
        <w:rPr>
          <w:rFonts w:hint="eastAsia" w:ascii="宋体" w:hAnsi="宋体" w:eastAsia="宋体" w:cs="Times New Roman"/>
          <w:bCs/>
          <w:color w:val="auto"/>
          <w:kern w:val="0"/>
          <w:sz w:val="24"/>
          <w:szCs w:val="24"/>
          <w:highlight w:val="none"/>
          <w:u w:val="single"/>
          <w:lang w:val="en-US" w:eastAsia="zh-CN" w:bidi="ar-SA"/>
        </w:rPr>
        <w:t xml:space="preserve">                                                                                 </w:t>
      </w:r>
    </w:p>
    <w:p w14:paraId="2D52A9B5">
      <w:pPr>
        <w:widowControl w:val="0"/>
        <w:shd w:val="clear" w:color="auto"/>
        <w:spacing w:line="360" w:lineRule="auto"/>
        <w:ind w:left="25" w:leftChars="12" w:firstLine="352" w:firstLineChars="147"/>
        <w:jc w:val="both"/>
        <w:rPr>
          <w:rFonts w:hint="eastAsia" w:ascii="宋体" w:hAnsi="宋体" w:eastAsia="宋体" w:cs="Times New Roman"/>
          <w:color w:val="auto"/>
          <w:kern w:val="0"/>
          <w:sz w:val="24"/>
          <w:szCs w:val="24"/>
          <w:highlight w:val="none"/>
          <w:lang w:val="en-US" w:eastAsia="zh-CN" w:bidi="ar-SA"/>
        </w:rPr>
      </w:pPr>
    </w:p>
    <w:p w14:paraId="560A90CE">
      <w:pPr>
        <w:widowControl w:val="0"/>
        <w:shd w:val="clear" w:color="auto"/>
        <w:spacing w:line="360" w:lineRule="auto"/>
        <w:ind w:left="25" w:leftChars="12" w:firstLine="472" w:firstLineChars="197"/>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签字（签章）：                                       公章：</w:t>
      </w:r>
    </w:p>
    <w:p w14:paraId="28214176">
      <w:pPr>
        <w:widowControl w:val="0"/>
        <w:shd w:val="clear" w:color="auto"/>
        <w:spacing w:line="360" w:lineRule="auto"/>
        <w:ind w:left="25" w:leftChars="12" w:firstLine="352" w:firstLineChars="147"/>
        <w:jc w:val="both"/>
        <w:rPr>
          <w:rFonts w:hint="eastAsia" w:ascii="宋体" w:hAnsi="宋体" w:eastAsia="宋体" w:cs="Times New Roman"/>
          <w:color w:val="auto"/>
          <w:kern w:val="0"/>
          <w:sz w:val="24"/>
          <w:szCs w:val="24"/>
          <w:highlight w:val="none"/>
          <w:lang w:val="en-US" w:eastAsia="zh-CN" w:bidi="ar-SA"/>
        </w:rPr>
      </w:pPr>
    </w:p>
    <w:p w14:paraId="3F38639A">
      <w:pPr>
        <w:widowControl w:val="0"/>
        <w:shd w:val="clear" w:color="auto"/>
        <w:spacing w:line="360" w:lineRule="auto"/>
        <w:ind w:left="25" w:leftChars="12" w:firstLine="472" w:firstLineChars="197"/>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日期：</w:t>
      </w:r>
    </w:p>
    <w:p w14:paraId="6B38FA43">
      <w:pPr>
        <w:widowControl w:val="0"/>
        <w:shd w:val="clear" w:color="auto"/>
        <w:spacing w:line="360" w:lineRule="auto"/>
        <w:ind w:left="25" w:leftChars="12" w:firstLine="472" w:firstLineChars="197"/>
        <w:jc w:val="both"/>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bCs/>
          <w:color w:val="auto"/>
          <w:kern w:val="0"/>
          <w:sz w:val="24"/>
          <w:szCs w:val="24"/>
          <w:highlight w:val="none"/>
          <w:lang w:val="en-US" w:eastAsia="zh-CN" w:bidi="ar-SA"/>
        </w:rPr>
        <w:t xml:space="preserve">                                                                                 </w:t>
      </w:r>
    </w:p>
    <w:p w14:paraId="163EA3E9">
      <w:pPr>
        <w:widowControl w:val="0"/>
        <w:shd w:val="clear" w:color="auto"/>
        <w:snapToGrid w:val="0"/>
        <w:spacing w:line="360" w:lineRule="auto"/>
        <w:jc w:val="both"/>
        <w:rPr>
          <w:rFonts w:hint="eastAsia" w:ascii="宋体" w:hAnsi="宋体" w:eastAsia="宋体" w:cs="Times New Roman"/>
          <w:b/>
          <w:color w:val="auto"/>
          <w:kern w:val="0"/>
          <w:sz w:val="24"/>
          <w:szCs w:val="24"/>
          <w:highlight w:val="none"/>
          <w:lang w:val="en-US" w:eastAsia="zh-CN" w:bidi="ar-SA"/>
        </w:rPr>
      </w:pPr>
    </w:p>
    <w:p w14:paraId="1BB2FF64">
      <w:pPr>
        <w:widowControl w:val="0"/>
        <w:shd w:val="clear" w:color="auto"/>
        <w:snapToGrid w:val="0"/>
        <w:spacing w:line="360" w:lineRule="auto"/>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说明：</w:t>
      </w:r>
    </w:p>
    <w:p w14:paraId="74DD27E1">
      <w:pPr>
        <w:widowControl w:val="0"/>
        <w:shd w:val="clear" w:color="auto"/>
        <w:spacing w:line="360" w:lineRule="auto"/>
        <w:ind w:left="25" w:leftChars="12" w:firstLine="353" w:firstLineChars="147"/>
        <w:jc w:val="both"/>
        <w:rPr>
          <w:rFonts w:hint="eastAsia" w:ascii="宋体" w:hAnsi="宋体" w:eastAsia="宋体" w:cs="Times New Roman"/>
          <w:b/>
          <w:bCs/>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1.投诉人提起投诉时，应当提交投诉书和必要的证明材料，并按照被投诉人和与投诉事项有关的供应商数量提供投诉书副本</w:t>
      </w:r>
      <w:r>
        <w:rPr>
          <w:rFonts w:hint="eastAsia" w:ascii="宋体" w:hAnsi="宋体" w:eastAsia="宋体" w:cs="Times New Roman"/>
          <w:b/>
          <w:bCs/>
          <w:color w:val="auto"/>
          <w:kern w:val="0"/>
          <w:sz w:val="24"/>
          <w:szCs w:val="24"/>
          <w:highlight w:val="none"/>
          <w:lang w:val="en-US" w:eastAsia="zh-CN" w:bidi="ar-SA"/>
        </w:rPr>
        <w:t>。</w:t>
      </w:r>
    </w:p>
    <w:p w14:paraId="1B653B9C">
      <w:pPr>
        <w:widowControl w:val="0"/>
        <w:shd w:val="clear" w:color="auto"/>
        <w:spacing w:line="360" w:lineRule="auto"/>
        <w:ind w:left="25" w:leftChars="12" w:firstLine="353" w:firstLineChars="147"/>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E3E18FF">
      <w:pPr>
        <w:widowControl w:val="0"/>
        <w:shd w:val="clear" w:color="auto"/>
        <w:spacing w:line="360" w:lineRule="auto"/>
        <w:ind w:left="25" w:leftChars="12" w:firstLine="353" w:firstLineChars="147"/>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3.投诉书应简要列明质疑事项，质疑函、质疑答复等作为附件材料提供。</w:t>
      </w:r>
    </w:p>
    <w:p w14:paraId="730465A4">
      <w:pPr>
        <w:widowControl w:val="0"/>
        <w:shd w:val="clear" w:color="auto"/>
        <w:spacing w:line="360" w:lineRule="auto"/>
        <w:ind w:left="25" w:leftChars="12" w:firstLine="353" w:firstLineChars="147"/>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4.投诉书的投诉事项应具体、明确，并有必要的事实依据和法律依据。</w:t>
      </w:r>
    </w:p>
    <w:p w14:paraId="7A80607D">
      <w:pPr>
        <w:widowControl w:val="0"/>
        <w:shd w:val="clear" w:color="auto"/>
        <w:spacing w:line="360" w:lineRule="auto"/>
        <w:ind w:left="25" w:leftChars="12" w:firstLine="353" w:firstLineChars="147"/>
        <w:jc w:val="both"/>
        <w:rPr>
          <w:rFonts w:hint="eastAsia" w:ascii="宋体" w:hAnsi="宋体" w:eastAsia="宋体" w:cs="Times New Roman"/>
          <w:b/>
          <w:color w:val="auto"/>
          <w:kern w:val="0"/>
          <w:sz w:val="24"/>
          <w:szCs w:val="24"/>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5.投诉书的投诉请求应与投诉事项相关。</w:t>
      </w:r>
    </w:p>
    <w:p w14:paraId="54311813">
      <w:pPr>
        <w:widowControl w:val="0"/>
        <w:shd w:val="clear" w:color="auto"/>
        <w:spacing w:line="360" w:lineRule="auto"/>
        <w:ind w:left="25" w:leftChars="12" w:firstLine="353" w:firstLineChars="147"/>
        <w:jc w:val="both"/>
        <w:rPr>
          <w:rFonts w:hint="eastAsia" w:ascii="宋体" w:hAnsi="宋体" w:eastAsia="宋体" w:cs="Times New Roman"/>
          <w:b/>
          <w:color w:val="auto"/>
          <w:kern w:val="0"/>
          <w:sz w:val="20"/>
          <w:szCs w:val="21"/>
          <w:highlight w:val="none"/>
          <w:lang w:val="en-US" w:eastAsia="zh-CN" w:bidi="ar-SA"/>
        </w:rPr>
      </w:pPr>
      <w:r>
        <w:rPr>
          <w:rFonts w:hint="eastAsia" w:ascii="宋体" w:hAnsi="宋体" w:eastAsia="宋体" w:cs="Times New Roman"/>
          <w:b/>
          <w:color w:val="auto"/>
          <w:kern w:val="0"/>
          <w:sz w:val="24"/>
          <w:szCs w:val="24"/>
          <w:highlight w:val="none"/>
          <w:lang w:val="en-US" w:eastAsia="zh-CN" w:bidi="ar-SA"/>
        </w:rPr>
        <w:t>6.投诉人为法人或者其他组织的，投诉书应由法定代表人、主要负责人，或者其授权代表签字或者盖章，并加盖公章。</w:t>
      </w:r>
    </w:p>
    <w:p w14:paraId="0F00668D">
      <w:pPr>
        <w:shd w:val="clear" w:color="auto"/>
        <w:spacing w:line="360" w:lineRule="auto"/>
        <w:jc w:val="center"/>
        <w:rPr>
          <w:rFonts w:hint="eastAsia" w:ascii="Times New Roman" w:hAnsi="宋体" w:eastAsia="宋体" w:cs="Times New Roman"/>
          <w:b/>
          <w:color w:val="auto"/>
          <w:highlight w:val="none"/>
        </w:rPr>
      </w:pPr>
    </w:p>
    <w:p w14:paraId="370659E3">
      <w:pPr>
        <w:shd w:val="clear" w:color="auto"/>
        <w:spacing w:line="360" w:lineRule="auto"/>
        <w:jc w:val="center"/>
        <w:rPr>
          <w:rFonts w:ascii="Times New Roman" w:hAnsi="宋体" w:eastAsia="宋体" w:cs="Times New Roman"/>
          <w:b/>
          <w:color w:val="auto"/>
          <w:highlight w:val="none"/>
        </w:rPr>
      </w:pPr>
    </w:p>
    <w:p w14:paraId="4D3D8BBE">
      <w:pPr>
        <w:shd w:val="clear"/>
        <w:rPr>
          <w:rFonts w:hint="eastAsia"/>
          <w:color w:val="auto"/>
          <w:highlight w:val="none"/>
        </w:rPr>
      </w:pPr>
    </w:p>
    <w:sectPr>
      <w:footerReference r:id="rId15" w:type="first"/>
      <w:headerReference r:id="rId13" w:type="default"/>
      <w:footerReference r:id="rId14"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等线 Light">
    <w:altName w:val="汉仪中等线KW"/>
    <w:panose1 w:val="02010600030101010101"/>
    <w:charset w:val="86"/>
    <w:family w:val="auto"/>
    <w:pitch w:val="default"/>
    <w:sig w:usb0="00000000" w:usb1="00000000" w:usb2="00000016" w:usb3="00000000" w:csb0="0004000F" w:csb1="00000000"/>
  </w:font>
  <w:font w:name="仿宋_GB2312">
    <w:altName w:val="方正仿宋_GBK"/>
    <w:panose1 w:val="02010609030101010101"/>
    <w:charset w:val="86"/>
    <w:family w:val="modern"/>
    <w:pitch w:val="default"/>
    <w:sig w:usb0="00000000" w:usb1="00000000" w:usb2="00000000" w:usb3="00000000" w:csb0="00040000" w:csb1="00000000"/>
  </w:font>
  <w:font w:name="Segoe UI">
    <w:altName w:val="苹方-简"/>
    <w:panose1 w:val="020B0502040204020203"/>
    <w:charset w:val="00"/>
    <w:family w:val="auto"/>
    <w:pitch w:val="default"/>
    <w:sig w:usb0="00000000" w:usb1="00000000" w:usb2="00000009" w:usb3="00000000" w:csb0="200001FF" w:csb1="00000000"/>
  </w:font>
  <w:font w:name="Tahoma">
    <w:panose1 w:val="020B0604030504040204"/>
    <w:charset w:val="00"/>
    <w:family w:val="swiss"/>
    <w:pitch w:val="default"/>
    <w:sig w:usb0="E1002AFF" w:usb1="C000605B" w:usb2="00000029" w:usb3="00000000" w:csb0="200101FF" w:csb1="20280000"/>
  </w:font>
  <w:font w:name="仿宋">
    <w:altName w:val="方正仿宋_GBK"/>
    <w:panose1 w:val="02010609060101010101"/>
    <w:charset w:val="86"/>
    <w:family w:val="modern"/>
    <w:pitch w:val="default"/>
    <w:sig w:usb0="00000000" w:usb1="00000000" w:usb2="00000016" w:usb3="00000000" w:csb0="00040001" w:csb1="00000000"/>
  </w:font>
  <w:font w:name="华文新魏">
    <w:altName w:val="宋体-简"/>
    <w:panose1 w:val="02010800040101010101"/>
    <w:charset w:val="86"/>
    <w:family w:val="auto"/>
    <w:pitch w:val="default"/>
    <w:sig w:usb0="00000000" w:usb1="00000000" w:usb2="00000010"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Wingdings 2">
    <w:panose1 w:val="05020102010507070707"/>
    <w:charset w:val="02"/>
    <w:family w:val="roman"/>
    <w:pitch w:val="default"/>
    <w:sig w:usb0="00000000" w:usb1="00000000" w:usb2="00000000" w:usb3="00000000" w:csb0="80000000" w:csb1="00000000"/>
  </w:font>
  <w:font w:name="Helvetica">
    <w:panose1 w:val="00000000000000000000"/>
    <w:charset w:val="00"/>
    <w:family w:val="swiss"/>
    <w:pitch w:val="default"/>
    <w:sig w:usb0="E00002FF" w:usb1="5000785B" w:usb2="00000000" w:usb3="00000000" w:csb0="2000019F" w:csb1="4F010000"/>
  </w:font>
  <w:font w:name="TimesNewRomanPSMT">
    <w:panose1 w:val="02020503050405090304"/>
    <w:charset w:val="00"/>
    <w:family w:val="roman"/>
    <w:pitch w:val="default"/>
    <w:sig w:usb0="E0000AFF" w:usb1="00007843" w:usb2="00000001" w:usb3="00000000" w:csb0="400001BF" w:csb1="DFF70000"/>
  </w:font>
  <w:font w:name="隶书">
    <w:altName w:val="报隶-简"/>
    <w:panose1 w:val="02010509060101010101"/>
    <w:charset w:val="86"/>
    <w:family w:val="modern"/>
    <w:pitch w:val="default"/>
    <w:sig w:usb0="00000000" w:usb1="00000000" w:usb2="00000010"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方正隶书简体">
    <w:altName w:val="报隶-简"/>
    <w:panose1 w:val="02010601030101010101"/>
    <w:charset w:val="86"/>
    <w:family w:val="auto"/>
    <w:pitch w:val="default"/>
    <w:sig w:usb0="00000000" w:usb1="00000000" w:usb2="0000001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报隶-简">
    <w:panose1 w:val="02010600040101010101"/>
    <w:charset w:val="86"/>
    <w:family w:val="auto"/>
    <w:pitch w:val="default"/>
    <w:sig w:usb0="80000287" w:usb1="280F3C52" w:usb2="00000016" w:usb3="00000000" w:csb0="0004001F" w:csb1="00000000"/>
  </w:font>
  <w:font w:name="汉仪楷体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4CCC7">
    <w:pPr>
      <w:pStyle w:val="20"/>
      <w:jc w:val="center"/>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w:t>
    </w:r>
    <w:r>
      <w:rPr>
        <w:rFonts w:ascii="Times New Roman" w:hAnsi="Times New Roman" w:eastAsia="宋体" w:cs="Times New Roman"/>
      </w:rPr>
      <w:fldChar w:fldCharType="end"/>
    </w:r>
  </w:p>
  <w:p w14:paraId="0197EDB4">
    <w:pPr>
      <w:pStyle w:val="20"/>
      <w:jc w:val="center"/>
      <w:rPr>
        <w:rFonts w:hint="eastAsia"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CC97C">
    <w:pPr>
      <w:pStyle w:val="20"/>
      <w:framePr w:wrap="around" w:vAnchor="text" w:hAnchor="margin" w:xAlign="center" w:y="1"/>
      <w:rPr>
        <w:rStyle w:val="31"/>
        <w:rFonts w:ascii="Times New Roman" w:hAnsi="Times New Roman" w:eastAsia="宋体" w:cs="Times New Roman"/>
        <w:sz w:val="21"/>
      </w:rPr>
    </w:pPr>
    <w:r>
      <w:rPr>
        <w:rFonts w:ascii="Times New Roman" w:hAnsi="Times New Roman" w:eastAsia="宋体" w:cs="Times New Roman"/>
        <w:sz w:val="21"/>
      </w:rPr>
      <w:fldChar w:fldCharType="begin"/>
    </w:r>
    <w:r>
      <w:rPr>
        <w:rStyle w:val="31"/>
        <w:rFonts w:ascii="Times New Roman" w:hAnsi="Times New Roman" w:eastAsia="宋体" w:cs="Times New Roman"/>
        <w:kern w:val="2"/>
        <w:sz w:val="21"/>
        <w:szCs w:val="24"/>
      </w:rPr>
      <w:instrText xml:space="preserve">PAGE  </w:instrText>
    </w:r>
    <w:r>
      <w:rPr>
        <w:rFonts w:ascii="Times New Roman" w:hAnsi="Times New Roman" w:eastAsia="宋体" w:cs="Times New Roman"/>
        <w:sz w:val="21"/>
      </w:rPr>
      <w:fldChar w:fldCharType="separate"/>
    </w:r>
    <w:r>
      <w:rPr>
        <w:rStyle w:val="31"/>
        <w:rFonts w:ascii="Times New Roman" w:hAnsi="Times New Roman" w:eastAsia="宋体" w:cs="Times New Roman"/>
        <w:kern w:val="2"/>
        <w:sz w:val="21"/>
        <w:szCs w:val="24"/>
      </w:rPr>
      <w:t>0</w:t>
    </w:r>
    <w:r>
      <w:rPr>
        <w:rFonts w:ascii="Times New Roman" w:hAnsi="Times New Roman" w:eastAsia="宋体" w:cs="Times New Roman"/>
        <w:sz w:val="21"/>
      </w:rPr>
      <w:fldChar w:fldCharType="end"/>
    </w:r>
  </w:p>
  <w:p w14:paraId="0C3D1F96">
    <w:pPr>
      <w:pStyle w:val="20"/>
      <w:rPr>
        <w:rFonts w:ascii="Times New Roman" w:hAnsi="Times New Roman" w:eastAsia="宋体" w:cs="Times New Roman"/>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A3E2C">
    <w:pPr>
      <w:pStyle w:val="20"/>
      <w:tabs>
        <w:tab w:val="center" w:pos="4439"/>
        <w:tab w:val="clear" w:pos="4153"/>
      </w:tabs>
      <w:jc w:val="both"/>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FE19FB">
                          <w:pPr>
                            <w:pStyle w:val="20"/>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1</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y11OHLAQAAnAMAAA4AAAAAAAAAAQAgAAAAHgEAAGRycy9lMm9E&#10;b2MueG1sUEsFBgAAAAAGAAYAWQEAAFsFAAAAAA==&#10;">
              <v:fill on="f" focussize="0,0"/>
              <v:stroke on="f"/>
              <v:imagedata o:title=""/>
              <o:lock v:ext="edit" aspectratio="f"/>
              <v:textbox inset="0mm,0mm,0mm,0mm" style="mso-fit-shape-to-text:t;">
                <w:txbxContent>
                  <w:p w14:paraId="2BFE19FB">
                    <w:pPr>
                      <w:pStyle w:val="20"/>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1</w:t>
                    </w:r>
                    <w:r>
                      <w:rPr>
                        <w:rFonts w:ascii="Times New Roman" w:hAnsi="Times New Roman" w:eastAsia="宋体" w:cs="Times New Roman"/>
                      </w:rPr>
                      <w:fldChar w:fldCharType="end"/>
                    </w:r>
                  </w:p>
                </w:txbxContent>
              </v:textbox>
            </v:shape>
          </w:pict>
        </mc:Fallback>
      </mc:AlternateContent>
    </w:r>
  </w:p>
  <w:p w14:paraId="30F932E0">
    <w:pPr>
      <w:pStyle w:val="20"/>
      <w:rPr>
        <w:rFonts w:ascii="Times New Roman" w:hAnsi="Times New Roman" w:eastAsia="宋体"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2CD9D">
    <w:pPr>
      <w:pStyle w:val="20"/>
      <w:tabs>
        <w:tab w:val="center" w:pos="4439"/>
        <w:tab w:val="clear" w:pos="4153"/>
      </w:tabs>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E6F44C">
                          <w:pPr>
                            <w:rPr>
                              <w:rFonts w:ascii="Times New Roman" w:hAnsi="Times New Roman" w:eastAsia="宋体" w:cs="Times New Roman"/>
                            </w:rPr>
                          </w:pPr>
                        </w:p>
                      </w:txbxContent>
                    </wps:txbx>
                    <wps:bodyPr wrap="none" lIns="0" tIns="0" rIns="0" bIns="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akDMsBAACcAwAADgAAAGRycy9lMm9Eb2MueG1srVPNjtMwEL4j8Q6W&#10;79Rpx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7lZ&#10;rl5m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AmpAzLAQAAnAMAAA4AAAAAAAAAAQAgAAAAHgEAAGRycy9lMm9E&#10;b2MueG1sUEsFBgAAAAAGAAYAWQEAAFsFAAAAAA==&#10;">
              <v:fill on="f" focussize="0,0"/>
              <v:stroke on="f"/>
              <v:imagedata o:title=""/>
              <o:lock v:ext="edit" aspectratio="f"/>
              <v:textbox inset="0mm,0mm,0mm,0mm" style="mso-fit-shape-to-text:t;">
                <w:txbxContent>
                  <w:p w14:paraId="4EE6F44C">
                    <w:pPr>
                      <w:rPr>
                        <w:rFonts w:ascii="Times New Roman" w:hAnsi="Times New Roman" w:eastAsia="宋体" w:cs="Times New Roma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ED3C3">
    <w:pPr>
      <w:pStyle w:val="20"/>
      <w:jc w:val="center"/>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12D800">
                          <w:pPr>
                            <w:pStyle w:val="20"/>
                            <w:jc w:val="center"/>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24</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4IoM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3m9&#10;XC2zQn2AGhMfAqam4c4POXvyAzoz8UFFm79IiWAc9T1f9ZVDIiI/Wq/W6wpDAmPzBXHY4/MQIb2V&#10;3pJsNDTiAIuu/PQe0pg6p+Rqzt9rY9DPa+P+ciBm9rDc+9hjttKwH6bG9749I58eZ99Qh6tOiXnn&#10;UNq8JrMRZ2M/G8cQ9aEre5TrQbg9Jmyi9JYrjLBTYRxaY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peCKDLAQAAnAMAAA4AAAAAAAAAAQAgAAAAHgEAAGRycy9lMm9E&#10;b2MueG1sUEsFBgAAAAAGAAYAWQEAAFsFAAAAAA==&#10;">
              <v:fill on="f" focussize="0,0"/>
              <v:stroke on="f"/>
              <v:imagedata o:title=""/>
              <o:lock v:ext="edit" aspectratio="f"/>
              <v:textbox inset="0mm,0mm,0mm,0mm" style="mso-fit-shape-to-text:t;">
                <w:txbxContent>
                  <w:p w14:paraId="4F12D800">
                    <w:pPr>
                      <w:pStyle w:val="20"/>
                      <w:jc w:val="center"/>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24</w:t>
                    </w:r>
                    <w:r>
                      <w:rPr>
                        <w:rFonts w:ascii="Times New Roman" w:hAnsi="Times New Roman" w:eastAsia="宋体" w:cs="Times New Roman"/>
                      </w:rPr>
                      <w:fldChar w:fldCharType="end"/>
                    </w:r>
                  </w:p>
                </w:txbxContent>
              </v:textbox>
            </v:shape>
          </w:pict>
        </mc:Fallback>
      </mc:AlternateContent>
    </w:r>
  </w:p>
  <w:p w14:paraId="1F8F5A66">
    <w:pPr>
      <w:pStyle w:val="20"/>
      <w:rPr>
        <w:rFonts w:ascii="Times New Roman" w:hAnsi="Times New Roman" w:eastAsia="宋体"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366DE">
    <w:pPr>
      <w:pStyle w:val="20"/>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E77F8B">
                          <w:pPr>
                            <w:pStyle w:val="20"/>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63</w:t>
                          </w:r>
                          <w:r>
                            <w:rPr>
                              <w:rFonts w:hint="eastAsia"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7UoM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VO1KDLAQAAnAMAAA4AAAAAAAAAAQAgAAAAHgEAAGRycy9lMm9E&#10;b2MueG1sUEsFBgAAAAAGAAYAWQEAAFsFAAAAAA==&#10;">
              <v:fill on="f" focussize="0,0"/>
              <v:stroke on="f"/>
              <v:imagedata o:title=""/>
              <o:lock v:ext="edit" aspectratio="f"/>
              <v:textbox inset="0mm,0mm,0mm,0mm" style="mso-fit-shape-to-text:t;">
                <w:txbxContent>
                  <w:p w14:paraId="1EE77F8B">
                    <w:pPr>
                      <w:pStyle w:val="20"/>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63</w:t>
                    </w:r>
                    <w:r>
                      <w:rPr>
                        <w:rFonts w:hint="eastAsia" w:ascii="Times New Roman" w:hAnsi="Times New Roman" w:eastAsia="宋体" w:cs="Times New Roma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F60EA">
    <w:pPr>
      <w:widowControl w:val="0"/>
      <w:snapToGrid w:val="0"/>
      <w:jc w:val="center"/>
      <w:rPr>
        <w:rFonts w:hint="default" w:ascii="Times New Roman" w:hAnsi="Times New Roman" w:eastAsia="宋体" w:cs="Times New Roman"/>
        <w:kern w:val="2"/>
        <w:sz w:val="18"/>
        <w:szCs w:val="24"/>
        <w:lang w:val="en-US" w:eastAsia="zh-CN" w:bidi="ar-SA"/>
      </w:rPr>
    </w:pPr>
    <w:r>
      <w:rPr>
        <w:rFonts w:hint="default"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E3438B">
                          <w:pPr>
                            <w:widowControl w:val="0"/>
                            <w:snapToGrid w:val="0"/>
                            <w:jc w:val="left"/>
                            <w:rPr>
                              <w:rFonts w:hint="default" w:ascii="Times New Roman" w:hAnsi="Times New Roman" w:eastAsia="宋体" w:cs="Times New Roman"/>
                              <w:kern w:val="2"/>
                              <w:sz w:val="18"/>
                              <w:szCs w:val="24"/>
                              <w:lang w:val="en-US" w:eastAsia="zh-CN" w:bidi="ar-SA"/>
                            </w:rPr>
                          </w:pPr>
                          <w:r>
                            <w:rPr>
                              <w:rFonts w:hint="default" w:ascii="Times New Roman" w:hAnsi="Times New Roman" w:eastAsia="宋体" w:cs="Times New Roman"/>
                              <w:kern w:val="2"/>
                              <w:sz w:val="18"/>
                              <w:szCs w:val="24"/>
                              <w:lang w:val="en-US" w:eastAsia="zh-CN" w:bidi="ar-SA"/>
                            </w:rPr>
                            <w:fldChar w:fldCharType="begin"/>
                          </w:r>
                          <w:r>
                            <w:rPr>
                              <w:rFonts w:hint="default" w:ascii="Times New Roman" w:hAnsi="Times New Roman" w:eastAsia="宋体" w:cs="Times New Roman"/>
                              <w:kern w:val="2"/>
                              <w:sz w:val="18"/>
                              <w:szCs w:val="24"/>
                              <w:lang w:val="en-US" w:eastAsia="zh-CN" w:bidi="ar-SA"/>
                            </w:rPr>
                            <w:instrText xml:space="preserve"> PAGE  \* MERGEFORMAT </w:instrText>
                          </w:r>
                          <w:r>
                            <w:rPr>
                              <w:rFonts w:hint="default" w:ascii="Times New Roman" w:hAnsi="Times New Roman" w:eastAsia="宋体" w:cs="Times New Roman"/>
                              <w:kern w:val="2"/>
                              <w:sz w:val="18"/>
                              <w:szCs w:val="24"/>
                              <w:lang w:val="en-US" w:eastAsia="zh-CN" w:bidi="ar-SA"/>
                            </w:rPr>
                            <w:fldChar w:fldCharType="separate"/>
                          </w:r>
                          <w:r>
                            <w:rPr>
                              <w:rFonts w:hint="default" w:ascii="Times New Roman" w:hAnsi="Times New Roman" w:eastAsia="宋体" w:cs="Times New Roman"/>
                              <w:kern w:val="2"/>
                              <w:sz w:val="18"/>
                              <w:szCs w:val="24"/>
                              <w:lang w:val="en-US" w:eastAsia="zh-CN" w:bidi="ar-SA"/>
                            </w:rPr>
                            <w:t>2</w:t>
                          </w:r>
                          <w:r>
                            <w:rPr>
                              <w:rFonts w:hint="default" w:ascii="Times New Roman" w:hAnsi="Times New Roman" w:eastAsia="宋体" w:cs="Times New Roman"/>
                              <w:kern w:val="2"/>
                              <w:sz w:val="18"/>
                              <w:szCs w:val="24"/>
                              <w:lang w:val="en-US" w:eastAsia="zh-CN" w:bidi="ar-SA"/>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L7ZI8gBAACZAwAADgAAAGRycy9lMm9Eb2MueG1srVPNjtMwEL4j8Q6W&#10;79RpD1BF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9A0ljlsc+OX7t8uPX5efX8ky&#10;t6cPUGPWQ8C8NNz5AZdm9gM6s+pBRZu/qIdgHJt7vjZXDomI/Gi9Wq8rDAmMzRfEZ4/PQ4T0VnpL&#10;stHQiNMrTeWn95DG1DklV3P+XhtTJmjcXw7EzB6WuY8cs5WG/TAJ2vv2jHp6HHxDHe45Jeadw77m&#10;HZmNOBv72TiGqA8dUlsWXhBujwlJFG65wgg7FcaJFXXTduWV+PNesh7/qO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y+2SPIAQAAmQMAAA4AAAAAAAAAAQAgAAAAHgEAAGRycy9lMm9Eb2Mu&#10;eG1sUEsFBgAAAAAGAAYAWQEAAFgFAAAAAA==&#10;">
              <v:fill on="f" focussize="0,0"/>
              <v:stroke on="f"/>
              <v:imagedata o:title=""/>
              <o:lock v:ext="edit" aspectratio="f"/>
              <v:textbox inset="0mm,0mm,0mm,0mm" style="mso-fit-shape-to-text:t;">
                <w:txbxContent>
                  <w:p w14:paraId="6CE3438B">
                    <w:pPr>
                      <w:widowControl w:val="0"/>
                      <w:snapToGrid w:val="0"/>
                      <w:jc w:val="left"/>
                      <w:rPr>
                        <w:rFonts w:hint="default" w:ascii="Times New Roman" w:hAnsi="Times New Roman" w:eastAsia="宋体" w:cs="Times New Roman"/>
                        <w:kern w:val="2"/>
                        <w:sz w:val="18"/>
                        <w:szCs w:val="24"/>
                        <w:lang w:val="en-US" w:eastAsia="zh-CN" w:bidi="ar-SA"/>
                      </w:rPr>
                    </w:pPr>
                    <w:r>
                      <w:rPr>
                        <w:rFonts w:hint="default" w:ascii="Times New Roman" w:hAnsi="Times New Roman" w:eastAsia="宋体" w:cs="Times New Roman"/>
                        <w:kern w:val="2"/>
                        <w:sz w:val="18"/>
                        <w:szCs w:val="24"/>
                        <w:lang w:val="en-US" w:eastAsia="zh-CN" w:bidi="ar-SA"/>
                      </w:rPr>
                      <w:fldChar w:fldCharType="begin"/>
                    </w:r>
                    <w:r>
                      <w:rPr>
                        <w:rFonts w:hint="default" w:ascii="Times New Roman" w:hAnsi="Times New Roman" w:eastAsia="宋体" w:cs="Times New Roman"/>
                        <w:kern w:val="2"/>
                        <w:sz w:val="18"/>
                        <w:szCs w:val="24"/>
                        <w:lang w:val="en-US" w:eastAsia="zh-CN" w:bidi="ar-SA"/>
                      </w:rPr>
                      <w:instrText xml:space="preserve"> PAGE  \* MERGEFORMAT </w:instrText>
                    </w:r>
                    <w:r>
                      <w:rPr>
                        <w:rFonts w:hint="default" w:ascii="Times New Roman" w:hAnsi="Times New Roman" w:eastAsia="宋体" w:cs="Times New Roman"/>
                        <w:kern w:val="2"/>
                        <w:sz w:val="18"/>
                        <w:szCs w:val="24"/>
                        <w:lang w:val="en-US" w:eastAsia="zh-CN" w:bidi="ar-SA"/>
                      </w:rPr>
                      <w:fldChar w:fldCharType="separate"/>
                    </w:r>
                    <w:r>
                      <w:rPr>
                        <w:rFonts w:hint="default" w:ascii="Times New Roman" w:hAnsi="Times New Roman" w:eastAsia="宋体" w:cs="Times New Roman"/>
                        <w:kern w:val="2"/>
                        <w:sz w:val="18"/>
                        <w:szCs w:val="24"/>
                        <w:lang w:val="en-US" w:eastAsia="zh-CN" w:bidi="ar-SA"/>
                      </w:rPr>
                      <w:t>2</w:t>
                    </w:r>
                    <w:r>
                      <w:rPr>
                        <w:rFonts w:hint="default" w:ascii="Times New Roman" w:hAnsi="Times New Roman" w:eastAsia="宋体" w:cs="Times New Roman"/>
                        <w:kern w:val="2"/>
                        <w:sz w:val="18"/>
                        <w:szCs w:val="24"/>
                        <w:lang w:val="en-US" w:eastAsia="zh-CN" w:bidi="ar-SA"/>
                      </w:rPr>
                      <w:fldChar w:fldCharType="end"/>
                    </w:r>
                  </w:p>
                </w:txbxContent>
              </v:textbox>
            </v:shape>
          </w:pict>
        </mc:Fallback>
      </mc:AlternateContent>
    </w:r>
  </w:p>
  <w:p w14:paraId="0094CE16">
    <w:pPr>
      <w:widowControl w:val="0"/>
      <w:snapToGrid w:val="0"/>
      <w:jc w:val="left"/>
      <w:rPr>
        <w:rFonts w:hint="default" w:ascii="Times New Roman" w:hAnsi="Times New Roman" w:eastAsia="宋体" w:cs="Times New Roman"/>
        <w:kern w:val="2"/>
        <w:sz w:val="18"/>
        <w:szCs w:val="24"/>
        <w:lang w:val="en-US" w:eastAsia="zh-CN" w:bidi="ar-S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AE3C8">
    <w:pPr>
      <w:pStyle w:val="2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007970">
                          <w:pPr>
                            <w:pStyle w:val="20"/>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cnpIMs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3m1&#10;XC2zQn2AGhPvAqam4a0fcG9mP6AzEx9UtPmLlAjGUd/zVV85JCLyo/Vqva4wJDA2XxCfPTwPEdI7&#10;6S3JRkMjDrDoyk8fII2pc0qu5vytNqYM0bi/HIiZPSz3PvaYrTTsh4nQ3rdn5NPj7BvqcNUpMe8d&#10;SpvXZDbibOxn4xiiPnRlj3I9CG+O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3J6SDLAQAAnAMAAA4AAAAAAAAAAQAgAAAAHgEAAGRycy9lMm9E&#10;b2MueG1sUEsFBgAAAAAGAAYAWQEAAFsFAAAAAA==&#10;">
              <v:fill on="f" focussize="0,0"/>
              <v:stroke on="f"/>
              <v:imagedata o:title=""/>
              <o:lock v:ext="edit" aspectratio="f"/>
              <v:textbox inset="0mm,0mm,0mm,0mm" style="mso-fit-shape-to-text:t;">
                <w:txbxContent>
                  <w:p w14:paraId="39007970">
                    <w:pPr>
                      <w:pStyle w:val="20"/>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437880D1">
    <w:pPr>
      <w:pStyle w:val="2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5B6F6">
    <w:pPr>
      <w:pStyle w:val="2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DE09D3">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pnZnrLAQAAnAMAAA4AAAAAAAAAAQAgAAAAHgEAAGRycy9lMm9E&#10;b2MueG1sUEsFBgAAAAAGAAYAWQEAAFsFAAAAAA==&#10;">
              <v:fill on="f" focussize="0,0"/>
              <v:stroke on="f"/>
              <v:imagedata o:title=""/>
              <o:lock v:ext="edit" aspectratio="f"/>
              <v:textbox inset="0mm,0mm,0mm,0mm" style="mso-fit-shape-to-text:t;">
                <w:txbxContent>
                  <w:p w14:paraId="53DE09D3">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9A46E">
    <w:pPr>
      <w:pStyle w:val="21"/>
      <w:tabs>
        <w:tab w:val="center" w:pos="0"/>
        <w:tab w:val="clear" w:pos="4153"/>
      </w:tabs>
      <w:rPr>
        <w:rFonts w:ascii="Times New Roman" w:hAnsi="Times New Roman" w:eastAsia="宋体" w:cs="Times New Roman"/>
      </w:rPr>
    </w:pPr>
    <w:r>
      <w:rPr>
        <w:rFonts w:hint="eastAsia" w:ascii="Times New Roman" w:hAnsi="Times New Roman" w:eastAsia="宋体" w:cs="Times New Roman"/>
      </w:rPr>
      <w:t>南宁市政府采购竞争性磋商采购文件（项目编号：</w:t>
    </w:r>
    <w:r>
      <w:rPr>
        <w:rFonts w:hint="eastAsia" w:cs="Times New Roman"/>
        <w:lang w:eastAsia="zh-CN"/>
      </w:rPr>
      <w:t>NNZC2026-C2-990604-GLZB</w:t>
    </w:r>
    <w:r>
      <w:rPr>
        <w:rFonts w:hint="eastAsia" w:ascii="Times New Roman" w:hAnsi="Times New Roman" w:eastAsia="宋体" w:cs="Times New Roma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54FBD">
    <w:pPr>
      <w:pStyle w:val="21"/>
      <w:tabs>
        <w:tab w:val="center" w:pos="0"/>
        <w:tab w:val="clear" w:pos="4153"/>
      </w:tabs>
      <w:rPr>
        <w:rFonts w:ascii="Times New Roman" w:hAnsi="Times New Roman" w:eastAsia="宋体" w:cs="Times New Roman"/>
      </w:rPr>
    </w:pPr>
    <w:r>
      <w:rPr>
        <w:rFonts w:ascii="Times New Roman" w:hAnsi="Times New Roman" w:eastAsia="宋体" w:cs="Times New Roman"/>
        <w:vanish/>
        <w:highlight w:val="yellow"/>
      </w:rPr>
      <w:t>&lt;</w:t>
    </w:r>
    <w:r>
      <w:rPr>
        <w:rFonts w:hint="eastAsia" w:ascii="Times New Roman" w:hAnsi="Times New Roman" w:eastAsia="宋体" w:cs="Times New Roman"/>
      </w:rPr>
      <w:t>南宁市政府采购竞争性磋商采购文件（项目编号：</w:t>
    </w:r>
    <w:r>
      <w:rPr>
        <w:rFonts w:hint="eastAsia" w:cs="Times New Roman"/>
        <w:lang w:eastAsia="zh-CN"/>
      </w:rPr>
      <w:t>NNZC2026-C2-990604-GLZB</w:t>
    </w:r>
    <w:r>
      <w:rPr>
        <w:rFonts w:hint="eastAsia" w:ascii="Times New Roman" w:hAnsi="Times New Roman" w:eastAsia="宋体" w:cs="Times New Roman"/>
      </w:rPr>
      <w:t>）</w:t>
    </w:r>
    <w:r>
      <w:rPr>
        <w:rFonts w:ascii="Times New Roman" w:hAnsi="Times New Roman" w:eastAsia="宋体" w:cs="Times New Roman"/>
        <w:vanish/>
        <w:highlight w:val="yellow"/>
      </w:rPr>
      <w:t>&gt;</w:t>
    </w:r>
  </w:p>
  <w:p w14:paraId="0078F325">
    <w:pPr>
      <w:pStyle w:val="21"/>
      <w:pBdr>
        <w:bottom w:val="none" w:color="auto" w:sz="0" w:space="0"/>
      </w:pBdr>
      <w:rPr>
        <w:rFonts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70249">
    <w:pPr>
      <w:pStyle w:val="21"/>
      <w:tabs>
        <w:tab w:val="center" w:pos="0"/>
        <w:tab w:val="clear" w:pos="4153"/>
      </w:tabs>
      <w:rPr>
        <w:rFonts w:ascii="Times New Roman" w:hAnsi="Times New Roman" w:eastAsia="宋体" w:cs="Times New Roman"/>
      </w:rPr>
    </w:pPr>
    <w:r>
      <w:rPr>
        <w:rFonts w:hint="eastAsia" w:ascii="Times New Roman" w:hAnsi="Times New Roman" w:eastAsia="宋体" w:cs="Times New Roman"/>
      </w:rPr>
      <w:t>南宁市政府采购竞争性磋商采购文件（项目</w:t>
    </w:r>
    <w:r>
      <w:rPr>
        <w:rFonts w:ascii="Times New Roman" w:hAnsi="Times New Roman" w:eastAsia="宋体" w:cs="Times New Roman"/>
      </w:rPr>
      <w:t xml:space="preserve">编号: </w:t>
    </w:r>
    <w:r>
      <w:rPr>
        <w:rFonts w:hint="eastAsia" w:cs="Times New Roman"/>
        <w:lang w:eastAsia="zh-CN"/>
      </w:rPr>
      <w:t>NNZC2026-C2-990604-GLZB</w:t>
    </w:r>
    <w:r>
      <w:rPr>
        <w:rFonts w:hint="eastAsia" w:ascii="Times New Roman" w:hAnsi="Times New Roman" w:eastAsia="宋体" w:cs="Times New Roman"/>
      </w:rPr>
      <w:t>）</w:t>
    </w:r>
  </w:p>
  <w:p w14:paraId="1CC4676B">
    <w:pPr>
      <w:pStyle w:val="21"/>
      <w:pBdr>
        <w:bottom w:val="none" w:color="auto" w:sz="0" w:space="1"/>
      </w:pBdr>
      <w:rPr>
        <w:rFonts w:ascii="Times New Roman" w:hAnsi="Times New Roman"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01402">
    <w:pPr>
      <w:pStyle w:val="21"/>
    </w:pPr>
    <w:r>
      <w:rPr>
        <w:rFonts w:hint="eastAsia"/>
      </w:rPr>
      <w:t>南宁市政府采购竞争性磋商采购文件（项目编号：</w:t>
    </w:r>
    <w:r>
      <w:rPr>
        <w:rFonts w:hint="eastAsia"/>
        <w:lang w:eastAsia="zh-CN"/>
      </w:rPr>
      <w:t>NNZC2026-C2-990604-GLZB</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4,5,6,7"/>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1C4E"/>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00"/>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8C5"/>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456D"/>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37DE2"/>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49CA"/>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20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16AD"/>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41F"/>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12D2"/>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7D1"/>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2E86"/>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4FEF"/>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AF3D99"/>
    <w:rsid w:val="02511F9D"/>
    <w:rsid w:val="03A314B8"/>
    <w:rsid w:val="03D82B98"/>
    <w:rsid w:val="03F83E8B"/>
    <w:rsid w:val="05C56868"/>
    <w:rsid w:val="06897CA0"/>
    <w:rsid w:val="07B72767"/>
    <w:rsid w:val="08077E72"/>
    <w:rsid w:val="08882DD0"/>
    <w:rsid w:val="09CC2AAC"/>
    <w:rsid w:val="09D26E76"/>
    <w:rsid w:val="0A652D3E"/>
    <w:rsid w:val="0B326F2A"/>
    <w:rsid w:val="0C1E2888"/>
    <w:rsid w:val="0C92213C"/>
    <w:rsid w:val="0D84032B"/>
    <w:rsid w:val="0F2A74C4"/>
    <w:rsid w:val="107976D4"/>
    <w:rsid w:val="10A27F31"/>
    <w:rsid w:val="11927058"/>
    <w:rsid w:val="11D97125"/>
    <w:rsid w:val="13AF4F03"/>
    <w:rsid w:val="14736E66"/>
    <w:rsid w:val="147F458F"/>
    <w:rsid w:val="14D958EC"/>
    <w:rsid w:val="1534169A"/>
    <w:rsid w:val="15C03E03"/>
    <w:rsid w:val="162A25EB"/>
    <w:rsid w:val="16FD2A55"/>
    <w:rsid w:val="17067C1A"/>
    <w:rsid w:val="17366761"/>
    <w:rsid w:val="177C01F0"/>
    <w:rsid w:val="17C73DF4"/>
    <w:rsid w:val="17CE6630"/>
    <w:rsid w:val="1A366BDD"/>
    <w:rsid w:val="1AFF0AFE"/>
    <w:rsid w:val="1B4F19F8"/>
    <w:rsid w:val="1C226F03"/>
    <w:rsid w:val="1ECC44FA"/>
    <w:rsid w:val="1EFF2A97"/>
    <w:rsid w:val="1F063325"/>
    <w:rsid w:val="1FBC5DF5"/>
    <w:rsid w:val="1FF90588"/>
    <w:rsid w:val="20C3623F"/>
    <w:rsid w:val="21781212"/>
    <w:rsid w:val="21B83F86"/>
    <w:rsid w:val="221178A8"/>
    <w:rsid w:val="221213CF"/>
    <w:rsid w:val="22327A92"/>
    <w:rsid w:val="231D53A2"/>
    <w:rsid w:val="236D5383"/>
    <w:rsid w:val="23B7504C"/>
    <w:rsid w:val="23E0247D"/>
    <w:rsid w:val="24571307"/>
    <w:rsid w:val="25110A2A"/>
    <w:rsid w:val="256C0944"/>
    <w:rsid w:val="26446DE3"/>
    <w:rsid w:val="269669E7"/>
    <w:rsid w:val="26D7699F"/>
    <w:rsid w:val="278941DD"/>
    <w:rsid w:val="27942F63"/>
    <w:rsid w:val="2AAD2F10"/>
    <w:rsid w:val="2B774624"/>
    <w:rsid w:val="2C7A72BE"/>
    <w:rsid w:val="2C9A7D75"/>
    <w:rsid w:val="2CC17412"/>
    <w:rsid w:val="2E9976CE"/>
    <w:rsid w:val="2EBB2D18"/>
    <w:rsid w:val="2F401D3C"/>
    <w:rsid w:val="2F5B24E1"/>
    <w:rsid w:val="2FA95C88"/>
    <w:rsid w:val="3041370F"/>
    <w:rsid w:val="312B50A3"/>
    <w:rsid w:val="3238172D"/>
    <w:rsid w:val="32453A27"/>
    <w:rsid w:val="3263064A"/>
    <w:rsid w:val="32A43132"/>
    <w:rsid w:val="32AC0C06"/>
    <w:rsid w:val="33344EF5"/>
    <w:rsid w:val="3537750C"/>
    <w:rsid w:val="3537798C"/>
    <w:rsid w:val="35C13FC9"/>
    <w:rsid w:val="364257B6"/>
    <w:rsid w:val="37EA5922"/>
    <w:rsid w:val="38276B93"/>
    <w:rsid w:val="38AC3431"/>
    <w:rsid w:val="392F2E16"/>
    <w:rsid w:val="39E00529"/>
    <w:rsid w:val="3A0B64A7"/>
    <w:rsid w:val="3A574DDA"/>
    <w:rsid w:val="3AD3075A"/>
    <w:rsid w:val="3AF74C02"/>
    <w:rsid w:val="3B0B1FFB"/>
    <w:rsid w:val="3C0059A5"/>
    <w:rsid w:val="3C134E78"/>
    <w:rsid w:val="3DEC7285"/>
    <w:rsid w:val="3DF6345D"/>
    <w:rsid w:val="3E2B5515"/>
    <w:rsid w:val="3E4D4F28"/>
    <w:rsid w:val="3EE13701"/>
    <w:rsid w:val="3F1A4BB3"/>
    <w:rsid w:val="40192BA6"/>
    <w:rsid w:val="41766EA9"/>
    <w:rsid w:val="42550A18"/>
    <w:rsid w:val="429D496A"/>
    <w:rsid w:val="42F473A1"/>
    <w:rsid w:val="441E62C0"/>
    <w:rsid w:val="45325D14"/>
    <w:rsid w:val="45811C7C"/>
    <w:rsid w:val="45906116"/>
    <w:rsid w:val="468B3EFB"/>
    <w:rsid w:val="470A6193"/>
    <w:rsid w:val="47385210"/>
    <w:rsid w:val="47BB2029"/>
    <w:rsid w:val="47DC4F5C"/>
    <w:rsid w:val="483D2FCF"/>
    <w:rsid w:val="48B40671"/>
    <w:rsid w:val="48EB07F3"/>
    <w:rsid w:val="499B5738"/>
    <w:rsid w:val="499F244D"/>
    <w:rsid w:val="49D338FF"/>
    <w:rsid w:val="4A973F3F"/>
    <w:rsid w:val="4AF96BC7"/>
    <w:rsid w:val="4B5A416B"/>
    <w:rsid w:val="4B862A85"/>
    <w:rsid w:val="4BF7AB1E"/>
    <w:rsid w:val="4CEF36E2"/>
    <w:rsid w:val="4CEF4DC5"/>
    <w:rsid w:val="4D6016B1"/>
    <w:rsid w:val="4E257655"/>
    <w:rsid w:val="4E8E7871"/>
    <w:rsid w:val="4F372380"/>
    <w:rsid w:val="4F372FFB"/>
    <w:rsid w:val="5025116D"/>
    <w:rsid w:val="52395ECD"/>
    <w:rsid w:val="52C10D75"/>
    <w:rsid w:val="53C27FF8"/>
    <w:rsid w:val="549E1A80"/>
    <w:rsid w:val="54C658F4"/>
    <w:rsid w:val="550C4BD7"/>
    <w:rsid w:val="554C1D56"/>
    <w:rsid w:val="55572986"/>
    <w:rsid w:val="55C062DD"/>
    <w:rsid w:val="565340FA"/>
    <w:rsid w:val="5723343E"/>
    <w:rsid w:val="573D7EAB"/>
    <w:rsid w:val="598F7CA5"/>
    <w:rsid w:val="5A2F2CC8"/>
    <w:rsid w:val="5BA26962"/>
    <w:rsid w:val="5C10702D"/>
    <w:rsid w:val="5C152601"/>
    <w:rsid w:val="5C591F03"/>
    <w:rsid w:val="5C8A1B2F"/>
    <w:rsid w:val="5D914004"/>
    <w:rsid w:val="5F561B72"/>
    <w:rsid w:val="606007BB"/>
    <w:rsid w:val="60AC7F66"/>
    <w:rsid w:val="61BF10D9"/>
    <w:rsid w:val="61DA3D4C"/>
    <w:rsid w:val="62AC22DC"/>
    <w:rsid w:val="637833E8"/>
    <w:rsid w:val="64E45EF7"/>
    <w:rsid w:val="654237C0"/>
    <w:rsid w:val="6691014E"/>
    <w:rsid w:val="66C87CCE"/>
    <w:rsid w:val="677435B2"/>
    <w:rsid w:val="67EF75F1"/>
    <w:rsid w:val="69124F16"/>
    <w:rsid w:val="694A5205"/>
    <w:rsid w:val="69CD5C14"/>
    <w:rsid w:val="69CF0D33"/>
    <w:rsid w:val="6B9946B3"/>
    <w:rsid w:val="6C662189"/>
    <w:rsid w:val="6C7007C7"/>
    <w:rsid w:val="6DCF206C"/>
    <w:rsid w:val="6DE76850"/>
    <w:rsid w:val="6E3522FC"/>
    <w:rsid w:val="6FB20BD4"/>
    <w:rsid w:val="6FB650F7"/>
    <w:rsid w:val="6FBA59BE"/>
    <w:rsid w:val="70296B3E"/>
    <w:rsid w:val="70611204"/>
    <w:rsid w:val="71FE261C"/>
    <w:rsid w:val="73445350"/>
    <w:rsid w:val="74FA2C30"/>
    <w:rsid w:val="754D5C4B"/>
    <w:rsid w:val="76C240A7"/>
    <w:rsid w:val="775246B7"/>
    <w:rsid w:val="781E69D1"/>
    <w:rsid w:val="7A263B6B"/>
    <w:rsid w:val="7AF46346"/>
    <w:rsid w:val="7B0F5EBF"/>
    <w:rsid w:val="7B130FB9"/>
    <w:rsid w:val="7B1C2013"/>
    <w:rsid w:val="7BF64EDE"/>
    <w:rsid w:val="7C400C1E"/>
    <w:rsid w:val="7D8027B1"/>
    <w:rsid w:val="7DD11708"/>
    <w:rsid w:val="7EBD579E"/>
    <w:rsid w:val="7EC167BD"/>
    <w:rsid w:val="7F272D9E"/>
    <w:rsid w:val="7F7338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99" w:semiHidden="0" w:name="heading 4"/>
    <w:lsdException w:qFormat="1" w:uiPriority="0" w:semiHidden="0" w:name="heading 5"/>
    <w:lsdException w:qFormat="1" w:uiPriority="0" w:name="heading 6"/>
    <w:lsdException w:qFormat="1" w:uiPriority="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7"/>
    <w:unhideWhenUsed/>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38"/>
    <w:unhideWhenUsed/>
    <w:qFormat/>
    <w:uiPriority w:val="0"/>
    <w:pPr>
      <w:keepNext/>
      <w:keepLines/>
      <w:spacing w:before="260" w:after="260" w:line="416" w:lineRule="auto"/>
      <w:outlineLvl w:val="2"/>
    </w:pPr>
    <w:rPr>
      <w:b/>
      <w:bCs/>
      <w:sz w:val="32"/>
      <w:szCs w:val="32"/>
    </w:rPr>
  </w:style>
  <w:style w:type="paragraph" w:styleId="6">
    <w:name w:val="heading 4"/>
    <w:next w:val="1"/>
    <w:qFormat/>
    <w:uiPriority w:val="99"/>
    <w:pPr>
      <w:widowControl/>
      <w:spacing w:before="120" w:after="120" w:line="360" w:lineRule="auto"/>
      <w:jc w:val="center"/>
      <w:outlineLvl w:val="3"/>
    </w:pPr>
    <w:rPr>
      <w:rFonts w:ascii="Arial" w:hAnsi="Times New Roman" w:eastAsia="黑体" w:cs="Times New Roman"/>
      <w:kern w:val="0"/>
      <w:sz w:val="28"/>
      <w:szCs w:val="20"/>
      <w:lang w:val="en-US" w:eastAsia="zh-CN" w:bidi="ar-SA"/>
    </w:rPr>
  </w:style>
  <w:style w:type="paragraph" w:styleId="7">
    <w:name w:val="heading 5"/>
    <w:basedOn w:val="1"/>
    <w:next w:val="8"/>
    <w:link w:val="39"/>
    <w:unhideWhenUsed/>
    <w:qFormat/>
    <w:uiPriority w:val="0"/>
    <w:pPr>
      <w:keepNext/>
      <w:keepLines/>
      <w:spacing w:before="280" w:after="290" w:line="376" w:lineRule="auto"/>
      <w:outlineLvl w:val="4"/>
    </w:pPr>
    <w:rPr>
      <w:b/>
      <w:bCs/>
      <w:sz w:val="28"/>
      <w:szCs w:val="28"/>
    </w:rPr>
  </w:style>
  <w:style w:type="paragraph" w:styleId="9">
    <w:name w:val="heading 8"/>
    <w:basedOn w:val="1"/>
    <w:next w:val="1"/>
    <w:link w:val="40"/>
    <w:unhideWhenUsed/>
    <w:qFormat/>
    <w:uiPriority w:val="0"/>
    <w:pPr>
      <w:keepNext/>
      <w:keepLines/>
      <w:spacing w:before="240" w:after="64" w:line="320" w:lineRule="auto"/>
      <w:outlineLvl w:val="7"/>
    </w:pPr>
    <w:rPr>
      <w:rFonts w:ascii="等线 Light" w:hAnsi="等线 Light" w:eastAsia="等线 Light"/>
      <w:sz w:val="24"/>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customStyle="1" w:styleId="2">
    <w:name w:val="正文 首行缩进:  2 字符"/>
    <w:qFormat/>
    <w:uiPriority w:val="99"/>
    <w:pPr>
      <w:widowControl w:val="0"/>
      <w:ind w:firstLine="200" w:firstLineChars="200"/>
      <w:jc w:val="both"/>
    </w:pPr>
    <w:rPr>
      <w:rFonts w:ascii="Times New Roman" w:hAnsi="Times New Roman" w:eastAsia="宋体" w:cs="Times New Roman"/>
      <w:kern w:val="2"/>
      <w:sz w:val="24"/>
      <w:szCs w:val="24"/>
      <w:lang w:val="en-US" w:eastAsia="zh-CN" w:bidi="ar-SA"/>
    </w:rPr>
  </w:style>
  <w:style w:type="paragraph" w:styleId="8">
    <w:name w:val="Normal Indent"/>
    <w:basedOn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41"/>
    <w:qFormat/>
    <w:uiPriority w:val="0"/>
    <w:pPr>
      <w:jc w:val="left"/>
    </w:pPr>
  </w:style>
  <w:style w:type="paragraph" w:styleId="12">
    <w:name w:val="Body Text 3"/>
    <w:basedOn w:val="1"/>
    <w:link w:val="42"/>
    <w:qFormat/>
    <w:uiPriority w:val="0"/>
    <w:pPr>
      <w:spacing w:after="120"/>
    </w:pPr>
    <w:rPr>
      <w:sz w:val="16"/>
      <w:szCs w:val="16"/>
    </w:rPr>
  </w:style>
  <w:style w:type="paragraph" w:styleId="13">
    <w:name w:val="Body Text"/>
    <w:basedOn w:val="1"/>
    <w:link w:val="43"/>
    <w:qFormat/>
    <w:uiPriority w:val="0"/>
    <w:pPr>
      <w:spacing w:after="120"/>
    </w:pPr>
  </w:style>
  <w:style w:type="paragraph" w:styleId="14">
    <w:name w:val="Body Text Indent"/>
    <w:basedOn w:val="1"/>
    <w:link w:val="44"/>
    <w:qFormat/>
    <w:uiPriority w:val="0"/>
    <w:pPr>
      <w:ind w:firstLine="830" w:firstLineChars="352"/>
    </w:pPr>
    <w:rPr>
      <w:rFonts w:ascii="仿宋_GB2312" w:eastAsia="仿宋_GB2312"/>
      <w:kern w:val="0"/>
      <w:sz w:val="32"/>
      <w:szCs w:val="20"/>
    </w:rPr>
  </w:style>
  <w:style w:type="paragraph" w:styleId="15">
    <w:name w:val="List 2"/>
    <w:basedOn w:val="1"/>
    <w:qFormat/>
    <w:uiPriority w:val="0"/>
    <w:pPr>
      <w:ind w:left="100" w:leftChars="200" w:hanging="200" w:hangingChars="200"/>
      <w:contextualSpacing/>
    </w:pPr>
  </w:style>
  <w:style w:type="paragraph" w:styleId="16">
    <w:name w:val="toc 3"/>
    <w:basedOn w:val="1"/>
    <w:next w:val="1"/>
    <w:qFormat/>
    <w:uiPriority w:val="0"/>
    <w:pPr>
      <w:ind w:left="840" w:leftChars="400"/>
    </w:pPr>
  </w:style>
  <w:style w:type="paragraph" w:styleId="17">
    <w:name w:val="Plain Text"/>
    <w:basedOn w:val="1"/>
    <w:next w:val="6"/>
    <w:link w:val="45"/>
    <w:qFormat/>
    <w:uiPriority w:val="0"/>
    <w:rPr>
      <w:rFonts w:ascii="宋体" w:hAnsi="Courier New"/>
      <w:kern w:val="0"/>
      <w:sz w:val="20"/>
      <w:szCs w:val="21"/>
    </w:rPr>
  </w:style>
  <w:style w:type="paragraph" w:styleId="18">
    <w:name w:val="Date"/>
    <w:basedOn w:val="1"/>
    <w:next w:val="1"/>
    <w:link w:val="46"/>
    <w:qFormat/>
    <w:uiPriority w:val="0"/>
    <w:pPr>
      <w:ind w:left="100" w:leftChars="2500"/>
    </w:pPr>
  </w:style>
  <w:style w:type="paragraph" w:styleId="19">
    <w:name w:val="Balloon Text"/>
    <w:basedOn w:val="1"/>
    <w:link w:val="47"/>
    <w:qFormat/>
    <w:uiPriority w:val="0"/>
    <w:rPr>
      <w:sz w:val="18"/>
      <w:szCs w:val="18"/>
    </w:rPr>
  </w:style>
  <w:style w:type="paragraph" w:styleId="20">
    <w:name w:val="footer"/>
    <w:basedOn w:val="1"/>
    <w:link w:val="48"/>
    <w:unhideWhenUsed/>
    <w:qFormat/>
    <w:uiPriority w:val="99"/>
    <w:pPr>
      <w:tabs>
        <w:tab w:val="center" w:pos="4153"/>
        <w:tab w:val="right" w:pos="8306"/>
      </w:tabs>
      <w:snapToGrid w:val="0"/>
      <w:jc w:val="left"/>
    </w:pPr>
    <w:rPr>
      <w:kern w:val="0"/>
      <w:sz w:val="18"/>
      <w:szCs w:val="18"/>
    </w:rPr>
  </w:style>
  <w:style w:type="paragraph" w:styleId="21">
    <w:name w:val="header"/>
    <w:basedOn w:val="1"/>
    <w:link w:val="49"/>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420" w:leftChars="200"/>
    </w:pPr>
  </w:style>
  <w:style w:type="paragraph" w:styleId="25">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6">
    <w:name w:val="annotation subject"/>
    <w:basedOn w:val="11"/>
    <w:next w:val="11"/>
    <w:link w:val="50"/>
    <w:qFormat/>
    <w:uiPriority w:val="0"/>
    <w:rPr>
      <w:b/>
      <w:bCs/>
    </w:rPr>
  </w:style>
  <w:style w:type="table" w:styleId="28">
    <w:name w:val="Table Grid"/>
    <w:basedOn w:val="2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0">
    <w:name w:val="endnote reference"/>
    <w:qFormat/>
    <w:uiPriority w:val="0"/>
    <w:rPr>
      <w:vertAlign w:val="superscript"/>
    </w:rPr>
  </w:style>
  <w:style w:type="character" w:styleId="31">
    <w:name w:val="page number"/>
    <w:qFormat/>
    <w:uiPriority w:val="0"/>
  </w:style>
  <w:style w:type="character" w:styleId="32">
    <w:name w:val="FollowedHyperlink"/>
    <w:qFormat/>
    <w:uiPriority w:val="0"/>
    <w:rPr>
      <w:color w:val="800080"/>
      <w:u w:val="single"/>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character" w:customStyle="1" w:styleId="35">
    <w:name w:val="标题 2 Char"/>
    <w:link w:val="4"/>
    <w:qFormat/>
    <w:uiPriority w:val="9"/>
    <w:rPr>
      <w:rFonts w:ascii="Cambria" w:hAnsi="Cambria" w:eastAsia="宋体" w:cs="Times New Roman"/>
      <w:b/>
      <w:bCs/>
      <w:kern w:val="2"/>
      <w:sz w:val="32"/>
      <w:szCs w:val="32"/>
    </w:rPr>
  </w:style>
  <w:style w:type="character" w:customStyle="1" w:styleId="36">
    <w:name w:val="标题 1 字符2"/>
    <w:link w:val="3"/>
    <w:qFormat/>
    <w:uiPriority w:val="9"/>
    <w:rPr>
      <w:b/>
      <w:bCs/>
      <w:kern w:val="44"/>
      <w:sz w:val="44"/>
      <w:szCs w:val="44"/>
    </w:rPr>
  </w:style>
  <w:style w:type="character" w:customStyle="1" w:styleId="37">
    <w:name w:val="标题 2 字符1"/>
    <w:link w:val="4"/>
    <w:qFormat/>
    <w:uiPriority w:val="9"/>
    <w:rPr>
      <w:rFonts w:ascii="Cambria" w:hAnsi="Cambria" w:eastAsia="宋体" w:cs="Times New Roman"/>
      <w:b/>
      <w:bCs/>
      <w:kern w:val="2"/>
      <w:sz w:val="32"/>
      <w:szCs w:val="32"/>
    </w:rPr>
  </w:style>
  <w:style w:type="character" w:customStyle="1" w:styleId="38">
    <w:name w:val="标题 3 字符1"/>
    <w:link w:val="5"/>
    <w:qFormat/>
    <w:uiPriority w:val="9"/>
    <w:rPr>
      <w:b/>
      <w:bCs/>
      <w:kern w:val="2"/>
      <w:sz w:val="32"/>
      <w:szCs w:val="32"/>
    </w:rPr>
  </w:style>
  <w:style w:type="character" w:customStyle="1" w:styleId="39">
    <w:name w:val="标题 5 字符1"/>
    <w:link w:val="7"/>
    <w:qFormat/>
    <w:uiPriority w:val="9"/>
    <w:rPr>
      <w:rFonts w:ascii="Times New Roman" w:hAnsi="Times New Roman"/>
      <w:b/>
      <w:bCs/>
      <w:kern w:val="2"/>
      <w:sz w:val="28"/>
      <w:szCs w:val="28"/>
    </w:rPr>
  </w:style>
  <w:style w:type="character" w:customStyle="1" w:styleId="40">
    <w:name w:val="标题 8 字符1"/>
    <w:link w:val="9"/>
    <w:qFormat/>
    <w:uiPriority w:val="9"/>
    <w:rPr>
      <w:rFonts w:ascii="等线 Light" w:hAnsi="等线 Light" w:eastAsia="等线 Light" w:cs="Times New Roman"/>
      <w:kern w:val="2"/>
      <w:sz w:val="24"/>
      <w:szCs w:val="24"/>
    </w:rPr>
  </w:style>
  <w:style w:type="character" w:customStyle="1" w:styleId="41">
    <w:name w:val="批注文字 字符3"/>
    <w:link w:val="11"/>
    <w:qFormat/>
    <w:uiPriority w:val="0"/>
    <w:rPr>
      <w:rFonts w:ascii="Times New Roman" w:hAnsi="Times New Roman"/>
      <w:kern w:val="2"/>
      <w:sz w:val="21"/>
      <w:szCs w:val="24"/>
    </w:rPr>
  </w:style>
  <w:style w:type="character" w:customStyle="1" w:styleId="42">
    <w:name w:val="正文文本 3 字符1"/>
    <w:link w:val="12"/>
    <w:qFormat/>
    <w:uiPriority w:val="99"/>
    <w:rPr>
      <w:kern w:val="2"/>
      <w:sz w:val="16"/>
      <w:szCs w:val="16"/>
    </w:rPr>
  </w:style>
  <w:style w:type="character" w:customStyle="1" w:styleId="43">
    <w:name w:val="正文文本 字符2"/>
    <w:link w:val="13"/>
    <w:qFormat/>
    <w:uiPriority w:val="0"/>
    <w:rPr>
      <w:rFonts w:ascii="Times New Roman" w:hAnsi="Times New Roman"/>
      <w:kern w:val="2"/>
      <w:sz w:val="21"/>
      <w:szCs w:val="24"/>
    </w:rPr>
  </w:style>
  <w:style w:type="character" w:customStyle="1" w:styleId="44">
    <w:name w:val="正文文本缩进 字符1"/>
    <w:link w:val="14"/>
    <w:qFormat/>
    <w:uiPriority w:val="0"/>
    <w:rPr>
      <w:rFonts w:ascii="仿宋_GB2312" w:hAnsi="Times New Roman" w:eastAsia="仿宋_GB2312" w:cs="Times New Roman"/>
      <w:sz w:val="32"/>
      <w:szCs w:val="20"/>
    </w:rPr>
  </w:style>
  <w:style w:type="character" w:customStyle="1" w:styleId="45">
    <w:name w:val="纯文本 字符4"/>
    <w:link w:val="17"/>
    <w:qFormat/>
    <w:uiPriority w:val="0"/>
    <w:rPr>
      <w:rFonts w:ascii="宋体" w:hAnsi="Courier New" w:eastAsia="宋体" w:cs="Courier New"/>
      <w:szCs w:val="21"/>
    </w:rPr>
  </w:style>
  <w:style w:type="character" w:customStyle="1" w:styleId="46">
    <w:name w:val="日期 字符1"/>
    <w:link w:val="18"/>
    <w:qFormat/>
    <w:uiPriority w:val="99"/>
    <w:rPr>
      <w:rFonts w:ascii="Times New Roman" w:hAnsi="Times New Roman"/>
      <w:kern w:val="2"/>
      <w:sz w:val="21"/>
      <w:szCs w:val="24"/>
    </w:rPr>
  </w:style>
  <w:style w:type="character" w:customStyle="1" w:styleId="47">
    <w:name w:val="批注框文本 字符"/>
    <w:link w:val="19"/>
    <w:semiHidden/>
    <w:qFormat/>
    <w:uiPriority w:val="99"/>
    <w:rPr>
      <w:kern w:val="2"/>
      <w:sz w:val="18"/>
      <w:szCs w:val="18"/>
    </w:rPr>
  </w:style>
  <w:style w:type="character" w:customStyle="1" w:styleId="48">
    <w:name w:val="页脚 字符1"/>
    <w:link w:val="20"/>
    <w:qFormat/>
    <w:uiPriority w:val="99"/>
    <w:rPr>
      <w:sz w:val="18"/>
      <w:szCs w:val="18"/>
    </w:rPr>
  </w:style>
  <w:style w:type="character" w:customStyle="1" w:styleId="49">
    <w:name w:val="页眉 字符1"/>
    <w:link w:val="21"/>
    <w:qFormat/>
    <w:uiPriority w:val="99"/>
    <w:rPr>
      <w:sz w:val="18"/>
      <w:szCs w:val="18"/>
    </w:rPr>
  </w:style>
  <w:style w:type="character" w:customStyle="1" w:styleId="50">
    <w:name w:val="批注主题 字符1"/>
    <w:link w:val="26"/>
    <w:qFormat/>
    <w:uiPriority w:val="99"/>
    <w:rPr>
      <w:rFonts w:ascii="Times New Roman" w:hAnsi="Times New Roman"/>
      <w:b/>
      <w:bCs/>
      <w:kern w:val="2"/>
      <w:sz w:val="21"/>
      <w:szCs w:val="24"/>
    </w:rPr>
  </w:style>
  <w:style w:type="character" w:customStyle="1" w:styleId="51">
    <w:name w:val="纯文本 字符2"/>
    <w:qFormat/>
    <w:uiPriority w:val="0"/>
    <w:rPr>
      <w:rFonts w:ascii="宋体" w:hAnsi="Courier New" w:eastAsia="宋体" w:cs="Courier New"/>
      <w:szCs w:val="21"/>
    </w:rPr>
  </w:style>
  <w:style w:type="character" w:customStyle="1" w:styleId="52">
    <w:name w:val="apple-style-span"/>
    <w:qFormat/>
    <w:uiPriority w:val="0"/>
  </w:style>
  <w:style w:type="character" w:customStyle="1" w:styleId="53">
    <w:name w:val="纯文本 字符"/>
    <w:qFormat/>
    <w:uiPriority w:val="0"/>
    <w:rPr>
      <w:rFonts w:ascii="宋体" w:hAnsi="Courier New" w:eastAsia="宋体" w:cs="Courier New"/>
      <w:szCs w:val="21"/>
    </w:rPr>
  </w:style>
  <w:style w:type="character" w:customStyle="1" w:styleId="54">
    <w:name w:val="纯文本 字符1"/>
    <w:qFormat/>
    <w:uiPriority w:val="0"/>
    <w:rPr>
      <w:rFonts w:ascii="宋体" w:hAnsi="Courier New"/>
    </w:rPr>
  </w:style>
  <w:style w:type="character" w:customStyle="1" w:styleId="55">
    <w:name w:val="标题 8 Char"/>
    <w:qFormat/>
    <w:uiPriority w:val="0"/>
    <w:rPr>
      <w:rFonts w:ascii="Arial" w:hAnsi="Arial" w:eastAsia="黑体"/>
      <w:kern w:val="2"/>
      <w:sz w:val="24"/>
      <w:szCs w:val="24"/>
    </w:rPr>
  </w:style>
  <w:style w:type="character" w:customStyle="1" w:styleId="56">
    <w:name w:val="纯文本 Char"/>
    <w:qFormat/>
    <w:uiPriority w:val="0"/>
    <w:rPr>
      <w:rFonts w:ascii="宋体" w:hAnsi="Courier New" w:eastAsia="宋体" w:cs="Courier New"/>
      <w:szCs w:val="21"/>
    </w:rPr>
  </w:style>
  <w:style w:type="character" w:customStyle="1" w:styleId="57">
    <w:name w:val="正文文本 Char"/>
    <w:qFormat/>
    <w:uiPriority w:val="0"/>
    <w:rPr>
      <w:rFonts w:ascii="Times New Roman" w:hAnsi="Times New Roman"/>
      <w:kern w:val="2"/>
      <w:sz w:val="21"/>
      <w:szCs w:val="24"/>
    </w:rPr>
  </w:style>
  <w:style w:type="character" w:customStyle="1" w:styleId="58">
    <w:name w:val="批注文字 字符1"/>
    <w:qFormat/>
    <w:uiPriority w:val="0"/>
    <w:rPr>
      <w:rFonts w:ascii="Times New Roman" w:hAnsi="Times New Roman"/>
      <w:kern w:val="2"/>
      <w:sz w:val="21"/>
      <w:szCs w:val="24"/>
    </w:rPr>
  </w:style>
  <w:style w:type="character" w:customStyle="1" w:styleId="5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0">
    <w:name w:val="标题 1 字符1"/>
    <w:qFormat/>
    <w:uiPriority w:val="0"/>
    <w:rPr>
      <w:b/>
      <w:bCs/>
      <w:kern w:val="44"/>
      <w:sz w:val="44"/>
      <w:szCs w:val="44"/>
    </w:rPr>
  </w:style>
  <w:style w:type="character" w:customStyle="1" w:styleId="61">
    <w:name w:val="正文文本 字符"/>
    <w:qFormat/>
    <w:uiPriority w:val="0"/>
    <w:rPr>
      <w:rFonts w:ascii="Times New Roman" w:hAnsi="Times New Roman"/>
      <w:kern w:val="2"/>
      <w:sz w:val="21"/>
      <w:szCs w:val="24"/>
    </w:rPr>
  </w:style>
  <w:style w:type="character" w:customStyle="1" w:styleId="62">
    <w:name w:val="批注文字 字符"/>
    <w:qFormat/>
    <w:uiPriority w:val="0"/>
    <w:rPr>
      <w:rFonts w:ascii="Times New Roman" w:hAnsi="Times New Roman"/>
      <w:kern w:val="2"/>
      <w:sz w:val="21"/>
      <w:szCs w:val="24"/>
    </w:rPr>
  </w:style>
  <w:style w:type="character" w:customStyle="1" w:styleId="63">
    <w:name w:val="textcontents"/>
    <w:qFormat/>
    <w:uiPriority w:val="0"/>
  </w:style>
  <w:style w:type="character" w:customStyle="1" w:styleId="64">
    <w:name w:val="批注文字 Char"/>
    <w:qFormat/>
    <w:uiPriority w:val="0"/>
    <w:rPr>
      <w:rFonts w:ascii="Times New Roman" w:hAnsi="Times New Roman"/>
      <w:kern w:val="2"/>
      <w:sz w:val="21"/>
      <w:szCs w:val="24"/>
    </w:rPr>
  </w:style>
  <w:style w:type="paragraph" w:customStyle="1" w:styleId="65">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styleId="66">
    <w:name w:val="List Paragraph"/>
    <w:basedOn w:val="1"/>
    <w:qFormat/>
    <w:uiPriority w:val="34"/>
    <w:pPr>
      <w:ind w:firstLine="420" w:firstLineChars="200"/>
    </w:pPr>
  </w:style>
  <w:style w:type="paragraph" w:customStyle="1" w:styleId="67">
    <w:name w:val="默认段落字体 Para Char Char Char Char Char Char Char Char Char1 Char Char Char Char"/>
    <w:basedOn w:val="1"/>
    <w:qFormat/>
    <w:uiPriority w:val="99"/>
    <w:rPr>
      <w:rFonts w:ascii="Tahoma" w:hAnsi="Tahoma"/>
      <w:sz w:val="24"/>
      <w:szCs w:val="20"/>
    </w:rPr>
  </w:style>
  <w:style w:type="paragraph" w:customStyle="1" w:styleId="68">
    <w:name w:val="Table Paragraph"/>
    <w:basedOn w:val="1"/>
    <w:qFormat/>
    <w:uiPriority w:val="1"/>
    <w:pPr>
      <w:jc w:val="left"/>
    </w:pPr>
    <w:rPr>
      <w:rFonts w:ascii="Calibri" w:hAnsi="Calibri"/>
      <w:kern w:val="0"/>
      <w:sz w:val="22"/>
      <w:szCs w:val="22"/>
      <w:lang w:eastAsia="en-US"/>
    </w:rPr>
  </w:style>
  <w:style w:type="paragraph" w:customStyle="1" w:styleId="69">
    <w:name w:val="Char Char Char Char"/>
    <w:basedOn w:val="1"/>
    <w:qFormat/>
    <w:uiPriority w:val="99"/>
    <w:pPr>
      <w:widowControl/>
      <w:spacing w:after="160" w:line="240" w:lineRule="exact"/>
      <w:jc w:val="left"/>
    </w:pPr>
  </w:style>
  <w:style w:type="character" w:customStyle="1" w:styleId="70">
    <w:name w:val="_Style 69"/>
    <w:unhideWhenUsed/>
    <w:qFormat/>
    <w:uiPriority w:val="99"/>
    <w:rPr>
      <w:color w:val="605E5C"/>
      <w:shd w:val="clear" w:color="auto" w:fill="E1DFDD"/>
    </w:rPr>
  </w:style>
  <w:style w:type="paragraph" w:customStyle="1" w:styleId="71">
    <w:name w:val="_Style 70"/>
    <w:basedOn w:val="3"/>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character" w:customStyle="1" w:styleId="72">
    <w:name w:val="正文2 Char Char"/>
    <w:link w:val="73"/>
    <w:qFormat/>
    <w:uiPriority w:val="0"/>
    <w:rPr>
      <w:sz w:val="24"/>
    </w:rPr>
  </w:style>
  <w:style w:type="paragraph" w:customStyle="1" w:styleId="73">
    <w:name w:val="正文2"/>
    <w:basedOn w:val="1"/>
    <w:link w:val="72"/>
    <w:qFormat/>
    <w:uiPriority w:val="0"/>
    <w:pPr>
      <w:adjustRightInd w:val="0"/>
      <w:spacing w:before="156" w:line="360" w:lineRule="auto"/>
      <w:ind w:firstLine="510" w:firstLineChars="200"/>
    </w:pPr>
    <w:rPr>
      <w:kern w:val="0"/>
      <w:sz w:val="24"/>
      <w:szCs w:val="20"/>
    </w:rPr>
  </w:style>
  <w:style w:type="paragraph" w:customStyle="1" w:styleId="74">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75">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76">
    <w:name w:val="标题 1 字符"/>
    <w:qFormat/>
    <w:uiPriority w:val="9"/>
    <w:rPr>
      <w:b/>
      <w:bCs/>
      <w:kern w:val="44"/>
      <w:sz w:val="44"/>
      <w:szCs w:val="44"/>
    </w:rPr>
  </w:style>
  <w:style w:type="character" w:customStyle="1" w:styleId="77">
    <w:name w:val="标题 2 字符"/>
    <w:qFormat/>
    <w:uiPriority w:val="9"/>
    <w:rPr>
      <w:rFonts w:ascii="Cambria" w:hAnsi="Cambria"/>
      <w:b/>
      <w:bCs/>
      <w:kern w:val="2"/>
      <w:sz w:val="32"/>
      <w:szCs w:val="32"/>
    </w:rPr>
  </w:style>
  <w:style w:type="character" w:customStyle="1" w:styleId="78">
    <w:name w:val="标题 3 字符"/>
    <w:qFormat/>
    <w:uiPriority w:val="9"/>
    <w:rPr>
      <w:b/>
      <w:bCs/>
      <w:kern w:val="2"/>
      <w:sz w:val="32"/>
      <w:szCs w:val="32"/>
    </w:rPr>
  </w:style>
  <w:style w:type="character" w:customStyle="1" w:styleId="79">
    <w:name w:val="标题 5 字符"/>
    <w:qFormat/>
    <w:uiPriority w:val="9"/>
    <w:rPr>
      <w:b/>
      <w:bCs/>
      <w:kern w:val="2"/>
      <w:sz w:val="28"/>
      <w:szCs w:val="28"/>
    </w:rPr>
  </w:style>
  <w:style w:type="character" w:customStyle="1" w:styleId="80">
    <w:name w:val="标题 8 字符"/>
    <w:qFormat/>
    <w:uiPriority w:val="9"/>
    <w:rPr>
      <w:rFonts w:ascii="等线 Light" w:hAnsi="等线 Light" w:eastAsia="等线 Light"/>
      <w:kern w:val="2"/>
      <w:sz w:val="24"/>
      <w:szCs w:val="24"/>
    </w:rPr>
  </w:style>
  <w:style w:type="character" w:customStyle="1" w:styleId="81">
    <w:name w:val="批注文字 字符2"/>
    <w:qFormat/>
    <w:uiPriority w:val="99"/>
    <w:rPr>
      <w:kern w:val="2"/>
      <w:sz w:val="21"/>
      <w:szCs w:val="24"/>
    </w:rPr>
  </w:style>
  <w:style w:type="character" w:customStyle="1" w:styleId="82">
    <w:name w:val="正文文本 3 字符"/>
    <w:qFormat/>
    <w:uiPriority w:val="99"/>
    <w:rPr>
      <w:kern w:val="2"/>
      <w:sz w:val="16"/>
      <w:szCs w:val="16"/>
    </w:rPr>
  </w:style>
  <w:style w:type="character" w:customStyle="1" w:styleId="83">
    <w:name w:val="正文文本 字符1"/>
    <w:qFormat/>
    <w:uiPriority w:val="99"/>
    <w:rPr>
      <w:kern w:val="2"/>
      <w:sz w:val="21"/>
      <w:szCs w:val="24"/>
    </w:rPr>
  </w:style>
  <w:style w:type="character" w:customStyle="1" w:styleId="84">
    <w:name w:val="正文文本缩进 字符"/>
    <w:qFormat/>
    <w:uiPriority w:val="99"/>
    <w:rPr>
      <w:rFonts w:ascii="仿宋_GB2312" w:eastAsia="仿宋_GB2312"/>
      <w:sz w:val="32"/>
    </w:rPr>
  </w:style>
  <w:style w:type="character" w:customStyle="1" w:styleId="85">
    <w:name w:val="纯文本 字符3"/>
    <w:qFormat/>
    <w:uiPriority w:val="99"/>
    <w:rPr>
      <w:rFonts w:ascii="宋体" w:hAnsi="Courier New"/>
      <w:szCs w:val="21"/>
    </w:rPr>
  </w:style>
  <w:style w:type="character" w:customStyle="1" w:styleId="86">
    <w:name w:val="日期 字符"/>
    <w:qFormat/>
    <w:uiPriority w:val="99"/>
    <w:rPr>
      <w:kern w:val="2"/>
      <w:sz w:val="21"/>
      <w:szCs w:val="24"/>
    </w:rPr>
  </w:style>
  <w:style w:type="character" w:customStyle="1" w:styleId="87">
    <w:name w:val="页脚 字符"/>
    <w:qFormat/>
    <w:uiPriority w:val="99"/>
    <w:rPr>
      <w:sz w:val="18"/>
      <w:szCs w:val="18"/>
    </w:rPr>
  </w:style>
  <w:style w:type="character" w:customStyle="1" w:styleId="88">
    <w:name w:val="页眉 字符"/>
    <w:qFormat/>
    <w:uiPriority w:val="99"/>
    <w:rPr>
      <w:sz w:val="18"/>
      <w:szCs w:val="18"/>
    </w:rPr>
  </w:style>
  <w:style w:type="character" w:customStyle="1" w:styleId="89">
    <w:name w:val="批注主题 字符"/>
    <w:qFormat/>
    <w:uiPriority w:val="99"/>
    <w:rPr>
      <w:rFonts w:ascii="Times New Roman" w:hAnsi="Times New Roman"/>
      <w:b/>
      <w:bCs/>
      <w:kern w:val="2"/>
      <w:sz w:val="21"/>
      <w:szCs w:val="24"/>
    </w:rPr>
  </w:style>
  <w:style w:type="paragraph" w:customStyle="1" w:styleId="90">
    <w:name w:val="_Style 94"/>
    <w:basedOn w:val="1"/>
    <w:unhideWhenUsed/>
    <w:qFormat/>
    <w:uiPriority w:val="99"/>
  </w:style>
  <w:style w:type="paragraph" w:customStyle="1" w:styleId="91">
    <w:name w:val="_Style 95"/>
    <w:basedOn w:val="1"/>
    <w:unhideWhenUsed/>
    <w:qFormat/>
    <w:uiPriority w:val="99"/>
  </w:style>
  <w:style w:type="paragraph" w:customStyle="1" w:styleId="92">
    <w:name w:val="msonormal"/>
    <w:basedOn w:val="1"/>
    <w:qFormat/>
    <w:uiPriority w:val="99"/>
    <w:rPr>
      <w:rFonts w:ascii="Calibri" w:hAnsi="Calibri"/>
      <w:kern w:val="0"/>
      <w:sz w:val="24"/>
    </w:rPr>
  </w:style>
  <w:style w:type="character" w:customStyle="1" w:styleId="93">
    <w:name w:val="15"/>
    <w:qFormat/>
    <w:uiPriority w:val="0"/>
    <w:rPr>
      <w:rFonts w:hint="default" w:ascii="Times New Roman" w:hAnsi="Times New Roman" w:cs="Times New Roman"/>
      <w:color w:val="0000FF"/>
      <w:u w:val="single"/>
    </w:rPr>
  </w:style>
  <w:style w:type="paragraph" w:customStyle="1" w:styleId="94">
    <w:name w:val="表格文字115"/>
    <w:qFormat/>
    <w:uiPriority w:val="0"/>
    <w:pPr>
      <w:widowControl w:val="0"/>
      <w:spacing w:before="25" w:after="25"/>
      <w:jc w:val="left"/>
    </w:pPr>
    <w:rPr>
      <w:rFonts w:ascii="Times New Roman" w:hAnsi="Times New Roman" w:eastAsia="宋体" w:cs="Times New Roman"/>
      <w:bCs/>
      <w:spacing w:val="10"/>
      <w:kern w:val="0"/>
      <w:sz w:val="24"/>
      <w:szCs w:val="24"/>
      <w:lang w:val="en-US" w:eastAsia="zh-CN" w:bidi="ar-SA"/>
    </w:rPr>
  </w:style>
  <w:style w:type="paragraph" w:customStyle="1" w:styleId="95">
    <w:name w:val="font5"/>
    <w:qFormat/>
    <w:uiPriority w:val="0"/>
    <w:pPr>
      <w:widowControl/>
      <w:spacing w:before="100" w:beforeAutospacing="1" w:after="100" w:afterAutospacing="1"/>
      <w:jc w:val="left"/>
    </w:pPr>
    <w:rPr>
      <w:rFonts w:ascii="Times New Roman" w:hAnsi="Times New Roman" w:eastAsia="宋体" w:cs="Times New Roman"/>
      <w:kern w:val="0"/>
      <w:sz w:val="24"/>
      <w:szCs w:val="20"/>
      <w:lang w:val="en-US" w:eastAsia="zh-CN" w:bidi="ar-SA"/>
    </w:rPr>
  </w:style>
  <w:style w:type="paragraph" w:customStyle="1" w:styleId="9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97">
    <w:name w:val="正文文本_1"/>
    <w:next w:val="96"/>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98">
    <w:name w:val="正文文本_0_0"/>
    <w:unhideWhenUsed/>
    <w:qFormat/>
    <w:uiPriority w:val="0"/>
    <w:pPr>
      <w:widowControl w:val="0"/>
      <w:adjustRightInd w:val="0"/>
      <w:spacing w:beforeLines="0" w:after="60" w:afterLines="0" w:line="360" w:lineRule="atLeast"/>
      <w:ind w:left="72" w:leftChars="30" w:right="30" w:rightChars="30"/>
      <w:jc w:val="center"/>
      <w:textAlignment w:val="baseline"/>
    </w:pPr>
    <w:rPr>
      <w:rFonts w:hint="default" w:ascii="Times New Roman" w:hAnsi="Times New Roman" w:eastAsia="宋体" w:cs="Times New Roman"/>
      <w:kern w:val="2"/>
      <w:sz w:val="21"/>
      <w:szCs w:val="24"/>
      <w:lang w:val="en-US" w:eastAsia="zh-CN" w:bidi="ar-SA"/>
    </w:rPr>
  </w:style>
  <w:style w:type="paragraph" w:customStyle="1" w:styleId="99">
    <w:name w:val="标题 3_1"/>
    <w:next w:val="96"/>
    <w:qFormat/>
    <w:uiPriority w:val="0"/>
    <w:pPr>
      <w:keepNext/>
      <w:keepLines/>
      <w:widowControl w:val="0"/>
      <w:spacing w:before="240" w:beforeLines="0" w:after="120" w:afterLines="0" w:line="240" w:lineRule="auto"/>
      <w:outlineLvl w:val="2"/>
    </w:pPr>
    <w:rPr>
      <w:rFonts w:ascii="Times New Roman" w:hAnsi="Times New Roman" w:eastAsia="宋体" w:cs="Times New Roman"/>
      <w:b/>
      <w:color w:val="auto"/>
      <w:sz w:val="32"/>
      <w:szCs w:val="20"/>
      <w:lang w:val="en-US" w:eastAsia="en-US" w:bidi="ar-SA"/>
    </w:rPr>
  </w:style>
  <w:style w:type="paragraph" w:customStyle="1" w:styleId="100">
    <w:name w:val="Body text|1_1"/>
    <w:qFormat/>
    <w:uiPriority w:val="0"/>
    <w:pPr>
      <w:widowControl w:val="0"/>
      <w:spacing w:line="360" w:lineRule="auto"/>
      <w:ind w:firstLine="400"/>
    </w:pPr>
    <w:rPr>
      <w:rFonts w:ascii="宋体" w:hAnsi="宋体" w:eastAsia="宋体" w:cs="宋体"/>
      <w:color w:val="auto"/>
      <w:sz w:val="20"/>
      <w:szCs w:val="20"/>
      <w:lang w:val="zh-CN" w:eastAsia="zh-CN" w:bidi="zh-CN"/>
    </w:rPr>
  </w:style>
  <w:style w:type="paragraph" w:customStyle="1" w:styleId="101">
    <w:name w:val="Body text|2_0"/>
    <w:qFormat/>
    <w:uiPriority w:val="0"/>
    <w:pPr>
      <w:widowControl w:val="0"/>
      <w:spacing w:after="30"/>
      <w:ind w:firstLine="420"/>
    </w:pPr>
    <w:rPr>
      <w:rFonts w:ascii="Times New Roman" w:hAnsi="Times New Roman" w:eastAsia="宋体" w:cs="Times New Roman"/>
      <w:color w:val="auto"/>
      <w:sz w:val="20"/>
      <w:szCs w:val="20"/>
      <w:lang w:val="en-US" w:eastAsia="en-US" w:bidi="ar-SA"/>
    </w:rPr>
  </w:style>
  <w:style w:type="paragraph" w:customStyle="1" w:styleId="102">
    <w:name w:val="Other|1_1"/>
    <w:qFormat/>
    <w:uiPriority w:val="0"/>
    <w:pPr>
      <w:widowControl w:val="0"/>
      <w:spacing w:line="360" w:lineRule="auto"/>
      <w:ind w:firstLine="400"/>
    </w:pPr>
    <w:rPr>
      <w:rFonts w:ascii="宋体" w:hAnsi="宋体" w:eastAsia="宋体" w:cs="宋体"/>
      <w:color w:val="auto"/>
      <w:sz w:val="20"/>
      <w:szCs w:val="20"/>
      <w:lang w:val="zh-CN" w:eastAsia="zh-CN" w:bidi="zh-CN"/>
    </w:rPr>
  </w:style>
  <w:style w:type="paragraph" w:customStyle="1" w:styleId="103">
    <w:name w:val="正文_2_0"/>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04">
    <w:name w:val="正文_2_1"/>
    <w:next w:val="105"/>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105">
    <w:name w:val="标题 4_0"/>
    <w:next w:val="104"/>
    <w:qFormat/>
    <w:uiPriority w:val="9"/>
    <w:pPr>
      <w:keepNext/>
      <w:keepLines/>
      <w:widowControl w:val="0"/>
      <w:spacing w:before="280" w:after="290" w:line="376" w:lineRule="auto"/>
      <w:outlineLvl w:val="3"/>
    </w:pPr>
    <w:rPr>
      <w:rFonts w:ascii="等线 Light" w:hAnsi="等线 Light" w:eastAsia="等线 Light" w:cs="Times New Roman"/>
      <w:b/>
      <w:bCs/>
      <w:color w:val="000000"/>
      <w:sz w:val="28"/>
      <w:szCs w:val="28"/>
      <w:lang w:val="en-US" w:eastAsia="en-US" w:bidi="en-US"/>
    </w:rPr>
  </w:style>
  <w:style w:type="paragraph" w:customStyle="1" w:styleId="106">
    <w:name w:val="Body text|1_1_0"/>
    <w:qFormat/>
    <w:uiPriority w:val="0"/>
    <w:pPr>
      <w:widowControl w:val="0"/>
      <w:spacing w:line="360" w:lineRule="auto"/>
      <w:ind w:firstLine="400"/>
    </w:pPr>
    <w:rPr>
      <w:rFonts w:ascii="宋体" w:hAnsi="宋体" w:eastAsia="宋体" w:cs="宋体"/>
      <w:color w:val="auto"/>
      <w:sz w:val="20"/>
      <w:szCs w:val="20"/>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image" Target="media/image1.w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145</Pages>
  <Words>1579</Words>
  <Characters>1856</Characters>
  <Lines>2320</Lines>
  <Paragraphs>2254</Paragraphs>
  <TotalTime>106</TotalTime>
  <ScaleCrop>false</ScaleCrop>
  <LinksUpToDate>false</LinksUpToDate>
  <CharactersWithSpaces>1945</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2021-08-17T12:20:00Z</dcterms:created>
  <dc:creator>唐冰</dc:creator>
  <cp:lastModifiedBy>招标代理机构</cp:lastModifiedBy>
  <cp:lastPrinted>2021-08-26T10:26:00Z</cp:lastPrinted>
  <dcterms:modified xsi:type="dcterms:W3CDTF">2026-07-24T15:32:56Z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AB89428027254428837B64735E511F94_13</vt:lpwstr>
  </property>
  <property fmtid="{D5CDD505-2E9C-101B-9397-08002B2CF9AE}" pid="4" name="KSOTemplateDocerSaveRecord">
    <vt:lpwstr>eyJoZGlkIjoiY2ExZGU5YTk5NTc0NmEwNTg5MWNhZWEzNDNmZWRjZDIiLCJ1c2VySWQiOiIzNjQ5MTc2OTQifQ==</vt:lpwstr>
  </property>
</Properties>
</file>