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1609E">
      <w:pPr>
        <w:shd w:val="clear"/>
        <w:jc w:val="center"/>
        <w:rPr>
          <w:rFonts w:hint="eastAsia" w:ascii="华文新魏" w:hAnsi="宋体" w:eastAsia="华文新魏"/>
          <w:color w:val="auto"/>
          <w:sz w:val="52"/>
          <w:szCs w:val="52"/>
          <w:highlight w:val="none"/>
        </w:rPr>
      </w:pPr>
    </w:p>
    <w:p w14:paraId="0B1DDC8F">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1E21CB3E">
      <w:pPr>
        <w:shd w:val="clear"/>
        <w:spacing w:before="156" w:beforeLines="50"/>
        <w:jc w:val="center"/>
        <w:rPr>
          <w:rFonts w:hint="eastAsia" w:ascii="楷体" w:hAnsi="楷体" w:eastAsia="楷体"/>
          <w:color w:val="auto"/>
          <w:sz w:val="48"/>
          <w:szCs w:val="48"/>
          <w:highlight w:val="none"/>
        </w:rPr>
      </w:pPr>
    </w:p>
    <w:p w14:paraId="25A5F028">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竞争性谈判文件</w:t>
      </w:r>
    </w:p>
    <w:p w14:paraId="69D37ECA">
      <w:pPr>
        <w:pStyle w:val="21"/>
        <w:shd w:val="clear"/>
        <w:snapToGrid w:val="0"/>
        <w:spacing w:before="120" w:after="120" w:line="360" w:lineRule="auto"/>
        <w:rPr>
          <w:rFonts w:hint="eastAsia" w:ascii="仿宋_GB2312" w:hAnsi="宋体" w:eastAsia="仿宋_GB2312"/>
          <w:b/>
          <w:bCs/>
          <w:color w:val="auto"/>
          <w:sz w:val="30"/>
          <w:szCs w:val="30"/>
          <w:highlight w:val="none"/>
        </w:rPr>
      </w:pPr>
    </w:p>
    <w:p w14:paraId="7234207F">
      <w:pPr>
        <w:pStyle w:val="21"/>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4730" cy="1624965"/>
            <wp:effectExtent l="0" t="0" r="1270"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8"/>
                    <a:stretch>
                      <a:fillRect/>
                    </a:stretch>
                  </pic:blipFill>
                  <pic:spPr>
                    <a:xfrm>
                      <a:off x="0" y="0"/>
                      <a:ext cx="2284730" cy="1624965"/>
                    </a:xfrm>
                    <a:prstGeom prst="rect">
                      <a:avLst/>
                    </a:prstGeom>
                    <a:noFill/>
                    <a:ln>
                      <a:noFill/>
                    </a:ln>
                  </pic:spPr>
                </pic:pic>
              </a:graphicData>
            </a:graphic>
          </wp:inline>
        </w:drawing>
      </w:r>
    </w:p>
    <w:p w14:paraId="38F96C68">
      <w:pPr>
        <w:pStyle w:val="21"/>
        <w:shd w:val="clear"/>
        <w:snapToGrid w:val="0"/>
        <w:spacing w:before="120" w:after="120" w:line="800" w:lineRule="exact"/>
        <w:ind w:firstLine="1793" w:firstLineChars="496"/>
        <w:rPr>
          <w:rFonts w:hint="eastAsia" w:hAnsi="宋体"/>
          <w:b/>
          <w:bCs/>
          <w:color w:val="auto"/>
          <w:sz w:val="36"/>
          <w:szCs w:val="36"/>
          <w:highlight w:val="none"/>
        </w:rPr>
      </w:pPr>
    </w:p>
    <w:p w14:paraId="2348DEC0">
      <w:pPr>
        <w:pStyle w:val="21"/>
        <w:shd w:val="clear"/>
        <w:snapToGrid w:val="0"/>
        <w:spacing w:before="120" w:after="120" w:line="800" w:lineRule="exact"/>
        <w:ind w:firstLine="1446" w:firstLineChars="400"/>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GXZC2026-J1-002129-GLZB</w:t>
      </w:r>
    </w:p>
    <w:p w14:paraId="427F8F95">
      <w:pPr>
        <w:pBdr>
          <w:bottom w:val="thickThinSmallGap" w:color="auto" w:sz="24" w:space="1"/>
        </w:pBdr>
        <w:shd w:val="clear"/>
        <w:snapToGrid w:val="0"/>
        <w:spacing w:before="156" w:beforeLines="50" w:line="800" w:lineRule="exact"/>
        <w:jc w:val="center"/>
        <w:rPr>
          <w:rFonts w:hint="eastAsia" w:ascii="宋体" w:hAnsi="宋体"/>
          <w:b/>
          <w:color w:val="auto"/>
          <w:sz w:val="36"/>
          <w:szCs w:val="36"/>
          <w:highlight w:val="none"/>
        </w:rPr>
      </w:pPr>
      <w:r>
        <w:rPr>
          <w:rFonts w:hint="eastAsia" w:ascii="宋体" w:hAnsi="宋体"/>
          <w:b/>
          <w:color w:val="auto"/>
          <w:sz w:val="36"/>
          <w:szCs w:val="36"/>
          <w:highlight w:val="none"/>
        </w:rPr>
        <w:t>采购项目名称：广西医科大学校本部智慧消防采购项目</w:t>
      </w:r>
    </w:p>
    <w:p w14:paraId="3DA530CB">
      <w:pPr>
        <w:pBdr>
          <w:bottom w:val="thickThinSmallGap" w:color="auto" w:sz="24" w:space="1"/>
        </w:pBdr>
        <w:shd w:val="clear"/>
        <w:snapToGrid w:val="0"/>
        <w:spacing w:before="156" w:beforeLines="50" w:line="600" w:lineRule="exact"/>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GXGL2026M-J327-Z</w:t>
      </w:r>
      <w:r>
        <w:rPr>
          <w:rFonts w:hint="eastAsia" w:ascii="宋体" w:hAnsi="宋体" w:eastAsia="宋体" w:cs="宋体"/>
          <w:b/>
          <w:bCs/>
          <w:color w:val="auto"/>
          <w:sz w:val="28"/>
          <w:szCs w:val="28"/>
          <w:highlight w:val="none"/>
          <w:lang w:eastAsia="zh-CN"/>
        </w:rPr>
        <w:t>)</w:t>
      </w:r>
    </w:p>
    <w:p w14:paraId="146FBE20">
      <w:pPr>
        <w:shd w:val="clear"/>
        <w:snapToGrid w:val="0"/>
        <w:spacing w:before="156" w:beforeLines="50" w:line="560" w:lineRule="exact"/>
        <w:ind w:firstLine="1506" w:firstLineChars="500"/>
        <w:rPr>
          <w:rFonts w:hint="eastAsia" w:ascii="宋体" w:hAnsi="宋体"/>
          <w:b/>
          <w:color w:val="auto"/>
          <w:sz w:val="32"/>
          <w:szCs w:val="32"/>
          <w:highlight w:val="none"/>
        </w:rPr>
      </w:pPr>
      <w:r>
        <w:rPr>
          <w:rFonts w:hint="eastAsia" w:ascii="宋体" w:hAnsi="宋体"/>
          <w:b/>
          <w:color w:val="auto"/>
          <w:sz w:val="30"/>
          <w:szCs w:val="72"/>
          <w:highlight w:val="none"/>
        </w:rPr>
        <w:t>采   购   人：广西医科大学</w:t>
      </w:r>
      <w:r>
        <w:rPr>
          <w:rFonts w:hint="eastAsia" w:ascii="宋体" w:hAnsi="宋体"/>
          <w:b/>
          <w:color w:val="auto"/>
          <w:sz w:val="32"/>
          <w:szCs w:val="32"/>
          <w:highlight w:val="none"/>
        </w:rPr>
        <w:t xml:space="preserve"> </w:t>
      </w:r>
    </w:p>
    <w:p w14:paraId="61E35EB6">
      <w:pPr>
        <w:shd w:val="clear"/>
        <w:snapToGrid w:val="0"/>
        <w:spacing w:before="156" w:beforeLines="50" w:line="560" w:lineRule="exact"/>
        <w:ind w:firstLine="1506" w:firstLineChars="500"/>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40B77BA6">
      <w:pPr>
        <w:shd w:val="clear"/>
        <w:snapToGrid w:val="0"/>
        <w:spacing w:before="156" w:beforeLines="50" w:line="56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7</w:t>
      </w:r>
      <w:r>
        <w:rPr>
          <w:rFonts w:hint="eastAsia" w:ascii="宋体" w:hAnsi="宋体"/>
          <w:b/>
          <w:color w:val="auto"/>
          <w:sz w:val="30"/>
          <w:szCs w:val="72"/>
          <w:highlight w:val="none"/>
        </w:rPr>
        <w:t>月</w:t>
      </w:r>
    </w:p>
    <w:p w14:paraId="1744A3D2">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p>
    <w:p w14:paraId="76669EEE">
      <w:pPr>
        <w:shd w:val="clear"/>
        <w:jc w:val="center"/>
        <w:rPr>
          <w:rFonts w:hint="eastAsia" w:ascii="宋体" w:hAnsi="宋体"/>
          <w:b/>
          <w:color w:val="auto"/>
          <w:sz w:val="36"/>
          <w:szCs w:val="36"/>
          <w:highlight w:val="none"/>
        </w:rPr>
      </w:pPr>
      <w:r>
        <w:rPr>
          <w:rFonts w:hint="eastAsia" w:ascii="宋体" w:hAnsi="宋体"/>
          <w:b/>
          <w:color w:val="auto"/>
          <w:sz w:val="36"/>
          <w:szCs w:val="36"/>
          <w:highlight w:val="none"/>
        </w:rPr>
        <w:t>目  录</w:t>
      </w:r>
    </w:p>
    <w:p w14:paraId="192D3B84">
      <w:pPr>
        <w:shd w:val="clear"/>
        <w:jc w:val="center"/>
        <w:rPr>
          <w:rFonts w:hint="eastAsia" w:ascii="宋体" w:hAnsi="宋体"/>
          <w:b/>
          <w:color w:val="auto"/>
          <w:sz w:val="44"/>
          <w:szCs w:val="44"/>
          <w:highlight w:val="none"/>
        </w:rPr>
      </w:pPr>
    </w:p>
    <w:p w14:paraId="5DB8B1E5">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"1-1"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"_Toc476258756"</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sz w:val="28"/>
          <w:szCs w:val="28"/>
          <w:highlight w:val="none"/>
        </w:rPr>
        <w:t>第一章  竞争性谈判公告</w:t>
      </w:r>
      <w:bookmarkStart w:id="0" w:name="_Hlt33457698"/>
      <w:bookmarkStart w:id="1" w:name="_Hlt42671918"/>
      <w:bookmarkStart w:id="2" w:name="_Hlt181110813"/>
      <w:bookmarkStart w:id="3" w:name="_Hlt60754089"/>
      <w:bookmarkStart w:id="4" w:name="_Hlt42671919"/>
      <w:bookmarkStart w:id="5" w:name="_Hlt33457699"/>
      <w:bookmarkStart w:id="6" w:name="_Hlt60754088"/>
      <w:r>
        <w:rPr>
          <w:rFonts w:hint="eastAsia" w:ascii="宋体" w:hAnsi="宋体" w:eastAsia="宋体" w:cs="宋体"/>
          <w:color w:val="auto"/>
          <w:sz w:val="28"/>
          <w:szCs w:val="28"/>
          <w:highlight w:val="none"/>
        </w:rPr>
        <w:tab/>
      </w:r>
      <w:bookmarkEnd w:id="0"/>
      <w:bookmarkEnd w:id="1"/>
      <w:bookmarkEnd w:id="2"/>
      <w:bookmarkEnd w:id="3"/>
      <w:bookmarkEnd w:id="4"/>
      <w:bookmarkEnd w:id="5"/>
      <w:bookmarkEnd w:id="6"/>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_Toc476258756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331C4">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"_Toc476258757"</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sz w:val="28"/>
          <w:szCs w:val="28"/>
          <w:highlight w:val="none"/>
        </w:rPr>
        <w:t>第二章  谈判供应商须知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74DDF4E">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"_Toc476258758"</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sz w:val="28"/>
          <w:szCs w:val="28"/>
          <w:highlight w:val="none"/>
        </w:rPr>
        <w:t>第三章  采购需</w:t>
      </w:r>
      <w:bookmarkStart w:id="7" w:name="_Hlt476673918"/>
      <w:bookmarkStart w:id="8" w:name="_Hlt476673919"/>
      <w:r>
        <w:rPr>
          <w:rStyle w:val="45"/>
          <w:rFonts w:hint="eastAsia" w:ascii="宋体" w:hAnsi="宋体" w:eastAsia="宋体" w:cs="宋体"/>
          <w:color w:val="auto"/>
          <w:sz w:val="28"/>
          <w:szCs w:val="28"/>
          <w:highlight w:val="none"/>
        </w:rPr>
        <w:t>求</w:t>
      </w:r>
      <w:bookmarkEnd w:id="7"/>
      <w:bookmarkEnd w:id="8"/>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A949F0">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"_Toc476258759"</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sz w:val="28"/>
          <w:szCs w:val="28"/>
          <w:highlight w:val="none"/>
        </w:rPr>
        <w:t>第四章  竞争性谈判响应文件格式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887A77E">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"_Toc476258760"</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kern w:val="0"/>
          <w:sz w:val="28"/>
          <w:szCs w:val="28"/>
          <w:highlight w:val="none"/>
        </w:rPr>
        <w:t>第五章  合同主要条款</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EA8C0EA">
      <w:pPr>
        <w:pStyle w:val="27"/>
        <w:shd w:val="clear"/>
        <w:tabs>
          <w:tab w:val="right" w:leader="dot" w:pos="962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"_Toc476258761"</w:instrText>
      </w:r>
      <w:r>
        <w:rPr>
          <w:rStyle w:val="45"/>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45"/>
          <w:rFonts w:hint="eastAsia" w:ascii="宋体" w:hAnsi="宋体" w:eastAsia="宋体" w:cs="宋体"/>
          <w:color w:val="auto"/>
          <w:kern w:val="0"/>
          <w:sz w:val="28"/>
          <w:szCs w:val="28"/>
          <w:highlight w:val="none"/>
        </w:rPr>
        <w:t>第六章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_Toc476258761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D4EB8BA">
      <w:pPr>
        <w:shd w:val="clear"/>
        <w:spacing w:line="400" w:lineRule="exact"/>
        <w:jc w:val="center"/>
        <w:rPr>
          <w:rFonts w:hint="eastAsia" w:ascii="仿宋_GB2312" w:hAnsi="宋体" w:eastAsia="仿宋_GB2312"/>
          <w:b/>
          <w:color w:val="auto"/>
          <w:sz w:val="32"/>
          <w:szCs w:val="32"/>
          <w:highlight w:val="none"/>
        </w:rPr>
      </w:pPr>
      <w:r>
        <w:rPr>
          <w:rFonts w:hint="eastAsia" w:ascii="宋体" w:hAnsi="宋体" w:eastAsia="宋体" w:cs="宋体"/>
          <w:b/>
          <w:color w:val="auto"/>
          <w:sz w:val="28"/>
          <w:szCs w:val="28"/>
          <w:highlight w:val="none"/>
        </w:rPr>
        <w:fldChar w:fldCharType="end"/>
      </w:r>
      <w:bookmarkStart w:id="93" w:name="_GoBack"/>
      <w:bookmarkEnd w:id="93"/>
    </w:p>
    <w:p w14:paraId="47AC5290">
      <w:pPr>
        <w:shd w:val="clear"/>
        <w:spacing w:line="400" w:lineRule="exact"/>
        <w:jc w:val="center"/>
        <w:rPr>
          <w:rFonts w:hint="eastAsia" w:ascii="仿宋_GB2312" w:hAnsi="宋体" w:eastAsia="仿宋_GB2312"/>
          <w:b/>
          <w:color w:val="auto"/>
          <w:sz w:val="32"/>
          <w:szCs w:val="32"/>
          <w:highlight w:val="none"/>
        </w:rPr>
      </w:pPr>
    </w:p>
    <w:p w14:paraId="6D1653AF">
      <w:pPr>
        <w:shd w:val="clear"/>
        <w:spacing w:line="400" w:lineRule="exact"/>
        <w:jc w:val="center"/>
        <w:rPr>
          <w:rFonts w:hint="eastAsia" w:ascii="仿宋_GB2312" w:hAnsi="宋体" w:eastAsia="仿宋_GB2312"/>
          <w:b/>
          <w:color w:val="auto"/>
          <w:sz w:val="32"/>
          <w:szCs w:val="32"/>
          <w:highlight w:val="none"/>
        </w:rPr>
      </w:pPr>
    </w:p>
    <w:p w14:paraId="6F45C5CC">
      <w:pPr>
        <w:shd w:val="clear"/>
        <w:spacing w:line="400" w:lineRule="exact"/>
        <w:jc w:val="center"/>
        <w:rPr>
          <w:rFonts w:hint="eastAsia" w:ascii="仿宋_GB2312" w:hAnsi="宋体" w:eastAsia="仿宋_GB2312"/>
          <w:b/>
          <w:color w:val="auto"/>
          <w:sz w:val="32"/>
          <w:szCs w:val="32"/>
          <w:highlight w:val="none"/>
        </w:rPr>
      </w:pPr>
    </w:p>
    <w:p w14:paraId="7DA4D6F0">
      <w:pPr>
        <w:shd w:val="clear"/>
        <w:spacing w:line="400" w:lineRule="exact"/>
        <w:jc w:val="center"/>
        <w:rPr>
          <w:rFonts w:hint="eastAsia" w:ascii="仿宋_GB2312" w:hAnsi="宋体" w:eastAsia="仿宋_GB2312"/>
          <w:b/>
          <w:color w:val="auto"/>
          <w:sz w:val="32"/>
          <w:szCs w:val="32"/>
          <w:highlight w:val="none"/>
        </w:rPr>
      </w:pPr>
    </w:p>
    <w:p w14:paraId="372E1A1A">
      <w:pPr>
        <w:shd w:val="clear"/>
        <w:spacing w:line="400" w:lineRule="exact"/>
        <w:jc w:val="center"/>
        <w:rPr>
          <w:rFonts w:hint="eastAsia" w:ascii="仿宋_GB2312" w:hAnsi="宋体" w:eastAsia="仿宋_GB2312"/>
          <w:b/>
          <w:color w:val="auto"/>
          <w:sz w:val="32"/>
          <w:szCs w:val="32"/>
          <w:highlight w:val="none"/>
        </w:rPr>
      </w:pPr>
    </w:p>
    <w:p w14:paraId="2C753A6A">
      <w:pPr>
        <w:shd w:val="clear"/>
        <w:spacing w:line="400" w:lineRule="exact"/>
        <w:jc w:val="center"/>
        <w:rPr>
          <w:rFonts w:hint="eastAsia" w:ascii="仿宋_GB2312" w:hAnsi="宋体" w:eastAsia="仿宋_GB2312"/>
          <w:b/>
          <w:color w:val="auto"/>
          <w:sz w:val="32"/>
          <w:szCs w:val="32"/>
          <w:highlight w:val="none"/>
        </w:rPr>
      </w:pPr>
    </w:p>
    <w:p w14:paraId="400889D0">
      <w:pPr>
        <w:shd w:val="clear"/>
        <w:spacing w:line="400" w:lineRule="exact"/>
        <w:jc w:val="center"/>
        <w:rPr>
          <w:rFonts w:hint="eastAsia" w:ascii="仿宋_GB2312" w:hAnsi="宋体" w:eastAsia="仿宋_GB2312"/>
          <w:b/>
          <w:color w:val="auto"/>
          <w:sz w:val="32"/>
          <w:szCs w:val="32"/>
          <w:highlight w:val="none"/>
        </w:rPr>
      </w:pPr>
    </w:p>
    <w:p w14:paraId="29C24610">
      <w:pPr>
        <w:shd w:val="clear"/>
        <w:spacing w:line="400" w:lineRule="exact"/>
        <w:jc w:val="center"/>
        <w:rPr>
          <w:rFonts w:hint="eastAsia" w:ascii="仿宋_GB2312" w:hAnsi="宋体" w:eastAsia="仿宋_GB2312"/>
          <w:b/>
          <w:color w:val="auto"/>
          <w:sz w:val="32"/>
          <w:szCs w:val="32"/>
          <w:highlight w:val="none"/>
        </w:rPr>
      </w:pPr>
    </w:p>
    <w:p w14:paraId="23BFAE78">
      <w:pPr>
        <w:shd w:val="clear"/>
        <w:spacing w:line="400" w:lineRule="exact"/>
        <w:jc w:val="center"/>
        <w:rPr>
          <w:rFonts w:hint="eastAsia" w:ascii="仿宋_GB2312" w:hAnsi="宋体" w:eastAsia="仿宋_GB2312"/>
          <w:b/>
          <w:color w:val="auto"/>
          <w:sz w:val="32"/>
          <w:szCs w:val="32"/>
          <w:highlight w:val="none"/>
        </w:rPr>
      </w:pPr>
    </w:p>
    <w:p w14:paraId="58824905">
      <w:pPr>
        <w:shd w:val="clear"/>
        <w:spacing w:line="400" w:lineRule="exact"/>
        <w:jc w:val="center"/>
        <w:rPr>
          <w:rFonts w:hint="eastAsia" w:ascii="仿宋_GB2312" w:hAnsi="宋体" w:eastAsia="仿宋_GB2312"/>
          <w:b/>
          <w:color w:val="auto"/>
          <w:sz w:val="32"/>
          <w:szCs w:val="32"/>
          <w:highlight w:val="none"/>
        </w:rPr>
      </w:pPr>
    </w:p>
    <w:p w14:paraId="5995D0A1">
      <w:pPr>
        <w:shd w:val="clear"/>
        <w:spacing w:line="400" w:lineRule="exact"/>
        <w:jc w:val="center"/>
        <w:rPr>
          <w:rFonts w:hint="eastAsia" w:ascii="仿宋_GB2312" w:hAnsi="宋体" w:eastAsia="仿宋_GB2312"/>
          <w:b/>
          <w:color w:val="auto"/>
          <w:sz w:val="32"/>
          <w:szCs w:val="32"/>
          <w:highlight w:val="none"/>
        </w:rPr>
      </w:pPr>
    </w:p>
    <w:p w14:paraId="66BC7879">
      <w:pPr>
        <w:shd w:val="clear"/>
        <w:spacing w:line="400" w:lineRule="exact"/>
        <w:jc w:val="center"/>
        <w:rPr>
          <w:rFonts w:hint="eastAsia" w:ascii="黑体" w:hAnsi="宋体" w:eastAsia="黑体"/>
          <w:b/>
          <w:color w:val="auto"/>
          <w:sz w:val="32"/>
          <w:szCs w:val="32"/>
          <w:highlight w:val="none"/>
        </w:rPr>
      </w:pPr>
    </w:p>
    <w:p w14:paraId="1337FDFC">
      <w:pPr>
        <w:shd w:val="clear"/>
        <w:spacing w:line="400" w:lineRule="exact"/>
        <w:jc w:val="center"/>
        <w:rPr>
          <w:rFonts w:hint="eastAsia" w:ascii="黑体" w:hAnsi="宋体" w:eastAsia="黑体"/>
          <w:b/>
          <w:color w:val="auto"/>
          <w:sz w:val="32"/>
          <w:szCs w:val="32"/>
          <w:highlight w:val="none"/>
        </w:rPr>
      </w:pPr>
    </w:p>
    <w:p w14:paraId="0675BF55">
      <w:pPr>
        <w:shd w:val="clear"/>
        <w:spacing w:line="400" w:lineRule="exact"/>
        <w:jc w:val="center"/>
        <w:rPr>
          <w:rFonts w:hint="eastAsia" w:ascii="黑体" w:hAnsi="宋体" w:eastAsia="黑体"/>
          <w:b/>
          <w:color w:val="auto"/>
          <w:sz w:val="32"/>
          <w:szCs w:val="32"/>
          <w:highlight w:val="none"/>
        </w:rPr>
      </w:pPr>
    </w:p>
    <w:p w14:paraId="3124F08E">
      <w:pPr>
        <w:shd w:val="clear"/>
        <w:spacing w:line="400" w:lineRule="exact"/>
        <w:jc w:val="center"/>
        <w:rPr>
          <w:rFonts w:hint="eastAsia" w:ascii="黑体" w:hAnsi="宋体" w:eastAsia="黑体"/>
          <w:b/>
          <w:color w:val="auto"/>
          <w:sz w:val="32"/>
          <w:szCs w:val="32"/>
          <w:highlight w:val="none"/>
        </w:rPr>
      </w:pPr>
    </w:p>
    <w:p w14:paraId="6567D081">
      <w:pPr>
        <w:shd w:val="clear"/>
        <w:spacing w:line="400" w:lineRule="exact"/>
        <w:jc w:val="center"/>
        <w:rPr>
          <w:rFonts w:hint="eastAsia" w:ascii="黑体" w:hAnsi="宋体" w:eastAsia="黑体"/>
          <w:b/>
          <w:color w:val="auto"/>
          <w:sz w:val="32"/>
          <w:szCs w:val="32"/>
          <w:highlight w:val="none"/>
        </w:rPr>
      </w:pPr>
    </w:p>
    <w:p w14:paraId="40B7CCCD">
      <w:pPr>
        <w:shd w:val="clear"/>
        <w:spacing w:line="400" w:lineRule="exact"/>
        <w:jc w:val="center"/>
        <w:rPr>
          <w:rFonts w:hint="eastAsia" w:ascii="黑体" w:hAnsi="宋体" w:eastAsia="黑体"/>
          <w:b/>
          <w:color w:val="auto"/>
          <w:sz w:val="32"/>
          <w:szCs w:val="32"/>
          <w:highlight w:val="none"/>
        </w:rPr>
      </w:pPr>
    </w:p>
    <w:p w14:paraId="17491E81">
      <w:pPr>
        <w:shd w:val="clear"/>
        <w:spacing w:line="400" w:lineRule="exact"/>
        <w:jc w:val="center"/>
        <w:rPr>
          <w:rFonts w:hint="eastAsia" w:ascii="黑体" w:hAnsi="宋体" w:eastAsia="黑体"/>
          <w:b/>
          <w:color w:val="auto"/>
          <w:sz w:val="32"/>
          <w:szCs w:val="32"/>
          <w:highlight w:val="none"/>
        </w:rPr>
      </w:pPr>
    </w:p>
    <w:p w14:paraId="3E417990">
      <w:pPr>
        <w:shd w:val="clear"/>
        <w:spacing w:line="400" w:lineRule="exact"/>
        <w:jc w:val="center"/>
        <w:rPr>
          <w:rFonts w:hint="eastAsia" w:ascii="黑体" w:hAnsi="宋体" w:eastAsia="黑体"/>
          <w:b/>
          <w:color w:val="auto"/>
          <w:sz w:val="32"/>
          <w:szCs w:val="32"/>
          <w:highlight w:val="none"/>
        </w:rPr>
      </w:pPr>
    </w:p>
    <w:p w14:paraId="4A109A99">
      <w:pPr>
        <w:shd w:val="clear"/>
        <w:spacing w:line="400" w:lineRule="exact"/>
        <w:jc w:val="center"/>
        <w:rPr>
          <w:rFonts w:hint="eastAsia" w:ascii="黑体" w:hAnsi="宋体" w:eastAsia="黑体"/>
          <w:b/>
          <w:color w:val="auto"/>
          <w:sz w:val="32"/>
          <w:szCs w:val="32"/>
          <w:highlight w:val="none"/>
        </w:rPr>
      </w:pPr>
    </w:p>
    <w:p w14:paraId="00BFB1BE">
      <w:pPr>
        <w:shd w:val="clear"/>
        <w:spacing w:line="400" w:lineRule="exact"/>
        <w:jc w:val="center"/>
        <w:rPr>
          <w:rFonts w:hint="eastAsia" w:ascii="宋体" w:hAnsi="宋体"/>
          <w:b/>
          <w:color w:val="auto"/>
          <w:sz w:val="32"/>
          <w:szCs w:val="32"/>
          <w:highlight w:val="none"/>
        </w:rPr>
      </w:pPr>
    </w:p>
    <w:p w14:paraId="39DB6F9D">
      <w:pPr>
        <w:pStyle w:val="35"/>
        <w:shd w:val="clear"/>
        <w:rPr>
          <w:rFonts w:hint="eastAsia"/>
          <w:color w:val="auto"/>
          <w:sz w:val="44"/>
          <w:szCs w:val="44"/>
          <w:highlight w:val="none"/>
        </w:rPr>
      </w:pPr>
      <w:bookmarkStart w:id="9" w:name="_Toc476258756"/>
      <w:bookmarkStart w:id="10" w:name="_Toc476258662"/>
    </w:p>
    <w:p w14:paraId="3FAC37C2">
      <w:pPr>
        <w:pStyle w:val="35"/>
        <w:shd w:val="clear"/>
        <w:rPr>
          <w:rFonts w:hint="eastAsia"/>
          <w:color w:val="auto"/>
          <w:sz w:val="44"/>
          <w:szCs w:val="44"/>
          <w:highlight w:val="none"/>
        </w:rPr>
      </w:pPr>
    </w:p>
    <w:p w14:paraId="4FAA3369">
      <w:pPr>
        <w:pStyle w:val="35"/>
        <w:shd w:val="clear"/>
        <w:rPr>
          <w:rFonts w:hint="eastAsia"/>
          <w:color w:val="auto"/>
          <w:sz w:val="44"/>
          <w:szCs w:val="44"/>
          <w:highlight w:val="none"/>
        </w:rPr>
      </w:pPr>
    </w:p>
    <w:p w14:paraId="69C110FA">
      <w:pPr>
        <w:pStyle w:val="35"/>
        <w:shd w:val="clear"/>
        <w:rPr>
          <w:rFonts w:hint="eastAsia"/>
          <w:color w:val="auto"/>
          <w:sz w:val="44"/>
          <w:szCs w:val="44"/>
          <w:highlight w:val="none"/>
        </w:rPr>
      </w:pPr>
    </w:p>
    <w:p w14:paraId="7D76DD95">
      <w:pPr>
        <w:pStyle w:val="35"/>
        <w:shd w:val="clear"/>
        <w:rPr>
          <w:rFonts w:hint="eastAsia"/>
          <w:color w:val="auto"/>
          <w:sz w:val="44"/>
          <w:szCs w:val="44"/>
          <w:highlight w:val="none"/>
        </w:rPr>
      </w:pPr>
    </w:p>
    <w:p w14:paraId="1A72915F">
      <w:pPr>
        <w:pStyle w:val="35"/>
        <w:shd w:val="clear"/>
        <w:rPr>
          <w:rFonts w:hint="eastAsia"/>
          <w:color w:val="auto"/>
          <w:sz w:val="44"/>
          <w:szCs w:val="44"/>
          <w:highlight w:val="none"/>
        </w:rPr>
      </w:pPr>
      <w:r>
        <w:rPr>
          <w:rFonts w:hint="eastAsia"/>
          <w:color w:val="auto"/>
          <w:sz w:val="44"/>
          <w:szCs w:val="44"/>
          <w:highlight w:val="none"/>
        </w:rPr>
        <w:t>第一章  竞争性谈判公告</w:t>
      </w:r>
      <w:bookmarkEnd w:id="9"/>
      <w:bookmarkEnd w:id="10"/>
    </w:p>
    <w:p w14:paraId="00E175A6">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auto"/>
          <w:sz w:val="32"/>
          <w:szCs w:val="32"/>
          <w:highlight w:val="none"/>
        </w:rPr>
      </w:pPr>
      <w:r>
        <w:rPr>
          <w:rFonts w:ascii="华文新魏" w:hAnsi="宋体" w:eastAsia="华文新魏"/>
          <w:color w:val="auto"/>
          <w:sz w:val="44"/>
          <w:szCs w:val="44"/>
          <w:highlight w:val="none"/>
        </w:rPr>
        <w:br w:type="page"/>
      </w:r>
      <w:r>
        <w:rPr>
          <w:rFonts w:hint="eastAsia" w:ascii="宋体" w:hAnsi="宋体" w:eastAsia="宋体" w:cs="宋体"/>
          <w:b/>
          <w:bCs/>
          <w:color w:val="auto"/>
          <w:sz w:val="32"/>
          <w:szCs w:val="32"/>
          <w:highlight w:val="none"/>
        </w:rPr>
        <w:t>广西国力招标有限公司</w:t>
      </w:r>
    </w:p>
    <w:p w14:paraId="6E3A53C5">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44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竞争性谈判公告</w:t>
      </w:r>
    </w:p>
    <w:p w14:paraId="30D2BD67">
      <w:pPr>
        <w:keepNext w:val="0"/>
        <w:keepLines w:val="0"/>
        <w:pageBreakBefore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EAA95C7">
      <w:pPr>
        <w:keepNext w:val="0"/>
        <w:keepLines w:val="0"/>
        <w:pageBreakBefore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广西医科大学校本部智慧消防采购项目</w:t>
      </w:r>
      <w:r>
        <w:rPr>
          <w:rFonts w:hint="eastAsia" w:ascii="宋体" w:hAnsi="宋体" w:eastAsia="宋体" w:cs="宋体"/>
          <w:color w:val="auto"/>
          <w:szCs w:val="21"/>
          <w:highlight w:val="none"/>
        </w:rPr>
        <w:t>采购项目的潜在供应商应在</w:t>
      </w:r>
      <w:r>
        <w:rPr>
          <w:rFonts w:hint="eastAsia" w:ascii="宋体" w:hAnsi="宋体" w:eastAsia="宋体" w:cs="宋体"/>
          <w:color w:val="auto"/>
          <w:szCs w:val="21"/>
          <w:highlight w:val="none"/>
          <w:u w:val="single"/>
        </w:rPr>
        <w:t>广西政府采购云平台（</w:t>
      </w:r>
      <w:r>
        <w:rPr>
          <w:rFonts w:hint="eastAsia" w:ascii="宋体" w:hAnsi="宋体" w:eastAsia="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lang w:eastAsia="zh-CN"/>
        </w:rPr>
        <w:t>2026</w:t>
      </w:r>
      <w:r>
        <w:rPr>
          <w:rFonts w:hint="eastAsia" w:ascii="宋体" w:hAnsi="宋体" w:eastAsia="宋体" w:cs="宋体"/>
          <w:color w:val="auto"/>
          <w:szCs w:val="21"/>
          <w:highlight w:val="none"/>
          <w:u w:val="single"/>
        </w:rPr>
        <w:t>年</w:t>
      </w:r>
      <w:r>
        <w:rPr>
          <w:rFonts w:hint="eastAsia" w:ascii="宋体" w:hAnsi="宋体" w:cs="宋体"/>
          <w:bCs/>
          <w:color w:val="auto"/>
          <w:szCs w:val="21"/>
          <w:highlight w:val="none"/>
          <w:u w:val="single"/>
          <w:lang w:val="en-US" w:eastAsia="zh-CN"/>
        </w:rPr>
        <w:t>7</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20</w:t>
      </w:r>
      <w:r>
        <w:rPr>
          <w:rFonts w:hint="eastAsia" w:ascii="宋体" w:hAnsi="宋体" w:eastAsia="宋体" w:cs="宋体"/>
          <w:bCs/>
          <w:color w:val="auto"/>
          <w:szCs w:val="21"/>
          <w:highlight w:val="none"/>
          <w:u w:val="single"/>
        </w:rPr>
        <w:t>日</w:t>
      </w:r>
      <w:r>
        <w:rPr>
          <w:rFonts w:hint="eastAsia" w:ascii="宋体" w:hAnsi="宋体" w:cs="宋体"/>
          <w:bCs/>
          <w:color w:val="auto"/>
          <w:szCs w:val="21"/>
          <w:highlight w:val="none"/>
          <w:u w:val="single"/>
          <w:lang w:val="en-US" w:eastAsia="zh-CN"/>
        </w:rPr>
        <w:t>9</w:t>
      </w:r>
      <w:r>
        <w:rPr>
          <w:rFonts w:hint="eastAsia" w:ascii="宋体" w:hAnsi="宋体" w:eastAsia="宋体" w:cs="宋体"/>
          <w:bCs/>
          <w:color w:val="auto"/>
          <w:szCs w:val="21"/>
          <w:highlight w:val="none"/>
          <w:u w:val="single"/>
        </w:rPr>
        <w:t>点</w:t>
      </w:r>
      <w:r>
        <w:rPr>
          <w:rFonts w:hint="eastAsia" w:ascii="宋体" w:hAnsi="宋体" w:cs="宋体"/>
          <w:bCs/>
          <w:color w:val="auto"/>
          <w:szCs w:val="21"/>
          <w:highlight w:val="none"/>
          <w:u w:val="single"/>
          <w:lang w:val="en-US" w:eastAsia="zh-CN"/>
        </w:rPr>
        <w:t>30</w:t>
      </w:r>
      <w:r>
        <w:rPr>
          <w:rFonts w:hint="eastAsia" w:ascii="宋体" w:hAnsi="宋体" w:eastAsia="宋体" w:cs="宋体"/>
          <w:bCs/>
          <w:color w:val="auto"/>
          <w:szCs w:val="21"/>
          <w:highlight w:val="none"/>
          <w:u w:val="single"/>
        </w:rPr>
        <w:t>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5B121F97">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11" w:name="_Toc28359012"/>
      <w:bookmarkStart w:id="12" w:name="_Toc35393629"/>
      <w:bookmarkStart w:id="13" w:name="_Toc35393798"/>
      <w:bookmarkStart w:id="14" w:name="_Toc28359089"/>
      <w:r>
        <w:rPr>
          <w:rFonts w:hint="eastAsia" w:ascii="宋体" w:hAnsi="宋体" w:eastAsia="宋体" w:cs="宋体"/>
          <w:b/>
          <w:color w:val="auto"/>
          <w:highlight w:val="none"/>
        </w:rPr>
        <w:t>一、项目基本情况</w:t>
      </w:r>
      <w:bookmarkEnd w:id="11"/>
      <w:bookmarkEnd w:id="12"/>
      <w:bookmarkEnd w:id="13"/>
      <w:bookmarkEnd w:id="14"/>
    </w:p>
    <w:p w14:paraId="2CD7CACB">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项目编号：</w:t>
      </w:r>
      <w:r>
        <w:rPr>
          <w:rFonts w:hint="eastAsia" w:ascii="宋体" w:hAnsi="宋体" w:cs="宋体"/>
          <w:color w:val="auto"/>
          <w:kern w:val="0"/>
          <w:szCs w:val="21"/>
          <w:highlight w:val="none"/>
          <w:lang w:eastAsia="zh-CN"/>
        </w:rPr>
        <w:t>GXZC2026-J1-002129-GLZB</w:t>
      </w:r>
    </w:p>
    <w:p w14:paraId="2148386B">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项目名称：</w:t>
      </w:r>
      <w:r>
        <w:rPr>
          <w:rFonts w:hint="eastAsia" w:ascii="宋体" w:hAnsi="宋体" w:eastAsia="宋体" w:cs="宋体"/>
          <w:color w:val="auto"/>
          <w:kern w:val="0"/>
          <w:szCs w:val="21"/>
          <w:highlight w:val="none"/>
          <w:lang w:eastAsia="zh-CN"/>
        </w:rPr>
        <w:t>广西医科大学校本部智慧消防采购项目</w:t>
      </w:r>
    </w:p>
    <w:p w14:paraId="03E730ED">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预算总金额（元）：1330473</w:t>
      </w:r>
    </w:p>
    <w:p w14:paraId="5D573C2A">
      <w:pPr>
        <w:keepNext w:val="0"/>
        <w:keepLines w:val="0"/>
        <w:pageBreakBefore w:val="0"/>
        <w:widowControl/>
        <w:shd w:val="clear"/>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采购需求：</w:t>
      </w:r>
    </w:p>
    <w:p w14:paraId="54E384B5">
      <w:pPr>
        <w:keepNext w:val="0"/>
        <w:keepLines w:val="0"/>
        <w:pageBreakBefore w:val="0"/>
        <w:shd w:val="clear"/>
        <w:kinsoku/>
        <w:wordWrap/>
        <w:overflowPunct/>
        <w:topLinePunct w:val="0"/>
        <w:autoSpaceDE/>
        <w:autoSpaceDN/>
        <w:bidi w:val="0"/>
        <w:spacing w:line="400" w:lineRule="exact"/>
        <w:ind w:left="420" w:left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标项名称：广西医科大学校本部智慧消防采购项目</w:t>
      </w:r>
    </w:p>
    <w:p w14:paraId="59B3526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数量：</w:t>
      </w:r>
      <w:r>
        <w:rPr>
          <w:rFonts w:hint="eastAsia" w:ascii="宋体" w:hAnsi="宋体" w:eastAsia="宋体" w:cs="宋体"/>
          <w:color w:val="auto"/>
          <w:highlight w:val="none"/>
          <w:lang w:val="en-US" w:eastAsia="zh-CN"/>
        </w:rPr>
        <w:t>14349</w:t>
      </w:r>
    </w:p>
    <w:p w14:paraId="50662B9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预算金额（元）：1330473</w:t>
      </w:r>
    </w:p>
    <w:p w14:paraId="70C86E32">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简要规格描述或项目基本概况介绍、用途：</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color w:val="auto"/>
          <w:sz w:val="21"/>
          <w:szCs w:val="21"/>
          <w:highlight w:val="none"/>
          <w:vertAlign w:val="baseline"/>
          <w:lang w:val="en-US" w:eastAsia="zh-CN"/>
        </w:rPr>
        <w:t>物联网智能通信终端、室内2.5D电子档案制作、智慧消防系统软件、智慧消防软件移动端、远程控制功能模块、安消联动功能模块、消防维保助手、智慧消防管理机、点位复核、远程启动设备调试、智慧水压探测器、智慧液位探测器、设备状态监测装置、物联网信息采集设备、三维水泵房档案制作、音响、工业级企业无线路由器、视频推流操作终端1000路、音视频边缘网关、安消联动视频调试、超六类网线、光纤线、耐火屏蔽双绞线、镀锌金属线管、施工</w:t>
      </w:r>
      <w:r>
        <w:rPr>
          <w:rFonts w:hint="eastAsia" w:ascii="宋体" w:hAnsi="宋体" w:eastAsia="宋体" w:cs="宋体"/>
          <w:bCs/>
          <w:color w:val="auto"/>
          <w:kern w:val="0"/>
          <w:szCs w:val="21"/>
          <w:highlight w:val="none"/>
          <w:lang w:val="en-US" w:eastAsia="zh-CN"/>
        </w:rPr>
        <w:t>等</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如需进一步了解详细内容，详见竞争性谈判文件。</w:t>
      </w:r>
    </w:p>
    <w:p w14:paraId="26D6F1B0">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最高限价（如有）：1330473元</w:t>
      </w:r>
    </w:p>
    <w:p w14:paraId="369E6213">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合同履约期限：</w:t>
      </w:r>
      <w:r>
        <w:rPr>
          <w:rFonts w:hint="eastAsia" w:ascii="宋体" w:hAnsi="宋体" w:cs="宋体"/>
          <w:color w:val="auto"/>
          <w:highlight w:val="none"/>
          <w:lang w:val="en-US" w:eastAsia="zh-CN"/>
        </w:rPr>
        <w:t>详见第三章采购需求。</w:t>
      </w:r>
    </w:p>
    <w:p w14:paraId="25CD36F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本标项（否）接受联合体投标</w:t>
      </w:r>
    </w:p>
    <w:p w14:paraId="3D7B01B9">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备注：本项目为线上电子招标项目，有意向参与本项目的供应商应当做好参与全流程电子招投标交易的充分准备。</w:t>
      </w:r>
    </w:p>
    <w:p w14:paraId="0B024B08">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15" w:name="_Toc28359090"/>
      <w:bookmarkStart w:id="16" w:name="_Toc35393799"/>
      <w:bookmarkStart w:id="17" w:name="_Toc28359013"/>
      <w:bookmarkStart w:id="18" w:name="_Toc35393630"/>
      <w:r>
        <w:rPr>
          <w:rFonts w:hint="eastAsia" w:ascii="宋体" w:hAnsi="宋体" w:eastAsia="宋体" w:cs="宋体"/>
          <w:b/>
          <w:color w:val="auto"/>
          <w:highlight w:val="none"/>
        </w:rPr>
        <w:t>二、申请人的资格要求：</w:t>
      </w:r>
      <w:bookmarkEnd w:id="15"/>
      <w:bookmarkEnd w:id="16"/>
      <w:bookmarkEnd w:id="17"/>
      <w:bookmarkEnd w:id="18"/>
    </w:p>
    <w:p w14:paraId="56A85E26">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608E094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bookmarkStart w:id="19" w:name="_Toc28359014"/>
      <w:bookmarkStart w:id="20" w:name="_Toc28359091"/>
      <w:r>
        <w:rPr>
          <w:rFonts w:hint="eastAsia" w:ascii="宋体" w:hAnsi="宋体" w:eastAsia="宋体" w:cs="宋体"/>
          <w:color w:val="auto"/>
          <w:highlight w:val="none"/>
        </w:rPr>
        <w:t>2.落实政府采购政策需满足的资格要求：</w:t>
      </w:r>
      <w:r>
        <w:rPr>
          <w:rFonts w:hint="eastAsia" w:ascii="宋体" w:hAnsi="宋体" w:cs="宋体"/>
          <w:color w:val="auto"/>
          <w:highlight w:val="none"/>
          <w:lang w:val="en-US" w:eastAsia="zh-CN"/>
        </w:rPr>
        <w:t>无</w:t>
      </w:r>
      <w:r>
        <w:rPr>
          <w:rFonts w:hint="eastAsia" w:ascii="宋体" w:hAnsi="宋体" w:eastAsia="宋体" w:cs="宋体"/>
          <w:color w:val="auto"/>
          <w:highlight w:val="none"/>
        </w:rPr>
        <w:t>；</w:t>
      </w:r>
    </w:p>
    <w:p w14:paraId="7634904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1E946F9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（1）供应商须具备消防设施工程专业承包二级及以上资质；</w:t>
      </w:r>
    </w:p>
    <w:p w14:paraId="6D47D099">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（2）供应商须具备电子与智能化工程专业承包二级及以上资质；</w:t>
      </w:r>
    </w:p>
    <w:p w14:paraId="0635D442">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（3）供应商须具备有效的安全生产许可证；</w:t>
      </w:r>
    </w:p>
    <w:p w14:paraId="7B6B6905">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i/>
          <w:iCs/>
          <w:color w:val="auto"/>
          <w:highlight w:val="none"/>
          <w:u w:val="single"/>
        </w:rPr>
      </w:pPr>
      <w:r>
        <w:rPr>
          <w:rFonts w:hint="eastAsia" w:ascii="宋体" w:hAnsi="宋体" w:eastAsia="宋体" w:cs="宋体"/>
          <w:color w:val="auto"/>
          <w:highlight w:val="none"/>
          <w:u w:val="none"/>
        </w:rPr>
        <w:t>（4）拟派项目负责人须具备机电工程专业二级及以上注册建造师资格，持有有效的安全生产考核合格证书（B 证），且无在建项目。</w:t>
      </w:r>
    </w:p>
    <w:p w14:paraId="53F1B568">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21" w:name="_Toc35393631"/>
      <w:bookmarkStart w:id="22" w:name="_Toc35393800"/>
      <w:r>
        <w:rPr>
          <w:rFonts w:hint="eastAsia" w:ascii="宋体" w:hAnsi="宋体" w:eastAsia="宋体" w:cs="宋体"/>
          <w:b/>
          <w:color w:val="auto"/>
          <w:highlight w:val="none"/>
        </w:rPr>
        <w:t>三、获取采购文件</w:t>
      </w:r>
      <w:bookmarkEnd w:id="19"/>
      <w:bookmarkEnd w:id="20"/>
      <w:bookmarkEnd w:id="21"/>
      <w:bookmarkEnd w:id="22"/>
    </w:p>
    <w:p w14:paraId="476FB566">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时间：</w:t>
      </w:r>
      <w:r>
        <w:rPr>
          <w:rFonts w:hint="eastAsia" w:ascii="宋体" w:hAnsi="宋体" w:eastAsia="宋体" w:cs="宋体"/>
          <w:color w:val="auto"/>
          <w:highlight w:val="none"/>
          <w:u w:val="none"/>
          <w:lang w:eastAsia="zh-CN"/>
        </w:rPr>
        <w:t>2026</w:t>
      </w:r>
      <w:r>
        <w:rPr>
          <w:rFonts w:hint="eastAsia" w:ascii="宋体" w:hAnsi="宋体" w:eastAsia="宋体" w:cs="宋体"/>
          <w:color w:val="auto"/>
          <w:highlight w:val="none"/>
          <w:u w:val="none"/>
        </w:rPr>
        <w:t>年</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14</w:t>
      </w:r>
      <w:r>
        <w:rPr>
          <w:rFonts w:hint="eastAsia" w:ascii="宋体" w:hAnsi="宋体" w:cs="宋体"/>
          <w:color w:val="auto"/>
          <w:highlight w:val="none"/>
          <w:u w:val="none"/>
          <w:lang w:eastAsia="zh-CN"/>
        </w:rPr>
        <w:t>日起至2026年</w:t>
      </w:r>
      <w:r>
        <w:rPr>
          <w:rFonts w:hint="eastAsia" w:ascii="宋体" w:hAnsi="宋体" w:cs="宋体"/>
          <w:color w:val="auto"/>
          <w:highlight w:val="none"/>
          <w:u w:val="none"/>
          <w:lang w:val="en-US" w:eastAsia="zh-CN"/>
        </w:rPr>
        <w:t>7</w:t>
      </w:r>
      <w:r>
        <w:rPr>
          <w:rFonts w:hint="eastAsia" w:ascii="宋体" w:hAnsi="宋体" w:eastAsia="宋体" w:cs="宋体"/>
          <w:color w:val="auto"/>
          <w:highlight w:val="none"/>
          <w:u w:val="none"/>
        </w:rPr>
        <w:t>月</w:t>
      </w:r>
      <w:r>
        <w:rPr>
          <w:rFonts w:hint="eastAsia" w:ascii="宋体" w:hAnsi="宋体" w:cs="宋体"/>
          <w:color w:val="auto"/>
          <w:highlight w:val="none"/>
          <w:u w:val="none"/>
          <w:lang w:val="en-US" w:eastAsia="zh-CN"/>
        </w:rPr>
        <w:t>17</w:t>
      </w:r>
      <w:r>
        <w:rPr>
          <w:rFonts w:hint="eastAsia" w:ascii="宋体" w:hAnsi="宋体" w:eastAsia="宋体" w:cs="宋体"/>
          <w:color w:val="auto"/>
          <w:highlight w:val="none"/>
          <w:u w:val="none"/>
        </w:rPr>
        <w:t>日，每天上午8时30分至</w:t>
      </w:r>
      <w:r>
        <w:rPr>
          <w:rFonts w:hint="eastAsia" w:ascii="宋体" w:hAnsi="宋体" w:eastAsia="宋体" w:cs="宋体"/>
          <w:color w:val="auto"/>
          <w:highlight w:val="none"/>
          <w:u w:val="none"/>
          <w:lang w:val="en-US" w:eastAsia="zh-CN"/>
        </w:rPr>
        <w:t>12</w:t>
      </w:r>
      <w:r>
        <w:rPr>
          <w:rFonts w:hint="eastAsia" w:ascii="宋体" w:hAnsi="宋体" w:eastAsia="宋体" w:cs="宋体"/>
          <w:color w:val="auto"/>
          <w:highlight w:val="none"/>
          <w:u w:val="none"/>
        </w:rPr>
        <w:t>时</w:t>
      </w:r>
      <w:r>
        <w:rPr>
          <w:rFonts w:hint="eastAsia" w:ascii="宋体" w:hAnsi="宋体" w:eastAsia="宋体" w:cs="宋体"/>
          <w:color w:val="auto"/>
          <w:highlight w:val="none"/>
          <w:u w:val="none"/>
          <w:lang w:val="en-US" w:eastAsia="zh-CN"/>
        </w:rPr>
        <w:t>00</w:t>
      </w:r>
      <w:r>
        <w:rPr>
          <w:rFonts w:hint="eastAsia" w:ascii="宋体" w:hAnsi="宋体" w:eastAsia="宋体" w:cs="宋体"/>
          <w:color w:val="auto"/>
          <w:highlight w:val="none"/>
          <w:u w:val="none"/>
        </w:rPr>
        <w:t>分，下午12时00分至18时00分（北京时间，法定节假日除外）</w:t>
      </w:r>
    </w:p>
    <w:p w14:paraId="455549A7">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地点：广西政府采购云平台（</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w:t>
      </w:r>
    </w:p>
    <w:p w14:paraId="6E941BD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方式：请登录广西政府采购云平台（</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5D4FE45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售价（元）：0</w:t>
      </w:r>
    </w:p>
    <w:p w14:paraId="289CAD43">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23" w:name="_Toc35393801"/>
      <w:bookmarkStart w:id="24" w:name="_Toc35393632"/>
      <w:bookmarkStart w:id="25" w:name="_Toc28359015"/>
      <w:bookmarkStart w:id="26" w:name="_Toc28359092"/>
      <w:r>
        <w:rPr>
          <w:rFonts w:hint="eastAsia" w:ascii="宋体" w:hAnsi="宋体" w:eastAsia="宋体" w:cs="宋体"/>
          <w:b/>
          <w:color w:val="auto"/>
          <w:highlight w:val="none"/>
        </w:rPr>
        <w:t>四、响应文件提交</w:t>
      </w:r>
      <w:bookmarkEnd w:id="23"/>
      <w:bookmarkEnd w:id="24"/>
      <w:bookmarkEnd w:id="25"/>
      <w:bookmarkEnd w:id="26"/>
    </w:p>
    <w:p w14:paraId="09E8980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截止时间：</w:t>
      </w:r>
      <w:r>
        <w:rPr>
          <w:rFonts w:hint="eastAsia" w:ascii="宋体" w:hAnsi="宋体" w:eastAsia="宋体" w:cs="宋体"/>
          <w:bCs/>
          <w:color w:val="auto"/>
          <w:highlight w:val="none"/>
          <w:lang w:eastAsia="zh-CN"/>
        </w:rPr>
        <w:t>2026</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日 09:30（北京时间）</w:t>
      </w:r>
    </w:p>
    <w:p w14:paraId="3297A273">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地点（网址）：广西政府采购云平台（</w:t>
      </w:r>
      <w:r>
        <w:rPr>
          <w:rFonts w:hint="eastAsia" w:ascii="宋体" w:hAnsi="宋体" w:eastAsia="宋体" w:cs="宋体"/>
          <w:color w:val="auto"/>
          <w:highlight w:val="none"/>
          <w:lang w:eastAsia="zh-CN"/>
        </w:rPr>
        <w:t>https://www.gcy.zfcg.gxzf.gov.cn</w:t>
      </w:r>
      <w:r>
        <w:rPr>
          <w:rFonts w:hint="eastAsia" w:ascii="宋体" w:hAnsi="宋体" w:eastAsia="宋体" w:cs="宋体"/>
          <w:color w:val="auto"/>
          <w:highlight w:val="none"/>
        </w:rPr>
        <w:t>）</w:t>
      </w:r>
      <w:r>
        <w:rPr>
          <w:rFonts w:hint="eastAsia" w:ascii="宋体" w:hAnsi="宋体" w:eastAsia="宋体" w:cs="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376925EF">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27" w:name="_Toc28359016"/>
      <w:bookmarkStart w:id="28" w:name="_Toc28359093"/>
      <w:bookmarkStart w:id="29" w:name="_Toc35393633"/>
      <w:bookmarkStart w:id="30" w:name="_Toc35393802"/>
      <w:bookmarkStart w:id="31" w:name="_Toc35393634"/>
      <w:bookmarkStart w:id="32" w:name="_Toc35393803"/>
      <w:bookmarkStart w:id="33" w:name="_Toc28359017"/>
      <w:bookmarkStart w:id="34" w:name="_Toc28359094"/>
      <w:r>
        <w:rPr>
          <w:rFonts w:hint="eastAsia" w:ascii="宋体" w:hAnsi="宋体" w:eastAsia="宋体" w:cs="宋体"/>
          <w:b/>
          <w:color w:val="auto"/>
          <w:highlight w:val="none"/>
        </w:rPr>
        <w:t>五、开启</w:t>
      </w:r>
      <w:bookmarkEnd w:id="27"/>
      <w:bookmarkEnd w:id="28"/>
      <w:bookmarkEnd w:id="29"/>
      <w:bookmarkEnd w:id="30"/>
    </w:p>
    <w:p w14:paraId="2790DA5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highlight w:val="none"/>
          <w:u w:val="single"/>
        </w:rPr>
      </w:pPr>
      <w:r>
        <w:rPr>
          <w:rFonts w:hint="eastAsia" w:ascii="宋体" w:hAnsi="宋体" w:eastAsia="宋体" w:cs="宋体"/>
          <w:color w:val="auto"/>
          <w:highlight w:val="none"/>
        </w:rPr>
        <w:t>开启时间：</w:t>
      </w:r>
      <w:r>
        <w:rPr>
          <w:rFonts w:hint="eastAsia" w:ascii="宋体" w:hAnsi="宋体" w:eastAsia="宋体" w:cs="宋体"/>
          <w:bCs/>
          <w:color w:val="auto"/>
          <w:highlight w:val="none"/>
          <w:lang w:eastAsia="zh-CN"/>
        </w:rPr>
        <w:t>2026</w:t>
      </w:r>
      <w:r>
        <w:rPr>
          <w:rFonts w:hint="eastAsia" w:ascii="宋体" w:hAnsi="宋体" w:eastAsia="宋体" w:cs="宋体"/>
          <w:bCs/>
          <w:color w:val="auto"/>
          <w:highlight w:val="none"/>
        </w:rPr>
        <w:t>年</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月</w:t>
      </w:r>
      <w:r>
        <w:rPr>
          <w:rFonts w:hint="eastAsia" w:ascii="宋体" w:hAnsi="宋体" w:cs="宋体"/>
          <w:bCs/>
          <w:color w:val="auto"/>
          <w:highlight w:val="none"/>
          <w:lang w:val="en-US" w:eastAsia="zh-CN"/>
        </w:rPr>
        <w:t>20</w:t>
      </w:r>
      <w:r>
        <w:rPr>
          <w:rFonts w:hint="eastAsia" w:ascii="宋体" w:hAnsi="宋体" w:eastAsia="宋体" w:cs="宋体"/>
          <w:bCs/>
          <w:color w:val="auto"/>
          <w:highlight w:val="none"/>
        </w:rPr>
        <w:t>日 09:30（北京时间）</w:t>
      </w:r>
    </w:p>
    <w:p w14:paraId="23FAD2A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地点：</w:t>
      </w:r>
      <w:r>
        <w:rPr>
          <w:rFonts w:hint="eastAsia" w:ascii="宋体" w:hAnsi="宋体" w:eastAsia="宋体" w:cs="宋体"/>
          <w:bCs/>
          <w:color w:val="auto"/>
          <w:highlight w:val="none"/>
        </w:rPr>
        <w:t>广西政府采购云平台电子开标大厅</w:t>
      </w:r>
    </w:p>
    <w:p w14:paraId="259756B9">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六、公告期限</w:t>
      </w:r>
      <w:bookmarkEnd w:id="31"/>
      <w:bookmarkEnd w:id="32"/>
      <w:bookmarkEnd w:id="33"/>
      <w:bookmarkEnd w:id="34"/>
    </w:p>
    <w:p w14:paraId="5E75DA6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自本公告发布之日起3个工作日。</w:t>
      </w:r>
    </w:p>
    <w:p w14:paraId="055B0BA1">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35" w:name="_Toc35393635"/>
      <w:bookmarkStart w:id="36" w:name="_Toc35393804"/>
      <w:r>
        <w:rPr>
          <w:rFonts w:hint="eastAsia" w:ascii="宋体" w:hAnsi="宋体" w:eastAsia="宋体" w:cs="宋体"/>
          <w:b/>
          <w:color w:val="auto"/>
          <w:highlight w:val="none"/>
        </w:rPr>
        <w:t>七、其他补充事宜</w:t>
      </w:r>
      <w:bookmarkEnd w:id="35"/>
      <w:bookmarkEnd w:id="36"/>
    </w:p>
    <w:p w14:paraId="199A49A3">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1.</w:t>
      </w:r>
      <w:r>
        <w:rPr>
          <w:rFonts w:hint="eastAsia" w:ascii="宋体" w:hAnsi="宋体" w:eastAsia="宋体" w:cs="宋体"/>
          <w:b/>
          <w:color w:val="auto"/>
          <w:szCs w:val="21"/>
          <w:highlight w:val="none"/>
        </w:rPr>
        <w:t>谈判</w:t>
      </w:r>
      <w:r>
        <w:rPr>
          <w:rFonts w:hint="eastAsia" w:ascii="宋体" w:hAnsi="宋体" w:eastAsia="宋体" w:cs="宋体"/>
          <w:b/>
          <w:bCs/>
          <w:color w:val="auto"/>
          <w:highlight w:val="none"/>
        </w:rPr>
        <w:t>保证金</w:t>
      </w:r>
      <w:r>
        <w:rPr>
          <w:rFonts w:hint="eastAsia" w:ascii="宋体" w:hAnsi="宋体" w:eastAsia="宋体" w:cs="宋体"/>
          <w:b/>
          <w:color w:val="auto"/>
          <w:highlight w:val="none"/>
        </w:rPr>
        <w:t>（人民币）：</w:t>
      </w:r>
      <w:r>
        <w:rPr>
          <w:rFonts w:hint="eastAsia" w:ascii="宋体" w:hAnsi="宋体" w:eastAsia="宋体" w:cs="宋体"/>
          <w:b w:val="0"/>
          <w:bCs/>
          <w:color w:val="auto"/>
          <w:highlight w:val="none"/>
          <w:lang w:val="en-US" w:eastAsia="zh-CN"/>
        </w:rPr>
        <w:t>13000</w:t>
      </w:r>
      <w:r>
        <w:rPr>
          <w:rFonts w:hint="eastAsia" w:ascii="宋体" w:hAnsi="宋体" w:eastAsia="宋体" w:cs="宋体"/>
          <w:bCs/>
          <w:color w:val="auto"/>
          <w:highlight w:val="none"/>
        </w:rPr>
        <w:t>元</w:t>
      </w:r>
      <w:r>
        <w:rPr>
          <w:rFonts w:hint="eastAsia" w:ascii="宋体" w:hAnsi="宋体" w:eastAsia="宋体" w:cs="宋体"/>
          <w:color w:val="auto"/>
          <w:highlight w:val="none"/>
        </w:rPr>
        <w:t>。</w:t>
      </w:r>
      <w:r>
        <w:rPr>
          <w:rFonts w:hint="eastAsia" w:ascii="宋体" w:hAnsi="宋体" w:eastAsia="宋体" w:cs="宋体"/>
          <w:b/>
          <w:color w:val="auto"/>
          <w:highlight w:val="none"/>
        </w:rPr>
        <w:t>（必须足额交纳）</w:t>
      </w:r>
    </w:p>
    <w:p w14:paraId="7E501300">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（1）谈判保证金的交纳方式：支票、汇票、本票、网上银行或者银行、保险机构出具的保函等非现金形式。</w:t>
      </w:r>
    </w:p>
    <w:p w14:paraId="7773AA32">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（2）采用银行转账方式的，供应商应于响应文件提交截止时间前将谈判保证金交至以下账户：</w:t>
      </w:r>
    </w:p>
    <w:p w14:paraId="56F7196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开户名称：广西国力招标有限公司</w:t>
      </w:r>
    </w:p>
    <w:p w14:paraId="171654B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开户银行：广西北部湾银行金凯支行（网银支付可选广西北部湾银行江南支行）</w:t>
      </w:r>
    </w:p>
    <w:p w14:paraId="798B14C1">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银行账号：800109057455558</w:t>
      </w:r>
    </w:p>
    <w:p w14:paraId="545F0610">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银行行号：313611002043</w:t>
      </w:r>
    </w:p>
    <w:p w14:paraId="47E3BB1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（3）采用支票、汇票、本票或者保函等方式的，供应商应于响应文件提交截止时间前递交单独密封的支票、汇票、本票或者保函原件</w:t>
      </w:r>
      <w:r>
        <w:rPr>
          <w:rFonts w:hint="eastAsia" w:ascii="宋体" w:hAnsi="宋体" w:eastAsia="宋体" w:cs="宋体"/>
          <w:color w:val="auto"/>
          <w:highlight w:val="none"/>
        </w:rPr>
        <w:t>（电子保函除外）</w:t>
      </w:r>
      <w:r>
        <w:rPr>
          <w:rFonts w:hint="eastAsia" w:ascii="宋体" w:hAnsi="宋体" w:eastAsia="宋体" w:cs="宋体"/>
          <w:color w:val="auto"/>
          <w:szCs w:val="21"/>
          <w:highlight w:val="none"/>
        </w:rPr>
        <w:t>至我公司财务部。（财务部联系方式：地址：广西南宁市白沙大道53号松宇时代13楼；电话：0771-4915100、4915200）</w:t>
      </w:r>
    </w:p>
    <w:p w14:paraId="524E6A05">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2.本项目需要落实的政府采购政策</w:t>
      </w:r>
    </w:p>
    <w:p w14:paraId="22175AF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303D2EA3">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3.网上公告媒体查询</w:t>
      </w:r>
    </w:p>
    <w:p w14:paraId="2104729F">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中国政府采购网（www.ccgp.gov.cn）、广西壮族自治区政府采购网（zfcg.gxzf.gov.cn）</w:t>
      </w:r>
    </w:p>
    <w:p w14:paraId="68D40E6D">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highlight w:val="none"/>
        </w:rPr>
        <w:t>4.</w:t>
      </w:r>
      <w:r>
        <w:rPr>
          <w:rFonts w:hint="eastAsia" w:ascii="宋体" w:hAnsi="宋体" w:eastAsia="宋体" w:cs="宋体"/>
          <w:b/>
          <w:color w:val="auto"/>
          <w:szCs w:val="21"/>
          <w:highlight w:val="none"/>
        </w:rPr>
        <w:t>其他注意事项</w:t>
      </w:r>
    </w:p>
    <w:p w14:paraId="52026296">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实行电子竞标，供应商应按照本项目招标文件和广西政府采购云平台的要求编制、加密并提交竞标响应文件。供应商在使用系统参与竞标过程中遇到涉及平台使用的任何问题，可致电广西政府采购云平台技术支持热线咨询，联系方式：95763。</w:t>
      </w:r>
    </w:p>
    <w:p w14:paraId="175CC53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（2）供应商应及时熟悉掌握电子标系统操作指南（</w:t>
      </w:r>
      <w:r>
        <w:rPr>
          <w:rFonts w:hint="eastAsia" w:ascii="宋体" w:hAnsi="宋体" w:eastAsia="宋体" w:cs="宋体"/>
          <w:color w:val="auto"/>
          <w:highlight w:val="none"/>
        </w:rPr>
        <w:t>见广西政府采购云平台电子卖场首页右上角—服务中心—帮助中心—项目采购</w:t>
      </w:r>
      <w:r>
        <w:rPr>
          <w:rFonts w:hint="eastAsia" w:ascii="宋体" w:hAnsi="宋体" w:eastAsia="宋体" w:cs="宋体"/>
          <w:color w:val="auto"/>
          <w:szCs w:val="21"/>
          <w:highlight w:val="none"/>
        </w:rPr>
        <w:t>）。</w:t>
      </w:r>
    </w:p>
    <w:p w14:paraId="29292185">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（3）供应商应及时完成CA申领和绑定（见广西壮族自治区政府采购网—办事服务—下载专区-政采云CA证书办理操作指南）；</w:t>
      </w:r>
    </w:p>
    <w:p w14:paraId="79E327C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广西壮族自治区全流程电子招投标项目管理系统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供应商客户端）。</w:t>
      </w:r>
    </w:p>
    <w:p w14:paraId="623BDCA7">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（5）因未注册入库、未办理CA数字证书、CA证书故障、操作不当等原因造成无法投标或投标失败等后果由供应商自行承担。</w:t>
      </w:r>
    </w:p>
    <w:p w14:paraId="3A9E99D6">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竞标响应文件网上提交截止后，广西政府采购云平台（电子标系统）自动提取所有竞标响应文件，各供应商须在开标开始后30分钟内对上传广西政府采购云平台的竞标响应文件进行解密，所有供应商在规定的解密时限内解密完成或解密时限结束后，本公司开启竞标响应文件；供应商超过解密时限的，系统默认自动放弃。</w:t>
      </w:r>
    </w:p>
    <w:p w14:paraId="2CE88564">
      <w:pPr>
        <w:keepNext w:val="0"/>
        <w:keepLines w:val="0"/>
        <w:pageBreakBefore w:val="0"/>
        <w:shd w:val="clear"/>
        <w:kinsoku/>
        <w:wordWrap/>
        <w:overflowPunct/>
        <w:topLinePunct w:val="0"/>
        <w:autoSpaceDE/>
        <w:autoSpaceDN/>
        <w:bidi w:val="0"/>
        <w:spacing w:line="400" w:lineRule="exact"/>
        <w:textAlignment w:val="auto"/>
        <w:rPr>
          <w:rFonts w:hint="eastAsia" w:ascii="宋体" w:hAnsi="宋体" w:eastAsia="宋体" w:cs="宋体"/>
          <w:b/>
          <w:color w:val="auto"/>
          <w:highlight w:val="none"/>
        </w:rPr>
      </w:pPr>
      <w:bookmarkStart w:id="37" w:name="_Toc28359095"/>
      <w:bookmarkStart w:id="38" w:name="_Toc28359018"/>
      <w:bookmarkStart w:id="39" w:name="_Toc35393805"/>
      <w:bookmarkStart w:id="40" w:name="_Toc35393636"/>
      <w:r>
        <w:rPr>
          <w:rFonts w:hint="eastAsia" w:ascii="宋体" w:hAnsi="宋体" w:eastAsia="宋体" w:cs="宋体"/>
          <w:b/>
          <w:color w:val="auto"/>
          <w:highlight w:val="none"/>
        </w:rPr>
        <w:t>八、凡对本次采购提出询问，请按以下方式联系。</w:t>
      </w:r>
      <w:bookmarkEnd w:id="37"/>
      <w:bookmarkEnd w:id="38"/>
      <w:bookmarkEnd w:id="39"/>
      <w:bookmarkEnd w:id="40"/>
    </w:p>
    <w:p w14:paraId="62C0EB3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74D50836">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称：广西医科大学</w:t>
      </w:r>
    </w:p>
    <w:p w14:paraId="1D08A3A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址：南宁市青秀区双拥路22号</w:t>
      </w:r>
    </w:p>
    <w:p w14:paraId="5E440BE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项目联系人：陆</w:t>
      </w:r>
      <w:r>
        <w:rPr>
          <w:rFonts w:hint="eastAsia" w:ascii="宋体" w:hAnsi="宋体" w:cs="宋体"/>
          <w:color w:val="auto"/>
          <w:highlight w:val="none"/>
          <w:lang w:val="en-US" w:eastAsia="zh-CN"/>
        </w:rPr>
        <w:t>老师</w:t>
      </w:r>
    </w:p>
    <w:p w14:paraId="035D425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default" w:ascii="宋体" w:hAnsi="宋体" w:eastAsia="宋体" w:cs="宋体"/>
          <w:color w:val="auto"/>
          <w:highlight w:val="none"/>
          <w:lang w:val="en-US"/>
        </w:rPr>
      </w:pPr>
      <w:r>
        <w:rPr>
          <w:rFonts w:hint="eastAsia" w:ascii="宋体" w:hAnsi="宋体" w:eastAsia="宋体" w:cs="宋体"/>
          <w:color w:val="auto"/>
          <w:highlight w:val="none"/>
        </w:rPr>
        <w:t>项目联系方式：</w:t>
      </w:r>
      <w:bookmarkStart w:id="41" w:name="_Toc28359086"/>
      <w:bookmarkStart w:id="42" w:name="_Toc28359009"/>
      <w:r>
        <w:rPr>
          <w:rFonts w:hint="eastAsia" w:ascii="宋体" w:hAnsi="宋体" w:eastAsia="宋体" w:cs="宋体"/>
          <w:color w:val="auto"/>
          <w:highlight w:val="none"/>
        </w:rPr>
        <w:t>0771-</w:t>
      </w:r>
      <w:r>
        <w:rPr>
          <w:rFonts w:hint="eastAsia" w:ascii="宋体" w:hAnsi="宋体" w:cs="宋体"/>
          <w:color w:val="auto"/>
          <w:highlight w:val="none"/>
          <w:lang w:val="en-US" w:eastAsia="zh-CN"/>
        </w:rPr>
        <w:t>5358884</w:t>
      </w:r>
    </w:p>
    <w:p w14:paraId="1A5E4303">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p>
    <w:p w14:paraId="4E3DE10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bookmarkEnd w:id="41"/>
      <w:bookmarkEnd w:id="42"/>
    </w:p>
    <w:p w14:paraId="7F6476E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称：广西国力招标有限公司</w:t>
      </w:r>
    </w:p>
    <w:p w14:paraId="30E2F9A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址：南宁市白沙大道53号松宇时代13楼</w:t>
      </w:r>
    </w:p>
    <w:p w14:paraId="44E7F2D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项目联系人：何云飞、徐康</w:t>
      </w:r>
    </w:p>
    <w:p w14:paraId="2BD20C7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项目联系方式：0771-4915558</w:t>
      </w:r>
    </w:p>
    <w:p w14:paraId="7F67F90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single"/>
        </w:rPr>
      </w:pPr>
    </w:p>
    <w:p w14:paraId="5BC4A06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u w:val="single"/>
        </w:rPr>
      </w:pPr>
    </w:p>
    <w:p w14:paraId="7B1F163E">
      <w:pPr>
        <w:keepNext w:val="0"/>
        <w:keepLines w:val="0"/>
        <w:pageBreakBefore w:val="0"/>
        <w:shd w:val="clear"/>
        <w:kinsoku/>
        <w:wordWrap/>
        <w:overflowPunct/>
        <w:topLinePunct w:val="0"/>
        <w:autoSpaceDE/>
        <w:autoSpaceDN/>
        <w:bidi w:val="0"/>
        <w:snapToGrid w:val="0"/>
        <w:spacing w:line="400" w:lineRule="exact"/>
        <w:ind w:left="238"/>
        <w:jc w:val="right"/>
        <w:textAlignment w:val="auto"/>
        <w:rPr>
          <w:rFonts w:hint="eastAsia" w:ascii="宋体" w:hAnsi="宋体" w:eastAsia="宋体" w:cs="宋体"/>
          <w:color w:val="auto"/>
          <w:highlight w:val="none"/>
        </w:rPr>
      </w:pPr>
      <w:r>
        <w:rPr>
          <w:rFonts w:hint="eastAsia" w:ascii="宋体" w:hAnsi="宋体" w:eastAsia="宋体" w:cs="宋体"/>
          <w:color w:val="auto"/>
          <w:highlight w:val="none"/>
        </w:rPr>
        <w:t>广西国力招标有限公司</w:t>
      </w:r>
    </w:p>
    <w:p w14:paraId="4CEE5407">
      <w:pPr>
        <w:keepNext w:val="0"/>
        <w:keepLines w:val="0"/>
        <w:pageBreakBefore w:val="0"/>
        <w:shd w:val="clear"/>
        <w:kinsoku/>
        <w:wordWrap/>
        <w:overflowPunct/>
        <w:topLinePunct w:val="0"/>
        <w:autoSpaceDE/>
        <w:autoSpaceDN/>
        <w:bidi w:val="0"/>
        <w:spacing w:line="400" w:lineRule="exact"/>
        <w:ind w:right="210" w:firstLine="420" w:firstLineChars="200"/>
        <w:jc w:val="right"/>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lang w:eastAsia="zh-CN"/>
        </w:rPr>
        <w:t>2026</w:t>
      </w:r>
      <w:r>
        <w:rPr>
          <w:rFonts w:hint="eastAsia" w:ascii="宋体" w:hAnsi="宋体" w:eastAsia="宋体" w:cs="宋体"/>
          <w:color w:val="auto"/>
          <w:highlight w:val="none"/>
        </w:rPr>
        <w:t>年</w:t>
      </w:r>
      <w:r>
        <w:rPr>
          <w:rFonts w:hint="eastAsia" w:ascii="宋体" w:hAnsi="宋体" w:cs="宋体"/>
          <w:color w:val="auto"/>
          <w:highlight w:val="none"/>
          <w:lang w:val="en-US" w:eastAsia="zh-CN"/>
        </w:rPr>
        <w:t>7</w:t>
      </w:r>
      <w:r>
        <w:rPr>
          <w:rFonts w:hint="eastAsia" w:ascii="宋体" w:hAnsi="宋体" w:eastAsia="宋体" w:cs="宋体"/>
          <w:color w:val="auto"/>
          <w:highlight w:val="none"/>
        </w:rPr>
        <w:t>月</w:t>
      </w:r>
      <w:r>
        <w:rPr>
          <w:rFonts w:hint="eastAsia" w:ascii="宋体" w:hAnsi="宋体" w:cs="宋体"/>
          <w:color w:val="auto"/>
          <w:highlight w:val="none"/>
          <w:lang w:val="en-US" w:eastAsia="zh-CN"/>
        </w:rPr>
        <w:t>14</w:t>
      </w:r>
      <w:r>
        <w:rPr>
          <w:rFonts w:hint="eastAsia" w:ascii="宋体" w:hAnsi="宋体" w:eastAsia="宋体" w:cs="宋体"/>
          <w:color w:val="auto"/>
          <w:highlight w:val="none"/>
        </w:rPr>
        <w:t>日</w:t>
      </w:r>
    </w:p>
    <w:p w14:paraId="386C5FEA">
      <w:pPr>
        <w:shd w:val="clear"/>
        <w:spacing w:line="350" w:lineRule="exact"/>
        <w:ind w:firstLine="420" w:firstLineChars="200"/>
        <w:rPr>
          <w:rFonts w:hint="eastAsia" w:ascii="宋体" w:hAnsi="宋体"/>
          <w:b/>
          <w:color w:val="auto"/>
          <w:sz w:val="32"/>
          <w:szCs w:val="32"/>
          <w:highlight w:val="none"/>
        </w:rPr>
      </w:pPr>
      <w:r>
        <w:rPr>
          <w:color w:val="auto"/>
          <w:highlight w:val="none"/>
        </w:rPr>
        <w:br w:type="page"/>
      </w:r>
    </w:p>
    <w:p w14:paraId="121EE20B">
      <w:pPr>
        <w:pStyle w:val="35"/>
        <w:shd w:val="clear"/>
        <w:rPr>
          <w:rFonts w:hint="eastAsia" w:eastAsia="宋体" w:cs="Times New Roman"/>
          <w:b/>
          <w:bCs/>
          <w:color w:val="auto"/>
          <w:sz w:val="44"/>
          <w:szCs w:val="44"/>
          <w:highlight w:val="none"/>
        </w:rPr>
      </w:pPr>
      <w:bookmarkStart w:id="43" w:name="_Toc476258757"/>
      <w:bookmarkStart w:id="44" w:name="_Toc476258663"/>
    </w:p>
    <w:p w14:paraId="0C88B71F">
      <w:pPr>
        <w:pStyle w:val="35"/>
        <w:shd w:val="clear"/>
        <w:rPr>
          <w:rFonts w:hint="eastAsia" w:eastAsia="宋体" w:cs="Times New Roman"/>
          <w:b/>
          <w:bCs/>
          <w:color w:val="auto"/>
          <w:sz w:val="44"/>
          <w:szCs w:val="44"/>
          <w:highlight w:val="none"/>
        </w:rPr>
      </w:pPr>
    </w:p>
    <w:p w14:paraId="6B9ED4E5">
      <w:pPr>
        <w:pStyle w:val="35"/>
        <w:shd w:val="clear"/>
        <w:rPr>
          <w:rFonts w:hint="eastAsia" w:eastAsia="宋体" w:cs="Times New Roman"/>
          <w:b/>
          <w:bCs/>
          <w:color w:val="auto"/>
          <w:sz w:val="44"/>
          <w:szCs w:val="44"/>
          <w:highlight w:val="none"/>
        </w:rPr>
      </w:pPr>
    </w:p>
    <w:p w14:paraId="10D64328">
      <w:pPr>
        <w:pStyle w:val="35"/>
        <w:shd w:val="clear"/>
        <w:rPr>
          <w:rFonts w:hint="eastAsia" w:eastAsia="宋体" w:cs="Times New Roman"/>
          <w:b/>
          <w:bCs/>
          <w:color w:val="auto"/>
          <w:sz w:val="44"/>
          <w:szCs w:val="44"/>
          <w:highlight w:val="none"/>
        </w:rPr>
      </w:pPr>
    </w:p>
    <w:p w14:paraId="3935F350">
      <w:pPr>
        <w:pStyle w:val="35"/>
        <w:shd w:val="clear"/>
        <w:rPr>
          <w:rFonts w:hint="eastAsia" w:eastAsia="宋体" w:cs="Times New Roman"/>
          <w:b/>
          <w:bCs/>
          <w:color w:val="auto"/>
          <w:sz w:val="44"/>
          <w:szCs w:val="44"/>
          <w:highlight w:val="none"/>
        </w:rPr>
      </w:pPr>
    </w:p>
    <w:p w14:paraId="65700295">
      <w:pPr>
        <w:pStyle w:val="35"/>
        <w:shd w:val="clear"/>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第二章  谈判供应商须知</w:t>
      </w:r>
      <w:bookmarkEnd w:id="43"/>
      <w:bookmarkEnd w:id="44"/>
    </w:p>
    <w:p w14:paraId="06839DE4">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谈判供应商须知前附表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9"/>
      </w:tblGrid>
      <w:tr w14:paraId="00C8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79FF66EA">
            <w:pPr>
              <w:pStyle w:val="60"/>
              <w:shd w:val="clear"/>
              <w:spacing w:line="400" w:lineRule="exact"/>
              <w:jc w:val="center"/>
              <w:rPr>
                <w:rFonts w:hint="eastAsia"/>
                <w:color w:val="auto"/>
                <w:sz w:val="21"/>
                <w:szCs w:val="21"/>
                <w:highlight w:val="none"/>
              </w:rPr>
            </w:pPr>
            <w:r>
              <w:rPr>
                <w:rFonts w:hint="eastAsia"/>
                <w:color w:val="auto"/>
                <w:sz w:val="21"/>
                <w:szCs w:val="21"/>
                <w:highlight w:val="none"/>
              </w:rPr>
              <w:t>序号</w:t>
            </w:r>
          </w:p>
        </w:tc>
        <w:tc>
          <w:tcPr>
            <w:tcW w:w="8369" w:type="dxa"/>
            <w:noWrap w:val="0"/>
            <w:vAlign w:val="center"/>
          </w:tcPr>
          <w:p w14:paraId="3776B41A">
            <w:pPr>
              <w:pStyle w:val="60"/>
              <w:shd w:val="clear"/>
              <w:spacing w:line="400" w:lineRule="exact"/>
              <w:jc w:val="center"/>
              <w:rPr>
                <w:rFonts w:hint="eastAsia"/>
                <w:color w:val="auto"/>
                <w:sz w:val="21"/>
                <w:szCs w:val="21"/>
                <w:highlight w:val="none"/>
              </w:rPr>
            </w:pPr>
            <w:r>
              <w:rPr>
                <w:rFonts w:hint="eastAsia"/>
                <w:color w:val="auto"/>
                <w:sz w:val="21"/>
                <w:szCs w:val="21"/>
                <w:highlight w:val="none"/>
              </w:rPr>
              <w:t>内    容</w:t>
            </w:r>
          </w:p>
        </w:tc>
      </w:tr>
      <w:tr w14:paraId="182C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0BB0AFEE">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221F76BC">
            <w:pPr>
              <w:pStyle w:val="60"/>
              <w:shd w:val="clear"/>
              <w:spacing w:line="390" w:lineRule="exact"/>
              <w:jc w:val="left"/>
              <w:rPr>
                <w:rFonts w:hint="eastAsia"/>
                <w:color w:val="auto"/>
                <w:sz w:val="21"/>
                <w:szCs w:val="21"/>
                <w:highlight w:val="none"/>
              </w:rPr>
            </w:pPr>
            <w:r>
              <w:rPr>
                <w:rFonts w:hint="eastAsia"/>
                <w:color w:val="auto"/>
                <w:sz w:val="21"/>
                <w:szCs w:val="21"/>
                <w:highlight w:val="none"/>
              </w:rPr>
              <w:t>采购项目名称：广西医科大学校本部智慧消防采购项目</w:t>
            </w:r>
          </w:p>
          <w:p w14:paraId="58A85B77">
            <w:pPr>
              <w:pStyle w:val="60"/>
              <w:shd w:val="clear"/>
              <w:spacing w:line="390" w:lineRule="exact"/>
              <w:jc w:val="left"/>
              <w:rPr>
                <w:rFonts w:hint="eastAsia" w:eastAsia="宋体"/>
                <w:color w:val="auto"/>
                <w:sz w:val="21"/>
                <w:szCs w:val="21"/>
                <w:highlight w:val="none"/>
                <w:u w:val="single"/>
                <w:lang w:eastAsia="zh-CN"/>
              </w:rPr>
            </w:pPr>
            <w:r>
              <w:rPr>
                <w:rFonts w:hint="eastAsia"/>
                <w:color w:val="auto"/>
                <w:sz w:val="21"/>
                <w:szCs w:val="21"/>
                <w:highlight w:val="none"/>
              </w:rPr>
              <w:t>采购项目编号：</w:t>
            </w:r>
            <w:r>
              <w:rPr>
                <w:rFonts w:hint="eastAsia"/>
                <w:color w:val="auto"/>
                <w:sz w:val="21"/>
                <w:szCs w:val="21"/>
                <w:highlight w:val="none"/>
                <w:lang w:eastAsia="zh-CN"/>
              </w:rPr>
              <w:t>GXZC2026-J1-002129-GLZB</w:t>
            </w:r>
          </w:p>
        </w:tc>
      </w:tr>
      <w:tr w14:paraId="034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3F467EA0">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12ADACBE">
            <w:pPr>
              <w:pStyle w:val="60"/>
              <w:shd w:val="clear"/>
              <w:spacing w:line="390" w:lineRule="exact"/>
              <w:ind w:left="-36" w:firstLine="36"/>
              <w:jc w:val="left"/>
              <w:rPr>
                <w:rFonts w:hint="eastAsia"/>
                <w:color w:val="auto"/>
                <w:sz w:val="21"/>
                <w:szCs w:val="21"/>
                <w:highlight w:val="none"/>
              </w:rPr>
            </w:pPr>
            <w:r>
              <w:rPr>
                <w:rFonts w:hint="eastAsia"/>
                <w:color w:val="auto"/>
                <w:sz w:val="21"/>
                <w:szCs w:val="21"/>
                <w:highlight w:val="none"/>
              </w:rPr>
              <w:t>供应商资格：按第一章竞争性谈判公告第二条规定。</w:t>
            </w:r>
          </w:p>
        </w:tc>
      </w:tr>
      <w:tr w14:paraId="7C6B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640FEBBA">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3EE4F127">
            <w:pPr>
              <w:shd w:val="clear"/>
              <w:spacing w:line="390" w:lineRule="exact"/>
              <w:jc w:val="left"/>
              <w:rPr>
                <w:rFonts w:hint="eastAsia" w:ascii="宋体" w:hAnsi="宋体"/>
                <w:color w:val="auto"/>
                <w:sz w:val="21"/>
                <w:szCs w:val="21"/>
                <w:highlight w:val="none"/>
              </w:rPr>
            </w:pPr>
            <w:r>
              <w:rPr>
                <w:rFonts w:hint="eastAsia"/>
                <w:color w:val="auto"/>
                <w:sz w:val="21"/>
                <w:szCs w:val="21"/>
                <w:highlight w:val="none"/>
              </w:rPr>
              <w:t>竞标报价：供应商必须就所竞项目的全部内容作完整唯一报价，漏项报价的或有选择的或有条件的报价，其响应文件将视为无效。</w:t>
            </w:r>
          </w:p>
        </w:tc>
      </w:tr>
      <w:tr w14:paraId="7D56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4A400D33">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4ED5D389">
            <w:pPr>
              <w:shd w:val="clear"/>
              <w:spacing w:line="390" w:lineRule="exact"/>
              <w:jc w:val="left"/>
              <w:rPr>
                <w:rFonts w:hint="eastAsia"/>
                <w:color w:val="auto"/>
                <w:sz w:val="21"/>
                <w:szCs w:val="21"/>
                <w:highlight w:val="none"/>
              </w:rPr>
            </w:pPr>
            <w:r>
              <w:rPr>
                <w:rFonts w:hint="eastAsia"/>
                <w:color w:val="auto"/>
                <w:sz w:val="21"/>
                <w:szCs w:val="21"/>
                <w:highlight w:val="none"/>
              </w:rPr>
              <w:t>成交服务费：本项目的成交服务费按（货物类）标准采用差额定率累进计费方式计取，由成交供应商在发布成交结果公告后，一次性向采购代理机构支付。</w:t>
            </w:r>
          </w:p>
        </w:tc>
      </w:tr>
      <w:tr w14:paraId="5009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11CABFD3">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160A546F">
            <w:pPr>
              <w:pStyle w:val="21"/>
              <w:shd w:val="clear"/>
              <w:jc w:val="left"/>
              <w:rPr>
                <w:color w:val="auto"/>
                <w:sz w:val="21"/>
                <w:szCs w:val="21"/>
                <w:highlight w:val="none"/>
              </w:rPr>
            </w:pPr>
            <w:r>
              <w:rPr>
                <w:rFonts w:hint="eastAsia"/>
                <w:color w:val="auto"/>
                <w:sz w:val="21"/>
                <w:szCs w:val="21"/>
                <w:highlight w:val="none"/>
              </w:rPr>
              <w:t>响应文件的上传和提交：本项目通过“广西政府采购云平台”</w:t>
            </w:r>
            <w:r>
              <w:rPr>
                <w:color w:val="auto"/>
                <w:sz w:val="21"/>
                <w:szCs w:val="21"/>
                <w:highlight w:val="none"/>
              </w:rPr>
              <w:t>实行在线</w:t>
            </w:r>
            <w:r>
              <w:rPr>
                <w:rFonts w:hint="eastAsia"/>
                <w:color w:val="auto"/>
                <w:sz w:val="21"/>
                <w:szCs w:val="21"/>
                <w:highlight w:val="none"/>
              </w:rPr>
              <w:t>竞标</w:t>
            </w:r>
            <w:r>
              <w:rPr>
                <w:color w:val="auto"/>
                <w:sz w:val="21"/>
                <w:szCs w:val="21"/>
                <w:highlight w:val="none"/>
              </w:rPr>
              <w:t>响应（电子标），</w:t>
            </w:r>
            <w:r>
              <w:rPr>
                <w:rFonts w:hint="eastAsia"/>
                <w:color w:val="auto"/>
                <w:sz w:val="21"/>
                <w:szCs w:val="21"/>
                <w:highlight w:val="none"/>
              </w:rPr>
              <w:t>竞标</w:t>
            </w:r>
            <w:r>
              <w:rPr>
                <w:color w:val="auto"/>
                <w:sz w:val="21"/>
                <w:szCs w:val="21"/>
                <w:highlight w:val="none"/>
              </w:rPr>
              <w:t>供应商应当在</w:t>
            </w:r>
            <w:r>
              <w:rPr>
                <w:rFonts w:hint="eastAsia"/>
                <w:b/>
                <w:color w:val="auto"/>
                <w:sz w:val="21"/>
                <w:szCs w:val="21"/>
                <w:highlight w:val="none"/>
              </w:rPr>
              <w:t>响应文件提交截止时间</w:t>
            </w:r>
            <w:r>
              <w:rPr>
                <w:color w:val="auto"/>
                <w:sz w:val="21"/>
                <w:szCs w:val="21"/>
                <w:highlight w:val="none"/>
              </w:rPr>
              <w:t>前，将生成的</w:t>
            </w:r>
            <w:r>
              <w:rPr>
                <w:rFonts w:hint="eastAsia"/>
                <w:color w:val="auto"/>
                <w:sz w:val="21"/>
                <w:szCs w:val="21"/>
                <w:highlight w:val="none"/>
              </w:rPr>
              <w:t>“</w:t>
            </w:r>
            <w:r>
              <w:rPr>
                <w:color w:val="auto"/>
                <w:sz w:val="21"/>
                <w:szCs w:val="21"/>
                <w:highlight w:val="none"/>
              </w:rPr>
              <w:t>电子加密</w:t>
            </w:r>
            <w:r>
              <w:rPr>
                <w:rFonts w:hint="eastAsia"/>
                <w:color w:val="auto"/>
                <w:sz w:val="21"/>
                <w:szCs w:val="21"/>
                <w:highlight w:val="none"/>
              </w:rPr>
              <w:t>响应</w:t>
            </w:r>
            <w:r>
              <w:rPr>
                <w:color w:val="auto"/>
                <w:sz w:val="21"/>
                <w:szCs w:val="21"/>
                <w:highlight w:val="none"/>
              </w:rPr>
              <w:t>文件</w:t>
            </w:r>
            <w:r>
              <w:rPr>
                <w:rFonts w:hint="eastAsia"/>
                <w:color w:val="auto"/>
                <w:sz w:val="21"/>
                <w:szCs w:val="21"/>
                <w:highlight w:val="none"/>
              </w:rPr>
              <w:t>”</w:t>
            </w:r>
            <w:r>
              <w:rPr>
                <w:color w:val="auto"/>
                <w:sz w:val="21"/>
                <w:szCs w:val="21"/>
                <w:highlight w:val="none"/>
              </w:rPr>
              <w:t>上传</w:t>
            </w:r>
            <w:r>
              <w:rPr>
                <w:rFonts w:hint="eastAsia"/>
                <w:color w:val="auto"/>
                <w:sz w:val="21"/>
                <w:szCs w:val="21"/>
                <w:highlight w:val="none"/>
              </w:rPr>
              <w:t>提交</w:t>
            </w:r>
            <w:r>
              <w:rPr>
                <w:color w:val="auto"/>
                <w:sz w:val="21"/>
                <w:szCs w:val="21"/>
                <w:highlight w:val="none"/>
              </w:rPr>
              <w:t>至</w:t>
            </w:r>
            <w:r>
              <w:rPr>
                <w:rFonts w:hint="eastAsia"/>
                <w:color w:val="auto"/>
                <w:sz w:val="21"/>
                <w:szCs w:val="21"/>
                <w:highlight w:val="none"/>
              </w:rPr>
              <w:t xml:space="preserve"> “广西政府采购云平台”</w:t>
            </w:r>
            <w:r>
              <w:rPr>
                <w:color w:val="auto"/>
                <w:sz w:val="21"/>
                <w:szCs w:val="21"/>
                <w:highlight w:val="none"/>
              </w:rPr>
              <w:t>。</w:t>
            </w:r>
          </w:p>
          <w:p w14:paraId="4C041C68">
            <w:pPr>
              <w:pStyle w:val="21"/>
              <w:shd w:val="clear"/>
              <w:jc w:val="left"/>
              <w:rPr>
                <w:color w:val="auto"/>
                <w:sz w:val="21"/>
                <w:szCs w:val="21"/>
                <w:highlight w:val="none"/>
              </w:rPr>
            </w:pPr>
            <w:r>
              <w:rPr>
                <w:rFonts w:hint="eastAsia"/>
                <w:color w:val="auto"/>
                <w:sz w:val="21"/>
                <w:szCs w:val="21"/>
                <w:highlight w:val="none"/>
              </w:rPr>
              <w:t>“电子加密响应文件”的上传、提交：</w:t>
            </w:r>
          </w:p>
          <w:p w14:paraId="780D07ED">
            <w:pPr>
              <w:pStyle w:val="21"/>
              <w:shd w:val="clear"/>
              <w:jc w:val="left"/>
              <w:rPr>
                <w:color w:val="auto"/>
                <w:sz w:val="21"/>
                <w:szCs w:val="21"/>
                <w:highlight w:val="none"/>
              </w:rPr>
            </w:pPr>
            <w:r>
              <w:rPr>
                <w:rFonts w:hint="eastAsia"/>
                <w:color w:val="auto"/>
                <w:sz w:val="21"/>
                <w:szCs w:val="21"/>
                <w:highlight w:val="none"/>
              </w:rPr>
              <w:t>a.谈判供应商应在</w:t>
            </w:r>
            <w:r>
              <w:rPr>
                <w:rFonts w:hint="eastAsia"/>
                <w:b/>
                <w:color w:val="auto"/>
                <w:sz w:val="21"/>
                <w:szCs w:val="21"/>
                <w:highlight w:val="none"/>
              </w:rPr>
              <w:t>响应文件提交截止时间</w:t>
            </w:r>
            <w:r>
              <w:rPr>
                <w:rFonts w:hint="eastAsia"/>
                <w:color w:val="auto"/>
                <w:sz w:val="21"/>
                <w:szCs w:val="21"/>
                <w:highlight w:val="none"/>
              </w:rPr>
              <w:t>前将“电子加密响应文件”成功上传提交至“广西政府采购云平台”，否则谈判无效。</w:t>
            </w:r>
          </w:p>
          <w:p w14:paraId="1034480E">
            <w:pPr>
              <w:pStyle w:val="21"/>
              <w:shd w:val="clear"/>
              <w:spacing w:line="390" w:lineRule="exact"/>
              <w:jc w:val="left"/>
              <w:rPr>
                <w:rFonts w:hint="eastAsia"/>
                <w:color w:val="auto"/>
                <w:sz w:val="21"/>
                <w:szCs w:val="21"/>
                <w:highlight w:val="none"/>
              </w:rPr>
            </w:pPr>
            <w:r>
              <w:rPr>
                <w:rFonts w:hint="eastAsia"/>
                <w:color w:val="auto"/>
                <w:sz w:val="21"/>
                <w:szCs w:val="21"/>
                <w:highlight w:val="none"/>
              </w:rPr>
              <w:t>b.“电子加密谈判响应文件”成功上传提交后，供应商可自行打印响应文件接收回执。</w:t>
            </w:r>
          </w:p>
        </w:tc>
      </w:tr>
      <w:tr w14:paraId="523C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5842E759">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5FB5C353">
            <w:pPr>
              <w:pStyle w:val="60"/>
              <w:shd w:val="clear"/>
              <w:spacing w:line="390" w:lineRule="exact"/>
              <w:jc w:val="left"/>
              <w:rPr>
                <w:rFonts w:hint="eastAsia"/>
                <w:bCs/>
                <w:color w:val="auto"/>
                <w:sz w:val="21"/>
                <w:szCs w:val="21"/>
                <w:highlight w:val="none"/>
              </w:rPr>
            </w:pPr>
            <w:r>
              <w:rPr>
                <w:rFonts w:hint="eastAsia"/>
                <w:color w:val="auto"/>
                <w:sz w:val="21"/>
                <w:szCs w:val="21"/>
                <w:highlight w:val="none"/>
              </w:rPr>
              <w:t>响应文件递交截止时间：</w:t>
            </w:r>
            <w:r>
              <w:rPr>
                <w:rFonts w:hint="eastAsia" w:hAnsi="宋体"/>
                <w:color w:val="auto"/>
                <w:sz w:val="21"/>
                <w:szCs w:val="21"/>
                <w:highlight w:val="none"/>
                <w:u w:val="single"/>
              </w:rPr>
              <w:t>详见竞争性谈判公告</w:t>
            </w:r>
          </w:p>
          <w:p w14:paraId="6C5FF2BF">
            <w:pPr>
              <w:pStyle w:val="21"/>
              <w:shd w:val="clear"/>
              <w:spacing w:line="390" w:lineRule="exact"/>
              <w:jc w:val="left"/>
              <w:rPr>
                <w:rFonts w:hint="eastAsia"/>
                <w:color w:val="auto"/>
                <w:sz w:val="21"/>
                <w:szCs w:val="21"/>
                <w:highlight w:val="none"/>
              </w:rPr>
            </w:pPr>
            <w:r>
              <w:rPr>
                <w:rFonts w:hint="eastAsia"/>
                <w:color w:val="auto"/>
                <w:sz w:val="21"/>
                <w:szCs w:val="21"/>
                <w:highlight w:val="none"/>
              </w:rPr>
              <w:t>响应文件递交地址：</w:t>
            </w:r>
            <w:r>
              <w:rPr>
                <w:rFonts w:hint="eastAsia" w:hAnsi="宋体"/>
                <w:color w:val="auto"/>
                <w:sz w:val="21"/>
                <w:szCs w:val="21"/>
                <w:highlight w:val="none"/>
                <w:u w:val="single"/>
              </w:rPr>
              <w:t>详见竞争性谈判公告</w:t>
            </w:r>
          </w:p>
        </w:tc>
      </w:tr>
      <w:tr w14:paraId="04CD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72C03E4D">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23EDDE5D">
            <w:pPr>
              <w:pStyle w:val="60"/>
              <w:shd w:val="clear"/>
              <w:spacing w:line="390" w:lineRule="exact"/>
              <w:jc w:val="left"/>
              <w:rPr>
                <w:rFonts w:hint="eastAsia"/>
                <w:color w:val="auto"/>
                <w:sz w:val="21"/>
                <w:szCs w:val="21"/>
                <w:highlight w:val="none"/>
              </w:rPr>
            </w:pPr>
            <w:r>
              <w:rPr>
                <w:rFonts w:hint="eastAsia"/>
                <w:color w:val="auto"/>
                <w:sz w:val="21"/>
                <w:szCs w:val="21"/>
                <w:highlight w:val="none"/>
              </w:rPr>
              <w:t>竞争性谈判响应文件有效期：响应文件递交截止日期后六十日。</w:t>
            </w:r>
          </w:p>
        </w:tc>
      </w:tr>
      <w:tr w14:paraId="53AF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63FF76E2">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740FB736">
            <w:pPr>
              <w:pStyle w:val="21"/>
              <w:shd w:val="clear"/>
              <w:spacing w:line="390" w:lineRule="exact"/>
              <w:jc w:val="left"/>
              <w:rPr>
                <w:rFonts w:hint="eastAsia"/>
                <w:color w:val="auto"/>
                <w:sz w:val="21"/>
                <w:szCs w:val="21"/>
                <w:highlight w:val="none"/>
              </w:rPr>
            </w:pPr>
            <w:r>
              <w:rPr>
                <w:rFonts w:hint="eastAsia"/>
                <w:color w:val="auto"/>
                <w:sz w:val="21"/>
                <w:szCs w:val="21"/>
                <w:highlight w:val="none"/>
              </w:rPr>
              <w:t>谈判保证金（人民币）：</w:t>
            </w:r>
            <w:r>
              <w:rPr>
                <w:rFonts w:hint="eastAsia" w:hAnsi="宋体"/>
                <w:color w:val="auto"/>
                <w:sz w:val="21"/>
                <w:szCs w:val="21"/>
                <w:highlight w:val="none"/>
                <w:u w:val="single"/>
              </w:rPr>
              <w:t>详见竞争性谈判公告</w:t>
            </w:r>
          </w:p>
        </w:tc>
      </w:tr>
      <w:tr w14:paraId="701E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7FD05C86">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0BA9428E">
            <w:pPr>
              <w:pStyle w:val="60"/>
              <w:shd w:val="clear"/>
              <w:spacing w:line="390" w:lineRule="exact"/>
              <w:jc w:val="left"/>
              <w:rPr>
                <w:rFonts w:hint="eastAsia"/>
                <w:bCs/>
                <w:color w:val="auto"/>
                <w:sz w:val="21"/>
                <w:szCs w:val="21"/>
                <w:highlight w:val="none"/>
              </w:rPr>
            </w:pPr>
            <w:r>
              <w:rPr>
                <w:rFonts w:hint="eastAsia"/>
                <w:bCs/>
                <w:color w:val="auto"/>
                <w:sz w:val="21"/>
                <w:szCs w:val="21"/>
                <w:highlight w:val="none"/>
              </w:rPr>
              <w:t>谈判时间：</w:t>
            </w:r>
            <w:r>
              <w:rPr>
                <w:rFonts w:hint="eastAsia" w:hAnsi="宋体"/>
                <w:color w:val="auto"/>
                <w:sz w:val="21"/>
                <w:szCs w:val="21"/>
                <w:highlight w:val="none"/>
                <w:u w:val="single"/>
              </w:rPr>
              <w:t>详见竞争性谈判公告</w:t>
            </w:r>
          </w:p>
          <w:p w14:paraId="09EE0F94">
            <w:pPr>
              <w:pStyle w:val="60"/>
              <w:shd w:val="clear"/>
              <w:spacing w:line="390" w:lineRule="exact"/>
              <w:jc w:val="left"/>
              <w:rPr>
                <w:rFonts w:hint="eastAsia"/>
                <w:color w:val="auto"/>
                <w:sz w:val="21"/>
                <w:szCs w:val="21"/>
                <w:highlight w:val="none"/>
              </w:rPr>
            </w:pPr>
            <w:r>
              <w:rPr>
                <w:rFonts w:hint="eastAsia"/>
                <w:bCs/>
                <w:color w:val="auto"/>
                <w:sz w:val="21"/>
                <w:szCs w:val="21"/>
                <w:highlight w:val="none"/>
              </w:rPr>
              <w:t>谈判地点：</w:t>
            </w:r>
            <w:r>
              <w:rPr>
                <w:rFonts w:hint="eastAsia"/>
                <w:color w:val="auto"/>
                <w:sz w:val="21"/>
                <w:szCs w:val="21"/>
                <w:highlight w:val="none"/>
                <w:u w:val="single"/>
              </w:rPr>
              <w:t>详见</w:t>
            </w:r>
            <w:r>
              <w:rPr>
                <w:rFonts w:hint="eastAsia" w:hAnsi="宋体"/>
                <w:color w:val="auto"/>
                <w:sz w:val="21"/>
                <w:szCs w:val="21"/>
                <w:highlight w:val="none"/>
                <w:u w:val="single"/>
              </w:rPr>
              <w:t>竞争性</w:t>
            </w:r>
            <w:r>
              <w:rPr>
                <w:rFonts w:hint="eastAsia"/>
                <w:color w:val="auto"/>
                <w:sz w:val="21"/>
                <w:szCs w:val="21"/>
                <w:highlight w:val="none"/>
                <w:u w:val="single"/>
              </w:rPr>
              <w:t>谈判公告</w:t>
            </w:r>
          </w:p>
        </w:tc>
      </w:tr>
      <w:tr w14:paraId="5144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11A1D9F1">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627C41C3">
            <w:pPr>
              <w:pStyle w:val="60"/>
              <w:shd w:val="clear"/>
              <w:spacing w:line="390" w:lineRule="exact"/>
              <w:jc w:val="left"/>
              <w:rPr>
                <w:rFonts w:hint="eastAsia"/>
                <w:color w:val="auto"/>
                <w:sz w:val="21"/>
                <w:szCs w:val="21"/>
                <w:highlight w:val="none"/>
              </w:rPr>
            </w:pPr>
            <w:r>
              <w:rPr>
                <w:rFonts w:hint="eastAsia"/>
                <w:color w:val="auto"/>
                <w:sz w:val="21"/>
                <w:szCs w:val="21"/>
                <w:highlight w:val="none"/>
              </w:rPr>
              <w:t>评标方法：最低评标价法（</w:t>
            </w:r>
            <w:r>
              <w:rPr>
                <w:rFonts w:hint="eastAsia"/>
                <w:color w:val="auto"/>
                <w:sz w:val="21"/>
                <w:szCs w:val="21"/>
                <w:highlight w:val="none"/>
                <w:lang w:eastAsia="zh-CN"/>
              </w:rPr>
              <w:t>详</w:t>
            </w:r>
            <w:r>
              <w:rPr>
                <w:rFonts w:hint="eastAsia"/>
                <w:color w:val="auto"/>
                <w:sz w:val="21"/>
                <w:szCs w:val="21"/>
                <w:highlight w:val="none"/>
              </w:rPr>
              <w:t>见第六章）</w:t>
            </w:r>
          </w:p>
        </w:tc>
      </w:tr>
      <w:tr w14:paraId="1470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4CF3CC72">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564FC947">
            <w:pPr>
              <w:shd w:val="clear"/>
              <w:spacing w:line="300" w:lineRule="exact"/>
              <w:jc w:val="left"/>
              <w:rPr>
                <w:rFonts w:ascii="宋体" w:hAnsi="宋体"/>
                <w:snapToGrid w:val="0"/>
                <w:color w:val="auto"/>
                <w:sz w:val="21"/>
                <w:szCs w:val="21"/>
                <w:highlight w:val="none"/>
              </w:rPr>
            </w:pPr>
            <w:r>
              <w:rPr>
                <w:rFonts w:hint="eastAsia" w:ascii="宋体" w:hAnsi="宋体"/>
                <w:color w:val="auto"/>
                <w:sz w:val="21"/>
                <w:szCs w:val="21"/>
                <w:highlight w:val="none"/>
              </w:rPr>
              <w:t>响应文件形式：</w:t>
            </w:r>
            <w:r>
              <w:rPr>
                <w:rFonts w:hint="eastAsia" w:ascii="宋体" w:hAnsi="宋体"/>
                <w:snapToGrid w:val="0"/>
                <w:color w:val="auto"/>
                <w:sz w:val="21"/>
                <w:szCs w:val="21"/>
                <w:highlight w:val="none"/>
              </w:rPr>
              <w:t>谈判供应商应准备电子响应文件。</w:t>
            </w:r>
          </w:p>
          <w:p w14:paraId="0F4F0C73">
            <w:pPr>
              <w:pStyle w:val="60"/>
              <w:shd w:val="clear"/>
              <w:spacing w:line="400" w:lineRule="exact"/>
              <w:jc w:val="left"/>
              <w:rPr>
                <w:rFonts w:hint="eastAsia"/>
                <w:color w:val="auto"/>
                <w:sz w:val="21"/>
                <w:szCs w:val="21"/>
                <w:highlight w:val="none"/>
              </w:rPr>
            </w:pPr>
            <w:r>
              <w:rPr>
                <w:rFonts w:hint="eastAsia"/>
                <w:snapToGrid w:val="0"/>
                <w:color w:val="auto"/>
                <w:sz w:val="21"/>
                <w:szCs w:val="21"/>
                <w:highlight w:val="none"/>
              </w:rPr>
              <w:t>电子响应文件是指通过“广西政府采购云平台电子投标客户端”完成响应文件编制后生成并加密的数据电文形式的电子加密响应文件。</w:t>
            </w:r>
          </w:p>
        </w:tc>
      </w:tr>
      <w:tr w14:paraId="69C0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2A1A3328">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098928EE">
            <w:pPr>
              <w:pStyle w:val="60"/>
              <w:shd w:val="clear"/>
              <w:spacing w:line="400" w:lineRule="exact"/>
              <w:jc w:val="left"/>
              <w:rPr>
                <w:rFonts w:hint="eastAsia"/>
                <w:color w:val="auto"/>
                <w:sz w:val="21"/>
                <w:szCs w:val="21"/>
                <w:highlight w:val="none"/>
              </w:rPr>
            </w:pPr>
            <w:r>
              <w:rPr>
                <w:rFonts w:hint="eastAsia"/>
                <w:snapToGrid w:val="0"/>
                <w:color w:val="auto"/>
                <w:sz w:val="21"/>
                <w:szCs w:val="21"/>
                <w:highlight w:val="none"/>
              </w:rPr>
              <w:t>响应文件的编制：供应商应先安装“广西政府采购云平台电子投标客户端”，并按照本竞争性谈判文件和“广西政府采购云平台”的要求，通过“广西政府采购云平台电子投标客户端”编制并加密响应文件。</w:t>
            </w:r>
          </w:p>
        </w:tc>
      </w:tr>
      <w:tr w14:paraId="2901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287450DA">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1CFDE486">
            <w:pPr>
              <w:shd w:val="clear"/>
              <w:autoSpaceDE w:val="0"/>
              <w:autoSpaceDN w:val="0"/>
              <w:snapToGrid w:val="0"/>
              <w:spacing w:line="360" w:lineRule="exact"/>
              <w:jc w:val="left"/>
              <w:textAlignment w:val="bottom"/>
              <w:rPr>
                <w:rFonts w:hint="eastAsia"/>
                <w:color w:val="auto"/>
                <w:sz w:val="21"/>
                <w:szCs w:val="21"/>
                <w:highlight w:val="none"/>
              </w:rPr>
            </w:pPr>
            <w:r>
              <w:rPr>
                <w:rFonts w:hint="eastAsia" w:ascii="宋体" w:hAnsi="宋体"/>
                <w:color w:val="auto"/>
                <w:sz w:val="21"/>
                <w:szCs w:val="21"/>
                <w:highlight w:val="none"/>
              </w:rPr>
              <w:t>解释：</w:t>
            </w:r>
            <w:r>
              <w:rPr>
                <w:rFonts w:ascii="宋体" w:hAnsi="宋体"/>
                <w:color w:val="auto"/>
                <w:sz w:val="21"/>
                <w:szCs w:val="21"/>
                <w:highlight w:val="none"/>
              </w:rPr>
              <w:t>构成本</w:t>
            </w:r>
            <w:r>
              <w:rPr>
                <w:rFonts w:hint="eastAsia" w:ascii="宋体" w:hAnsi="宋体"/>
                <w:color w:val="auto"/>
                <w:sz w:val="21"/>
                <w:szCs w:val="21"/>
                <w:highlight w:val="none"/>
                <w:lang w:eastAsia="zh-CN"/>
              </w:rPr>
              <w:t>采购文件</w:t>
            </w:r>
            <w:r>
              <w:rPr>
                <w:rFonts w:ascii="宋体" w:hAnsi="宋体"/>
                <w:color w:val="auto"/>
                <w:sz w:val="21"/>
                <w:szCs w:val="21"/>
                <w:highlight w:val="none"/>
              </w:rPr>
              <w:t>的各个组成文件应互为解释，互为说明；除</w:t>
            </w:r>
            <w:r>
              <w:rPr>
                <w:rFonts w:hint="eastAsia" w:ascii="宋体" w:hAnsi="宋体"/>
                <w:color w:val="auto"/>
                <w:sz w:val="21"/>
                <w:szCs w:val="21"/>
                <w:highlight w:val="none"/>
                <w:lang w:eastAsia="zh-CN"/>
              </w:rPr>
              <w:t>采购文件</w:t>
            </w:r>
            <w:r>
              <w:rPr>
                <w:rFonts w:ascii="宋体" w:hAnsi="宋体"/>
                <w:color w:val="auto"/>
                <w:sz w:val="21"/>
                <w:szCs w:val="21"/>
                <w:highlight w:val="none"/>
              </w:rPr>
              <w:t>中有特别规定外，仅适用于招标投标阶段的规定，按</w:t>
            </w:r>
            <w:r>
              <w:rPr>
                <w:rFonts w:hint="eastAsia" w:ascii="宋体" w:hAnsi="宋体"/>
                <w:color w:val="auto"/>
                <w:sz w:val="21"/>
                <w:szCs w:val="21"/>
                <w:highlight w:val="none"/>
              </w:rPr>
              <w:t>更正公告（澄清公告）</w:t>
            </w:r>
            <w:r>
              <w:rPr>
                <w:rFonts w:ascii="宋体" w:hAnsi="宋体"/>
                <w:color w:val="auto"/>
                <w:sz w:val="21"/>
                <w:szCs w:val="21"/>
                <w:highlight w:val="none"/>
              </w:rPr>
              <w:t>、招标公告、</w:t>
            </w:r>
            <w:r>
              <w:rPr>
                <w:rFonts w:hint="eastAsia" w:ascii="宋体" w:hAnsi="宋体"/>
                <w:color w:val="auto"/>
                <w:sz w:val="21"/>
                <w:szCs w:val="21"/>
                <w:highlight w:val="none"/>
              </w:rPr>
              <w:t>采购需求、</w:t>
            </w:r>
            <w:r>
              <w:rPr>
                <w:rFonts w:hint="eastAsia" w:ascii="宋体" w:hAnsi="宋体"/>
                <w:color w:val="auto"/>
                <w:sz w:val="21"/>
                <w:szCs w:val="21"/>
                <w:highlight w:val="none"/>
                <w:lang w:eastAsia="zh-CN"/>
              </w:rPr>
              <w:t>供应商</w:t>
            </w:r>
            <w:r>
              <w:rPr>
                <w:rFonts w:ascii="宋体" w:hAnsi="宋体"/>
                <w:color w:val="auto"/>
                <w:sz w:val="21"/>
                <w:szCs w:val="21"/>
                <w:highlight w:val="none"/>
              </w:rPr>
              <w:t>须知、</w:t>
            </w:r>
            <w:r>
              <w:rPr>
                <w:rFonts w:hint="eastAsia" w:ascii="宋体" w:hAnsi="宋体"/>
                <w:color w:val="auto"/>
                <w:sz w:val="21"/>
                <w:szCs w:val="21"/>
                <w:highlight w:val="none"/>
              </w:rPr>
              <w:t>评标方法及评标标准</w:t>
            </w:r>
            <w:r>
              <w:rPr>
                <w:rFonts w:ascii="宋体" w:hAnsi="宋体"/>
                <w:color w:val="auto"/>
                <w:sz w:val="21"/>
                <w:szCs w:val="21"/>
                <w:highlight w:val="none"/>
              </w:rPr>
              <w:t>、</w:t>
            </w:r>
            <w:r>
              <w:rPr>
                <w:rFonts w:hint="eastAsia" w:ascii="宋体" w:hAnsi="宋体"/>
                <w:color w:val="auto"/>
                <w:sz w:val="21"/>
                <w:szCs w:val="21"/>
                <w:highlight w:val="none"/>
              </w:rPr>
              <w:t>拟签订的合同文本、</w:t>
            </w:r>
            <w:r>
              <w:rPr>
                <w:rFonts w:ascii="宋体" w:hAnsi="宋体"/>
                <w:color w:val="auto"/>
                <w:sz w:val="21"/>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 w:val="21"/>
                <w:szCs w:val="21"/>
                <w:highlight w:val="none"/>
              </w:rPr>
              <w:t>更正公告（澄清公告）</w:t>
            </w:r>
            <w:r>
              <w:rPr>
                <w:rFonts w:ascii="宋体" w:hAnsi="宋体"/>
                <w:color w:val="auto"/>
                <w:sz w:val="21"/>
                <w:szCs w:val="21"/>
                <w:highlight w:val="none"/>
              </w:rPr>
              <w:t>与同步更新的</w:t>
            </w:r>
            <w:r>
              <w:rPr>
                <w:rFonts w:hint="eastAsia" w:ascii="宋体" w:hAnsi="宋体"/>
                <w:color w:val="auto"/>
                <w:sz w:val="21"/>
                <w:szCs w:val="21"/>
                <w:highlight w:val="none"/>
                <w:lang w:eastAsia="zh-CN"/>
              </w:rPr>
              <w:t>采购文件</w:t>
            </w:r>
            <w:r>
              <w:rPr>
                <w:rFonts w:ascii="宋体" w:hAnsi="宋体"/>
                <w:color w:val="auto"/>
                <w:sz w:val="21"/>
                <w:szCs w:val="21"/>
                <w:highlight w:val="none"/>
              </w:rPr>
              <w:t>不一致时以</w:t>
            </w:r>
            <w:r>
              <w:rPr>
                <w:rFonts w:hint="eastAsia" w:ascii="宋体" w:hAnsi="宋体"/>
                <w:color w:val="auto"/>
                <w:sz w:val="21"/>
                <w:szCs w:val="21"/>
                <w:highlight w:val="none"/>
              </w:rPr>
              <w:t>更正公告（澄清公告）</w:t>
            </w:r>
            <w:r>
              <w:rPr>
                <w:rFonts w:ascii="宋体" w:hAnsi="宋体"/>
                <w:color w:val="auto"/>
                <w:sz w:val="21"/>
                <w:szCs w:val="21"/>
                <w:highlight w:val="none"/>
              </w:rPr>
              <w:t>为准。按本款前述规定仍不能形成结论的，由</w:t>
            </w:r>
            <w:r>
              <w:rPr>
                <w:rFonts w:hint="eastAsia" w:ascii="宋体" w:hAnsi="宋体"/>
                <w:color w:val="auto"/>
                <w:sz w:val="21"/>
                <w:szCs w:val="21"/>
                <w:highlight w:val="none"/>
              </w:rPr>
              <w:t>采购</w:t>
            </w:r>
            <w:r>
              <w:rPr>
                <w:rFonts w:ascii="宋体" w:hAnsi="宋体"/>
                <w:color w:val="auto"/>
                <w:sz w:val="21"/>
                <w:szCs w:val="21"/>
                <w:highlight w:val="none"/>
              </w:rPr>
              <w:t>人</w:t>
            </w:r>
            <w:r>
              <w:rPr>
                <w:rFonts w:hint="eastAsia" w:ascii="宋体" w:hAnsi="宋体"/>
                <w:color w:val="auto"/>
                <w:sz w:val="21"/>
                <w:szCs w:val="21"/>
                <w:highlight w:val="none"/>
              </w:rPr>
              <w:t>或者采购代理机构</w:t>
            </w:r>
            <w:r>
              <w:rPr>
                <w:rFonts w:ascii="宋体" w:hAnsi="宋体"/>
                <w:color w:val="auto"/>
                <w:sz w:val="21"/>
                <w:szCs w:val="21"/>
                <w:highlight w:val="none"/>
              </w:rPr>
              <w:t>负责解释。</w:t>
            </w:r>
          </w:p>
        </w:tc>
      </w:tr>
      <w:tr w14:paraId="5511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1C6455BD">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64EEE050">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1.本</w:t>
            </w:r>
            <w:r>
              <w:rPr>
                <w:rFonts w:hint="eastAsia" w:ascii="宋体"/>
                <w:color w:val="auto"/>
                <w:sz w:val="21"/>
                <w:szCs w:val="21"/>
                <w:highlight w:val="none"/>
                <w:lang w:val="en-US" w:eastAsia="zh-CN"/>
              </w:rPr>
              <w:t>采购</w:t>
            </w:r>
            <w:r>
              <w:rPr>
                <w:rFonts w:hint="eastAsia" w:ascii="宋体"/>
                <w:color w:val="auto"/>
                <w:sz w:val="21"/>
                <w:szCs w:val="21"/>
                <w:highlight w:val="none"/>
              </w:rPr>
              <w:t>文件中描述</w:t>
            </w:r>
            <w:r>
              <w:rPr>
                <w:rFonts w:hint="eastAsia" w:ascii="宋体"/>
                <w:color w:val="auto"/>
                <w:sz w:val="21"/>
                <w:szCs w:val="21"/>
                <w:highlight w:val="none"/>
                <w:lang w:eastAsia="zh-CN"/>
              </w:rPr>
              <w:t>供应商</w:t>
            </w:r>
            <w:r>
              <w:rPr>
                <w:rFonts w:hint="eastAsia" w:ascii="宋体"/>
                <w:color w:val="auto"/>
                <w:sz w:val="21"/>
                <w:szCs w:val="21"/>
                <w:highlight w:val="none"/>
              </w:rPr>
              <w:t>的“公章”是指根据我国对公章的管理规定</w:t>
            </w:r>
            <w:r>
              <w:rPr>
                <w:rFonts w:hint="eastAsia" w:ascii="宋体"/>
                <w:color w:val="auto"/>
                <w:sz w:val="21"/>
                <w:szCs w:val="21"/>
                <w:highlight w:val="none"/>
                <w:lang w:eastAsia="zh-CN"/>
              </w:rPr>
              <w:t>，使</w:t>
            </w:r>
            <w:r>
              <w:rPr>
                <w:rFonts w:hint="eastAsia" w:ascii="宋体"/>
                <w:color w:val="auto"/>
                <w:sz w:val="21"/>
                <w:szCs w:val="21"/>
                <w:highlight w:val="none"/>
              </w:rPr>
              <w:t>用</w:t>
            </w:r>
            <w:r>
              <w:rPr>
                <w:rFonts w:hint="eastAsia" w:ascii="宋体"/>
                <w:color w:val="auto"/>
                <w:sz w:val="21"/>
                <w:szCs w:val="21"/>
                <w:highlight w:val="none"/>
                <w:lang w:val="en-US" w:eastAsia="zh-CN"/>
              </w:rPr>
              <w:t>供应商</w:t>
            </w:r>
            <w:r>
              <w:rPr>
                <w:rFonts w:hint="eastAsia" w:ascii="宋体"/>
                <w:color w:val="auto"/>
                <w:sz w:val="21"/>
                <w:szCs w:val="21"/>
                <w:highlight w:val="none"/>
              </w:rPr>
              <w:t>法定主体行为名称制作的印章，除本</w:t>
            </w:r>
            <w:r>
              <w:rPr>
                <w:rFonts w:hint="eastAsia" w:ascii="宋体"/>
                <w:color w:val="auto"/>
                <w:sz w:val="21"/>
                <w:szCs w:val="21"/>
                <w:highlight w:val="none"/>
                <w:lang w:eastAsia="zh-CN"/>
              </w:rPr>
              <w:t>采购文件</w:t>
            </w:r>
            <w:r>
              <w:rPr>
                <w:rFonts w:hint="eastAsia" w:ascii="宋体"/>
                <w:color w:val="auto"/>
                <w:sz w:val="21"/>
                <w:szCs w:val="21"/>
                <w:highlight w:val="none"/>
              </w:rPr>
              <w:t>有特殊规定外，</w:t>
            </w:r>
            <w:r>
              <w:rPr>
                <w:rFonts w:hint="eastAsia" w:ascii="宋体"/>
                <w:color w:val="auto"/>
                <w:sz w:val="21"/>
                <w:szCs w:val="21"/>
                <w:highlight w:val="none"/>
                <w:lang w:eastAsia="zh-CN"/>
              </w:rPr>
              <w:t>供应商</w:t>
            </w:r>
            <w:r>
              <w:rPr>
                <w:rFonts w:hint="eastAsia" w:ascii="宋体"/>
                <w:color w:val="auto"/>
                <w:sz w:val="21"/>
                <w:szCs w:val="21"/>
                <w:highlight w:val="none"/>
              </w:rPr>
              <w:t>的财务章、部门章、分公司章、工会章、合同章、投标专用章、业务专用章及银行的转账章、现金收讫章、现金付讫章等其他形式印章均不能代替公章。</w:t>
            </w:r>
          </w:p>
          <w:p w14:paraId="235A1A8B">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2.本</w:t>
            </w:r>
            <w:r>
              <w:rPr>
                <w:rFonts w:hint="eastAsia" w:ascii="宋体"/>
                <w:color w:val="auto"/>
                <w:sz w:val="21"/>
                <w:szCs w:val="21"/>
                <w:highlight w:val="none"/>
                <w:lang w:eastAsia="zh-CN"/>
              </w:rPr>
              <w:t>采购文件</w:t>
            </w:r>
            <w:r>
              <w:rPr>
                <w:rFonts w:hint="eastAsia" w:ascii="宋体"/>
                <w:color w:val="auto"/>
                <w:sz w:val="21"/>
                <w:szCs w:val="21"/>
                <w:highlight w:val="none"/>
              </w:rPr>
              <w:t>所称的“电子签章</w:t>
            </w:r>
            <w:r>
              <w:rPr>
                <w:rFonts w:hint="eastAsia" w:ascii="宋体"/>
                <w:color w:val="auto"/>
                <w:sz w:val="21"/>
                <w:szCs w:val="21"/>
                <w:highlight w:val="none"/>
                <w:lang w:eastAsia="zh-CN"/>
              </w:rPr>
              <w:t>”“</w:t>
            </w:r>
            <w:r>
              <w:rPr>
                <w:rFonts w:hint="eastAsia" w:ascii="宋体"/>
                <w:color w:val="auto"/>
                <w:sz w:val="21"/>
                <w:szCs w:val="21"/>
                <w:highlight w:val="none"/>
              </w:rPr>
              <w:t>电子签名”，是指经广西政府采购云平台认可的CA认证的电子签名数据为表现形式的印章，可用于签署电子投标文件，电子印章与实物印章具有同等法律效力，不因其采用电子化表现形式而否定其法律效力。</w:t>
            </w:r>
          </w:p>
          <w:p w14:paraId="3B18BE52">
            <w:pPr>
              <w:shd w:val="clear"/>
              <w:autoSpaceDE w:val="0"/>
              <w:autoSpaceDN w:val="0"/>
              <w:snapToGrid w:val="0"/>
              <w:spacing w:line="360" w:lineRule="exact"/>
              <w:jc w:val="left"/>
              <w:textAlignment w:val="bottom"/>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eastAsia="zh-CN"/>
              </w:rPr>
              <w:t>供应商</w:t>
            </w:r>
            <w:r>
              <w:rPr>
                <w:rFonts w:hint="eastAsia" w:ascii="宋体"/>
                <w:color w:val="auto"/>
                <w:sz w:val="21"/>
                <w:szCs w:val="21"/>
                <w:highlight w:val="none"/>
              </w:rPr>
              <w:t>为其他组织或者自然人时，本</w:t>
            </w:r>
            <w:r>
              <w:rPr>
                <w:rFonts w:hint="eastAsia" w:ascii="宋体"/>
                <w:color w:val="auto"/>
                <w:sz w:val="21"/>
                <w:szCs w:val="21"/>
                <w:highlight w:val="none"/>
                <w:lang w:eastAsia="zh-CN"/>
              </w:rPr>
              <w:t>采购文件</w:t>
            </w:r>
            <w:r>
              <w:rPr>
                <w:rFonts w:hint="eastAsia" w:ascii="宋体"/>
                <w:color w:val="auto"/>
                <w:sz w:val="21"/>
                <w:szCs w:val="21"/>
                <w:highlight w:val="none"/>
              </w:rPr>
              <w:t>规定的法定代表人指负责人或者自然人。本</w:t>
            </w:r>
            <w:r>
              <w:rPr>
                <w:rFonts w:hint="eastAsia" w:ascii="宋体"/>
                <w:color w:val="auto"/>
                <w:sz w:val="21"/>
                <w:szCs w:val="21"/>
                <w:highlight w:val="none"/>
                <w:lang w:eastAsia="zh-CN"/>
              </w:rPr>
              <w:t>采购文件</w:t>
            </w:r>
            <w:r>
              <w:rPr>
                <w:rFonts w:hint="eastAsia" w:ascii="宋体"/>
                <w:color w:val="auto"/>
                <w:sz w:val="21"/>
                <w:szCs w:val="21"/>
                <w:highlight w:val="none"/>
              </w:rPr>
              <w:t>所称负责人是指参加投标的其他组织营业执照或者执业许可证等证照上的负责人，本</w:t>
            </w:r>
            <w:r>
              <w:rPr>
                <w:rFonts w:hint="eastAsia" w:ascii="宋体"/>
                <w:color w:val="auto"/>
                <w:sz w:val="21"/>
                <w:szCs w:val="21"/>
                <w:highlight w:val="none"/>
                <w:lang w:eastAsia="zh-CN"/>
              </w:rPr>
              <w:t>采购文件</w:t>
            </w:r>
            <w:r>
              <w:rPr>
                <w:rFonts w:hint="eastAsia" w:ascii="宋体"/>
                <w:color w:val="auto"/>
                <w:sz w:val="21"/>
                <w:szCs w:val="21"/>
                <w:highlight w:val="none"/>
              </w:rPr>
              <w:t>所称自然人指参与投标的自然人本人，且应具备独立承担民事责任能力，自然人应当为年满18岁以上成年人（十六周岁以上的未成年人，以自己的劳动收入为主要生活来源的，视为完全民事行为能力人）。</w:t>
            </w:r>
          </w:p>
          <w:p w14:paraId="6981CEF4">
            <w:pPr>
              <w:shd w:val="clear"/>
              <w:autoSpaceDE w:val="0"/>
              <w:autoSpaceDN w:val="0"/>
              <w:snapToGrid w:val="0"/>
              <w:spacing w:line="360" w:lineRule="exact"/>
              <w:jc w:val="left"/>
              <w:textAlignment w:val="bottom"/>
              <w:rPr>
                <w:rFonts w:hint="eastAsia" w:ascii="宋体"/>
                <w:b/>
                <w:bCs/>
                <w:color w:val="auto"/>
                <w:sz w:val="21"/>
                <w:szCs w:val="21"/>
                <w:highlight w:val="none"/>
              </w:rPr>
            </w:pPr>
            <w:r>
              <w:rPr>
                <w:rFonts w:hint="eastAsia" w:ascii="宋体"/>
                <w:b/>
                <w:bCs/>
                <w:color w:val="auto"/>
                <w:sz w:val="21"/>
                <w:szCs w:val="21"/>
                <w:highlight w:val="none"/>
              </w:rPr>
              <w:t>4.本</w:t>
            </w:r>
            <w:r>
              <w:rPr>
                <w:rFonts w:hint="eastAsia" w:ascii="宋体"/>
                <w:b/>
                <w:bCs/>
                <w:color w:val="auto"/>
                <w:sz w:val="21"/>
                <w:szCs w:val="21"/>
                <w:highlight w:val="none"/>
                <w:lang w:eastAsia="zh-CN"/>
              </w:rPr>
              <w:t>采购文件</w:t>
            </w:r>
            <w:r>
              <w:rPr>
                <w:rFonts w:hint="eastAsia" w:ascii="宋体"/>
                <w:b/>
                <w:bCs/>
                <w:color w:val="auto"/>
                <w:sz w:val="21"/>
                <w:szCs w:val="21"/>
                <w:highlight w:val="none"/>
              </w:rPr>
              <w:t>中描述</w:t>
            </w:r>
            <w:r>
              <w:rPr>
                <w:rFonts w:hint="eastAsia" w:ascii="宋体"/>
                <w:b/>
                <w:bCs/>
                <w:color w:val="auto"/>
                <w:sz w:val="21"/>
                <w:szCs w:val="21"/>
                <w:highlight w:val="none"/>
                <w:lang w:eastAsia="zh-CN"/>
              </w:rPr>
              <w:t>供应商</w:t>
            </w:r>
            <w:r>
              <w:rPr>
                <w:rFonts w:hint="eastAsia" w:ascii="宋体"/>
                <w:b/>
                <w:bCs/>
                <w:color w:val="auto"/>
                <w:sz w:val="21"/>
                <w:szCs w:val="21"/>
                <w:highlight w:val="none"/>
              </w:rPr>
              <w:t>的“签字”是指</w:t>
            </w:r>
            <w:r>
              <w:rPr>
                <w:rFonts w:hint="eastAsia" w:ascii="宋体"/>
                <w:b/>
                <w:bCs/>
                <w:color w:val="auto"/>
                <w:sz w:val="21"/>
                <w:szCs w:val="21"/>
                <w:highlight w:val="none"/>
                <w:lang w:eastAsia="zh-CN"/>
              </w:rPr>
              <w:t>供应商</w:t>
            </w:r>
            <w:r>
              <w:rPr>
                <w:rFonts w:hint="eastAsia" w:ascii="宋体"/>
                <w:b/>
                <w:bCs/>
                <w:color w:val="auto"/>
                <w:sz w:val="21"/>
                <w:szCs w:val="21"/>
                <w:highlight w:val="none"/>
              </w:rPr>
              <w:t>的法定代表人或者委托代理人亲自在文件规定签字处亲笔写上个人的名字的行为，私章、签字章、印鉴、影印等其他形式均不能代替亲笔签字。</w:t>
            </w:r>
          </w:p>
          <w:p w14:paraId="66D7CC05">
            <w:pPr>
              <w:shd w:val="clear"/>
              <w:autoSpaceDE w:val="0"/>
              <w:autoSpaceDN w:val="0"/>
              <w:snapToGrid w:val="0"/>
              <w:spacing w:line="360" w:lineRule="exact"/>
              <w:jc w:val="left"/>
              <w:textAlignment w:val="bottom"/>
              <w:rPr>
                <w:rFonts w:hint="eastAsia"/>
                <w:color w:val="auto"/>
                <w:sz w:val="21"/>
                <w:szCs w:val="21"/>
                <w:highlight w:val="none"/>
              </w:rPr>
            </w:pPr>
            <w:r>
              <w:rPr>
                <w:rFonts w:hint="eastAsia" w:ascii="宋体"/>
                <w:color w:val="auto"/>
                <w:sz w:val="21"/>
                <w:szCs w:val="21"/>
                <w:highlight w:val="none"/>
              </w:rPr>
              <w:t>5.本</w:t>
            </w:r>
            <w:r>
              <w:rPr>
                <w:rFonts w:hint="eastAsia" w:ascii="宋体"/>
                <w:color w:val="auto"/>
                <w:sz w:val="21"/>
                <w:szCs w:val="21"/>
                <w:highlight w:val="none"/>
                <w:lang w:eastAsia="zh-CN"/>
              </w:rPr>
              <w:t>采购文件</w:t>
            </w:r>
            <w:r>
              <w:rPr>
                <w:rFonts w:hint="eastAsia" w:ascii="宋体"/>
                <w:color w:val="auto"/>
                <w:sz w:val="21"/>
                <w:szCs w:val="21"/>
                <w:highlight w:val="none"/>
              </w:rPr>
              <w:t>所称的“以上”“以下”“以内”“届满”，包括本数；所称的“不满”“超过”“以外”，不包括本数。</w:t>
            </w:r>
          </w:p>
        </w:tc>
      </w:tr>
      <w:tr w14:paraId="5487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32C5ED1C">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62A6ED1C">
            <w:pPr>
              <w:pStyle w:val="60"/>
              <w:shd w:val="clear"/>
              <w:spacing w:line="400" w:lineRule="exact"/>
              <w:jc w:val="left"/>
              <w:rPr>
                <w:rFonts w:hint="eastAsia"/>
                <w:color w:val="auto"/>
                <w:sz w:val="21"/>
                <w:szCs w:val="21"/>
                <w:highlight w:val="none"/>
              </w:rPr>
            </w:pPr>
            <w:r>
              <w:rPr>
                <w:rFonts w:hint="eastAsia"/>
                <w:snapToGrid w:val="0"/>
                <w:color w:val="auto"/>
                <w:sz w:val="21"/>
                <w:szCs w:val="21"/>
                <w:highlight w:val="none"/>
              </w:rPr>
              <w:t>响应文件份数：电子加密响应文件在线上传提交一份。</w:t>
            </w:r>
          </w:p>
        </w:tc>
      </w:tr>
      <w:tr w14:paraId="006F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26" w:type="dxa"/>
            <w:noWrap w:val="0"/>
            <w:vAlign w:val="center"/>
          </w:tcPr>
          <w:p w14:paraId="0D841551">
            <w:pPr>
              <w:pStyle w:val="60"/>
              <w:numPr>
                <w:ilvl w:val="0"/>
                <w:numId w:val="3"/>
              </w:numPr>
              <w:shd w:val="clear"/>
              <w:spacing w:line="390" w:lineRule="exact"/>
              <w:jc w:val="center"/>
              <w:rPr>
                <w:rFonts w:hint="eastAsia"/>
                <w:color w:val="auto"/>
                <w:sz w:val="21"/>
                <w:szCs w:val="21"/>
                <w:highlight w:val="none"/>
              </w:rPr>
            </w:pPr>
          </w:p>
        </w:tc>
        <w:tc>
          <w:tcPr>
            <w:tcW w:w="8369" w:type="dxa"/>
            <w:noWrap w:val="0"/>
            <w:vAlign w:val="center"/>
          </w:tcPr>
          <w:p w14:paraId="3BA2C563">
            <w:pPr>
              <w:pStyle w:val="60"/>
              <w:shd w:val="clear"/>
              <w:spacing w:line="400" w:lineRule="exact"/>
              <w:jc w:val="left"/>
              <w:rPr>
                <w:rFonts w:hint="eastAsia"/>
                <w:snapToGrid w:val="0"/>
                <w:color w:val="auto"/>
                <w:sz w:val="21"/>
                <w:szCs w:val="21"/>
                <w:highlight w:val="none"/>
              </w:rPr>
            </w:pPr>
            <w:r>
              <w:rPr>
                <w:rFonts w:hint="eastAsia"/>
                <w:snapToGrid w:val="0"/>
                <w:color w:val="auto"/>
                <w:sz w:val="21"/>
                <w:szCs w:val="21"/>
                <w:highlight w:val="none"/>
              </w:rPr>
              <w:t>电子加密响应文件的解密：</w:t>
            </w:r>
          </w:p>
          <w:p w14:paraId="73D6501F">
            <w:pPr>
              <w:pStyle w:val="60"/>
              <w:shd w:val="clear"/>
              <w:spacing w:line="400" w:lineRule="exact"/>
              <w:jc w:val="left"/>
              <w:rPr>
                <w:rFonts w:hint="eastAsia"/>
                <w:snapToGrid w:val="0"/>
                <w:color w:val="auto"/>
                <w:sz w:val="21"/>
                <w:szCs w:val="21"/>
                <w:highlight w:val="none"/>
              </w:rPr>
            </w:pPr>
            <w:r>
              <w:rPr>
                <w:rFonts w:hint="eastAsia"/>
                <w:snapToGrid w:val="0"/>
                <w:color w:val="auto"/>
                <w:sz w:val="21"/>
                <w:szCs w:val="21"/>
                <w:highlight w:val="none"/>
              </w:rPr>
              <w:t>谈判响应文件开启后，本公司将向各参与谈判供应商发出“电子加密响应文件”的解密通知，各谈判供应商代表应当在接到解密通知后30分钟内自行完成“电子加密响应文件”的在线解密。</w:t>
            </w:r>
          </w:p>
        </w:tc>
      </w:tr>
    </w:tbl>
    <w:p w14:paraId="5745990A">
      <w:pPr>
        <w:shd w:val="clear"/>
        <w:spacing w:line="400" w:lineRule="exact"/>
        <w:jc w:val="center"/>
        <w:rPr>
          <w:rFonts w:hint="eastAsia" w:ascii="仿宋_GB2312" w:hAnsi="宋体" w:eastAsia="仿宋_GB2312"/>
          <w:b/>
          <w:color w:val="auto"/>
          <w:sz w:val="32"/>
          <w:szCs w:val="32"/>
          <w:highlight w:val="none"/>
        </w:rPr>
      </w:pPr>
    </w:p>
    <w:p w14:paraId="63597A4F">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谈判供应商须知</w:t>
      </w:r>
    </w:p>
    <w:p w14:paraId="35C1AFCD">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　则</w:t>
      </w:r>
    </w:p>
    <w:p w14:paraId="1711A684">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适用范围</w:t>
      </w:r>
    </w:p>
    <w:p w14:paraId="08EF85D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本文件仅适用于本文件中所叙述的</w:t>
      </w:r>
      <w:r>
        <w:rPr>
          <w:rFonts w:hint="eastAsia" w:ascii="宋体" w:hAnsi="宋体" w:eastAsia="宋体" w:cs="宋体"/>
          <w:b/>
          <w:color w:val="auto"/>
          <w:sz w:val="21"/>
          <w:szCs w:val="21"/>
          <w:highlight w:val="none"/>
        </w:rPr>
        <w:t>货物类</w:t>
      </w:r>
      <w:r>
        <w:rPr>
          <w:rFonts w:hint="eastAsia" w:ascii="宋体" w:hAnsi="宋体" w:eastAsia="宋体" w:cs="宋体"/>
          <w:color w:val="auto"/>
          <w:sz w:val="21"/>
          <w:szCs w:val="21"/>
          <w:highlight w:val="none"/>
        </w:rPr>
        <w:t>政府采购项目。</w:t>
      </w:r>
    </w:p>
    <w:p w14:paraId="1A92AC1C">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定义</w:t>
      </w:r>
    </w:p>
    <w:p w14:paraId="21ADDCE3">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1.“采购人”系指组织本次招标的采购单位。</w:t>
      </w:r>
    </w:p>
    <w:p w14:paraId="1655DED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2.“采购代理机构”系指广西国力招标有限公司（以下简称“本公司”）。</w:t>
      </w:r>
    </w:p>
    <w:p w14:paraId="3E01F333">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”系指响应招标、参加投标竞争的法人、其他组织或者自然人。</w:t>
      </w:r>
    </w:p>
    <w:p w14:paraId="112DA9DB">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4.“产品”系指供方按招标文件规定，须向采购人提供的一切设备、保险、税金、备品备件、工具、手册</w:t>
      </w:r>
      <w:r>
        <w:rPr>
          <w:rFonts w:hint="eastAsia" w:ascii="宋体" w:hAnsi="宋体" w:eastAsia="宋体" w:cs="宋体"/>
          <w:color w:val="auto"/>
          <w:sz w:val="21"/>
          <w:szCs w:val="21"/>
          <w:highlight w:val="none"/>
          <w:lang w:eastAsia="zh-CN"/>
        </w:rPr>
        <w:t>及其他有关</w:t>
      </w:r>
      <w:r>
        <w:rPr>
          <w:rFonts w:hint="eastAsia" w:ascii="宋体" w:hAnsi="宋体" w:eastAsia="宋体" w:cs="宋体"/>
          <w:color w:val="auto"/>
          <w:sz w:val="21"/>
          <w:szCs w:val="21"/>
          <w:highlight w:val="none"/>
        </w:rPr>
        <w:t>技术资料和材料。</w:t>
      </w:r>
    </w:p>
    <w:p w14:paraId="749AEB13">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“服务”系指招标文件规定</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须承担的安装、调试、技术协助、校准、培训、技术指导以及其他类似的义务。</w:t>
      </w:r>
    </w:p>
    <w:p w14:paraId="0F52E43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6.“项目”系指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按招标文件规定向采购人提供的产品和服务。</w:t>
      </w:r>
    </w:p>
    <w:p w14:paraId="1E593692">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7.“书面形式”包括信函、传真、电报等。</w:t>
      </w:r>
    </w:p>
    <w:p w14:paraId="740F742B">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8.“▲”系指实质性要求条款</w:t>
      </w:r>
      <w:r>
        <w:rPr>
          <w:rFonts w:hint="eastAsia" w:ascii="宋体" w:hAnsi="宋体" w:eastAsia="宋体" w:cs="宋体"/>
          <w:color w:val="auto"/>
          <w:sz w:val="21"/>
          <w:szCs w:val="21"/>
          <w:highlight w:val="none"/>
          <w:lang w:eastAsia="zh-CN"/>
        </w:rPr>
        <w:t>，重要参数要求是指采购需求中带“●”的条款，作为评分内容</w:t>
      </w:r>
      <w:r>
        <w:rPr>
          <w:rFonts w:hint="eastAsia" w:ascii="宋体" w:hAnsi="宋体" w:eastAsia="宋体" w:cs="宋体"/>
          <w:color w:val="auto"/>
          <w:sz w:val="21"/>
          <w:szCs w:val="21"/>
          <w:highlight w:val="none"/>
        </w:rPr>
        <w:t>。</w:t>
      </w:r>
    </w:p>
    <w:p w14:paraId="3A8932D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9.“允许偏离的技术、性能指标或者辅助功能项目”系指不带“▲”的非实质性要求的技术指标、主要功能项目条款。</w:t>
      </w:r>
    </w:p>
    <w:p w14:paraId="3A3DADB0">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“竞争性谈判响应文件”是指：供应商根据本文件要求，编制包含报价、技术和服务等所有内容的文件。</w:t>
      </w:r>
    </w:p>
    <w:p w14:paraId="7B22EB3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 谈判供应商的基本条件：详见须知前附表。</w:t>
      </w:r>
    </w:p>
    <w:p w14:paraId="1661926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方式</w:t>
      </w:r>
    </w:p>
    <w:p w14:paraId="19AB4ED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rPr>
        <w:t>。</w:t>
      </w:r>
      <w:bookmarkStart w:id="45" w:name="_Toc254970671"/>
      <w:bookmarkStart w:id="46" w:name="_Toc254970530"/>
    </w:p>
    <w:p w14:paraId="53054AAD">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val="en-US" w:eastAsia="zh-CN"/>
        </w:rPr>
        <w:t>竞标</w:t>
      </w:r>
      <w:r>
        <w:rPr>
          <w:rFonts w:hint="eastAsia" w:ascii="宋体" w:hAnsi="宋体" w:eastAsia="宋体" w:cs="宋体"/>
          <w:b/>
          <w:color w:val="auto"/>
          <w:sz w:val="21"/>
          <w:szCs w:val="21"/>
          <w:highlight w:val="none"/>
        </w:rPr>
        <w:t>委托</w:t>
      </w:r>
      <w:bookmarkEnd w:id="45"/>
      <w:bookmarkEnd w:id="46"/>
    </w:p>
    <w:p w14:paraId="55DBE40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代表不是法定代表人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，须有法定代表人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出具的授权委托书（格式见第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竞争性谈判响应</w:t>
      </w:r>
      <w:r>
        <w:rPr>
          <w:rFonts w:hint="eastAsia" w:ascii="宋体" w:hAnsi="宋体" w:eastAsia="宋体" w:cs="宋体"/>
          <w:color w:val="auto"/>
          <w:sz w:val="21"/>
          <w:szCs w:val="21"/>
          <w:highlight w:val="none"/>
        </w:rPr>
        <w:t>格式》）。</w:t>
      </w:r>
      <w:bookmarkStart w:id="47" w:name="_Toc254970672"/>
      <w:bookmarkStart w:id="48" w:name="_Toc254970531"/>
    </w:p>
    <w:p w14:paraId="0D8813BB">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r>
        <w:rPr>
          <w:rFonts w:hint="eastAsia" w:ascii="宋体" w:hAnsi="宋体" w:eastAsia="宋体" w:cs="宋体"/>
          <w:b/>
          <w:color w:val="auto"/>
          <w:sz w:val="21"/>
          <w:szCs w:val="21"/>
          <w:highlight w:val="none"/>
          <w:lang w:val="en-US" w:eastAsia="zh-CN"/>
        </w:rPr>
        <w:t>竞标</w:t>
      </w:r>
      <w:r>
        <w:rPr>
          <w:rFonts w:hint="eastAsia" w:ascii="宋体" w:hAnsi="宋体" w:eastAsia="宋体" w:cs="宋体"/>
          <w:b/>
          <w:color w:val="auto"/>
          <w:sz w:val="21"/>
          <w:szCs w:val="21"/>
          <w:highlight w:val="none"/>
        </w:rPr>
        <w:t>费用</w:t>
      </w:r>
      <w:bookmarkEnd w:id="47"/>
      <w:bookmarkEnd w:id="48"/>
    </w:p>
    <w:p w14:paraId="4154C2F7">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均应自行承担所有与</w:t>
      </w:r>
      <w:r>
        <w:rPr>
          <w:rFonts w:hint="eastAsia" w:ascii="宋体" w:hAnsi="宋体" w:eastAsia="宋体" w:cs="宋体"/>
          <w:color w:val="auto"/>
          <w:sz w:val="21"/>
          <w:szCs w:val="21"/>
          <w:highlight w:val="none"/>
          <w:lang w:val="en-US" w:eastAsia="zh-CN"/>
        </w:rPr>
        <w:t>本项目竞标</w:t>
      </w:r>
      <w:r>
        <w:rPr>
          <w:rFonts w:hint="eastAsia" w:ascii="宋体" w:hAnsi="宋体" w:eastAsia="宋体" w:cs="宋体"/>
          <w:color w:val="auto"/>
          <w:sz w:val="21"/>
          <w:szCs w:val="21"/>
          <w:highlight w:val="none"/>
        </w:rPr>
        <w:t>有关的全部费用（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文件有相关的规定除外）</w:t>
      </w:r>
      <w:r>
        <w:rPr>
          <w:rFonts w:hint="eastAsia" w:ascii="宋体" w:hAnsi="宋体" w:eastAsia="宋体" w:cs="宋体"/>
          <w:color w:val="auto"/>
          <w:sz w:val="21"/>
          <w:szCs w:val="21"/>
          <w:highlight w:val="none"/>
          <w:lang w:eastAsia="zh-CN"/>
        </w:rPr>
        <w:t>。</w:t>
      </w:r>
    </w:p>
    <w:p w14:paraId="035C07C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谈判供应商应自行承担所有与编写和提交竞争性谈判响应文件有关的费用，不论谈判结果如何，采购人和广西国力招标有限公司在任何情况下无义务和责任承担此类费用。</w:t>
      </w:r>
    </w:p>
    <w:p w14:paraId="3175DE3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本项目的代理服务费按须知前附表的规定执行，由成交供应商在发布成交结果公告后，一次性向采购代理机构支付。</w:t>
      </w:r>
    </w:p>
    <w:p w14:paraId="77600AFA">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（六）联合体</w:t>
      </w:r>
      <w:r>
        <w:rPr>
          <w:rFonts w:hint="eastAsia" w:ascii="宋体" w:hAnsi="宋体" w:eastAsia="宋体" w:cs="宋体"/>
          <w:b/>
          <w:color w:val="auto"/>
          <w:sz w:val="21"/>
          <w:szCs w:val="21"/>
          <w:highlight w:val="none"/>
          <w:lang w:val="en-US" w:eastAsia="zh-CN"/>
        </w:rPr>
        <w:t>竞标</w:t>
      </w:r>
    </w:p>
    <w:p w14:paraId="1572950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本项目明确不接受联合体形式</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文件所有相关联合体要求及格式文件均不适用。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以联合体形式参加投标的，</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无效。</w:t>
      </w:r>
    </w:p>
    <w:p w14:paraId="4502FA6B">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（七）</w:t>
      </w:r>
      <w:r>
        <w:rPr>
          <w:rFonts w:hint="eastAsia" w:ascii="宋体" w:hAnsi="宋体" w:eastAsia="宋体" w:cs="宋体"/>
          <w:b/>
          <w:color w:val="auto"/>
          <w:kern w:val="0"/>
          <w:sz w:val="21"/>
          <w:szCs w:val="21"/>
          <w:highlight w:val="none"/>
        </w:rPr>
        <w:t>转包与分包</w:t>
      </w:r>
    </w:p>
    <w:p w14:paraId="10421C4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1.本项目不允许转包。</w:t>
      </w:r>
    </w:p>
    <w:p w14:paraId="509941B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2.本项目不可以分包。</w:t>
      </w:r>
      <w:bookmarkStart w:id="49" w:name="_Toc254970532"/>
      <w:bookmarkStart w:id="50" w:name="_Toc254970673"/>
    </w:p>
    <w:p w14:paraId="158501F3">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（八）特别说明：</w:t>
      </w:r>
      <w:bookmarkEnd w:id="49"/>
      <w:bookmarkEnd w:id="50"/>
    </w:p>
    <w:p w14:paraId="76C8730A">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bookmarkStart w:id="51" w:name="_Toc254970533"/>
      <w:bookmarkStart w:id="52" w:name="_Toc254970674"/>
      <w:r>
        <w:rPr>
          <w:rFonts w:hint="eastAsia" w:ascii="宋体" w:hAnsi="宋体" w:eastAsia="宋体" w:cs="宋体"/>
          <w:color w:val="auto"/>
          <w:sz w:val="21"/>
          <w:szCs w:val="21"/>
          <w:highlight w:val="none"/>
        </w:rPr>
        <w:t>▲1.单位负责人为同一人或者存在直接控股、管理关系的不同供应商，不得参加同一合同项下的政府采购活动。</w:t>
      </w:r>
    </w:p>
    <w:p w14:paraId="322CE518">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应仔细阅读招标文件的所有内容，按照招标文件的要求提交投标文件，并对所提供的全部资料的真实性承担法律责任。</w:t>
      </w:r>
    </w:p>
    <w:p w14:paraId="23C9343E">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在投标活动中提供任何虚假材料、互相串通投标，其投标无效，并报监管部门查处。</w:t>
      </w:r>
    </w:p>
    <w:p w14:paraId="413784B6">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在投标活动中提供任何虚假材料，将报监管部门查处；中标后发现的，中标人须依照《中华人民共和国消费者权益保护法》规定赔偿采购人，且民事赔偿并不免除违法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的行政与刑事责任。</w:t>
      </w:r>
    </w:p>
    <w:p w14:paraId="4DCC65F4">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如果本招标文件要求提供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或制造商的资格、信誉、荣誉、业绩与企业认证等材料的，资格、信誉、荣誉、业绩与企业认证等必须为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或者制造商所拥有或自身获得</w:t>
      </w:r>
      <w:r>
        <w:rPr>
          <w:rFonts w:hint="eastAsia" w:ascii="宋体" w:hAnsi="宋体" w:eastAsia="宋体" w:cs="宋体"/>
          <w:color w:val="auto"/>
          <w:sz w:val="21"/>
          <w:szCs w:val="21"/>
          <w:highlight w:val="none"/>
          <w:lang w:eastAsia="zh-CN"/>
        </w:rPr>
        <w:t>。</w:t>
      </w:r>
    </w:p>
    <w:p w14:paraId="3148908D">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C3ECB43">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产品在中国境内生产的组件成本占比应当达到规定比例，计算公式为：</w:t>
      </w:r>
    </w:p>
    <w:p w14:paraId="657EF0B2">
      <w:pPr>
        <w:keepNext w:val="0"/>
        <w:keepLines w:val="0"/>
        <w:pageBreakBefore w:val="0"/>
        <w:widowControl/>
        <w:shd w:val="clear" w:color="auto"/>
        <w:kinsoku/>
        <w:overflowPunct/>
        <w:topLinePunct w:val="0"/>
        <w:autoSpaceDE/>
        <w:autoSpaceDN/>
        <w:bidi w:val="0"/>
        <w:adjustRightInd/>
        <w:snapToGrid/>
        <w:spacing w:line="240" w:lineRule="auto"/>
        <w:ind w:left="0" w:firstLine="420" w:firstLineChars="2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drawing>
          <wp:inline distT="0" distB="0" distL="114300" distR="114300">
            <wp:extent cx="4827905" cy="762635"/>
            <wp:effectExtent l="0" t="0" r="1079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827905" cy="762635"/>
                    </a:xfrm>
                    <a:prstGeom prst="rect">
                      <a:avLst/>
                    </a:prstGeom>
                    <a:noFill/>
                    <a:ln>
                      <a:noFill/>
                    </a:ln>
                  </pic:spPr>
                </pic:pic>
              </a:graphicData>
            </a:graphic>
          </wp:inline>
        </w:drawing>
      </w:r>
    </w:p>
    <w:p w14:paraId="3F3260E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3A3D2E8">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政府采购活动中既有本国产品又有非本国产品参与竞争的，依法对本国产品给予价格评审优惠，对本国产品的报价给予20%的价格扣除，用扣除后的价格参与评审。未达到80%，不享受价格评审优惠。</w:t>
      </w:r>
    </w:p>
    <w:p w14:paraId="6687D8B5">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8B67539">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bookmarkEnd w:id="51"/>
      <w:bookmarkEnd w:id="52"/>
      <w:r>
        <w:rPr>
          <w:rFonts w:hint="eastAsia" w:ascii="宋体" w:hAnsi="宋体" w:eastAsia="宋体" w:cs="宋体"/>
          <w:b/>
          <w:color w:val="auto"/>
          <w:sz w:val="21"/>
          <w:szCs w:val="21"/>
          <w:highlight w:val="none"/>
        </w:rPr>
        <w:t>询问、质疑和投诉</w:t>
      </w:r>
    </w:p>
    <w:p w14:paraId="5C9B3F6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对政府采购活动事项有疑问的，可以向采购人、采购代理机构提出询问。</w:t>
      </w:r>
    </w:p>
    <w:p w14:paraId="3F9C0CC6">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过程或</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结果使自己的合法权益受到损害的，应当在知道或者应知其权益受到损害之日起七个工作日内，以书面形式向采购人、采购代理机构提出质疑，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在法定质疑期内必须一次性提出针对同一采购程序环节的质疑。具体计算时间如下：</w:t>
      </w:r>
    </w:p>
    <w:p w14:paraId="1CE76F6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（1）对可以质疑的采购文件提出质疑的，为收到采购文件之日或者采购文件公告期限届满之日；</w:t>
      </w:r>
    </w:p>
    <w:p w14:paraId="2E03025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（2）对采购过程提出质疑的，为各采购程序环节结束之日；</w:t>
      </w:r>
    </w:p>
    <w:p w14:paraId="2C926BD6">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结果提出质疑的，为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结果公告期限届满之日。</w:t>
      </w:r>
    </w:p>
    <w:p w14:paraId="73BDF2C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对采购人、采购代理机构的质疑答复不满意或者采购人、采购代理机构未在规定时间内作出答复的，可以在答复期满后十五个工作日内向同级采购监管部门投诉。</w:t>
      </w:r>
    </w:p>
    <w:p w14:paraId="6BF5645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3.质疑、投诉应当采用书面形式，质疑书、投诉书均应明确阐述</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过程、</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结果中使自己合法权益受到损害的实质性内容，提供相关事实、明确的请求、必要的证明材料，便于有关单位调查、答复和处理。</w:t>
      </w:r>
    </w:p>
    <w:p w14:paraId="1D6339A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4.供应商提出质疑应当提交质疑函和必要的证明材料。质疑函应当包括下列内容：</w:t>
      </w:r>
    </w:p>
    <w:p w14:paraId="56339E2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4BA78CE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1DE9B193">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ECC38D2">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21DA5F8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65C92FE3">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4B92DAA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供应商为自然人的，应当由本人签字；供应商为法人或者其他组织的，应当由法定代表人、主要负责人，或者其授权代表签字或者盖章，并加盖公章。</w:t>
      </w:r>
    </w:p>
    <w:p w14:paraId="465E845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代理人提出质疑和投诉，应当提交供应商签署的授权委托书。</w:t>
      </w:r>
    </w:p>
    <w:p w14:paraId="6EB3DC24">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5.采购人、采购代理机构认为供应商质疑不成立，或者成立但未对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结果构成影响的，继续开展采购活动；认为供应商质疑成立且影响或者可能影响</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结果的，按照下列情况处理：</w:t>
      </w:r>
    </w:p>
    <w:p w14:paraId="3363D0D9">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）对采购文件提出的质疑，依法通过澄清或者修改可以继续开展采购活动的，澄清或者修改采购文件后继续开展采购活动；否则应当修改采购文件后重新开展采购活动。</w:t>
      </w:r>
    </w:p>
    <w:p w14:paraId="25A33125">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）对采购过程、</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结果提出的质疑，合格供应商符合法定数量时，可以从合格的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候选人中另行确定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供应商的，应当依法根据</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候选人推荐原则另行确定</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供应商；否则应当重新开展采购活动。</w:t>
      </w:r>
    </w:p>
    <w:p w14:paraId="1B14352D">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质疑答复导致</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结果改变的，采购人或者采购代理机构应当将有关情况书面报告本级财政部门。</w:t>
      </w:r>
    </w:p>
    <w:p w14:paraId="5E3AE5AC">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质疑联系部门及电话为：广西国力招标有限公司                      0771-4915558</w:t>
      </w:r>
    </w:p>
    <w:p w14:paraId="064AFBB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通讯地址：广西南宁市白沙大道53号松宇时代13楼</w:t>
      </w:r>
    </w:p>
    <w:p w14:paraId="61EC8663">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投诉联系部门及电话为：广西壮族自治区财政厅政府采购监督管理处    0771-5331544</w:t>
      </w:r>
    </w:p>
    <w:p w14:paraId="16954122">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通讯地址：广西南宁市桃源路69号</w:t>
      </w:r>
    </w:p>
    <w:p w14:paraId="08E1408B">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color w:val="auto"/>
          <w:sz w:val="21"/>
          <w:szCs w:val="21"/>
          <w:highlight w:val="none"/>
        </w:rPr>
        <w:t>竞争性谈判文件的澄清和修改</w:t>
      </w:r>
    </w:p>
    <w:p w14:paraId="2D89C8CA">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应认真阅读谈判文件，供应商认为采购文件使自己的权益受到损害的，应当在知道或者应知其权益受到损害之日起七个工作日内，以书面形式向采购人、采购代理机构提出，供应商在法定质疑期内必须一次性提出针对同一采购程序环节的质疑。</w:t>
      </w:r>
    </w:p>
    <w:p w14:paraId="0AA92AE6">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供应商提出质疑应当提交质疑函和必要的证明材料。质疑函应当包括下列内容：</w:t>
      </w:r>
    </w:p>
    <w:p w14:paraId="00006F83">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（1）供应商的姓名或者名称、地址、邮编、联系人及联系电话；</w:t>
      </w:r>
    </w:p>
    <w:p w14:paraId="3FFBF58E">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（2）质疑项目的名称、编号；</w:t>
      </w:r>
    </w:p>
    <w:p w14:paraId="6C5B1F95">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（3）具体、明确的质疑事项和与质疑事项相关的请求；</w:t>
      </w:r>
    </w:p>
    <w:p w14:paraId="060199C4">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（4）事实依据；</w:t>
      </w:r>
    </w:p>
    <w:p w14:paraId="629E2F80">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（5）必要的法律依据；</w:t>
      </w:r>
    </w:p>
    <w:p w14:paraId="1101FFE7">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（6）提出质疑的日期。</w:t>
      </w:r>
    </w:p>
    <w:p w14:paraId="63E4849F">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供应商为自然人的，应当由本人签字；供应商为法人或者其他组织的，应当由法定代表人、主要负责人，或者其授权代表签字或者盖章，并加盖公章。</w:t>
      </w:r>
    </w:p>
    <w:p w14:paraId="5DA2C46F">
      <w:pPr>
        <w:keepNext w:val="0"/>
        <w:keepLines w:val="0"/>
        <w:pageBreakBefore w:val="0"/>
        <w:widowControl/>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CCD2A3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谈判供应商接到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w:t>
      </w:r>
    </w:p>
    <w:p w14:paraId="171374F9">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竞争性谈判响应文件有效期</w:t>
      </w:r>
    </w:p>
    <w:p w14:paraId="02360E5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供应商的响应文件中必须明确自竞争性谈判响应文件递交截止日期后60日响应文件应保持有效。有效期不足的或响应文件中未明确的竞争性谈判响应文件将被拒绝。</w:t>
      </w:r>
    </w:p>
    <w:p w14:paraId="60A11F5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在特殊情况下，采购代理机构可与谈判供应商协商延长竞争性谈判响应文件的有效期。</w:t>
      </w:r>
    </w:p>
    <w:p w14:paraId="2E5ADD0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未成交的响应文</w:t>
      </w:r>
      <w:r>
        <w:rPr>
          <w:rFonts w:hint="eastAsia" w:ascii="宋体" w:hAnsi="宋体" w:eastAsia="宋体" w:cs="宋体"/>
          <w:color w:val="auto"/>
          <w:sz w:val="21"/>
          <w:szCs w:val="21"/>
          <w:highlight w:val="none"/>
          <w:lang w:eastAsia="zh-CN"/>
        </w:rPr>
        <w:t>件在</w:t>
      </w:r>
      <w:r>
        <w:rPr>
          <w:rFonts w:hint="eastAsia" w:ascii="宋体" w:hAnsi="宋体" w:eastAsia="宋体" w:cs="宋体"/>
          <w:color w:val="auto"/>
          <w:sz w:val="21"/>
          <w:szCs w:val="21"/>
          <w:highlight w:val="none"/>
        </w:rPr>
        <w:t>有效期内均应保持有效。</w:t>
      </w:r>
    </w:p>
    <w:p w14:paraId="1B3DE5C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成交供应商的响应文件有效期自响应文件提交截止之日起至合同履行完毕止均应保持有效。</w:t>
      </w:r>
    </w:p>
    <w:p w14:paraId="1C3FF9C9">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二、竞争性谈判响应文件的编制</w:t>
      </w:r>
    </w:p>
    <w:p w14:paraId="7C2A846D">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竞争性谈判响应文件编制基本要求</w:t>
      </w:r>
    </w:p>
    <w:p w14:paraId="13E3129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rPr>
        <w:t>谈判供应商对竞争性谈判响应文件的编制应按</w:t>
      </w:r>
      <w:r>
        <w:rPr>
          <w:rFonts w:hint="eastAsia" w:ascii="宋体" w:hAnsi="宋体" w:eastAsia="宋体" w:cs="宋体"/>
          <w:color w:val="auto"/>
          <w:sz w:val="21"/>
          <w:szCs w:val="21"/>
          <w:highlight w:val="none"/>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p>
    <w:p w14:paraId="6D49488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响应文件须由谈判供应商在规定位置盖章并由法定代表人或法定代表人的授权委托人签署，谈判供应商应写全称。</w:t>
      </w:r>
    </w:p>
    <w:p w14:paraId="4E3392B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响应文件不得涂改，若有修改错漏处，须加盖单位公章或者法定代表人或授权委托人签字或盖章。响应文件因扫描不清晰或乱码或表达不清所引起的后果由</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供应商负责。</w:t>
      </w:r>
    </w:p>
    <w:p w14:paraId="114B6F6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谈判供应商提交的竞争性谈判响应文件以及谈判供应商与本公司和采购人就有关谈判的所有来往函电均应使用中文。谈判供应商提交的支持文件和印刷的文献可以使用别的语言，但其相应内容必须附有中文翻译文本，在解释竞争性谈判响应文件时以翻译文本为主。</w:t>
      </w:r>
    </w:p>
    <w:p w14:paraId="384037E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谈判供应商应认真阅读、并充分理解本文件的全部内容（包括所有的澄清、更改、补充、答疑等内容），承诺并履行本文件中各项条款规定及要求。</w:t>
      </w:r>
    </w:p>
    <w:p w14:paraId="4D91827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竞争性谈判响应文件必须按本文件的全部内容，包括所有的澄清、更改、补充、答疑等内容及附件进行编制。</w:t>
      </w:r>
    </w:p>
    <w:p w14:paraId="2E6910B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如因谈判供应商只填写和提供了本文件要求的部分内容和附件，而给谈判小组评审造成困难，其可能导致的结果和责任由谈判供应商自行承担。</w:t>
      </w:r>
    </w:p>
    <w:p w14:paraId="4AD363A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竞争性谈判响应文件的组成：竞争性谈判响应文件应由资格文件和商务技术文件两个部分组成</w:t>
      </w:r>
      <w:r>
        <w:rPr>
          <w:rFonts w:hint="eastAsia" w:ascii="宋体" w:hAnsi="宋体" w:eastAsia="宋体" w:cs="宋体"/>
          <w:b/>
          <w:color w:val="auto"/>
          <w:sz w:val="21"/>
          <w:szCs w:val="21"/>
          <w:highlight w:val="none"/>
        </w:rPr>
        <w:t>（扫描件或其他电子文件）</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（以下文件要求必须提供的文件如未提供，谈判小组有权拒绝其竞争性谈判响应文件）</w:t>
      </w:r>
    </w:p>
    <w:p w14:paraId="0DE68065">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8.1资格文件</w:t>
      </w:r>
    </w:p>
    <w:p w14:paraId="236DF97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有效的主体资格证明文件；</w:t>
      </w:r>
    </w:p>
    <w:p w14:paraId="00F4520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①供应商有效的“主体资格证明文件”复印件（如营业执照、事业单位法人证书、执业许可证、自然人身份证等）</w:t>
      </w:r>
      <w:r>
        <w:rPr>
          <w:rFonts w:hint="eastAsia" w:ascii="宋体" w:hAnsi="宋体" w:eastAsia="宋体" w:cs="宋体"/>
          <w:b/>
          <w:color w:val="auto"/>
          <w:sz w:val="21"/>
          <w:szCs w:val="21"/>
          <w:highlight w:val="none"/>
        </w:rPr>
        <w:t>[必须提供]</w:t>
      </w:r>
    </w:p>
    <w:p w14:paraId="7FB95DA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w:t>
      </w:r>
      <w:r>
        <w:rPr>
          <w:rFonts w:hint="eastAsia" w:ascii="宋体" w:hAnsi="宋体" w:cs="宋体"/>
          <w:color w:val="auto"/>
          <w:sz w:val="21"/>
          <w:szCs w:val="21"/>
          <w:highlight w:val="none"/>
          <w:lang w:val="en-US" w:eastAsia="zh-CN"/>
        </w:rPr>
        <w:t>有效的</w:t>
      </w:r>
      <w:r>
        <w:rPr>
          <w:rFonts w:hint="eastAsia" w:ascii="宋体" w:hAnsi="宋体" w:eastAsia="宋体" w:cs="宋体"/>
          <w:color w:val="auto"/>
          <w:sz w:val="21"/>
          <w:szCs w:val="21"/>
          <w:highlight w:val="none"/>
        </w:rPr>
        <w:t>资质</w:t>
      </w:r>
      <w:r>
        <w:rPr>
          <w:rFonts w:hint="eastAsia" w:ascii="宋体" w:hAnsi="宋体" w:cs="宋体"/>
          <w:color w:val="auto"/>
          <w:sz w:val="21"/>
          <w:szCs w:val="21"/>
          <w:highlight w:val="none"/>
          <w:lang w:val="en-US" w:eastAsia="zh-CN"/>
        </w:rPr>
        <w:t>证书复印件及安全生产许可证复印件</w:t>
      </w:r>
      <w:r>
        <w:rPr>
          <w:rFonts w:hint="eastAsia" w:ascii="宋体" w:hAnsi="宋体" w:eastAsia="宋体" w:cs="宋体"/>
          <w:b/>
          <w:color w:val="auto"/>
          <w:sz w:val="21"/>
          <w:szCs w:val="21"/>
          <w:highlight w:val="none"/>
        </w:rPr>
        <w:t>[必须提供]</w:t>
      </w:r>
    </w:p>
    <w:p w14:paraId="64DAF85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③拟派项目负责人</w:t>
      </w:r>
      <w:r>
        <w:rPr>
          <w:rFonts w:hint="eastAsia" w:ascii="宋体" w:hAnsi="宋体" w:cs="宋体"/>
          <w:color w:val="auto"/>
          <w:sz w:val="21"/>
          <w:szCs w:val="21"/>
          <w:highlight w:val="none"/>
          <w:lang w:val="en-US" w:eastAsia="zh-CN"/>
        </w:rPr>
        <w:t>有效的建造师资格证书复印件及安全生产考核合格证书（B 证）复印件，无在建承诺书（格式自拟）</w:t>
      </w:r>
      <w:r>
        <w:rPr>
          <w:rFonts w:hint="eastAsia" w:ascii="宋体" w:hAnsi="宋体" w:eastAsia="宋体" w:cs="宋体"/>
          <w:b/>
          <w:color w:val="auto"/>
          <w:sz w:val="21"/>
          <w:szCs w:val="21"/>
          <w:highlight w:val="none"/>
        </w:rPr>
        <w:t>[必须提供]</w:t>
      </w:r>
    </w:p>
    <w:p w14:paraId="70B0D51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响应文件递交截止之日</w:t>
      </w:r>
      <w:r>
        <w:rPr>
          <w:rFonts w:hint="eastAsia" w:ascii="宋体" w:hAnsi="宋体" w:cs="宋体"/>
          <w:color w:val="auto"/>
          <w:sz w:val="21"/>
          <w:szCs w:val="21"/>
          <w:highlight w:val="none"/>
          <w:lang w:eastAsia="zh-CN"/>
        </w:rPr>
        <w:t>前半年</w:t>
      </w:r>
      <w:r>
        <w:rPr>
          <w:rFonts w:hint="eastAsia" w:ascii="宋体" w:hAnsi="宋体" w:eastAsia="宋体" w:cs="宋体"/>
          <w:color w:val="auto"/>
          <w:sz w:val="21"/>
          <w:szCs w:val="21"/>
          <w:highlight w:val="none"/>
        </w:rPr>
        <w:t>内谈判供应商</w:t>
      </w:r>
      <w:r>
        <w:rPr>
          <w:rFonts w:hint="eastAsia" w:ascii="宋体" w:hAnsi="宋体" w:cs="宋体"/>
          <w:color w:val="auto"/>
          <w:sz w:val="21"/>
          <w:szCs w:val="21"/>
          <w:highlight w:val="none"/>
          <w:lang w:val="en-US" w:eastAsia="zh-CN"/>
        </w:rPr>
        <w:t>任意一个月</w:t>
      </w:r>
      <w:r>
        <w:rPr>
          <w:rFonts w:hint="eastAsia" w:ascii="宋体" w:hAnsi="宋体" w:eastAsia="宋体" w:cs="宋体"/>
          <w:color w:val="auto"/>
          <w:sz w:val="21"/>
          <w:szCs w:val="21"/>
          <w:highlight w:val="none"/>
        </w:rPr>
        <w:t>的依法缴纳税费或依法免缴税费的证明复印件；无纳税记录的，应提供由谈判供应商所在地的税务部门出具的《依法纳税或依法免税证明》复印件</w:t>
      </w:r>
      <w:r>
        <w:rPr>
          <w:rFonts w:hint="eastAsia" w:ascii="宋体" w:hAnsi="宋体" w:eastAsia="宋体" w:cs="宋体"/>
          <w:b/>
          <w:color w:val="auto"/>
          <w:sz w:val="21"/>
          <w:szCs w:val="21"/>
          <w:highlight w:val="none"/>
          <w:lang w:eastAsia="zh-CN"/>
        </w:rPr>
        <w:t>[必须提供，新成立单位按实际提供]</w:t>
      </w:r>
    </w:p>
    <w:p w14:paraId="4C48301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响应文件递交截止之日</w:t>
      </w:r>
      <w:r>
        <w:rPr>
          <w:rFonts w:hint="eastAsia" w:ascii="宋体" w:hAnsi="宋体" w:cs="宋体"/>
          <w:color w:val="auto"/>
          <w:sz w:val="21"/>
          <w:szCs w:val="21"/>
          <w:highlight w:val="none"/>
          <w:lang w:eastAsia="zh-CN"/>
        </w:rPr>
        <w:t>前半年</w:t>
      </w:r>
      <w:r>
        <w:rPr>
          <w:rFonts w:hint="eastAsia" w:ascii="宋体" w:hAnsi="宋体" w:eastAsia="宋体" w:cs="宋体"/>
          <w:color w:val="auto"/>
          <w:sz w:val="21"/>
          <w:szCs w:val="21"/>
          <w:highlight w:val="none"/>
        </w:rPr>
        <w:t>内谈判供应商</w:t>
      </w:r>
      <w:r>
        <w:rPr>
          <w:rFonts w:hint="eastAsia" w:ascii="宋体" w:hAnsi="宋体" w:cs="宋体"/>
          <w:color w:val="auto"/>
          <w:sz w:val="21"/>
          <w:szCs w:val="21"/>
          <w:highlight w:val="none"/>
          <w:lang w:val="en-US" w:eastAsia="zh-CN"/>
        </w:rPr>
        <w:t>任意一个月</w:t>
      </w:r>
      <w:r>
        <w:rPr>
          <w:rFonts w:hint="eastAsia" w:ascii="宋体" w:hAnsi="宋体" w:eastAsia="宋体" w:cs="宋体"/>
          <w:color w:val="auto"/>
          <w:sz w:val="21"/>
          <w:szCs w:val="21"/>
          <w:highlight w:val="none"/>
        </w:rPr>
        <w:t>的依法缴纳社保费的缴费凭证复印件</w:t>
      </w:r>
      <w:r>
        <w:rPr>
          <w:rFonts w:hint="eastAsia" w:ascii="宋体" w:hAnsi="宋体" w:eastAsia="宋体" w:cs="宋体"/>
          <w:b w:val="0"/>
          <w:bCs/>
          <w:color w:val="auto"/>
          <w:sz w:val="21"/>
          <w:szCs w:val="21"/>
          <w:highlight w:val="none"/>
        </w:rPr>
        <w:t>；</w:t>
      </w:r>
      <w:r>
        <w:rPr>
          <w:rFonts w:hint="eastAsia" w:ascii="宋体" w:hAnsi="宋体" w:eastAsia="宋体" w:cs="宋体"/>
          <w:color w:val="auto"/>
          <w:sz w:val="21"/>
          <w:szCs w:val="21"/>
          <w:highlight w:val="none"/>
        </w:rPr>
        <w:t>无缴费记录的，应提供由谈判供应商所在地社保等相关部门出具的《依法缴纳或依法免缴社保费证明》复印件</w:t>
      </w:r>
      <w:r>
        <w:rPr>
          <w:rFonts w:hint="eastAsia" w:ascii="宋体" w:hAnsi="宋体" w:eastAsia="宋体" w:cs="宋体"/>
          <w:b/>
          <w:color w:val="auto"/>
          <w:sz w:val="21"/>
          <w:szCs w:val="21"/>
          <w:highlight w:val="none"/>
          <w:lang w:eastAsia="zh-CN"/>
        </w:rPr>
        <w:t>[必须提供，新成立单位按实际提供]</w:t>
      </w:r>
    </w:p>
    <w:p w14:paraId="490D0FA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财务状况</w:t>
      </w:r>
      <w:r>
        <w:rPr>
          <w:rFonts w:hint="eastAsia" w:ascii="宋体" w:hAnsi="宋体" w:cs="宋体"/>
          <w:color w:val="auto"/>
          <w:sz w:val="21"/>
          <w:szCs w:val="21"/>
          <w:highlight w:val="none"/>
          <w:lang w:val="en-US" w:eastAsia="zh-CN"/>
        </w:rPr>
        <w:t>报表</w:t>
      </w:r>
      <w:r>
        <w:rPr>
          <w:rFonts w:hint="eastAsia" w:ascii="宋体" w:hAnsi="宋体" w:eastAsia="宋体" w:cs="宋体"/>
          <w:b/>
          <w:color w:val="auto"/>
          <w:sz w:val="21"/>
          <w:szCs w:val="21"/>
          <w:highlight w:val="none"/>
        </w:rPr>
        <w:t>[格式自拟，必须提供]</w:t>
      </w:r>
    </w:p>
    <w:p w14:paraId="31AAC315">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bCs/>
          <w:color w:val="auto"/>
          <w:sz w:val="21"/>
          <w:szCs w:val="21"/>
          <w:highlight w:val="none"/>
        </w:rPr>
        <w:t>具</w:t>
      </w:r>
      <w:r>
        <w:rPr>
          <w:rFonts w:hint="eastAsia" w:ascii="宋体" w:hAnsi="宋体" w:eastAsia="宋体" w:cs="宋体"/>
          <w:color w:val="auto"/>
          <w:sz w:val="21"/>
          <w:szCs w:val="21"/>
          <w:highlight w:val="none"/>
        </w:rPr>
        <w:t>备履行合同所必需的设备和专业技术能力的证明材料</w:t>
      </w:r>
      <w:r>
        <w:rPr>
          <w:rFonts w:hint="eastAsia" w:ascii="宋体" w:hAnsi="宋体" w:eastAsia="宋体" w:cs="宋体"/>
          <w:b/>
          <w:color w:val="auto"/>
          <w:sz w:val="21"/>
          <w:szCs w:val="21"/>
          <w:highlight w:val="none"/>
        </w:rPr>
        <w:t>[格式自拟，必须提供]</w:t>
      </w:r>
    </w:p>
    <w:p w14:paraId="488AC72F">
      <w:pPr>
        <w:keepNext w:val="0"/>
        <w:keepLines w:val="0"/>
        <w:pageBreakBefore w:val="0"/>
        <w:shd w:val="clear"/>
        <w:kinsoku/>
        <w:wordWrap w:val="0"/>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kern w:val="0"/>
          <w:sz w:val="21"/>
          <w:szCs w:val="21"/>
          <w:highlight w:val="none"/>
        </w:rPr>
        <w:t>参加政府采购活动前三年内在经营活动中没有重大违法记录和不良信用记录的书面声明</w:t>
      </w:r>
      <w:r>
        <w:rPr>
          <w:rFonts w:hint="eastAsia" w:ascii="宋体" w:hAnsi="宋体" w:eastAsia="宋体" w:cs="宋体"/>
          <w:b/>
          <w:color w:val="auto"/>
          <w:sz w:val="21"/>
          <w:szCs w:val="21"/>
          <w:highlight w:val="none"/>
        </w:rPr>
        <w:t>[格式自拟，必须提供]</w:t>
      </w:r>
    </w:p>
    <w:p w14:paraId="32D9E37D">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注：采购人或采购代理机构在资格审查结束前对供应商进行信用查询</w:t>
      </w:r>
    </w:p>
    <w:p w14:paraId="519BB355">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查询渠道：“信用中国”网站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www.creditchina.gov.cn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、中国政府采购网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www.ccgp.gov.cn</w:t>
      </w:r>
      <w:r>
        <w:rPr>
          <w:rFonts w:hint="eastAsia" w:ascii="宋体" w:hAnsi="宋体" w:eastAsia="宋体" w:cs="宋体"/>
          <w:b/>
          <w:color w:val="auto"/>
          <w:sz w:val="21"/>
          <w:szCs w:val="21"/>
          <w:highlight w:val="none"/>
          <w:lang w:eastAsia="zh-CN"/>
        </w:rPr>
        <w:t>）</w:t>
      </w:r>
    </w:p>
    <w:p w14:paraId="3C626C27">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查询截止时间：资格审查结束前。</w:t>
      </w:r>
    </w:p>
    <w:p w14:paraId="4EFBBD2E">
      <w:pPr>
        <w:keepNext w:val="0"/>
        <w:keepLines w:val="0"/>
        <w:pageBreakBefore w:val="0"/>
        <w:shd w:val="clear"/>
        <w:kinsoku/>
        <w:wordWrap w:val="0"/>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查询记录和证据留存方式：在查询网站中直接打印查询记录，打印材料作为评审资料保存。</w:t>
      </w:r>
    </w:p>
    <w:p w14:paraId="60A42502">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信用信息使用规则：对在“信用中国”网站</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www.creditchina.gov.cn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、中国政府采购网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www.ccgp.gov.cn</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7B8BA5B3">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7）供应商</w:t>
      </w:r>
      <w:r>
        <w:rPr>
          <w:rFonts w:hint="eastAsia" w:ascii="宋体" w:hAnsi="宋体" w:eastAsia="宋体" w:cs="宋体"/>
          <w:b w:val="0"/>
          <w:bCs w:val="0"/>
          <w:color w:val="auto"/>
          <w:sz w:val="21"/>
          <w:szCs w:val="21"/>
          <w:highlight w:val="none"/>
        </w:rPr>
        <w:t>直接控股、管理关系信息表（格式后附）</w:t>
      </w:r>
      <w:r>
        <w:rPr>
          <w:rFonts w:hint="eastAsia" w:hAnsi="宋体" w:eastAsia="宋体" w:cs="宋体"/>
          <w:b/>
          <w:bCs/>
          <w:color w:val="auto"/>
          <w:sz w:val="21"/>
          <w:szCs w:val="21"/>
          <w:highlight w:val="none"/>
          <w:lang w:eastAsia="zh-CN"/>
        </w:rPr>
        <w:t>[必须提供]</w:t>
      </w:r>
    </w:p>
    <w:p w14:paraId="6AFE8118">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参加本项目无围标串标行为的承诺</w:t>
      </w:r>
      <w:r>
        <w:rPr>
          <w:rFonts w:hint="eastAsia" w:ascii="宋体" w:hAnsi="宋体" w:eastAsia="宋体" w:cs="宋体"/>
          <w:b/>
          <w:bCs/>
          <w:color w:val="auto"/>
          <w:sz w:val="21"/>
          <w:szCs w:val="21"/>
          <w:highlight w:val="none"/>
          <w:lang w:eastAsia="zh-CN"/>
        </w:rPr>
        <w:t>[必须提供]</w:t>
      </w:r>
    </w:p>
    <w:p w14:paraId="54248B51">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p>
    <w:p w14:paraId="64659B9F">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8.2商务技术文件</w:t>
      </w:r>
    </w:p>
    <w:p w14:paraId="1E72616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谈判书及竞标声明书（格式见第四章附件二）</w:t>
      </w:r>
      <w:r>
        <w:rPr>
          <w:rFonts w:hint="eastAsia" w:ascii="宋体" w:hAnsi="宋体" w:eastAsia="宋体" w:cs="宋体"/>
          <w:b/>
          <w:color w:val="auto"/>
          <w:sz w:val="21"/>
          <w:szCs w:val="21"/>
          <w:highlight w:val="none"/>
        </w:rPr>
        <w:t>[必须提供]</w:t>
      </w:r>
    </w:p>
    <w:p w14:paraId="16EEE60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商务、技术响应、偏离情况说明表（格式见第四章附件三）</w:t>
      </w:r>
      <w:r>
        <w:rPr>
          <w:rFonts w:hint="eastAsia" w:ascii="宋体" w:hAnsi="宋体" w:eastAsia="宋体" w:cs="宋体"/>
          <w:b/>
          <w:color w:val="auto"/>
          <w:sz w:val="21"/>
          <w:szCs w:val="21"/>
          <w:highlight w:val="none"/>
        </w:rPr>
        <w:t>[必须提供]</w:t>
      </w:r>
    </w:p>
    <w:p w14:paraId="365F6035">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法定代表人身份证正、反面复印件</w:t>
      </w:r>
      <w:r>
        <w:rPr>
          <w:rFonts w:hint="eastAsia" w:ascii="宋体" w:hAnsi="宋体" w:eastAsia="宋体" w:cs="宋体"/>
          <w:b/>
          <w:color w:val="auto"/>
          <w:sz w:val="21"/>
          <w:szCs w:val="21"/>
          <w:highlight w:val="none"/>
        </w:rPr>
        <w:t>[必须提供]</w:t>
      </w:r>
    </w:p>
    <w:p w14:paraId="1FF1395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法定代表人授权委托书和委托代理人身份证正、反面复印件（格式见第四章附件四）</w:t>
      </w:r>
      <w:r>
        <w:rPr>
          <w:rFonts w:hint="eastAsia" w:ascii="宋体" w:hAnsi="宋体" w:eastAsia="宋体" w:cs="宋体"/>
          <w:b/>
          <w:color w:val="auto"/>
          <w:sz w:val="21"/>
          <w:szCs w:val="21"/>
          <w:highlight w:val="none"/>
        </w:rPr>
        <w:t>[委托代理时</w:t>
      </w:r>
      <w:r>
        <w:rPr>
          <w:rFonts w:hint="eastAsia" w:ascii="宋体" w:hAnsi="宋体" w:eastAsia="宋体" w:cs="宋体"/>
          <w:b/>
          <w:bCs/>
          <w:color w:val="auto"/>
          <w:sz w:val="21"/>
          <w:szCs w:val="21"/>
          <w:highlight w:val="none"/>
        </w:rPr>
        <w:t>必须提供</w:t>
      </w:r>
      <w:r>
        <w:rPr>
          <w:rFonts w:hint="eastAsia" w:ascii="宋体" w:hAnsi="宋体" w:eastAsia="宋体" w:cs="宋体"/>
          <w:color w:val="auto"/>
          <w:sz w:val="21"/>
          <w:szCs w:val="21"/>
          <w:highlight w:val="none"/>
        </w:rPr>
        <w:t>]</w:t>
      </w:r>
    </w:p>
    <w:p w14:paraId="04AF88D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谈判保证金的提交凭证</w:t>
      </w:r>
      <w:r>
        <w:rPr>
          <w:rFonts w:hint="eastAsia" w:ascii="宋体" w:hAnsi="宋体" w:eastAsia="宋体" w:cs="宋体"/>
          <w:b/>
          <w:color w:val="auto"/>
          <w:sz w:val="21"/>
          <w:szCs w:val="21"/>
          <w:highlight w:val="none"/>
        </w:rPr>
        <w:t>[必须提供]</w:t>
      </w:r>
    </w:p>
    <w:p w14:paraId="1F4416D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本《竞争性谈判文件》</w:t>
      </w:r>
      <w:r>
        <w:rPr>
          <w:rFonts w:hint="eastAsia" w:ascii="宋体" w:hAnsi="宋体" w:cs="宋体"/>
          <w:color w:val="auto"/>
          <w:sz w:val="21"/>
          <w:szCs w:val="21"/>
          <w:highlight w:val="none"/>
          <w:lang w:val="en-US" w:eastAsia="zh-CN"/>
        </w:rPr>
        <w:t>中</w:t>
      </w:r>
      <w:r>
        <w:rPr>
          <w:rFonts w:hint="eastAsia" w:ascii="宋体" w:hAnsi="宋体" w:eastAsia="宋体" w:cs="宋体"/>
          <w:color w:val="auto"/>
          <w:sz w:val="21"/>
          <w:szCs w:val="21"/>
          <w:highlight w:val="none"/>
        </w:rPr>
        <w:t>要求必须提交的材料</w:t>
      </w:r>
      <w:r>
        <w:rPr>
          <w:rFonts w:hint="eastAsia" w:ascii="宋体" w:hAnsi="宋体" w:eastAsia="宋体" w:cs="宋体"/>
          <w:b/>
          <w:color w:val="auto"/>
          <w:sz w:val="21"/>
          <w:szCs w:val="21"/>
          <w:highlight w:val="none"/>
        </w:rPr>
        <w:t>[如有要求，则必须提供]</w:t>
      </w:r>
    </w:p>
    <w:p w14:paraId="4955869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具备法律、行政法规规定的其他条件的证明材料</w:t>
      </w:r>
      <w:r>
        <w:rPr>
          <w:rFonts w:hint="eastAsia" w:ascii="宋体" w:hAnsi="宋体" w:eastAsia="宋体" w:cs="宋体"/>
          <w:b/>
          <w:color w:val="auto"/>
          <w:sz w:val="21"/>
          <w:szCs w:val="21"/>
          <w:highlight w:val="none"/>
        </w:rPr>
        <w:t>[如有要求，则必须提供]</w:t>
      </w:r>
    </w:p>
    <w:p w14:paraId="18A8CB7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售后服务承诺书（内容可以是提供的切实可行的售后服务和优惠承诺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格式自拟）</w:t>
      </w:r>
    </w:p>
    <w:p w14:paraId="3E29D52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生产、销售许可证（凡国家实行生产或经营许可证制度的、强制标准认证和注册证制度的产品，谈判供应商必须提供生产厂家相关许可证、相关认证或注册证复印件并加盖公章）</w:t>
      </w:r>
    </w:p>
    <w:p w14:paraId="44FC844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货物认证、检测报告、鉴定证书等</w:t>
      </w:r>
    </w:p>
    <w:p w14:paraId="45C3BC8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货物名称、型号、规格、数量、性能、内部配置、使用原材料，引进新技术、新工艺、新</w:t>
      </w: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z w:val="21"/>
          <w:szCs w:val="21"/>
          <w:highlight w:val="none"/>
        </w:rPr>
        <w:t>等情况</w:t>
      </w:r>
    </w:p>
    <w:p w14:paraId="32C7129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供应商认为需要提供的其他材料。</w:t>
      </w:r>
    </w:p>
    <w:p w14:paraId="47C3E976">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lang w:val="en-US" w:eastAsia="zh-CN"/>
        </w:rPr>
      </w:pPr>
    </w:p>
    <w:p w14:paraId="4ED85D09">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8.3报价文件</w:t>
      </w:r>
    </w:p>
    <w:p w14:paraId="2742B95C">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报价表（格式见第四章附件一）</w:t>
      </w:r>
      <w:r>
        <w:rPr>
          <w:rFonts w:hint="eastAsia" w:ascii="宋体" w:hAnsi="宋体" w:eastAsia="宋体" w:cs="宋体"/>
          <w:b/>
          <w:color w:val="auto"/>
          <w:sz w:val="21"/>
          <w:szCs w:val="21"/>
          <w:highlight w:val="none"/>
        </w:rPr>
        <w:t>[必须提供]</w:t>
      </w:r>
    </w:p>
    <w:p w14:paraId="3BD4389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（2）供应商</w:t>
      </w:r>
      <w:r>
        <w:rPr>
          <w:rFonts w:hint="eastAsia" w:ascii="宋体" w:hAnsi="宋体" w:eastAsia="宋体" w:cs="宋体"/>
          <w:color w:val="auto"/>
          <w:sz w:val="21"/>
          <w:szCs w:val="21"/>
          <w:highlight w:val="none"/>
        </w:rPr>
        <w:t>享受中小企业扶持政策的材料（供应商根据自身响应情况，提供以下任意一项材料以证明自身可享受中小企业扶持政策）</w:t>
      </w:r>
      <w:r>
        <w:rPr>
          <w:rFonts w:hint="eastAsia" w:ascii="宋体" w:hAnsi="宋体" w:eastAsia="宋体" w:cs="宋体"/>
          <w:color w:val="auto"/>
          <w:sz w:val="21"/>
          <w:szCs w:val="21"/>
          <w:highlight w:val="none"/>
          <w:lang w:val="en-US" w:eastAsia="zh-CN"/>
        </w:rPr>
        <w:t>[如有请提供]</w:t>
      </w:r>
      <w:r>
        <w:rPr>
          <w:rFonts w:hint="eastAsia" w:ascii="宋体" w:hAnsi="宋体" w:eastAsia="宋体" w:cs="宋体"/>
          <w:color w:val="auto"/>
          <w:sz w:val="21"/>
          <w:szCs w:val="21"/>
          <w:highlight w:val="none"/>
        </w:rPr>
        <w:t>：</w:t>
      </w:r>
    </w:p>
    <w:p w14:paraId="441215E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1）《中小企业声明函》（按最新相关政策执行，格式见第六章</w:t>
      </w:r>
      <w:r>
        <w:rPr>
          <w:rFonts w:hint="eastAsia" w:ascii="宋体" w:hAnsi="宋体" w:eastAsia="宋体" w:cs="宋体"/>
          <w:b w:val="0"/>
          <w:bCs w:val="0"/>
          <w:color w:val="auto"/>
          <w:sz w:val="21"/>
          <w:szCs w:val="21"/>
          <w:highlight w:val="none"/>
          <w:lang w:eastAsia="zh-CN"/>
        </w:rPr>
        <w:t>）</w:t>
      </w:r>
    </w:p>
    <w:p w14:paraId="060E3AC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2）《残疾人福利性单位声明函》（按最新相关政策执行，格式见第六章</w:t>
      </w:r>
      <w:r>
        <w:rPr>
          <w:rFonts w:hint="eastAsia" w:ascii="宋体" w:hAnsi="宋体" w:eastAsia="宋体" w:cs="宋体"/>
          <w:color w:val="auto"/>
          <w:sz w:val="21"/>
          <w:szCs w:val="21"/>
          <w:highlight w:val="none"/>
          <w:lang w:eastAsia="zh-CN"/>
        </w:rPr>
        <w:t>）</w:t>
      </w:r>
    </w:p>
    <w:p w14:paraId="1265729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3）省级以上监狱管理局、戒毒管理局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含新疆生产建设兵团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出具的属于监狱企业的证明文件</w:t>
      </w:r>
    </w:p>
    <w:p w14:paraId="5C971F2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《关于符合本国产品标准的声明函》或者财政部会同有关部门规定的有关证明文件</w:t>
      </w:r>
      <w:r>
        <w:rPr>
          <w:rFonts w:hint="eastAsia" w:ascii="宋体" w:hAnsi="宋体" w:eastAsia="宋体" w:cs="宋体"/>
          <w:b w:val="0"/>
          <w:bCs w:val="0"/>
          <w:color w:val="auto"/>
          <w:sz w:val="21"/>
          <w:szCs w:val="21"/>
          <w:highlight w:val="none"/>
          <w:lang w:val="en-US" w:eastAsia="zh-CN"/>
        </w:rPr>
        <w:t>（格式见第六章）[如有请提供]</w:t>
      </w:r>
    </w:p>
    <w:p w14:paraId="387C8A80">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三、报价要求</w:t>
      </w:r>
    </w:p>
    <w:p w14:paraId="2B2DA0CE">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对于本文件中未列明，而谈判供应商认为必需的费用也需列入总报价。在合同实施时，采购人将不予支付成交供应商没有列入的项目费用，并认为此项目的费用已包括在总报价中。</w:t>
      </w:r>
    </w:p>
    <w:p w14:paraId="3ECB0CC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成交供应商负责本项目所需货物的制造、运输、售后服务等全部工作。</w:t>
      </w:r>
    </w:p>
    <w:p w14:paraId="372465A1">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251CB096">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竞标报价：供应商必须就所竞项目的全部内容作完整唯一报价，漏项报价的或有选择的或有条件的报价，其响应文件将视为无效。</w:t>
      </w:r>
    </w:p>
    <w:p w14:paraId="792397FD">
      <w:pPr>
        <w:pStyle w:val="21"/>
        <w:keepNext w:val="0"/>
        <w:keepLines w:val="0"/>
        <w:pageBreakBefore w:val="0"/>
        <w:widowControl w:val="0"/>
        <w:shd w:val="clear"/>
        <w:kinsoku/>
        <w:wordWrap/>
        <w:overflowPunct/>
        <w:topLinePunct w:val="0"/>
        <w:autoSpaceDE/>
        <w:autoSpaceDN/>
        <w:bidi w:val="0"/>
        <w:adjustRightInd/>
        <w:snapToGrid/>
        <w:spacing w:line="400" w:lineRule="exact"/>
        <w:ind w:left="0" w:leftChars="0"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异常低价审查：政府采购评审中出现下列情形之一的，</w:t>
      </w:r>
      <w:r>
        <w:rPr>
          <w:rFonts w:hint="eastAsia" w:ascii="宋体" w:hAnsi="宋体" w:eastAsia="宋体" w:cs="宋体"/>
          <w:b/>
          <w:bCs/>
          <w:color w:val="auto"/>
          <w:sz w:val="21"/>
          <w:szCs w:val="21"/>
          <w:highlight w:val="none"/>
          <w:lang w:val="en-US" w:eastAsia="zh-CN"/>
        </w:rPr>
        <w:t>谈判小组</w:t>
      </w:r>
      <w:r>
        <w:rPr>
          <w:rFonts w:hint="eastAsia" w:ascii="宋体" w:hAnsi="宋体" w:eastAsia="宋体" w:cs="宋体"/>
          <w:b/>
          <w:bCs/>
          <w:color w:val="auto"/>
          <w:sz w:val="21"/>
          <w:szCs w:val="21"/>
          <w:highlight w:val="none"/>
        </w:rPr>
        <w:t>应当启动异常低价投标审查程序：</w:t>
      </w:r>
    </w:p>
    <w:p w14:paraId="460A642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低于全部通过符合性审查供应商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平均值</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全部通过符合性审查供应商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平均值×</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01EDBCF7">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低于通过符合性审查的次低报价供应商</w:t>
      </w:r>
      <w:r>
        <w:rPr>
          <w:rFonts w:hint="eastAsia" w:ascii="宋体" w:hAnsi="宋体" w:eastAsia="宋体" w:cs="宋体"/>
          <w:b/>
          <w:bCs/>
          <w:color w:val="auto"/>
          <w:sz w:val="21"/>
          <w:szCs w:val="21"/>
          <w:highlight w:val="none"/>
          <w:lang w:eastAsia="zh-CN"/>
        </w:rPr>
        <w:t>竞标报价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通过符合性审查的次低报价供应商</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4446EBB0">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低于采购项目最高限价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%的，即</w:t>
      </w:r>
      <w:r>
        <w:rPr>
          <w:rFonts w:hint="eastAsia" w:ascii="宋体" w:hAnsi="宋体" w:eastAsia="宋体" w:cs="宋体"/>
          <w:b/>
          <w:bCs/>
          <w:color w:val="auto"/>
          <w:sz w:val="21"/>
          <w:szCs w:val="21"/>
          <w:highlight w:val="none"/>
          <w:lang w:eastAsia="zh-CN"/>
        </w:rPr>
        <w:t>竞标报价＜</w:t>
      </w:r>
      <w:r>
        <w:rPr>
          <w:rFonts w:hint="eastAsia" w:ascii="宋体" w:hAnsi="宋体" w:eastAsia="宋体" w:cs="宋体"/>
          <w:b/>
          <w:bCs/>
          <w:color w:val="auto"/>
          <w:sz w:val="21"/>
          <w:szCs w:val="21"/>
          <w:highlight w:val="none"/>
        </w:rPr>
        <w:t>采购项目最高限价×</w:t>
      </w:r>
      <w:r>
        <w:rPr>
          <w:rFonts w:hint="eastAsia" w:ascii="宋体" w:hAnsi="宋体" w:cs="宋体"/>
          <w:b/>
          <w:bCs/>
          <w:color w:val="auto"/>
          <w:sz w:val="21"/>
          <w:szCs w:val="21"/>
          <w:highlight w:val="none"/>
          <w:lang w:val="en-US" w:eastAsia="zh-CN"/>
        </w:rPr>
        <w:t>65</w:t>
      </w:r>
      <w:r>
        <w:rPr>
          <w:rFonts w:hint="eastAsia" w:ascii="宋体" w:hAnsi="宋体" w:eastAsia="宋体" w:cs="宋体"/>
          <w:b/>
          <w:bCs/>
          <w:color w:val="auto"/>
          <w:sz w:val="21"/>
          <w:szCs w:val="21"/>
          <w:highlight w:val="none"/>
        </w:rPr>
        <w:t>%；</w:t>
      </w:r>
    </w:p>
    <w:p w14:paraId="12A1E824">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谈判小组</w:t>
      </w:r>
      <w:r>
        <w:rPr>
          <w:rFonts w:hint="eastAsia" w:ascii="宋体" w:hAnsi="宋体" w:eastAsia="宋体" w:cs="宋体"/>
          <w:b/>
          <w:bCs/>
          <w:color w:val="auto"/>
          <w:sz w:val="21"/>
          <w:szCs w:val="21"/>
          <w:highlight w:val="none"/>
        </w:rPr>
        <w:t>基于专业判断，认为供应商报价过低，有可能影响产品质量或者不能诚信履约的其他情形。</w:t>
      </w:r>
    </w:p>
    <w:p w14:paraId="398C243E">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谈判小组</w:t>
      </w:r>
      <w:r>
        <w:rPr>
          <w:rFonts w:hint="eastAsia" w:ascii="宋体" w:hAnsi="宋体" w:eastAsia="宋体" w:cs="宋体"/>
          <w:b/>
          <w:bCs/>
          <w:color w:val="auto"/>
          <w:sz w:val="21"/>
          <w:szCs w:val="21"/>
          <w:highlight w:val="none"/>
        </w:rPr>
        <w:t>启动异常低价投标审查后，属于前述第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项至第</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项情形的，应当要求相关供应商在评审现场合理的时间内对投标价格作出解释</w:t>
      </w:r>
      <w:r>
        <w:rPr>
          <w:rFonts w:hint="eastAsia" w:ascii="宋体" w:hAnsi="宋体" w:eastAsia="宋体" w:cs="宋体"/>
          <w:b/>
          <w:bCs/>
          <w:color w:val="auto"/>
          <w:sz w:val="21"/>
          <w:szCs w:val="21"/>
          <w:highlight w:val="none"/>
          <w:lang w:eastAsia="zh-CN"/>
        </w:rPr>
        <w:t>，并</w:t>
      </w:r>
      <w:r>
        <w:rPr>
          <w:rFonts w:hint="eastAsia" w:ascii="宋体" w:hAnsi="宋体" w:eastAsia="宋体" w:cs="宋体"/>
          <w:b/>
          <w:bCs/>
          <w:color w:val="auto"/>
          <w:sz w:val="21"/>
          <w:szCs w:val="21"/>
          <w:highlight w:val="none"/>
        </w:rPr>
        <w:t>提供项目具体成本测算等与报价合理性相关的书面说明及必要的证明材料，包括但不限于原材料成本、人工成本、制造费用等，给予相关供应商的合理时间一般不少于30分钟。</w:t>
      </w:r>
    </w:p>
    <w:p w14:paraId="7655A3DA">
      <w:pPr>
        <w:keepNext w:val="0"/>
        <w:keepLines w:val="0"/>
        <w:pageBreakBefore w:val="0"/>
        <w:widowControl w:val="0"/>
        <w:shd w:val="clear"/>
        <w:kinsoku/>
        <w:wordWrap/>
        <w:overflowPunct/>
        <w:topLinePunct w:val="0"/>
        <w:autoSpaceDE/>
        <w:autoSpaceDN/>
        <w:bidi w:val="0"/>
        <w:adjustRightInd/>
        <w:snapToGrid/>
        <w:spacing w:line="400" w:lineRule="exact"/>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eastAsia="zh-CN"/>
        </w:rPr>
        <w:t>谈判小组</w:t>
      </w:r>
      <w:r>
        <w:rPr>
          <w:rFonts w:hint="eastAsia" w:ascii="宋体" w:hAnsi="宋体" w:eastAsia="宋体" w:cs="宋体"/>
          <w:b/>
          <w:bCs/>
          <w:color w:val="auto"/>
          <w:sz w:val="21"/>
          <w:szCs w:val="21"/>
          <w:highlight w:val="none"/>
        </w:rPr>
        <w:t>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eastAsia="宋体" w:cs="宋体"/>
          <w:b/>
          <w:bCs/>
          <w:color w:val="auto"/>
          <w:sz w:val="21"/>
          <w:szCs w:val="21"/>
          <w:highlight w:val="none"/>
          <w:lang w:eastAsia="zh-CN"/>
        </w:rPr>
        <w:t>谈判小组</w:t>
      </w:r>
      <w:r>
        <w:rPr>
          <w:rFonts w:hint="eastAsia" w:ascii="宋体" w:hAnsi="宋体" w:eastAsia="宋体" w:cs="宋体"/>
          <w:b/>
          <w:bCs/>
          <w:color w:val="auto"/>
          <w:sz w:val="21"/>
          <w:szCs w:val="21"/>
          <w:highlight w:val="none"/>
        </w:rPr>
        <w:t>应当将其作为无效投标处理。</w:t>
      </w:r>
    </w:p>
    <w:p w14:paraId="660E619F">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bCs/>
          <w:color w:val="auto"/>
          <w:sz w:val="21"/>
          <w:szCs w:val="21"/>
          <w:highlight w:val="none"/>
        </w:rPr>
        <w:t>竞争性谈判响应文件的上传、提交、修改、撤回和解密</w:t>
      </w:r>
    </w:p>
    <w:p w14:paraId="3A598CF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竞争性谈判响应文件的上传和提交：见须知前附表。</w:t>
      </w:r>
    </w:p>
    <w:p w14:paraId="07473A4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竞争性谈判响应文件的修改、撤回和解密：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14:paraId="307946A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电子加密响应文件的解密：见须知前附表。</w:t>
      </w:r>
    </w:p>
    <w:p w14:paraId="047BB65A">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五、谈判保证金</w:t>
      </w:r>
    </w:p>
    <w:p w14:paraId="7F604B66">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保证金应用人民币，</w:t>
      </w:r>
      <w:r>
        <w:rPr>
          <w:rFonts w:hint="eastAsia" w:ascii="宋体" w:hAnsi="宋体" w:eastAsia="宋体" w:cs="宋体"/>
          <w:bCs/>
          <w:color w:val="auto"/>
          <w:sz w:val="21"/>
          <w:szCs w:val="21"/>
          <w:highlight w:val="none"/>
        </w:rPr>
        <w:t>具体金额详见谈判供应商须知前附表。</w:t>
      </w:r>
    </w:p>
    <w:p w14:paraId="2862381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保证金交纳方式：银行转账、支票、汇票、本票或者银行、保险机构出具的保函</w:t>
      </w:r>
      <w:r>
        <w:rPr>
          <w:rFonts w:hint="eastAsia" w:ascii="宋体" w:hAnsi="宋体" w:eastAsia="宋体" w:cs="宋体"/>
          <w:color w:val="auto"/>
          <w:kern w:val="0"/>
          <w:sz w:val="21"/>
          <w:szCs w:val="21"/>
          <w:highlight w:val="none"/>
        </w:rPr>
        <w:t>等非现金形式。</w:t>
      </w:r>
    </w:p>
    <w:p w14:paraId="03D46D8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办理保证金手续时，请务必在银行相关票据（非现金）或凭证的用途或空白栏上注明采购项目名称及采购项目编号、分标号（如有），以免耽误竞争性谈判。</w:t>
      </w:r>
    </w:p>
    <w:p w14:paraId="66BE8B0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保证金相关事宜：财务室电话：0771-4915100、4915200</w:t>
      </w:r>
    </w:p>
    <w:p w14:paraId="6734FAFA">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未成交谈判供应商的保证金，将在成交通知书发出后5个工作日内予以退还，不计利息。成交供应商的保证金在合同签订后5个工作日内退还（合同签订后</w:t>
      </w:r>
      <w:r>
        <w:rPr>
          <w:rFonts w:hint="eastAsia" w:ascii="宋体" w:hAnsi="宋体" w:eastAsia="宋体" w:cs="宋体"/>
          <w:color w:val="auto"/>
          <w:sz w:val="21"/>
          <w:szCs w:val="21"/>
          <w:highlight w:val="none"/>
          <w:lang w:eastAsia="zh-CN"/>
        </w:rPr>
        <w:t>送达</w:t>
      </w:r>
      <w:r>
        <w:rPr>
          <w:rFonts w:hint="eastAsia" w:ascii="宋体" w:hAnsi="宋体" w:eastAsia="宋体" w:cs="宋体"/>
          <w:color w:val="auto"/>
          <w:sz w:val="21"/>
          <w:szCs w:val="21"/>
          <w:highlight w:val="none"/>
        </w:rPr>
        <w:t>广西国力招标有限公司），不计利息。</w:t>
      </w:r>
    </w:p>
    <w:p w14:paraId="7C7A4C38">
      <w:pPr>
        <w:keepNext w:val="0"/>
        <w:keepLines w:val="0"/>
        <w:pageBreakBefore w:val="0"/>
        <w:widowControl/>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对未按本竞争性谈判文件要求交纳保证金的竞争性谈判响应文件，将会在评审中按照无效竞争性谈判响应文件处理。（说明：评审时，谈判小组将以本公司财务室编制的《项目保证金到账信息表》作为评审依据）</w:t>
      </w:r>
    </w:p>
    <w:p w14:paraId="476EDD41">
      <w:pPr>
        <w:keepNext w:val="0"/>
        <w:keepLines w:val="0"/>
        <w:pageBreakBefore w:val="0"/>
        <w:shd w:val="clear"/>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color w:val="auto"/>
          <w:kern w:val="0"/>
          <w:sz w:val="21"/>
          <w:szCs w:val="21"/>
          <w:highlight w:val="none"/>
        </w:rPr>
        <w:t>供应商为联合体的，可以由联合体中的一方或者多方共同交纳保证金，其交纳的保证金对联合体各方均具有约束力。</w:t>
      </w:r>
    </w:p>
    <w:p w14:paraId="4F663515">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谈判供应商有下列情形之一的，保证金将不予退还：</w:t>
      </w:r>
    </w:p>
    <w:p w14:paraId="040831DD">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1）谈判供应商在提交竞争性谈判响应文件截止时间后撤回竞争性谈判响应文件的（在提交最后报价之前退出谈判的情况除外）；</w:t>
      </w:r>
    </w:p>
    <w:p w14:paraId="72405850">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2）谈判供应商在竞争性谈判响应文件中提供虚假材料的；</w:t>
      </w:r>
    </w:p>
    <w:p w14:paraId="0B0453E7">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3）除因不可抗力或竞争性谈判文件认可的情形以外，成交供应商不与采购人签订合同的；</w:t>
      </w:r>
    </w:p>
    <w:p w14:paraId="3D3C0E54">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4）谈判供应商与采购人、其他供应商或者采购代理机构恶意串通的。</w:t>
      </w:r>
    </w:p>
    <w:p w14:paraId="2131D0EF">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5）法律法规规定的其他情形。</w:t>
      </w:r>
    </w:p>
    <w:p w14:paraId="6B3432CB">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color w:val="auto"/>
          <w:kern w:val="0"/>
          <w:sz w:val="21"/>
          <w:szCs w:val="21"/>
          <w:highlight w:val="none"/>
        </w:rPr>
        <w:t>谈判供应商</w:t>
      </w:r>
      <w:r>
        <w:rPr>
          <w:rFonts w:hint="eastAsia" w:ascii="宋体" w:hAnsi="宋体" w:eastAsia="宋体" w:cs="宋体"/>
          <w:b/>
          <w:color w:val="auto"/>
          <w:sz w:val="21"/>
          <w:szCs w:val="21"/>
          <w:highlight w:val="none"/>
        </w:rPr>
        <w:t>已经被推荐为第一成交候选人后撤回竞争性谈判</w:t>
      </w:r>
      <w:r>
        <w:rPr>
          <w:rFonts w:hint="eastAsia" w:ascii="宋体" w:hAnsi="宋体" w:eastAsia="宋体" w:cs="宋体"/>
          <w:b/>
          <w:color w:val="auto"/>
          <w:kern w:val="0"/>
          <w:sz w:val="21"/>
          <w:szCs w:val="21"/>
          <w:highlight w:val="none"/>
        </w:rPr>
        <w:t>响应文件</w:t>
      </w:r>
      <w:r>
        <w:rPr>
          <w:rFonts w:hint="eastAsia" w:ascii="宋体" w:hAnsi="宋体" w:eastAsia="宋体" w:cs="宋体"/>
          <w:b/>
          <w:color w:val="auto"/>
          <w:sz w:val="21"/>
          <w:szCs w:val="21"/>
          <w:highlight w:val="none"/>
        </w:rPr>
        <w:t>或</w:t>
      </w:r>
      <w:r>
        <w:rPr>
          <w:rFonts w:hint="eastAsia" w:ascii="宋体" w:hAnsi="宋体" w:eastAsia="宋体" w:cs="宋体"/>
          <w:b/>
          <w:color w:val="auto"/>
          <w:kern w:val="0"/>
          <w:sz w:val="21"/>
          <w:szCs w:val="21"/>
          <w:highlight w:val="none"/>
        </w:rPr>
        <w:t>拒绝签订政府采购合同的</w:t>
      </w:r>
      <w:r>
        <w:rPr>
          <w:rFonts w:hint="eastAsia" w:ascii="宋体" w:hAnsi="宋体" w:eastAsia="宋体" w:cs="宋体"/>
          <w:b/>
          <w:color w:val="auto"/>
          <w:sz w:val="21"/>
          <w:szCs w:val="21"/>
          <w:highlight w:val="none"/>
        </w:rPr>
        <w:t>，其保证金将不予退还，并上缴国库，给采购人造成损失的，还应当赔偿损失，并作为不良行为记录在案。</w:t>
      </w:r>
    </w:p>
    <w:p w14:paraId="7B218B39">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六、谈判程序及评标方法</w:t>
      </w:r>
    </w:p>
    <w:p w14:paraId="6C6734CF">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（一）在谈判正式开始前由谈判小组对竞争性谈判文件进行确认，认可竞争性谈判文件的内容符合法律法规的规定、不存在歧视性或排他性内容。</w:t>
      </w:r>
    </w:p>
    <w:p w14:paraId="53D99180">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（二）竞争性谈判响应文件无效的情形：</w:t>
      </w:r>
    </w:p>
    <w:p w14:paraId="7A496F8A">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1.未实质性响应竞争性谈判文件的竞争性谈判响应文件按无效处理。</w:t>
      </w:r>
    </w:p>
    <w:p w14:paraId="26840215">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2.有下列情形之一的视为供应商相互串通参与谈判活动，竞争性谈判响应文件将被视为无效：</w:t>
      </w:r>
    </w:p>
    <w:p w14:paraId="665859DB">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（1）不同供应商的竞争性谈判响应文件由同一单位或者个人编制；或不同供应商报名的IP地址一致的；</w:t>
      </w:r>
    </w:p>
    <w:p w14:paraId="15628A96">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（2）不同供应商委托同一单位或者个人办理谈判活动事宜；</w:t>
      </w:r>
    </w:p>
    <w:p w14:paraId="3A9C7F6B">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（3）不同的供应商的竞争性谈判响应文件载明的项目管理员为同一个人；</w:t>
      </w:r>
    </w:p>
    <w:p w14:paraId="08EB86AF">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（4）不同供应商的竞争性谈判响应文件异常一致或谈判报价呈规律性差异；</w:t>
      </w:r>
    </w:p>
    <w:p w14:paraId="0CF78249">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（5）不同供应商的竞争性谈判响应文件相互混装；</w:t>
      </w:r>
    </w:p>
    <w:p w14:paraId="6A2C8900">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（6）不同供应商的保证金从同一单位或者个人账户转出。</w:t>
      </w:r>
    </w:p>
    <w:p w14:paraId="7ECD9338">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3.有下列情形的视为关联供应商参加同一合同项下政府采购活动，竞争性谈判响应文件将被视为无效：</w:t>
      </w:r>
    </w:p>
    <w:p w14:paraId="728A190D">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单位负责人为同一人或者存在直接控股、管理关系的不同供应商，参加同一合同项下政府采购活动。</w:t>
      </w:r>
    </w:p>
    <w:p w14:paraId="39F57356">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4.其他竞标无效的情形：</w:t>
      </w:r>
    </w:p>
    <w:p w14:paraId="51EEE9B3">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（1）竞争性谈判响应文件未按竞争性谈判文件要求签署或CA电子签章的；</w:t>
      </w:r>
    </w:p>
    <w:p w14:paraId="42DB57AD">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（2）供应商提交两份或两份以上内容不同的竞争性谈判响应文件；</w:t>
      </w:r>
    </w:p>
    <w:p w14:paraId="325462EE">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（3）谈判供应商在线制作竞争性谈判响应文件时填写的报价金额与解密后“电子加密响应文件”中《报价表》填写的金额不一致并拒绝按采购文件要求接受调整的；</w:t>
      </w:r>
    </w:p>
    <w:p w14:paraId="717E6DC1">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法律法规</w:t>
      </w:r>
      <w:r>
        <w:rPr>
          <w:rFonts w:hint="eastAsia" w:ascii="宋体" w:hAnsi="宋体" w:eastAsia="宋体" w:cs="宋体"/>
          <w:b/>
          <w:color w:val="auto"/>
          <w:sz w:val="21"/>
          <w:szCs w:val="21"/>
          <w:highlight w:val="none"/>
        </w:rPr>
        <w:t>和采购文件规定的其他无效情形（或出现重大偏差）。</w:t>
      </w:r>
    </w:p>
    <w:p w14:paraId="2AE5B49C">
      <w:pPr>
        <w:keepNext w:val="0"/>
        <w:keepLines w:val="0"/>
        <w:pageBreakBefore w:val="0"/>
        <w:shd w:val="clear"/>
        <w:tabs>
          <w:tab w:val="left" w:pos="975"/>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z w:val="21"/>
          <w:szCs w:val="21"/>
          <w:highlight w:val="none"/>
        </w:rPr>
        <w:t>被拒绝的响应文件为无效。</w:t>
      </w:r>
    </w:p>
    <w:p w14:paraId="602AE97A">
      <w:pPr>
        <w:keepNext w:val="0"/>
        <w:keepLines w:val="0"/>
        <w:pageBreakBefore w:val="0"/>
        <w:shd w:val="clear"/>
        <w:tabs>
          <w:tab w:val="left" w:pos="975"/>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谈判供应商竞争性谈判响应文件无效的，谈判小组应当告知有关供应商。</w:t>
      </w:r>
    </w:p>
    <w:p w14:paraId="73015CE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（三）谈判</w:t>
      </w:r>
    </w:p>
    <w:p w14:paraId="0F432F5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第一轮谈判</w:t>
      </w:r>
    </w:p>
    <w:p w14:paraId="4F7F716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谈判准备</w:t>
      </w:r>
    </w:p>
    <w:p w14:paraId="52156E11">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本公司将在规定的时间和地点进行电子谈判，谈判供应商的法定代表人或其委托代理人应做好谈判准备，准时在线参加电子谈判会议，随时关注谈判进度。</w:t>
      </w:r>
    </w:p>
    <w:p w14:paraId="24E4D0DD">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第一轮谈判程序：</w:t>
      </w:r>
    </w:p>
    <w:p w14:paraId="60C1FFD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①谈判</w:t>
      </w:r>
      <w:r>
        <w:rPr>
          <w:rFonts w:hint="eastAsia" w:ascii="宋体" w:hAnsi="宋体" w:eastAsia="宋体" w:cs="宋体"/>
          <w:color w:val="auto"/>
          <w:sz w:val="21"/>
          <w:szCs w:val="21"/>
          <w:highlight w:val="none"/>
          <w:lang w:eastAsia="zh-CN"/>
        </w:rPr>
        <w:t>会议</w:t>
      </w:r>
      <w:r>
        <w:rPr>
          <w:rFonts w:hint="eastAsia" w:ascii="宋体" w:hAnsi="宋体" w:eastAsia="宋体" w:cs="宋体"/>
          <w:color w:val="auto"/>
          <w:sz w:val="21"/>
          <w:szCs w:val="21"/>
          <w:highlight w:val="none"/>
        </w:rPr>
        <w:t>由本公司主持，主持人宣布谈判会议开始；</w:t>
      </w:r>
    </w:p>
    <w:p w14:paraId="4EE6636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②主持人介绍参加谈判会的人员名单；</w:t>
      </w:r>
    </w:p>
    <w:p w14:paraId="29C60F9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③主持人宣布谈判会议纪律及评审期间的有关事项；告知应当回避的情形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提请有关人员回避；</w:t>
      </w:r>
    </w:p>
    <w:p w14:paraId="41F22FFD">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谈判及评审程序</w:t>
      </w:r>
    </w:p>
    <w:p w14:paraId="7288CFB7">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①在谈判开始时间截止后30分钟内由各供应商自行对谈判响应文件进行解密；</w:t>
      </w:r>
    </w:p>
    <w:p w14:paraId="26549D3C">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②由谈判小组进行资格审查和符合性审查，审查结束后，在线通知无效谈判供应商谈判响应文件无效理由，有效谈判供应商进入谈判程序。</w:t>
      </w:r>
    </w:p>
    <w:p w14:paraId="23989A4F">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③系统对各供应商的商务技术进行汇总；</w:t>
      </w:r>
    </w:p>
    <w:p w14:paraId="30AAE499">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④谈判小组所有成员应当集中与单一供应商分别进行在线谈判，并给予所有参加谈判的供应商平等的谈判机会。</w:t>
      </w:r>
    </w:p>
    <w:p w14:paraId="6D172BD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⑤当谈判小组一致确定供应商的竞争性谈判响应文件能够详细列明采购标的技术、服务要求且符合竞争性谈判文件要求，无需再谈判的，谈判小组按竞争性谈判文件设定的</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程序和评标方法确定成交候选供应商。第一轮谈判后竞争性谈判文件有实质性变动或仍需谈判的，谈判小组对竞争性谈判文件变动或提出谈判意见后进行第二轮谈判。</w:t>
      </w:r>
    </w:p>
    <w:p w14:paraId="2858A18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1.2竞争性谈判文件变动</w:t>
      </w:r>
    </w:p>
    <w:p w14:paraId="52D8D53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116092CC">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对竞争性谈判文件作出的实质性变动是竞争性谈判文件的有效组成部分，谈判小组应当在询标规定时间内及时通知所有参加谈判的供应商，并要求供应商做出响应（需盖CA电子签章）。</w:t>
      </w:r>
    </w:p>
    <w:p w14:paraId="6DA192F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第二轮谈判</w:t>
      </w:r>
    </w:p>
    <w:p w14:paraId="0B113FD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谈判小组集中就重新提交的响应材料或谈判小组提出的谈判意见与单一响应供应商分别进行在线谈判。</w:t>
      </w:r>
    </w:p>
    <w:p w14:paraId="5B8A26C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谈判后，在询标规定时间内供应商根据谈判小组统一整理的谈判记录要求做出承诺（需盖CA电子签章）。</w:t>
      </w:r>
    </w:p>
    <w:p w14:paraId="28FA2964">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当谈判小组一致确定供应商的竞争性谈判响应文件能够详细列明采购标的技术、服务要求且符合竞争性谈判文件要求，无需再谈判的，谈判小组按竞争性谈判文件设定的</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程序和评标方法确定成交候选供应商。第二轮谈判后竞争性谈判文件仍有实质性变动的或仍需谈判的，谈判小组对竞争性谈判文件变动或提出谈判意见后进行第三轮谈判。以此类推。</w:t>
      </w:r>
    </w:p>
    <w:p w14:paraId="5027ADD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特别说明：如遇“广西政府采购云平台”电子化开标或评审程序调整的，按调整后程序执行。</w:t>
      </w:r>
    </w:p>
    <w:p w14:paraId="785616F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谈判评审在严格保密的情况下进行，谈判的任何一方不得透露与谈判有关的其他供应商的技术资料、价格和其他信息。</w:t>
      </w:r>
    </w:p>
    <w:p w14:paraId="56B6156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电子谈判过程中需要供应商在线确认的所有内容，供应商不予确认的应说明理由，超过规定时间未确认的，将被视为放弃确认或者无异议。</w:t>
      </w:r>
    </w:p>
    <w:p w14:paraId="407B2DF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14:paraId="2869EC49">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最后报价及成交候选供应商推荐</w:t>
      </w:r>
    </w:p>
    <w:p w14:paraId="15CFF93C">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谈判结束后，谈判小组要求所有继续参加谈判的供应商在规定时间内在线提交最后报价。继续参加谈判的供应商作最后报价，由其法定代表人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或授权代表盖CA电子签章后提交。</w:t>
      </w:r>
    </w:p>
    <w:p w14:paraId="4102277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从质量和服务均能满足竞争性谈判文件实质性响应要求的供应商中，按照最后报价由低到高的顺序提出3名以上成交候选人，最后报价相同时，由谈判小组根据竞争性谈判响应文件中技术、服务、合同条款情况确定排序，按确定排序由低到高的原则推荐成交候选人，并编写评审报告。最后报价是供应商竞争性谈判响应文件的有效组成部分。</w:t>
      </w:r>
    </w:p>
    <w:p w14:paraId="28CA9A2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52EE06E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在采购过程中符合竞争要求的供应商或者报价未超过采购预算的供应商不足3家的，谈判活动终止。</w:t>
      </w:r>
    </w:p>
    <w:p w14:paraId="6406D55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本采购项目的评审依据为竞争性谈判文件和竞争性谈判响应文件，采用的评标方法为</w:t>
      </w:r>
      <w:r>
        <w:rPr>
          <w:rFonts w:hint="eastAsia" w:ascii="宋体" w:hAnsi="宋体" w:eastAsia="宋体" w:cs="宋体"/>
          <w:b/>
          <w:color w:val="auto"/>
          <w:sz w:val="21"/>
          <w:szCs w:val="21"/>
          <w:highlight w:val="none"/>
        </w:rPr>
        <w:t>最低评标价法</w:t>
      </w:r>
      <w:r>
        <w:rPr>
          <w:rFonts w:hint="eastAsia" w:ascii="宋体" w:hAnsi="宋体" w:eastAsia="宋体" w:cs="宋体"/>
          <w:color w:val="auto"/>
          <w:sz w:val="21"/>
          <w:szCs w:val="21"/>
          <w:highlight w:val="none"/>
        </w:rPr>
        <w:t>。</w:t>
      </w:r>
    </w:p>
    <w:p w14:paraId="4C9D377F">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可中止电子交易活动的情形</w:t>
      </w:r>
    </w:p>
    <w:p w14:paraId="4EF2E203">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采购过程中出现以下情形，导致电子交易平台无法正常运行，或者无法保证电子交易的公平、公正和安全时，本公司可中止电子标活动：</w:t>
      </w:r>
    </w:p>
    <w:p w14:paraId="5427945A">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电子交易平台发生故障而无法登录访问的；</w:t>
      </w:r>
    </w:p>
    <w:p w14:paraId="60F46382">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电子交易平台应用或数据库出现错误，不能进行正常操作的；</w:t>
      </w:r>
    </w:p>
    <w:p w14:paraId="67B4E1AB">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电子交易平台发现严重安全漏洞，有潜在泄密危险的；</w:t>
      </w:r>
    </w:p>
    <w:p w14:paraId="16498961">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病毒发作导致不能进行正常操作的；</w:t>
      </w:r>
    </w:p>
    <w:p w14:paraId="5A79704E">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其他无法保证电子交易的公平、公正和安全的情况。</w:t>
      </w:r>
    </w:p>
    <w:p w14:paraId="7A3E6B16">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出现前款规定情形，不影响采购公平、公正性的，本公司待上述情形消除后继续组织电子交易活动；影响或可能影响采购公平、公正性的，重新组织采购活动。</w:t>
      </w:r>
    </w:p>
    <w:p w14:paraId="3B22D37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七、确定成交供应商办法</w:t>
      </w:r>
    </w:p>
    <w:p w14:paraId="44A326B7">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根据以下原则确定成交供应商：质量和服务均能满足</w:t>
      </w:r>
      <w:r>
        <w:rPr>
          <w:rFonts w:hint="eastAsia" w:ascii="宋体" w:hAnsi="宋体" w:eastAsia="宋体" w:cs="宋体"/>
          <w:color w:val="auto"/>
          <w:sz w:val="21"/>
          <w:szCs w:val="21"/>
          <w:highlight w:val="none"/>
        </w:rPr>
        <w:t>竞争性谈判文件</w:t>
      </w:r>
      <w:r>
        <w:rPr>
          <w:rFonts w:hint="eastAsia" w:ascii="宋体" w:hAnsi="宋体" w:eastAsia="宋体" w:cs="宋体"/>
          <w:color w:val="auto"/>
          <w:kern w:val="0"/>
          <w:sz w:val="21"/>
          <w:szCs w:val="21"/>
          <w:highlight w:val="none"/>
        </w:rPr>
        <w:t>实质性响应要求的供应商中按最后报价/评审报价最低的原则确定成交供应商。</w:t>
      </w:r>
    </w:p>
    <w:p w14:paraId="563E7165">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八、成交结果公告</w:t>
      </w:r>
    </w:p>
    <w:p w14:paraId="02EDAD90">
      <w:pPr>
        <w:keepNext w:val="0"/>
        <w:keepLines w:val="0"/>
        <w:pageBreakBefore w:val="0"/>
        <w:widowControl/>
        <w:shd w:val="clear"/>
        <w:tabs>
          <w:tab w:val="left" w:pos="540"/>
        </w:tabs>
        <w:kinsoku/>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sz w:val="21"/>
          <w:szCs w:val="21"/>
          <w:highlight w:val="none"/>
        </w:rPr>
        <w:t>采购代理机构在评审结束后2个工作日内将谈判评审报告送采购人确认，</w:t>
      </w:r>
      <w:r>
        <w:rPr>
          <w:rFonts w:hint="eastAsia" w:ascii="宋体" w:hAnsi="宋体" w:eastAsia="宋体" w:cs="宋体"/>
          <w:color w:val="auto"/>
          <w:kern w:val="0"/>
          <w:sz w:val="21"/>
          <w:szCs w:val="21"/>
          <w:highlight w:val="none"/>
        </w:rPr>
        <w:t>采购人</w:t>
      </w:r>
      <w:r>
        <w:rPr>
          <w:rFonts w:hint="eastAsia" w:ascii="宋体" w:hAnsi="宋体" w:eastAsia="宋体" w:cs="宋体"/>
          <w:color w:val="auto"/>
          <w:sz w:val="21"/>
          <w:szCs w:val="21"/>
          <w:highlight w:val="none"/>
        </w:rPr>
        <w:t>确认后，成交结果公告将在财政部门指定的政府采购信息发布媒体上发布，</w:t>
      </w:r>
      <w:r>
        <w:rPr>
          <w:rFonts w:hint="eastAsia" w:ascii="宋体" w:hAnsi="宋体" w:eastAsia="宋体" w:cs="宋体"/>
          <w:color w:val="auto"/>
          <w:kern w:val="0"/>
          <w:sz w:val="21"/>
          <w:szCs w:val="21"/>
          <w:highlight w:val="none"/>
        </w:rPr>
        <w:t>同时向成交供应商发出成交通知书</w:t>
      </w:r>
      <w:r>
        <w:rPr>
          <w:rFonts w:hint="eastAsia" w:ascii="宋体" w:hAnsi="宋体" w:eastAsia="宋体" w:cs="宋体"/>
          <w:color w:val="auto"/>
          <w:sz w:val="21"/>
          <w:szCs w:val="21"/>
          <w:highlight w:val="none"/>
        </w:rPr>
        <w:t>。</w:t>
      </w:r>
    </w:p>
    <w:p w14:paraId="79D67F7D">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谈判供应商</w:t>
      </w:r>
      <w:r>
        <w:rPr>
          <w:rFonts w:hint="eastAsia" w:ascii="宋体" w:hAnsi="宋体" w:eastAsia="宋体" w:cs="宋体"/>
          <w:color w:val="auto"/>
          <w:kern w:val="0"/>
          <w:sz w:val="21"/>
          <w:szCs w:val="21"/>
          <w:highlight w:val="none"/>
        </w:rPr>
        <w:t>认为采购过程、成交结果使自己的权益受到损害的</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可以在成交结果公告期限届满之日起</w:t>
      </w:r>
      <w:r>
        <w:rPr>
          <w:rFonts w:hint="eastAsia" w:ascii="宋体" w:hAnsi="宋体" w:eastAsia="宋体" w:cs="宋体"/>
          <w:bCs/>
          <w:color w:val="auto"/>
          <w:sz w:val="21"/>
          <w:szCs w:val="21"/>
          <w:highlight w:val="none"/>
        </w:rPr>
        <w:t>七个工作日内以书面形式向采购代理机构提出质疑</w:t>
      </w:r>
      <w:r>
        <w:rPr>
          <w:rFonts w:hint="eastAsia" w:ascii="宋体" w:hAnsi="宋体" w:eastAsia="宋体" w:cs="宋体"/>
          <w:color w:val="auto"/>
          <w:sz w:val="21"/>
          <w:szCs w:val="21"/>
          <w:highlight w:val="none"/>
        </w:rPr>
        <w:t>，供应商在法定质疑期内必须一次性提出针对同一采购程序环节的质疑</w:t>
      </w:r>
      <w:r>
        <w:rPr>
          <w:rFonts w:hint="eastAsia" w:ascii="宋体" w:hAnsi="宋体" w:eastAsia="宋体" w:cs="宋体"/>
          <w:bCs/>
          <w:color w:val="auto"/>
          <w:sz w:val="21"/>
          <w:szCs w:val="21"/>
          <w:highlight w:val="none"/>
        </w:rPr>
        <w:t>。采购代理机构将在收到</w:t>
      </w:r>
      <w:r>
        <w:rPr>
          <w:rFonts w:hint="eastAsia" w:ascii="宋体" w:hAnsi="宋体" w:eastAsia="宋体" w:cs="宋体"/>
          <w:color w:val="auto"/>
          <w:sz w:val="21"/>
          <w:szCs w:val="21"/>
          <w:highlight w:val="none"/>
        </w:rPr>
        <w:t>谈判供应商</w:t>
      </w:r>
      <w:r>
        <w:rPr>
          <w:rFonts w:hint="eastAsia" w:ascii="宋体" w:hAnsi="宋体" w:eastAsia="宋体" w:cs="宋体"/>
          <w:bCs/>
          <w:color w:val="auto"/>
          <w:sz w:val="21"/>
          <w:szCs w:val="21"/>
          <w:highlight w:val="none"/>
        </w:rPr>
        <w:t>的书面质疑后七个工作日内</w:t>
      </w:r>
      <w:r>
        <w:rPr>
          <w:rFonts w:hint="eastAsia" w:ascii="宋体" w:hAnsi="宋体" w:eastAsia="宋体" w:cs="宋体"/>
          <w:bCs/>
          <w:color w:val="auto"/>
          <w:sz w:val="21"/>
          <w:szCs w:val="21"/>
          <w:highlight w:val="none"/>
          <w:lang w:eastAsia="zh-CN"/>
        </w:rPr>
        <w:t>作出</w:t>
      </w:r>
      <w:r>
        <w:rPr>
          <w:rFonts w:hint="eastAsia" w:ascii="宋体" w:hAnsi="宋体" w:eastAsia="宋体" w:cs="宋体"/>
          <w:bCs/>
          <w:color w:val="auto"/>
          <w:sz w:val="21"/>
          <w:szCs w:val="21"/>
          <w:highlight w:val="none"/>
        </w:rPr>
        <w:t>答复，但答复的内容不得涉及商业秘密。</w:t>
      </w:r>
    </w:p>
    <w:p w14:paraId="05D7AE60">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Cs/>
          <w:color w:val="auto"/>
          <w:sz w:val="21"/>
          <w:szCs w:val="21"/>
          <w:highlight w:val="none"/>
        </w:rPr>
        <w:t>质疑</w:t>
      </w:r>
      <w:r>
        <w:rPr>
          <w:rFonts w:hint="eastAsia" w:ascii="宋体" w:hAnsi="宋体" w:eastAsia="宋体" w:cs="宋体"/>
          <w:color w:val="auto"/>
          <w:sz w:val="21"/>
          <w:szCs w:val="21"/>
          <w:highlight w:val="none"/>
        </w:rPr>
        <w:t>谈判供应商</w:t>
      </w:r>
      <w:r>
        <w:rPr>
          <w:rFonts w:hint="eastAsia" w:ascii="宋体" w:hAnsi="宋体" w:eastAsia="宋体" w:cs="宋体"/>
          <w:bCs/>
          <w:color w:val="auto"/>
          <w:sz w:val="21"/>
          <w:szCs w:val="21"/>
          <w:highlight w:val="none"/>
        </w:rPr>
        <w:t>必须首先经过质疑程序，在对采购代理机构的答复不满意或者采购代理机构未在规定的时间内</w:t>
      </w:r>
      <w:r>
        <w:rPr>
          <w:rFonts w:hint="eastAsia" w:ascii="宋体" w:hAnsi="宋体" w:eastAsia="宋体" w:cs="宋体"/>
          <w:bCs/>
          <w:color w:val="auto"/>
          <w:sz w:val="21"/>
          <w:szCs w:val="21"/>
          <w:highlight w:val="none"/>
          <w:lang w:eastAsia="zh-CN"/>
        </w:rPr>
        <w:t>作出</w:t>
      </w:r>
      <w:r>
        <w:rPr>
          <w:rFonts w:hint="eastAsia" w:ascii="宋体" w:hAnsi="宋体" w:eastAsia="宋体" w:cs="宋体"/>
          <w:bCs/>
          <w:color w:val="auto"/>
          <w:sz w:val="21"/>
          <w:szCs w:val="21"/>
          <w:highlight w:val="none"/>
        </w:rPr>
        <w:t>答复的，可以在答复期满后十五个工作日内书面向本级政府采购监督管理部门投诉。</w:t>
      </w:r>
    </w:p>
    <w:p w14:paraId="3791C453">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质疑联系部门及电话为：广西国力招标有限公司                     0771-4915558</w:t>
      </w:r>
    </w:p>
    <w:p w14:paraId="3B7323A8">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投诉联系部门及电话为：广西壮族自治区财政厅政府采购监督管理处   0771-5331544</w:t>
      </w:r>
    </w:p>
    <w:p w14:paraId="53991AF8">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九、签订合同</w:t>
      </w:r>
    </w:p>
    <w:p w14:paraId="6807520E">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成交供应商自成交通知书发出之日起</w:t>
      </w:r>
      <w:r>
        <w:rPr>
          <w:rFonts w:hint="eastAsia" w:ascii="宋体" w:hAnsi="宋体" w:eastAsia="宋体" w:cs="宋体"/>
          <w:b/>
          <w:bCs/>
          <w:color w:val="auto"/>
          <w:sz w:val="21"/>
          <w:szCs w:val="21"/>
          <w:highlight w:val="none"/>
        </w:rPr>
        <w:t>25日</w:t>
      </w:r>
      <w:r>
        <w:rPr>
          <w:rFonts w:hint="eastAsia" w:ascii="宋体" w:hAnsi="宋体" w:eastAsia="宋体" w:cs="宋体"/>
          <w:b w:val="0"/>
          <w:bCs w:val="0"/>
          <w:color w:val="auto"/>
          <w:sz w:val="21"/>
          <w:szCs w:val="21"/>
          <w:highlight w:val="none"/>
        </w:rPr>
        <w:t>内与采购人签订合同。</w:t>
      </w:r>
    </w:p>
    <w:p w14:paraId="5F5841BF">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成交供应商拒绝签订政府采购合同的</w:t>
      </w:r>
      <w:r>
        <w:rPr>
          <w:rFonts w:hint="eastAsia" w:ascii="宋体" w:hAnsi="宋体" w:eastAsia="宋体" w:cs="宋体"/>
          <w:color w:val="auto"/>
          <w:sz w:val="21"/>
          <w:szCs w:val="21"/>
          <w:highlight w:val="none"/>
        </w:rPr>
        <w:t>，采购人可以根据谈判评审报告确定成交供应商之后排名第一的成交候选人</w:t>
      </w:r>
      <w:r>
        <w:rPr>
          <w:rFonts w:hint="eastAsia" w:ascii="宋体" w:hAnsi="宋体" w:eastAsia="宋体" w:cs="宋体"/>
          <w:color w:val="auto"/>
          <w:kern w:val="0"/>
          <w:sz w:val="21"/>
          <w:szCs w:val="21"/>
          <w:highlight w:val="none"/>
        </w:rPr>
        <w:t>作为</w:t>
      </w:r>
      <w:r>
        <w:rPr>
          <w:rFonts w:hint="eastAsia" w:ascii="宋体" w:hAnsi="宋体" w:eastAsia="宋体" w:cs="宋体"/>
          <w:color w:val="auto"/>
          <w:sz w:val="21"/>
          <w:szCs w:val="21"/>
          <w:highlight w:val="none"/>
        </w:rPr>
        <w:t>成交供应商</w:t>
      </w:r>
      <w:r>
        <w:rPr>
          <w:rFonts w:hint="eastAsia" w:ascii="宋体" w:hAnsi="宋体" w:eastAsia="宋体" w:cs="宋体"/>
          <w:color w:val="auto"/>
          <w:kern w:val="0"/>
          <w:sz w:val="21"/>
          <w:szCs w:val="21"/>
          <w:highlight w:val="none"/>
        </w:rPr>
        <w:t>并签订政府采购合同，也可以重新开展采购活动。拒绝签订政府采购合同的成交供应商不得参加对该项目重新开展的采购活动。</w:t>
      </w:r>
    </w:p>
    <w:p w14:paraId="726BDFCB">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kern w:val="0"/>
          <w:sz w:val="21"/>
          <w:szCs w:val="21"/>
          <w:highlight w:val="none"/>
        </w:rPr>
        <w:t>成交供应商拒绝签订政府采购合同的</w:t>
      </w:r>
      <w:r>
        <w:rPr>
          <w:rFonts w:hint="eastAsia" w:ascii="宋体" w:hAnsi="宋体" w:eastAsia="宋体" w:cs="宋体"/>
          <w:b/>
          <w:color w:val="auto"/>
          <w:sz w:val="21"/>
          <w:szCs w:val="21"/>
          <w:highlight w:val="none"/>
        </w:rPr>
        <w:t>，其保证金将不予退还，并上缴国库，给采购人造成损失的，还应当赔偿损失，并作为不良行为记录在案。</w:t>
      </w:r>
    </w:p>
    <w:p w14:paraId="53F79222">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履约保证金</w:t>
      </w:r>
    </w:p>
    <w:p w14:paraId="1B3C3981">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成交人须于签订合同前按本项目关于履约保证金的规定进行办理。否则，不予签订合同。</w:t>
      </w:r>
    </w:p>
    <w:p w14:paraId="583FEBC9">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签订合同后，如成交人不按双方签订的合同规定履约，则没收其全部履约保证金，履约保证金不足以赔偿损失的，按实际损失赔偿。</w:t>
      </w:r>
    </w:p>
    <w:p w14:paraId="2A909899">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0543CF27">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在履约保证金退还日期前，若成交人的开户名称、开户银行、账号有变动的，请以书面形式通知履约保证金收取机构，否则由此产生的后果由成交人自负。</w:t>
      </w:r>
    </w:p>
    <w:p w14:paraId="706792DD">
      <w:pPr>
        <w:pStyle w:val="21"/>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十、适用法律</w:t>
      </w:r>
    </w:p>
    <w:p w14:paraId="705B3F3D">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15.采购当事人的一切活动均适用于《中华人民共和国政府采购法》及相关规定。最终谈判结束后，谈判小组不得再与谈判供应商进行任何形式的商谈。</w:t>
      </w:r>
    </w:p>
    <w:p w14:paraId="723DD9C7">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十一、其他事项</w:t>
      </w:r>
    </w:p>
    <w:p w14:paraId="7C77F76F">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成交服务费</w:t>
      </w:r>
    </w:p>
    <w:p w14:paraId="187DD8E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（1）采购代理机构按计价格〔20</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rPr>
        <w:t>〕1980号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发改价格〔2011〕534号</w:t>
      </w: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rPr>
        <w:t>的收费标准，按差额定率累进法计取成交服务费。发布成交结果公告后，成交供应商须向广西国力招标有限公司一次付清成交服务费。</w:t>
      </w:r>
    </w:p>
    <w:p w14:paraId="5D28AC91">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（2）代理服务收费标准</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35D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707EF2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费率</w:t>
            </w:r>
          </w:p>
          <w:p w14:paraId="18F3FEA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7CD8562A">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532" w:type="dxa"/>
            <w:noWrap w:val="0"/>
            <w:vAlign w:val="center"/>
          </w:tcPr>
          <w:p w14:paraId="1E73E6A7">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546" w:type="dxa"/>
            <w:noWrap w:val="0"/>
            <w:vAlign w:val="center"/>
          </w:tcPr>
          <w:p w14:paraId="588C7C2E">
            <w:pPr>
              <w:keepNext w:val="0"/>
              <w:keepLines w:val="0"/>
              <w:pageBreakBefore w:val="0"/>
              <w:shd w:val="clear"/>
              <w:kinsoku/>
              <w:overflowPunct/>
              <w:topLinePunct w:val="0"/>
              <w:autoSpaceDE/>
              <w:autoSpaceDN/>
              <w:bidi w:val="0"/>
              <w:adjustRightInd/>
              <w:snapToGrid/>
              <w:spacing w:line="400" w:lineRule="exact"/>
              <w:ind w:left="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401D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1FBF61D">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top"/>
          </w:tcPr>
          <w:p w14:paraId="1E4EDEF3">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1.5%                </w:t>
            </w:r>
          </w:p>
        </w:tc>
        <w:tc>
          <w:tcPr>
            <w:tcW w:w="1532" w:type="dxa"/>
            <w:noWrap w:val="0"/>
            <w:vAlign w:val="top"/>
          </w:tcPr>
          <w:p w14:paraId="0F768A9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noWrap w:val="0"/>
            <w:vAlign w:val="top"/>
          </w:tcPr>
          <w:p w14:paraId="7BCD726D">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1.0% </w:t>
            </w:r>
          </w:p>
        </w:tc>
      </w:tr>
      <w:tr w14:paraId="13A1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5518C28">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100万～500万</w:t>
            </w:r>
            <w:r>
              <w:rPr>
                <w:rFonts w:hint="eastAsia" w:ascii="宋体" w:hAnsi="宋体" w:eastAsia="宋体" w:cs="宋体"/>
                <w:color w:val="auto"/>
                <w:sz w:val="21"/>
                <w:szCs w:val="21"/>
                <w:highlight w:val="none"/>
              </w:rPr>
              <w:t>元</w:t>
            </w:r>
          </w:p>
        </w:tc>
        <w:tc>
          <w:tcPr>
            <w:tcW w:w="1659" w:type="dxa"/>
            <w:noWrap w:val="0"/>
            <w:vAlign w:val="top"/>
          </w:tcPr>
          <w:p w14:paraId="7CBCDE34">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1.1%                 </w:t>
            </w:r>
          </w:p>
        </w:tc>
        <w:tc>
          <w:tcPr>
            <w:tcW w:w="1532" w:type="dxa"/>
            <w:noWrap w:val="0"/>
            <w:vAlign w:val="top"/>
          </w:tcPr>
          <w:p w14:paraId="65014A0B">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noWrap w:val="0"/>
            <w:vAlign w:val="top"/>
          </w:tcPr>
          <w:p w14:paraId="601166F1">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0.7% </w:t>
            </w:r>
          </w:p>
        </w:tc>
      </w:tr>
      <w:tr w14:paraId="3521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B6A6110">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500万～1000万</w:t>
            </w:r>
            <w:r>
              <w:rPr>
                <w:rFonts w:hint="eastAsia" w:ascii="宋体" w:hAnsi="宋体" w:eastAsia="宋体" w:cs="宋体"/>
                <w:color w:val="auto"/>
                <w:sz w:val="21"/>
                <w:szCs w:val="21"/>
                <w:highlight w:val="none"/>
              </w:rPr>
              <w:t>元</w:t>
            </w:r>
          </w:p>
        </w:tc>
        <w:tc>
          <w:tcPr>
            <w:tcW w:w="1659" w:type="dxa"/>
            <w:noWrap w:val="0"/>
            <w:vAlign w:val="top"/>
          </w:tcPr>
          <w:p w14:paraId="116F2368">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  0.8%                </w:t>
            </w:r>
          </w:p>
        </w:tc>
        <w:tc>
          <w:tcPr>
            <w:tcW w:w="1532" w:type="dxa"/>
            <w:noWrap w:val="0"/>
            <w:vAlign w:val="top"/>
          </w:tcPr>
          <w:p w14:paraId="4FE17C17">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noWrap w:val="0"/>
            <w:vAlign w:val="top"/>
          </w:tcPr>
          <w:p w14:paraId="0CC0DC7D">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1076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B662D0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1000万～5000万</w:t>
            </w:r>
            <w:r>
              <w:rPr>
                <w:rFonts w:hint="eastAsia" w:ascii="宋体" w:hAnsi="宋体" w:eastAsia="宋体" w:cs="宋体"/>
                <w:color w:val="auto"/>
                <w:sz w:val="21"/>
                <w:szCs w:val="21"/>
                <w:highlight w:val="none"/>
              </w:rPr>
              <w:t>元</w:t>
            </w:r>
          </w:p>
        </w:tc>
        <w:tc>
          <w:tcPr>
            <w:tcW w:w="1659" w:type="dxa"/>
            <w:noWrap w:val="0"/>
            <w:vAlign w:val="top"/>
          </w:tcPr>
          <w:p w14:paraId="0E48A04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0.5%                </w:t>
            </w:r>
          </w:p>
        </w:tc>
        <w:tc>
          <w:tcPr>
            <w:tcW w:w="1532" w:type="dxa"/>
            <w:noWrap w:val="0"/>
            <w:vAlign w:val="top"/>
          </w:tcPr>
          <w:p w14:paraId="5E6F8E5F">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noWrap w:val="0"/>
            <w:vAlign w:val="top"/>
          </w:tcPr>
          <w:p w14:paraId="403F889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0.35% </w:t>
            </w:r>
          </w:p>
        </w:tc>
      </w:tr>
      <w:tr w14:paraId="722B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F7BBEF">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top"/>
          </w:tcPr>
          <w:p w14:paraId="6CD42488">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0.25%                 </w:t>
            </w:r>
          </w:p>
        </w:tc>
        <w:tc>
          <w:tcPr>
            <w:tcW w:w="1532" w:type="dxa"/>
            <w:noWrap w:val="0"/>
            <w:vAlign w:val="top"/>
          </w:tcPr>
          <w:p w14:paraId="0D42271D">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noWrap w:val="0"/>
            <w:vAlign w:val="top"/>
          </w:tcPr>
          <w:p w14:paraId="22050BB6">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347C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182E19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1亿～5亿</w:t>
            </w:r>
            <w:r>
              <w:rPr>
                <w:rFonts w:hint="eastAsia" w:ascii="宋体" w:hAnsi="宋体" w:eastAsia="宋体" w:cs="宋体"/>
                <w:color w:val="auto"/>
                <w:sz w:val="21"/>
                <w:szCs w:val="21"/>
                <w:highlight w:val="none"/>
              </w:rPr>
              <w:t>元</w:t>
            </w:r>
          </w:p>
        </w:tc>
        <w:tc>
          <w:tcPr>
            <w:tcW w:w="1659" w:type="dxa"/>
            <w:noWrap w:val="0"/>
            <w:vAlign w:val="top"/>
          </w:tcPr>
          <w:p w14:paraId="39D63490">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noWrap w:val="0"/>
            <w:vAlign w:val="top"/>
          </w:tcPr>
          <w:p w14:paraId="46431A31">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c>
          <w:tcPr>
            <w:tcW w:w="1546" w:type="dxa"/>
            <w:noWrap w:val="0"/>
            <w:vAlign w:val="top"/>
          </w:tcPr>
          <w:p w14:paraId="4850D061">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0.05%</w:t>
            </w:r>
          </w:p>
        </w:tc>
      </w:tr>
      <w:tr w14:paraId="48E6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7C9263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5亿～10亿</w:t>
            </w:r>
            <w:r>
              <w:rPr>
                <w:rFonts w:hint="eastAsia" w:ascii="宋体" w:hAnsi="宋体" w:eastAsia="宋体" w:cs="宋体"/>
                <w:color w:val="auto"/>
                <w:sz w:val="21"/>
                <w:szCs w:val="21"/>
                <w:highlight w:val="none"/>
              </w:rPr>
              <w:t>元</w:t>
            </w:r>
          </w:p>
        </w:tc>
        <w:tc>
          <w:tcPr>
            <w:tcW w:w="1659" w:type="dxa"/>
            <w:noWrap w:val="0"/>
            <w:vAlign w:val="top"/>
          </w:tcPr>
          <w:p w14:paraId="61C445CB">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noWrap w:val="0"/>
            <w:vAlign w:val="top"/>
          </w:tcPr>
          <w:p w14:paraId="002850A9">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0.035%</w:t>
            </w:r>
          </w:p>
        </w:tc>
        <w:tc>
          <w:tcPr>
            <w:tcW w:w="1546" w:type="dxa"/>
            <w:noWrap w:val="0"/>
            <w:vAlign w:val="top"/>
          </w:tcPr>
          <w:p w14:paraId="2C78CD89">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510E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77CA90">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10亿～50亿</w:t>
            </w:r>
            <w:r>
              <w:rPr>
                <w:rFonts w:hint="eastAsia" w:ascii="宋体" w:hAnsi="宋体" w:eastAsia="宋体" w:cs="宋体"/>
                <w:color w:val="auto"/>
                <w:sz w:val="21"/>
                <w:szCs w:val="21"/>
                <w:highlight w:val="none"/>
              </w:rPr>
              <w:t>元</w:t>
            </w:r>
          </w:p>
        </w:tc>
        <w:tc>
          <w:tcPr>
            <w:tcW w:w="1659" w:type="dxa"/>
            <w:noWrap w:val="0"/>
            <w:vAlign w:val="top"/>
          </w:tcPr>
          <w:p w14:paraId="5A3C5A2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noWrap w:val="0"/>
            <w:vAlign w:val="top"/>
          </w:tcPr>
          <w:p w14:paraId="208BF25F">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noWrap w:val="0"/>
            <w:vAlign w:val="top"/>
          </w:tcPr>
          <w:p w14:paraId="518DA45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38B0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1DAEF95">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50亿～100亿</w:t>
            </w:r>
            <w:r>
              <w:rPr>
                <w:rFonts w:hint="eastAsia" w:ascii="宋体" w:hAnsi="宋体" w:eastAsia="宋体" w:cs="宋体"/>
                <w:color w:val="auto"/>
                <w:sz w:val="21"/>
                <w:szCs w:val="21"/>
                <w:highlight w:val="none"/>
              </w:rPr>
              <w:t>元</w:t>
            </w:r>
          </w:p>
        </w:tc>
        <w:tc>
          <w:tcPr>
            <w:tcW w:w="1659" w:type="dxa"/>
            <w:noWrap w:val="0"/>
            <w:vAlign w:val="top"/>
          </w:tcPr>
          <w:p w14:paraId="7884AA6B">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0.006%</w:t>
            </w:r>
          </w:p>
        </w:tc>
        <w:tc>
          <w:tcPr>
            <w:tcW w:w="1532" w:type="dxa"/>
            <w:noWrap w:val="0"/>
            <w:vAlign w:val="top"/>
          </w:tcPr>
          <w:p w14:paraId="55038674">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noWrap w:val="0"/>
            <w:vAlign w:val="top"/>
          </w:tcPr>
          <w:p w14:paraId="7A9FF10C">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5782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16957AB">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亿元</w:t>
            </w:r>
            <w:r>
              <w:rPr>
                <w:rFonts w:hint="eastAsia" w:ascii="宋体" w:hAnsi="宋体" w:eastAsia="宋体" w:cs="宋体"/>
                <w:color w:val="auto"/>
                <w:sz w:val="21"/>
                <w:szCs w:val="21"/>
                <w:highlight w:val="none"/>
              </w:rPr>
              <w:t>以上</w:t>
            </w:r>
          </w:p>
        </w:tc>
        <w:tc>
          <w:tcPr>
            <w:tcW w:w="1659" w:type="dxa"/>
            <w:noWrap w:val="0"/>
            <w:vAlign w:val="top"/>
          </w:tcPr>
          <w:p w14:paraId="2825276C">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0.004%</w:t>
            </w:r>
          </w:p>
        </w:tc>
        <w:tc>
          <w:tcPr>
            <w:tcW w:w="1532" w:type="dxa"/>
            <w:noWrap w:val="0"/>
            <w:vAlign w:val="top"/>
          </w:tcPr>
          <w:p w14:paraId="17A2911A">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noWrap w:val="0"/>
            <w:vAlign w:val="top"/>
          </w:tcPr>
          <w:p w14:paraId="5DBE77B9">
            <w:pPr>
              <w:keepNext w:val="0"/>
              <w:keepLines w:val="0"/>
              <w:pageBreakBefore w:val="0"/>
              <w:shd w:val="clear"/>
              <w:kinsoku/>
              <w:overflowPunct/>
              <w:topLinePunct w:val="0"/>
              <w:autoSpaceDE/>
              <w:autoSpaceDN/>
              <w:bidi w:val="0"/>
              <w:adjustRightInd/>
              <w:snapToGrid/>
              <w:spacing w:line="400" w:lineRule="exact"/>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7DA97BF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（3）服务费指定银行账户：</w:t>
      </w:r>
    </w:p>
    <w:p w14:paraId="318ED339">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开户名称：广西国力招标有限公司</w:t>
      </w:r>
    </w:p>
    <w:p w14:paraId="6090C8C3">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开户银行：广西北部湾银行股份有限公司南宁市白沙支行（网银支付可选广西北部湾银行江南支行）</w:t>
      </w:r>
    </w:p>
    <w:p w14:paraId="2C94FBC7">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银行账号：800109057400039</w:t>
      </w:r>
    </w:p>
    <w:p w14:paraId="21EB8EC2">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银行行号：313611002051</w:t>
      </w:r>
    </w:p>
    <w:p w14:paraId="2F86A844">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（4）开具代理服务费发票事宜的联系方式：0771-4915100、4915200。</w:t>
      </w:r>
    </w:p>
    <w:p w14:paraId="467EAE26">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解释权</w:t>
      </w:r>
    </w:p>
    <w:p w14:paraId="2EC6392F">
      <w:pPr>
        <w:keepNext w:val="0"/>
        <w:keepLines w:val="0"/>
        <w:pageBreakBefore w:val="0"/>
        <w:shd w:val="clear"/>
        <w:kinsoku/>
        <w:overflowPunct/>
        <w:topLinePunct w:val="0"/>
        <w:autoSpaceDE/>
        <w:autoSpaceDN/>
        <w:bidi w:val="0"/>
        <w:adjustRightInd/>
        <w:snapToGrid/>
        <w:spacing w:line="400" w:lineRule="exact"/>
        <w:ind w:left="0" w:firstLine="404"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本竞争性谈判文件是根据国家有关</w:t>
      </w:r>
      <w:r>
        <w:rPr>
          <w:rFonts w:hint="eastAsia" w:ascii="宋体" w:hAnsi="宋体" w:eastAsia="宋体" w:cs="宋体"/>
          <w:color w:val="auto"/>
          <w:spacing w:val="-4"/>
          <w:sz w:val="21"/>
          <w:szCs w:val="21"/>
          <w:highlight w:val="none"/>
          <w:lang w:eastAsia="zh-CN"/>
        </w:rPr>
        <w:t>法律法规</w:t>
      </w:r>
      <w:r>
        <w:rPr>
          <w:rFonts w:hint="eastAsia" w:ascii="宋体" w:hAnsi="宋体" w:eastAsia="宋体" w:cs="宋体"/>
          <w:color w:val="auto"/>
          <w:spacing w:val="-4"/>
          <w:sz w:val="21"/>
          <w:szCs w:val="21"/>
          <w:highlight w:val="none"/>
        </w:rPr>
        <w:t>以及政府采购管理的有关规定和参照国际惯例编制，解释权</w:t>
      </w:r>
      <w:r>
        <w:rPr>
          <w:rFonts w:hint="eastAsia" w:ascii="宋体" w:hAnsi="宋体" w:eastAsia="宋体" w:cs="宋体"/>
          <w:color w:val="auto"/>
          <w:spacing w:val="-4"/>
          <w:sz w:val="21"/>
          <w:szCs w:val="21"/>
          <w:highlight w:val="none"/>
          <w:lang w:eastAsia="zh-CN"/>
        </w:rPr>
        <w:t>属于</w:t>
      </w:r>
      <w:r>
        <w:rPr>
          <w:rFonts w:hint="eastAsia" w:ascii="宋体" w:hAnsi="宋体" w:eastAsia="宋体" w:cs="宋体"/>
          <w:color w:val="auto"/>
          <w:spacing w:val="-4"/>
          <w:sz w:val="21"/>
          <w:szCs w:val="21"/>
          <w:highlight w:val="none"/>
        </w:rPr>
        <w:t>本采购代理机构。</w:t>
      </w:r>
    </w:p>
    <w:p w14:paraId="578465C4">
      <w:pPr>
        <w:keepNext w:val="0"/>
        <w:keepLines w:val="0"/>
        <w:pageBreakBefore w:val="0"/>
        <w:shd w:val="clear"/>
        <w:kinsoku/>
        <w:overflowPunct/>
        <w:topLinePunct w:val="0"/>
        <w:autoSpaceDE/>
        <w:autoSpaceDN/>
        <w:bidi w:val="0"/>
        <w:adjustRightInd/>
        <w:snapToGrid/>
        <w:spacing w:line="400" w:lineRule="exact"/>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有关事宜</w:t>
      </w:r>
    </w:p>
    <w:p w14:paraId="2D59F100">
      <w:pPr>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所有与本竞争性谈判文件有关的函电请按下列通讯地址联系：</w:t>
      </w:r>
    </w:p>
    <w:p w14:paraId="43FBA214">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广西国力招标有限公司</w:t>
      </w:r>
    </w:p>
    <w:p w14:paraId="15E5FB2C">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邮政编码：530000</w:t>
      </w:r>
    </w:p>
    <w:p w14:paraId="6A180B5A">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通讯地址：广西南宁市白沙大道53号松宇时代13楼</w:t>
      </w:r>
    </w:p>
    <w:p w14:paraId="224B7093">
      <w:pPr>
        <w:pStyle w:val="21"/>
        <w:keepNext w:val="0"/>
        <w:keepLines w:val="0"/>
        <w:pageBreakBefore w:val="0"/>
        <w:shd w:val="clear"/>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eastAsia="zh-CN"/>
        </w:rPr>
        <w:t>0771-4915558</w:t>
      </w:r>
    </w:p>
    <w:p w14:paraId="177595CD">
      <w:pPr>
        <w:pStyle w:val="21"/>
        <w:keepNext w:val="0"/>
        <w:keepLines w:val="0"/>
        <w:pageBreakBefore w:val="0"/>
        <w:shd w:val="clear"/>
        <w:tabs>
          <w:tab w:val="left" w:pos="1990"/>
        </w:tabs>
        <w:kinsoku/>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lang w:eastAsia="zh-CN"/>
        </w:rPr>
        <w:t>0771-4915558</w:t>
      </w:r>
      <w:r>
        <w:rPr>
          <w:rFonts w:hint="eastAsia" w:ascii="宋体" w:hAnsi="宋体" w:eastAsia="宋体" w:cs="宋体"/>
          <w:color w:val="auto"/>
          <w:sz w:val="21"/>
          <w:szCs w:val="21"/>
          <w:highlight w:val="none"/>
        </w:rPr>
        <w:t>、4915100</w:t>
      </w:r>
    </w:p>
    <w:p w14:paraId="3A7EEFA0">
      <w:pPr>
        <w:shd w:val="clear"/>
        <w:snapToGrid w:val="0"/>
        <w:rPr>
          <w:rFonts w:hint="eastAsia" w:ascii="宋体" w:hAnsi="宋体" w:eastAsia="宋体" w:cs="宋体"/>
          <w:color w:val="auto"/>
          <w:kern w:val="0"/>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32"/>
          <w:szCs w:val="32"/>
          <w:highlight w:val="none"/>
        </w:rPr>
        <w:t>附件1：</w:t>
      </w:r>
    </w:p>
    <w:p w14:paraId="727AFA7B">
      <w:pPr>
        <w:widowControl/>
        <w:shd w:val="clear" w:color="auto"/>
        <w:spacing w:line="720" w:lineRule="auto"/>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广西壮族自治区政府采购项目合同验收书（格式）</w:t>
      </w:r>
    </w:p>
    <w:p w14:paraId="0F0F9407">
      <w:pPr>
        <w:widowControl/>
        <w:shd w:val="clear" w:color="auto"/>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分标中标（或成交）供应商（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提供的货物（或工程、服务）进行了验收，验收情况如下：</w:t>
      </w:r>
    </w:p>
    <w:tbl>
      <w:tblPr>
        <w:tblStyle w:val="39"/>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712C59E">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0686E115">
            <w:pPr>
              <w:widowControl/>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3D66DB0D">
            <w:pPr>
              <w:widowControl/>
              <w:shd w:val="clea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47FB088E">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2495D3F5">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61010DC5">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062458C3">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02657C2A">
            <w:pPr>
              <w:widowControl/>
              <w:shd w:val="clea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70B99FD1">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5FE295D8">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9AAC44E">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635E8C9">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5CAC29F9">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513AAF85">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BEE6D60">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354FE996">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F455785">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2F3B9C6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387D3B23">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23691020">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067F674E">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CAAFD94">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73261FB">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308042A">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D2FC8D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4184642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471C3B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B39B1FB">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35530B88">
            <w:pPr>
              <w:widowControl/>
              <w:shd w:val="clea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2182B102">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C208CE6">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0724A77">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56464D87">
            <w:pPr>
              <w:widowControl/>
              <w:shd w:val="clea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1F3C282B">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1F8A7C3A">
            <w:pPr>
              <w:widowControl/>
              <w:shd w:val="clea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6E6AE232">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6795F788">
            <w:pPr>
              <w:widowControl/>
              <w:shd w:val="clea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02802C1F">
            <w:pPr>
              <w:widowControl/>
              <w:shd w:val="clea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2A9250A9">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4EAEB3">
            <w:pPr>
              <w:widowControl/>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6F312AE4">
            <w:pPr>
              <w:widowControl/>
              <w:shd w:val="clea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宋体" w:hAnsi="宋体" w:eastAsia="宋体" w:cs="宋体"/>
                <w:color w:val="auto"/>
                <w:kern w:val="0"/>
                <w:szCs w:val="21"/>
                <w:highlight w:val="none"/>
                <w:lang w:eastAsia="zh-CN"/>
              </w:rPr>
              <w:t>）</w:t>
            </w:r>
          </w:p>
        </w:tc>
      </w:tr>
      <w:tr w14:paraId="41D81C63">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E61F391">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79B4D41F">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5F002743">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5BBBA585">
            <w:pPr>
              <w:shd w:val="clear"/>
              <w:rPr>
                <w:rFonts w:hint="eastAsia" w:ascii="宋体" w:hAnsi="宋体" w:eastAsia="宋体" w:cs="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33B602ED">
            <w:pPr>
              <w:widowControl/>
              <w:shd w:val="clea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49C51AFB">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5E4983C1">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3FA42DF7">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2B39C7C9">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8A74791">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082356B7">
            <w:pPr>
              <w:widowControl/>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6D585934">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1E93FBA6">
            <w:pPr>
              <w:widowControl/>
              <w:shd w:val="clea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2B39BA0A">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49EAFBC5">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0A744F33">
            <w:pPr>
              <w:widowControl/>
              <w:shd w:val="clea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3E18BEFA">
      <w:pPr>
        <w:shd w:val="clear"/>
        <w:jc w:val="left"/>
        <w:rPr>
          <w:rFonts w:hint="eastAsia" w:ascii="宋体" w:hAnsi="宋体" w:eastAsia="宋体" w:cs="宋体"/>
          <w:color w:val="auto"/>
          <w:highlight w:val="none"/>
        </w:rPr>
      </w:pPr>
    </w:p>
    <w:p w14:paraId="1E0B51E9">
      <w:pPr>
        <w:shd w:val="clear"/>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32"/>
          <w:szCs w:val="32"/>
          <w:highlight w:val="none"/>
        </w:rPr>
        <w:t>附件2：</w:t>
      </w:r>
    </w:p>
    <w:p w14:paraId="39081FBB">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w:t>
      </w:r>
      <w:r>
        <w:rPr>
          <w:rFonts w:hint="eastAsia" w:ascii="宋体" w:hAnsi="宋体" w:eastAsia="宋体" w:cs="宋体"/>
          <w:color w:val="auto"/>
          <w:kern w:val="0"/>
          <w:sz w:val="32"/>
          <w:szCs w:val="32"/>
          <w:highlight w:val="none"/>
        </w:rPr>
        <w:t>（格式）</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493C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CD0210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p>
          <w:p w14:paraId="38D5A84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w:t>
            </w:r>
          </w:p>
          <w:p w14:paraId="4D962C9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w:t>
            </w:r>
          </w:p>
          <w:p w14:paraId="2365A8F0">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申</w:t>
            </w:r>
          </w:p>
          <w:p w14:paraId="51154F5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w:t>
            </w:r>
          </w:p>
        </w:tc>
        <w:tc>
          <w:tcPr>
            <w:tcW w:w="8640" w:type="dxa"/>
            <w:noWrap w:val="0"/>
            <w:vAlign w:val="center"/>
          </w:tcPr>
          <w:p w14:paraId="28E44ED2">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r>
      <w:tr w14:paraId="32D9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05A49BF6">
            <w:pPr>
              <w:shd w:val="clear"/>
              <w:rPr>
                <w:rFonts w:hint="eastAsia" w:ascii="宋体" w:hAnsi="宋体" w:eastAsia="宋体" w:cs="宋体"/>
                <w:color w:val="auto"/>
                <w:highlight w:val="none"/>
              </w:rPr>
            </w:pPr>
          </w:p>
        </w:tc>
        <w:tc>
          <w:tcPr>
            <w:tcW w:w="8640" w:type="dxa"/>
            <w:noWrap w:val="0"/>
            <w:vAlign w:val="center"/>
          </w:tcPr>
          <w:p w14:paraId="191A0E90">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r>
      <w:tr w14:paraId="38AF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21A70F3">
            <w:pPr>
              <w:shd w:val="clear"/>
              <w:rPr>
                <w:rFonts w:hint="eastAsia" w:ascii="宋体" w:hAnsi="宋体" w:eastAsia="宋体" w:cs="宋体"/>
                <w:color w:val="auto"/>
                <w:highlight w:val="none"/>
              </w:rPr>
            </w:pPr>
          </w:p>
        </w:tc>
        <w:tc>
          <w:tcPr>
            <w:tcW w:w="8640" w:type="dxa"/>
            <w:noWrap w:val="0"/>
            <w:vAlign w:val="top"/>
          </w:tcPr>
          <w:p w14:paraId="431C4239">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6C26BDB">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该项目已于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日验收并交付使用。根据合同规定，该项目的履约保证金期限于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日已满，请将履约保证金</w:t>
            </w:r>
          </w:p>
          <w:p w14:paraId="16BDF775">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（小写）退付到达以下账户。</w:t>
            </w:r>
          </w:p>
          <w:p w14:paraId="2548F85D">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5AC4E54F">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07811444">
            <w:pPr>
              <w:shd w:val="clear"/>
              <w:spacing w:line="400" w:lineRule="exact"/>
              <w:ind w:firstLine="70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p>
          <w:p w14:paraId="1DC2408E">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w:t>
            </w:r>
          </w:p>
          <w:p w14:paraId="4073B457">
            <w:pPr>
              <w:shd w:val="clear"/>
              <w:spacing w:line="400" w:lineRule="exact"/>
              <w:rPr>
                <w:rFonts w:hint="eastAsia" w:ascii="宋体" w:hAnsi="宋体" w:eastAsia="宋体" w:cs="宋体"/>
                <w:color w:val="auto"/>
                <w:szCs w:val="21"/>
                <w:highlight w:val="none"/>
              </w:rPr>
            </w:pPr>
          </w:p>
          <w:p w14:paraId="26FE1422">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供应商签章：</w:t>
            </w:r>
          </w:p>
          <w:p w14:paraId="0E2D9A3A">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628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BB2CA5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w:t>
            </w:r>
          </w:p>
          <w:p w14:paraId="0174172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w:t>
            </w:r>
          </w:p>
          <w:p w14:paraId="0FB012D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w:t>
            </w:r>
          </w:p>
          <w:p w14:paraId="5DEB314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w:t>
            </w:r>
          </w:p>
          <w:p w14:paraId="0606D7E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716AC2E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640" w:type="dxa"/>
            <w:noWrap w:val="0"/>
            <w:vAlign w:val="top"/>
          </w:tcPr>
          <w:p w14:paraId="00A97B2D">
            <w:pPr>
              <w:shd w:val="clear"/>
              <w:rPr>
                <w:rFonts w:hint="eastAsia" w:ascii="宋体" w:hAnsi="宋体" w:eastAsia="宋体" w:cs="宋体"/>
                <w:color w:val="auto"/>
                <w:szCs w:val="21"/>
                <w:highlight w:val="none"/>
              </w:rPr>
            </w:pPr>
          </w:p>
          <w:p w14:paraId="3FECE13F">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退付意见：是否同意退付履约保证金及退付金额：</w:t>
            </w:r>
          </w:p>
          <w:p w14:paraId="68708EE0">
            <w:pPr>
              <w:shd w:val="clear"/>
              <w:rPr>
                <w:rFonts w:hint="eastAsia" w:ascii="宋体" w:hAnsi="宋体" w:eastAsia="宋体" w:cs="宋体"/>
                <w:color w:val="auto"/>
                <w:szCs w:val="21"/>
                <w:highlight w:val="none"/>
              </w:rPr>
            </w:pPr>
          </w:p>
          <w:p w14:paraId="0AE62EDE">
            <w:pPr>
              <w:shd w:val="clear"/>
              <w:rPr>
                <w:rFonts w:hint="eastAsia" w:ascii="宋体" w:hAnsi="宋体" w:eastAsia="宋体" w:cs="宋体"/>
                <w:color w:val="auto"/>
                <w:szCs w:val="21"/>
                <w:highlight w:val="none"/>
              </w:rPr>
            </w:pPr>
          </w:p>
          <w:p w14:paraId="59BCD551">
            <w:pPr>
              <w:shd w:val="clear"/>
              <w:spacing w:line="5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联系人及电话：                                 采购单位签章</w:t>
            </w:r>
          </w:p>
          <w:p w14:paraId="02E40330">
            <w:pPr>
              <w:shd w:val="clea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4D8F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1B7F90D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w:t>
            </w:r>
          </w:p>
          <w:p w14:paraId="6E32F92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务</w:t>
            </w:r>
          </w:p>
          <w:p w14:paraId="7B250E7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w:t>
            </w:r>
          </w:p>
          <w:p w14:paraId="3669D2D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门</w:t>
            </w:r>
          </w:p>
          <w:p w14:paraId="11B7CFA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意</w:t>
            </w:r>
          </w:p>
          <w:p w14:paraId="785BCC0E">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w:t>
            </w:r>
          </w:p>
        </w:tc>
        <w:tc>
          <w:tcPr>
            <w:tcW w:w="8640" w:type="dxa"/>
            <w:noWrap w:val="0"/>
            <w:vAlign w:val="top"/>
          </w:tcPr>
          <w:p w14:paraId="12D3733E">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此表于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日收到。</w:t>
            </w:r>
          </w:p>
          <w:p w14:paraId="2E46F1A5">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会计审核：</w:t>
            </w:r>
          </w:p>
          <w:p w14:paraId="6F02F0E1">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财务负责人审核：</w:t>
            </w:r>
          </w:p>
          <w:p w14:paraId="17248A08">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单位负责人签字：</w:t>
            </w:r>
          </w:p>
          <w:p w14:paraId="64E7909A">
            <w:pPr>
              <w:shd w:val="clear"/>
              <w:spacing w:line="6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出纳办理转账日期：</w:t>
            </w:r>
          </w:p>
        </w:tc>
      </w:tr>
    </w:tbl>
    <w:p w14:paraId="3C0EE237">
      <w:pPr>
        <w:shd w:val="clear"/>
        <w:spacing w:line="380" w:lineRule="exact"/>
        <w:ind w:left="420" w:leftChars="114" w:hanging="181" w:hangingChars="100"/>
        <w:rPr>
          <w:rFonts w:hint="eastAsia" w:ascii="宋体" w:hAnsi="宋体" w:eastAsia="宋体" w:cs="宋体"/>
          <w:color w:val="auto"/>
          <w:highlight w:val="none"/>
        </w:rPr>
      </w:pPr>
      <w:r>
        <w:rPr>
          <w:rFonts w:hint="eastAsia" w:ascii="宋体" w:hAnsi="宋体" w:eastAsia="宋体" w:cs="宋体"/>
          <w:b/>
          <w:bCs/>
          <w:color w:val="auto"/>
          <w:kern w:val="0"/>
          <w:sz w:val="18"/>
          <w:highlight w:val="none"/>
        </w:rPr>
        <w:t>注：供应商凭经采购单位审批的退付意见书办理履约保证金退付事宜。</w:t>
      </w:r>
    </w:p>
    <w:p w14:paraId="60EE8A49">
      <w:pPr>
        <w:shd w:val="clear"/>
        <w:jc w:val="left"/>
        <w:rPr>
          <w:rFonts w:hint="eastAsia" w:ascii="宋体" w:hAnsi="宋体" w:eastAsia="宋体" w:cs="宋体"/>
          <w:color w:val="auto"/>
          <w:kern w:val="0"/>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sz w:val="32"/>
          <w:szCs w:val="32"/>
          <w:highlight w:val="none"/>
        </w:rPr>
        <w:t>附件3：</w:t>
      </w:r>
    </w:p>
    <w:p w14:paraId="40CE5179">
      <w:pPr>
        <w:shd w:val="clear"/>
        <w:spacing w:line="528" w:lineRule="exact"/>
        <w:ind w:firstLine="2000" w:firstLineChars="500"/>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9"/>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623FC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4956E0DD">
            <w:pPr>
              <w:widowControl/>
              <w:shd w:val="clear"/>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品目序号</w:t>
            </w:r>
          </w:p>
        </w:tc>
        <w:tc>
          <w:tcPr>
            <w:tcW w:w="4020" w:type="dxa"/>
            <w:gridSpan w:val="3"/>
            <w:tcBorders>
              <w:tl2br w:val="nil"/>
              <w:tr2bl w:val="nil"/>
            </w:tcBorders>
            <w:noWrap w:val="0"/>
            <w:vAlign w:val="center"/>
          </w:tcPr>
          <w:p w14:paraId="4FC7F3C9">
            <w:pPr>
              <w:widowControl/>
              <w:shd w:val="clear"/>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名称</w:t>
            </w:r>
          </w:p>
        </w:tc>
        <w:tc>
          <w:tcPr>
            <w:tcW w:w="4540" w:type="dxa"/>
            <w:tcBorders>
              <w:tl2br w:val="nil"/>
              <w:tr2bl w:val="nil"/>
            </w:tcBorders>
            <w:noWrap w:val="0"/>
            <w:vAlign w:val="center"/>
          </w:tcPr>
          <w:p w14:paraId="069F2FDE">
            <w:pPr>
              <w:widowControl/>
              <w:shd w:val="clear"/>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依据的标准</w:t>
            </w:r>
          </w:p>
        </w:tc>
      </w:tr>
      <w:tr w14:paraId="5A4F8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035E401B">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80" w:type="dxa"/>
            <w:vMerge w:val="restart"/>
            <w:tcBorders>
              <w:tl2br w:val="nil"/>
              <w:tr2bl w:val="nil"/>
            </w:tcBorders>
            <w:noWrap w:val="0"/>
            <w:vAlign w:val="center"/>
          </w:tcPr>
          <w:p w14:paraId="03AEA2F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A020101计算机设备</w:t>
            </w:r>
          </w:p>
        </w:tc>
        <w:tc>
          <w:tcPr>
            <w:tcW w:w="1320" w:type="dxa"/>
            <w:tcBorders>
              <w:tl2br w:val="nil"/>
              <w:tr2bl w:val="nil"/>
            </w:tcBorders>
            <w:noWrap w:val="0"/>
            <w:vAlign w:val="center"/>
          </w:tcPr>
          <w:p w14:paraId="04EA191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★A02010104台式计算机</w:t>
            </w:r>
          </w:p>
        </w:tc>
        <w:tc>
          <w:tcPr>
            <w:tcW w:w="1620" w:type="dxa"/>
            <w:tcBorders>
              <w:tl2br w:val="nil"/>
              <w:tr2bl w:val="nil"/>
            </w:tcBorders>
            <w:noWrap w:val="0"/>
            <w:vAlign w:val="center"/>
          </w:tcPr>
          <w:p w14:paraId="7A45A25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297E4792">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748D80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CE492B7">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1D5D0081">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3A7EB2FA">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★A02010105便携式计算机</w:t>
            </w:r>
          </w:p>
        </w:tc>
        <w:tc>
          <w:tcPr>
            <w:tcW w:w="1620" w:type="dxa"/>
            <w:tcBorders>
              <w:tl2br w:val="nil"/>
              <w:tr2bl w:val="nil"/>
            </w:tcBorders>
            <w:noWrap w:val="0"/>
            <w:vAlign w:val="center"/>
          </w:tcPr>
          <w:p w14:paraId="568AEC7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FC58A1C">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217EC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BB340D9">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5BC19D3D">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17E7D5E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★A02010107平板式微型计算机</w:t>
            </w:r>
          </w:p>
        </w:tc>
        <w:tc>
          <w:tcPr>
            <w:tcW w:w="1620" w:type="dxa"/>
            <w:tcBorders>
              <w:tl2br w:val="nil"/>
              <w:tr2bl w:val="nil"/>
            </w:tcBorders>
            <w:noWrap w:val="0"/>
            <w:vAlign w:val="center"/>
          </w:tcPr>
          <w:p w14:paraId="07A52D90">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FD9DABA">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《微型计算机能效限定值及能效等级》（GB28380）</w:t>
            </w:r>
          </w:p>
        </w:tc>
      </w:tr>
      <w:tr w14:paraId="34636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3987A69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080" w:type="dxa"/>
            <w:vMerge w:val="restart"/>
            <w:tcBorders>
              <w:tl2br w:val="nil"/>
              <w:tr2bl w:val="nil"/>
            </w:tcBorders>
            <w:noWrap w:val="0"/>
            <w:vAlign w:val="center"/>
          </w:tcPr>
          <w:p w14:paraId="26D963C2">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A020106输入输出设备</w:t>
            </w:r>
          </w:p>
        </w:tc>
        <w:tc>
          <w:tcPr>
            <w:tcW w:w="1320" w:type="dxa"/>
            <w:vMerge w:val="restart"/>
            <w:tcBorders>
              <w:tl2br w:val="nil"/>
              <w:tr2bl w:val="nil"/>
            </w:tcBorders>
            <w:noWrap w:val="0"/>
            <w:vAlign w:val="center"/>
          </w:tcPr>
          <w:p w14:paraId="6C31E7AA">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A02010601打印设备</w:t>
            </w:r>
          </w:p>
        </w:tc>
        <w:tc>
          <w:tcPr>
            <w:tcW w:w="1620" w:type="dxa"/>
            <w:tcBorders>
              <w:tl2br w:val="nil"/>
              <w:tr2bl w:val="nil"/>
            </w:tcBorders>
            <w:noWrap w:val="0"/>
            <w:vAlign w:val="center"/>
          </w:tcPr>
          <w:p w14:paraId="474122E4">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A0201060101喷墨打印机</w:t>
            </w:r>
          </w:p>
        </w:tc>
        <w:tc>
          <w:tcPr>
            <w:tcW w:w="4540" w:type="dxa"/>
            <w:tcBorders>
              <w:tl2br w:val="nil"/>
              <w:tr2bl w:val="nil"/>
            </w:tcBorders>
            <w:noWrap w:val="0"/>
            <w:vAlign w:val="center"/>
          </w:tcPr>
          <w:p w14:paraId="27D1F0CB">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56FB3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E0E4069">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7BB9C20B">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60AD492C">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1B1F501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★A0201060102激光打印机</w:t>
            </w:r>
          </w:p>
        </w:tc>
        <w:tc>
          <w:tcPr>
            <w:tcW w:w="4540" w:type="dxa"/>
            <w:tcBorders>
              <w:tl2br w:val="nil"/>
              <w:tr2bl w:val="nil"/>
            </w:tcBorders>
            <w:noWrap w:val="0"/>
            <w:vAlign w:val="center"/>
          </w:tcPr>
          <w:p w14:paraId="77BE30E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2582E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1633C6F">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67F663D3">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70B5289">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47B84FC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★A0201060104针式打印机</w:t>
            </w:r>
          </w:p>
        </w:tc>
        <w:tc>
          <w:tcPr>
            <w:tcW w:w="4540" w:type="dxa"/>
            <w:tcBorders>
              <w:tl2br w:val="nil"/>
              <w:tr2bl w:val="nil"/>
            </w:tcBorders>
            <w:noWrap w:val="0"/>
            <w:vAlign w:val="center"/>
          </w:tcPr>
          <w:p w14:paraId="183FA833">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1D39C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34A7A85">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C10FBFF">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0D7BC82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A02010604显示设备</w:t>
            </w:r>
          </w:p>
        </w:tc>
        <w:tc>
          <w:tcPr>
            <w:tcW w:w="1620" w:type="dxa"/>
            <w:tcBorders>
              <w:tl2br w:val="nil"/>
              <w:tr2bl w:val="nil"/>
            </w:tcBorders>
            <w:noWrap w:val="0"/>
            <w:vAlign w:val="center"/>
          </w:tcPr>
          <w:p w14:paraId="5B2334B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★A0201060401液晶显示器</w:t>
            </w:r>
          </w:p>
        </w:tc>
        <w:tc>
          <w:tcPr>
            <w:tcW w:w="4540" w:type="dxa"/>
            <w:tcBorders>
              <w:tl2br w:val="nil"/>
              <w:tr2bl w:val="nil"/>
            </w:tcBorders>
            <w:noWrap w:val="0"/>
            <w:vAlign w:val="center"/>
          </w:tcPr>
          <w:p w14:paraId="3D91545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《计算机显示器能效限定值及能效等级》（GB21520）</w:t>
            </w:r>
          </w:p>
        </w:tc>
      </w:tr>
      <w:tr w14:paraId="74E74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1416332F">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E66968D">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46C9D36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A02010609图形图像输入设备</w:t>
            </w:r>
          </w:p>
        </w:tc>
        <w:tc>
          <w:tcPr>
            <w:tcW w:w="1620" w:type="dxa"/>
            <w:tcBorders>
              <w:tl2br w:val="nil"/>
              <w:tr2bl w:val="nil"/>
            </w:tcBorders>
            <w:noWrap w:val="0"/>
            <w:vAlign w:val="center"/>
          </w:tcPr>
          <w:p w14:paraId="0F2D08F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A0201060901扫描仪</w:t>
            </w:r>
          </w:p>
        </w:tc>
        <w:tc>
          <w:tcPr>
            <w:tcW w:w="4540" w:type="dxa"/>
            <w:tcBorders>
              <w:tl2br w:val="nil"/>
              <w:tr2bl w:val="nil"/>
            </w:tcBorders>
            <w:noWrap w:val="0"/>
            <w:vAlign w:val="center"/>
          </w:tcPr>
          <w:p w14:paraId="5899E10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1CF5A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B12AB7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080" w:type="dxa"/>
            <w:tcBorders>
              <w:tl2br w:val="nil"/>
              <w:tr2bl w:val="nil"/>
            </w:tcBorders>
            <w:noWrap w:val="0"/>
            <w:vAlign w:val="center"/>
          </w:tcPr>
          <w:p w14:paraId="5F308280">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A020202投影仪</w:t>
            </w:r>
          </w:p>
        </w:tc>
        <w:tc>
          <w:tcPr>
            <w:tcW w:w="1320" w:type="dxa"/>
            <w:tcBorders>
              <w:tl2br w:val="nil"/>
              <w:tr2bl w:val="nil"/>
            </w:tcBorders>
            <w:noWrap w:val="0"/>
            <w:vAlign w:val="center"/>
          </w:tcPr>
          <w:p w14:paraId="4DA8FB3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3DC3AC0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11858199">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《投影机能效限定值及能效等级》（GB32028）</w:t>
            </w:r>
          </w:p>
        </w:tc>
      </w:tr>
      <w:tr w14:paraId="2E27C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CA26A3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080" w:type="dxa"/>
            <w:tcBorders>
              <w:tl2br w:val="nil"/>
              <w:tr2bl w:val="nil"/>
            </w:tcBorders>
            <w:noWrap w:val="0"/>
            <w:vAlign w:val="center"/>
          </w:tcPr>
          <w:p w14:paraId="5A997BB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A020204多功能一体机</w:t>
            </w:r>
          </w:p>
        </w:tc>
        <w:tc>
          <w:tcPr>
            <w:tcW w:w="1320" w:type="dxa"/>
            <w:tcBorders>
              <w:tl2br w:val="nil"/>
              <w:tr2bl w:val="nil"/>
            </w:tcBorders>
            <w:noWrap w:val="0"/>
            <w:vAlign w:val="center"/>
          </w:tcPr>
          <w:p w14:paraId="1016BC4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272B965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71240780">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《复印机、打印机和传真机能效限定值及能效等级》（GB21521）</w:t>
            </w:r>
          </w:p>
        </w:tc>
      </w:tr>
      <w:tr w14:paraId="74B5A2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3D04E8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080" w:type="dxa"/>
            <w:tcBorders>
              <w:tl2br w:val="nil"/>
              <w:tr2bl w:val="nil"/>
            </w:tcBorders>
            <w:noWrap w:val="0"/>
            <w:vAlign w:val="center"/>
          </w:tcPr>
          <w:p w14:paraId="12873C4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A020519泵</w:t>
            </w:r>
          </w:p>
        </w:tc>
        <w:tc>
          <w:tcPr>
            <w:tcW w:w="1320" w:type="dxa"/>
            <w:tcBorders>
              <w:tl2br w:val="nil"/>
              <w:tr2bl w:val="nil"/>
            </w:tcBorders>
            <w:noWrap w:val="0"/>
            <w:vAlign w:val="center"/>
          </w:tcPr>
          <w:p w14:paraId="4A19CAF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A02051901离心泵</w:t>
            </w:r>
          </w:p>
        </w:tc>
        <w:tc>
          <w:tcPr>
            <w:tcW w:w="1620" w:type="dxa"/>
            <w:tcBorders>
              <w:tl2br w:val="nil"/>
              <w:tr2bl w:val="nil"/>
            </w:tcBorders>
            <w:noWrap w:val="0"/>
            <w:vAlign w:val="center"/>
          </w:tcPr>
          <w:p w14:paraId="7D7DCFB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7FFC3A9C">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《清水离心泵能效限定值及节能评价值》（GB19762）</w:t>
            </w:r>
          </w:p>
        </w:tc>
      </w:tr>
      <w:tr w14:paraId="255C3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0ECAF7D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080" w:type="dxa"/>
            <w:vMerge w:val="restart"/>
            <w:tcBorders>
              <w:tl2br w:val="nil"/>
              <w:tr2bl w:val="nil"/>
            </w:tcBorders>
            <w:noWrap w:val="0"/>
            <w:vAlign w:val="center"/>
          </w:tcPr>
          <w:p w14:paraId="3810DA1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A020523制冷空调设备</w:t>
            </w:r>
          </w:p>
        </w:tc>
        <w:tc>
          <w:tcPr>
            <w:tcW w:w="1320" w:type="dxa"/>
            <w:vMerge w:val="restart"/>
            <w:tcBorders>
              <w:tl2br w:val="nil"/>
              <w:tr2bl w:val="nil"/>
            </w:tcBorders>
            <w:noWrap w:val="0"/>
            <w:vAlign w:val="center"/>
          </w:tcPr>
          <w:p w14:paraId="2038694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★A02052301制冷压缩机</w:t>
            </w:r>
          </w:p>
        </w:tc>
        <w:tc>
          <w:tcPr>
            <w:tcW w:w="1620" w:type="dxa"/>
            <w:tcBorders>
              <w:tl2br w:val="nil"/>
              <w:tr2bl w:val="nil"/>
            </w:tcBorders>
            <w:noWrap w:val="0"/>
            <w:vAlign w:val="center"/>
          </w:tcPr>
          <w:p w14:paraId="0973755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冷水机组</w:t>
            </w:r>
          </w:p>
        </w:tc>
        <w:tc>
          <w:tcPr>
            <w:tcW w:w="4540" w:type="dxa"/>
            <w:tcBorders>
              <w:tl2br w:val="nil"/>
              <w:tr2bl w:val="nil"/>
            </w:tcBorders>
            <w:noWrap w:val="0"/>
            <w:vAlign w:val="center"/>
          </w:tcPr>
          <w:p w14:paraId="399EF31A">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《冷水机组能效限定值及能效等级》（GB19577），《低环境温度空气源热泵（冷水）机组能效限定值及能效等级》（GB37480）</w:t>
            </w:r>
          </w:p>
        </w:tc>
      </w:tr>
      <w:tr w14:paraId="423ED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C0BA566">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FF9746B">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919CA14">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1597C22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水源热泵机组</w:t>
            </w:r>
          </w:p>
        </w:tc>
        <w:tc>
          <w:tcPr>
            <w:tcW w:w="4540" w:type="dxa"/>
            <w:tcBorders>
              <w:tl2br w:val="nil"/>
              <w:tr2bl w:val="nil"/>
            </w:tcBorders>
            <w:noWrap w:val="0"/>
            <w:vAlign w:val="center"/>
          </w:tcPr>
          <w:p w14:paraId="759AC265">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《水（地）源热泵机组能效限定值及能效等级》（GB30721）</w:t>
            </w:r>
          </w:p>
        </w:tc>
      </w:tr>
      <w:tr w14:paraId="59EB6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F87BA67">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A612C02">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7DE04912">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0C7B4CE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溴化锂吸收式冷水机组</w:t>
            </w:r>
          </w:p>
        </w:tc>
        <w:tc>
          <w:tcPr>
            <w:tcW w:w="4540" w:type="dxa"/>
            <w:tcBorders>
              <w:tl2br w:val="nil"/>
              <w:tr2bl w:val="nil"/>
            </w:tcBorders>
            <w:noWrap w:val="0"/>
            <w:vAlign w:val="center"/>
          </w:tcPr>
          <w:p w14:paraId="728D26F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《溴化锂吸收式冷水机组能效限定值及能效等级》（GB29540）</w:t>
            </w:r>
          </w:p>
        </w:tc>
      </w:tr>
      <w:tr w14:paraId="5F5B9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0045DD4">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02CD97B3">
            <w:pPr>
              <w:widowControl/>
              <w:shd w:val="clear"/>
              <w:jc w:val="left"/>
              <w:rPr>
                <w:rFonts w:hint="eastAsia" w:ascii="宋体" w:hAnsi="宋体" w:eastAsia="宋体" w:cs="宋体"/>
                <w:color w:val="auto"/>
                <w:kern w:val="0"/>
                <w:szCs w:val="21"/>
                <w:highlight w:val="none"/>
              </w:rPr>
            </w:pPr>
          </w:p>
        </w:tc>
        <w:tc>
          <w:tcPr>
            <w:tcW w:w="1320" w:type="dxa"/>
            <w:vMerge w:val="restart"/>
            <w:tcBorders>
              <w:tl2br w:val="nil"/>
              <w:tr2bl w:val="nil"/>
            </w:tcBorders>
            <w:noWrap w:val="0"/>
            <w:vAlign w:val="center"/>
          </w:tcPr>
          <w:p w14:paraId="6822343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★A02052305空调机组</w:t>
            </w:r>
          </w:p>
        </w:tc>
        <w:tc>
          <w:tcPr>
            <w:tcW w:w="1620" w:type="dxa"/>
            <w:tcBorders>
              <w:tl2br w:val="nil"/>
              <w:tr2bl w:val="nil"/>
            </w:tcBorders>
            <w:noWrap w:val="0"/>
            <w:vAlign w:val="center"/>
          </w:tcPr>
          <w:p w14:paraId="4FC97F4B">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制冷量&gt;14000W</w:t>
            </w:r>
            <w:r>
              <w:rPr>
                <w:rFonts w:hint="eastAsia" w:ascii="宋体" w:hAnsi="宋体" w:eastAsia="宋体" w:cs="宋体"/>
                <w:color w:val="auto"/>
                <w:kern w:val="0"/>
                <w:szCs w:val="21"/>
                <w:highlight w:val="none"/>
                <w:lang w:eastAsia="zh-CN"/>
              </w:rPr>
              <w:t>）</w:t>
            </w:r>
          </w:p>
        </w:tc>
        <w:tc>
          <w:tcPr>
            <w:tcW w:w="4540" w:type="dxa"/>
            <w:tcBorders>
              <w:tl2br w:val="nil"/>
              <w:tr2bl w:val="nil"/>
            </w:tcBorders>
            <w:noWrap w:val="0"/>
            <w:vAlign w:val="center"/>
          </w:tcPr>
          <w:p w14:paraId="11025065">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《多联式空调（热泵）机组能效限定值及能源效率等级》（GB21454）</w:t>
            </w:r>
          </w:p>
        </w:tc>
      </w:tr>
      <w:tr w14:paraId="66334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AE6956B">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5642B71B">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200153A">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5F0F493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单元式空气调节机(制冷量&gt;14000W</w:t>
            </w:r>
          </w:p>
        </w:tc>
        <w:tc>
          <w:tcPr>
            <w:tcW w:w="4540" w:type="dxa"/>
            <w:tcBorders>
              <w:tl2br w:val="nil"/>
              <w:tr2bl w:val="nil"/>
            </w:tcBorders>
            <w:noWrap w:val="0"/>
            <w:vAlign w:val="center"/>
          </w:tcPr>
          <w:p w14:paraId="2437930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《单元式空气调节机能效限定值及能效等级》（GB19576）《风管送风式空调机组能效限定值及能效等级》（GB37479）</w:t>
            </w:r>
          </w:p>
        </w:tc>
      </w:tr>
      <w:tr w14:paraId="2CCA7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FB1FD21">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66A8EBBA">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0E2FB73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★A02052309专用制冷、空调设备</w:t>
            </w:r>
          </w:p>
        </w:tc>
        <w:tc>
          <w:tcPr>
            <w:tcW w:w="1620" w:type="dxa"/>
            <w:tcBorders>
              <w:tl2br w:val="nil"/>
              <w:tr2bl w:val="nil"/>
            </w:tcBorders>
            <w:noWrap w:val="0"/>
            <w:vAlign w:val="center"/>
          </w:tcPr>
          <w:p w14:paraId="7408E77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机房空调</w:t>
            </w:r>
          </w:p>
        </w:tc>
        <w:tc>
          <w:tcPr>
            <w:tcW w:w="4540" w:type="dxa"/>
            <w:tcBorders>
              <w:tl2br w:val="nil"/>
              <w:tr2bl w:val="nil"/>
            </w:tcBorders>
            <w:noWrap w:val="0"/>
            <w:vAlign w:val="center"/>
          </w:tcPr>
          <w:p w14:paraId="45543388">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《单元式空气调节机能效限定值及能效等级》（GB19576）</w:t>
            </w:r>
          </w:p>
        </w:tc>
      </w:tr>
      <w:tr w14:paraId="590B3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2AC63279">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9183E30">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07F591D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A02052399其他制冷空调设备</w:t>
            </w:r>
          </w:p>
        </w:tc>
        <w:tc>
          <w:tcPr>
            <w:tcW w:w="1620" w:type="dxa"/>
            <w:tcBorders>
              <w:tl2br w:val="nil"/>
              <w:tr2bl w:val="nil"/>
            </w:tcBorders>
            <w:noWrap w:val="0"/>
            <w:vAlign w:val="center"/>
          </w:tcPr>
          <w:p w14:paraId="4EFD2B2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冷却塔</w:t>
            </w:r>
          </w:p>
        </w:tc>
        <w:tc>
          <w:tcPr>
            <w:tcW w:w="4540" w:type="dxa"/>
            <w:tcBorders>
              <w:tl2br w:val="nil"/>
              <w:tr2bl w:val="nil"/>
            </w:tcBorders>
            <w:noWrap w:val="0"/>
            <w:vAlign w:val="center"/>
          </w:tcPr>
          <w:p w14:paraId="4452ABFD">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《机械通风冷却塔第1部分：中小型开式冷却塔》（GB/T7190.1）；《机械通风冷却塔第2部分：大型开式冷却塔》（GB/T7190.2）</w:t>
            </w:r>
          </w:p>
        </w:tc>
      </w:tr>
      <w:tr w14:paraId="7E35B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960545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080" w:type="dxa"/>
            <w:tcBorders>
              <w:tl2br w:val="nil"/>
              <w:tr2bl w:val="nil"/>
            </w:tcBorders>
            <w:noWrap w:val="0"/>
            <w:vAlign w:val="center"/>
          </w:tcPr>
          <w:p w14:paraId="78BAA0A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A020601电机</w:t>
            </w:r>
          </w:p>
        </w:tc>
        <w:tc>
          <w:tcPr>
            <w:tcW w:w="1320" w:type="dxa"/>
            <w:tcBorders>
              <w:tl2br w:val="nil"/>
              <w:tr2bl w:val="nil"/>
            </w:tcBorders>
            <w:noWrap w:val="0"/>
            <w:vAlign w:val="center"/>
          </w:tcPr>
          <w:p w14:paraId="18DBFF9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354D6E4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03358796">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《中小型三相异步电动机能效限定值及能效等级》（GB18613）</w:t>
            </w:r>
          </w:p>
        </w:tc>
      </w:tr>
      <w:tr w14:paraId="381EF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607B35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080" w:type="dxa"/>
            <w:tcBorders>
              <w:tl2br w:val="nil"/>
              <w:tr2bl w:val="nil"/>
            </w:tcBorders>
            <w:noWrap w:val="0"/>
            <w:vAlign w:val="center"/>
          </w:tcPr>
          <w:p w14:paraId="2C1BA1A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A020602变压器</w:t>
            </w:r>
          </w:p>
        </w:tc>
        <w:tc>
          <w:tcPr>
            <w:tcW w:w="1320" w:type="dxa"/>
            <w:tcBorders>
              <w:tl2br w:val="nil"/>
              <w:tr2bl w:val="nil"/>
            </w:tcBorders>
            <w:noWrap w:val="0"/>
            <w:vAlign w:val="center"/>
          </w:tcPr>
          <w:p w14:paraId="086E1DE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配电变压器</w:t>
            </w:r>
          </w:p>
        </w:tc>
        <w:tc>
          <w:tcPr>
            <w:tcW w:w="1620" w:type="dxa"/>
            <w:tcBorders>
              <w:tl2br w:val="nil"/>
              <w:tr2bl w:val="nil"/>
            </w:tcBorders>
            <w:noWrap w:val="0"/>
            <w:vAlign w:val="center"/>
          </w:tcPr>
          <w:p w14:paraId="71F223D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11E75585">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《三相配电变压器能效限定值及能效等级》（GB20052）</w:t>
            </w:r>
          </w:p>
        </w:tc>
      </w:tr>
      <w:tr w14:paraId="1B9D7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6614C3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80" w:type="dxa"/>
            <w:tcBorders>
              <w:tl2br w:val="nil"/>
              <w:tr2bl w:val="nil"/>
            </w:tcBorders>
            <w:noWrap w:val="0"/>
            <w:vAlign w:val="center"/>
          </w:tcPr>
          <w:p w14:paraId="702FFC5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★A020609镇流器</w:t>
            </w:r>
          </w:p>
        </w:tc>
        <w:tc>
          <w:tcPr>
            <w:tcW w:w="1320" w:type="dxa"/>
            <w:tcBorders>
              <w:tl2br w:val="nil"/>
              <w:tr2bl w:val="nil"/>
            </w:tcBorders>
            <w:noWrap w:val="0"/>
            <w:vAlign w:val="center"/>
          </w:tcPr>
          <w:p w14:paraId="6FEB142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管型荧光灯镇流器</w:t>
            </w:r>
          </w:p>
        </w:tc>
        <w:tc>
          <w:tcPr>
            <w:tcW w:w="1620" w:type="dxa"/>
            <w:tcBorders>
              <w:tl2br w:val="nil"/>
              <w:tr2bl w:val="nil"/>
            </w:tcBorders>
            <w:noWrap w:val="0"/>
            <w:vAlign w:val="center"/>
          </w:tcPr>
          <w:p w14:paraId="0D8FE02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FE3B74C">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《管形荧光灯镇流器能效限定值及能效等级》（GB17896）</w:t>
            </w:r>
          </w:p>
        </w:tc>
      </w:tr>
      <w:tr w14:paraId="5C3BB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4C6E2AC4">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080" w:type="dxa"/>
            <w:vMerge w:val="restart"/>
            <w:tcBorders>
              <w:tl2br w:val="nil"/>
              <w:tr2bl w:val="nil"/>
            </w:tcBorders>
            <w:noWrap w:val="0"/>
            <w:vAlign w:val="center"/>
          </w:tcPr>
          <w:p w14:paraId="2A46D0C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A020618生活用电器</w:t>
            </w:r>
          </w:p>
        </w:tc>
        <w:tc>
          <w:tcPr>
            <w:tcW w:w="1320" w:type="dxa"/>
            <w:tcBorders>
              <w:tl2br w:val="nil"/>
              <w:tr2bl w:val="nil"/>
            </w:tcBorders>
            <w:noWrap w:val="0"/>
            <w:vAlign w:val="center"/>
          </w:tcPr>
          <w:p w14:paraId="55F68FA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A0206180101电冰箱</w:t>
            </w:r>
          </w:p>
        </w:tc>
        <w:tc>
          <w:tcPr>
            <w:tcW w:w="1620" w:type="dxa"/>
            <w:tcBorders>
              <w:tl2br w:val="nil"/>
              <w:tr2bl w:val="nil"/>
            </w:tcBorders>
            <w:noWrap w:val="0"/>
            <w:vAlign w:val="center"/>
          </w:tcPr>
          <w:p w14:paraId="10F6E71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1ADD9760">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《家用电冰箱耗电量限定值及能效等级》（GB 12021.2）</w:t>
            </w:r>
          </w:p>
        </w:tc>
      </w:tr>
      <w:tr w14:paraId="7A9C8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35A28E9E">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2A18D3A9">
            <w:pPr>
              <w:widowControl/>
              <w:shd w:val="clear"/>
              <w:jc w:val="left"/>
              <w:rPr>
                <w:rFonts w:hint="eastAsia" w:ascii="宋体" w:hAnsi="宋体" w:eastAsia="宋体" w:cs="宋体"/>
                <w:color w:val="auto"/>
                <w:kern w:val="0"/>
                <w:szCs w:val="21"/>
                <w:highlight w:val="none"/>
              </w:rPr>
            </w:pPr>
          </w:p>
        </w:tc>
        <w:tc>
          <w:tcPr>
            <w:tcW w:w="1320" w:type="dxa"/>
            <w:vMerge w:val="restart"/>
            <w:tcBorders>
              <w:tl2br w:val="nil"/>
              <w:tr2bl w:val="nil"/>
            </w:tcBorders>
            <w:noWrap w:val="0"/>
            <w:vAlign w:val="center"/>
          </w:tcPr>
          <w:p w14:paraId="0CD29A1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★A0206180203空调机</w:t>
            </w:r>
          </w:p>
        </w:tc>
        <w:tc>
          <w:tcPr>
            <w:tcW w:w="1620" w:type="dxa"/>
            <w:tcBorders>
              <w:tl2br w:val="nil"/>
              <w:tr2bl w:val="nil"/>
            </w:tcBorders>
            <w:noWrap w:val="0"/>
            <w:vAlign w:val="center"/>
          </w:tcPr>
          <w:p w14:paraId="4FB9CF8E">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房间空气调节器</w:t>
            </w:r>
          </w:p>
        </w:tc>
        <w:tc>
          <w:tcPr>
            <w:tcW w:w="4540" w:type="dxa"/>
            <w:tcBorders>
              <w:tl2br w:val="nil"/>
              <w:tr2bl w:val="nil"/>
            </w:tcBorders>
            <w:noWrap w:val="0"/>
            <w:vAlign w:val="center"/>
          </w:tcPr>
          <w:p w14:paraId="06924F96">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12827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53DDA6FC">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6D92C18C">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5741299">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339E03D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多联式空调（热泵）机组（制冷量≤ 14000W）</w:t>
            </w:r>
          </w:p>
        </w:tc>
        <w:tc>
          <w:tcPr>
            <w:tcW w:w="4540" w:type="dxa"/>
            <w:tcBorders>
              <w:tl2br w:val="nil"/>
              <w:tr2bl w:val="nil"/>
            </w:tcBorders>
            <w:noWrap w:val="0"/>
            <w:vAlign w:val="center"/>
          </w:tcPr>
          <w:p w14:paraId="5142F114">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《多联式空调（热泵）机组能效限定值及能源效率等级》（GB21454）</w:t>
            </w:r>
          </w:p>
        </w:tc>
      </w:tr>
      <w:tr w14:paraId="57FE7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42C5DF2A">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10C8B602">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100756DD">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30C7727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制冷量≤14000W</w:t>
            </w:r>
            <w:r>
              <w:rPr>
                <w:rFonts w:hint="eastAsia" w:ascii="宋体" w:hAnsi="宋体" w:eastAsia="宋体" w:cs="宋体"/>
                <w:color w:val="auto"/>
                <w:kern w:val="0"/>
                <w:szCs w:val="21"/>
                <w:highlight w:val="none"/>
                <w:lang w:eastAsia="zh-CN"/>
              </w:rPr>
              <w:t>）</w:t>
            </w:r>
          </w:p>
        </w:tc>
        <w:tc>
          <w:tcPr>
            <w:tcW w:w="4540" w:type="dxa"/>
            <w:tcBorders>
              <w:tl2br w:val="nil"/>
              <w:tr2bl w:val="nil"/>
            </w:tcBorders>
            <w:noWrap w:val="0"/>
            <w:vAlign w:val="center"/>
          </w:tcPr>
          <w:p w14:paraId="04A50F85">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《单元式空气调节机能效限定值及能源效率等级》（GB19576）《风管送风式空调机组能效限定值及能效等级》（GB37479）</w:t>
            </w:r>
          </w:p>
        </w:tc>
      </w:tr>
      <w:tr w14:paraId="3B19A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C59FCA9">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0234B13C">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001B925B">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A0206180301洗衣机</w:t>
            </w:r>
          </w:p>
        </w:tc>
        <w:tc>
          <w:tcPr>
            <w:tcW w:w="1620" w:type="dxa"/>
            <w:tcBorders>
              <w:tl2br w:val="nil"/>
              <w:tr2bl w:val="nil"/>
            </w:tcBorders>
            <w:noWrap w:val="0"/>
            <w:vAlign w:val="center"/>
          </w:tcPr>
          <w:p w14:paraId="73AC3300">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F2656EB">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《电动洗衣机能效水效限定值及等级》（GB12021.4）</w:t>
            </w:r>
          </w:p>
        </w:tc>
      </w:tr>
      <w:tr w14:paraId="5AB963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AEC0811">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C766901">
            <w:pPr>
              <w:widowControl/>
              <w:shd w:val="clear"/>
              <w:jc w:val="left"/>
              <w:rPr>
                <w:rFonts w:hint="eastAsia" w:ascii="宋体" w:hAnsi="宋体" w:eastAsia="宋体" w:cs="宋体"/>
                <w:color w:val="auto"/>
                <w:kern w:val="0"/>
                <w:szCs w:val="21"/>
                <w:highlight w:val="none"/>
              </w:rPr>
            </w:pPr>
          </w:p>
        </w:tc>
        <w:tc>
          <w:tcPr>
            <w:tcW w:w="1320" w:type="dxa"/>
            <w:vMerge w:val="restart"/>
            <w:tcBorders>
              <w:tl2br w:val="nil"/>
              <w:tr2bl w:val="nil"/>
            </w:tcBorders>
            <w:noWrap w:val="0"/>
            <w:vAlign w:val="center"/>
          </w:tcPr>
          <w:p w14:paraId="24E6425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A02061808热水器</w:t>
            </w:r>
          </w:p>
        </w:tc>
        <w:tc>
          <w:tcPr>
            <w:tcW w:w="1620" w:type="dxa"/>
            <w:tcBorders>
              <w:tl2br w:val="nil"/>
              <w:tr2bl w:val="nil"/>
            </w:tcBorders>
            <w:noWrap w:val="0"/>
            <w:vAlign w:val="center"/>
          </w:tcPr>
          <w:p w14:paraId="087F863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★电热水器</w:t>
            </w:r>
          </w:p>
        </w:tc>
        <w:tc>
          <w:tcPr>
            <w:tcW w:w="4540" w:type="dxa"/>
            <w:tcBorders>
              <w:tl2br w:val="nil"/>
              <w:tr2bl w:val="nil"/>
            </w:tcBorders>
            <w:noWrap w:val="0"/>
            <w:vAlign w:val="center"/>
          </w:tcPr>
          <w:p w14:paraId="2B35A2CF">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《储水式电热水器能效限定值及能效等级》（GB21519）</w:t>
            </w:r>
          </w:p>
        </w:tc>
      </w:tr>
      <w:tr w14:paraId="30132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92B3D30">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09754902">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5EFBA92">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4FE2A78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燃气热水器</w:t>
            </w:r>
          </w:p>
        </w:tc>
        <w:tc>
          <w:tcPr>
            <w:tcW w:w="4540" w:type="dxa"/>
            <w:tcBorders>
              <w:tl2br w:val="nil"/>
              <w:tr2bl w:val="nil"/>
            </w:tcBorders>
            <w:noWrap w:val="0"/>
            <w:vAlign w:val="center"/>
          </w:tcPr>
          <w:p w14:paraId="25035244">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《家用燃气快速热水器和燃气采暖热水炉能效限定值及能效等级》（GB20665）</w:t>
            </w:r>
          </w:p>
        </w:tc>
      </w:tr>
      <w:tr w14:paraId="437F3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7E088A0">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2F10E253">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279A5008">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7406849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热泵热水器</w:t>
            </w:r>
          </w:p>
        </w:tc>
        <w:tc>
          <w:tcPr>
            <w:tcW w:w="4540" w:type="dxa"/>
            <w:tcBorders>
              <w:tl2br w:val="nil"/>
              <w:tr2bl w:val="nil"/>
            </w:tcBorders>
            <w:noWrap w:val="0"/>
            <w:vAlign w:val="center"/>
          </w:tcPr>
          <w:p w14:paraId="6F28DCE6">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《热泵热水机（器）能效限定值及能效等级》（GB29541）</w:t>
            </w:r>
          </w:p>
        </w:tc>
      </w:tr>
      <w:tr w14:paraId="268C1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95B8FAB">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4A5C1447">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26470991">
            <w:pPr>
              <w:widowControl/>
              <w:shd w:val="clear"/>
              <w:jc w:val="left"/>
              <w:rPr>
                <w:rFonts w:hint="eastAsia" w:ascii="宋体" w:hAnsi="宋体" w:eastAsia="宋体" w:cs="宋体"/>
                <w:color w:val="auto"/>
                <w:kern w:val="0"/>
                <w:szCs w:val="21"/>
                <w:highlight w:val="none"/>
              </w:rPr>
            </w:pPr>
          </w:p>
        </w:tc>
        <w:tc>
          <w:tcPr>
            <w:tcW w:w="1620" w:type="dxa"/>
            <w:tcBorders>
              <w:tl2br w:val="nil"/>
              <w:tr2bl w:val="nil"/>
            </w:tcBorders>
            <w:noWrap w:val="0"/>
            <w:vAlign w:val="center"/>
          </w:tcPr>
          <w:p w14:paraId="5ED729F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太阳能热水系统</w:t>
            </w:r>
          </w:p>
        </w:tc>
        <w:tc>
          <w:tcPr>
            <w:tcW w:w="4540" w:type="dxa"/>
            <w:tcBorders>
              <w:tl2br w:val="nil"/>
              <w:tr2bl w:val="nil"/>
            </w:tcBorders>
            <w:noWrap w:val="0"/>
            <w:vAlign w:val="center"/>
          </w:tcPr>
          <w:p w14:paraId="4ED91340">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《家用太阳能热水系统能效限定值及能效等级》（GB26969）</w:t>
            </w:r>
          </w:p>
        </w:tc>
      </w:tr>
      <w:tr w14:paraId="3AD12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5732B872">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080" w:type="dxa"/>
            <w:vMerge w:val="restart"/>
            <w:tcBorders>
              <w:tl2br w:val="nil"/>
              <w:tr2bl w:val="nil"/>
            </w:tcBorders>
            <w:noWrap w:val="0"/>
            <w:vAlign w:val="center"/>
          </w:tcPr>
          <w:p w14:paraId="209B7F3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A020619照明设备</w:t>
            </w:r>
          </w:p>
        </w:tc>
        <w:tc>
          <w:tcPr>
            <w:tcW w:w="1320" w:type="dxa"/>
            <w:tcBorders>
              <w:tl2br w:val="nil"/>
              <w:tr2bl w:val="nil"/>
            </w:tcBorders>
            <w:noWrap w:val="0"/>
            <w:vAlign w:val="center"/>
          </w:tcPr>
          <w:p w14:paraId="727D13B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★普通照明用双端荧光灯</w:t>
            </w:r>
          </w:p>
        </w:tc>
        <w:tc>
          <w:tcPr>
            <w:tcW w:w="1620" w:type="dxa"/>
            <w:tcBorders>
              <w:tl2br w:val="nil"/>
              <w:tr2bl w:val="nil"/>
            </w:tcBorders>
            <w:noWrap w:val="0"/>
            <w:vAlign w:val="center"/>
          </w:tcPr>
          <w:p w14:paraId="72552250">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5E3E2E8B">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《普通照明用双端荧光灯能效限定值及能效等级》（GB19043）</w:t>
            </w:r>
          </w:p>
        </w:tc>
      </w:tr>
      <w:tr w14:paraId="557AE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5F5FDE5">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5260369">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0FEF687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LED道路/隧道照明产品</w:t>
            </w:r>
          </w:p>
        </w:tc>
        <w:tc>
          <w:tcPr>
            <w:tcW w:w="1620" w:type="dxa"/>
            <w:tcBorders>
              <w:tl2br w:val="nil"/>
              <w:tr2bl w:val="nil"/>
            </w:tcBorders>
            <w:noWrap w:val="0"/>
            <w:vAlign w:val="center"/>
          </w:tcPr>
          <w:p w14:paraId="1DF3486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2006E7C1">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《道路和隧道照明用LED灯具能效限定值及能效等级》（GB37478）</w:t>
            </w:r>
          </w:p>
        </w:tc>
      </w:tr>
      <w:tr w14:paraId="368FDD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5D9D9F7">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5C6A9885">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379E1F8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LED筒灯</w:t>
            </w:r>
          </w:p>
        </w:tc>
        <w:tc>
          <w:tcPr>
            <w:tcW w:w="1620" w:type="dxa"/>
            <w:tcBorders>
              <w:tl2br w:val="nil"/>
              <w:tr2bl w:val="nil"/>
            </w:tcBorders>
            <w:noWrap w:val="0"/>
            <w:vAlign w:val="center"/>
          </w:tcPr>
          <w:p w14:paraId="3F5B5844">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2BCDF12">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《室内照明用LED产品能效限定值及能效等级》（GB30255）</w:t>
            </w:r>
          </w:p>
        </w:tc>
      </w:tr>
      <w:tr w14:paraId="5BC450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F57B2A1">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2B875083">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1EBB443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普通照明用非定向自镇流LED灯</w:t>
            </w:r>
          </w:p>
        </w:tc>
        <w:tc>
          <w:tcPr>
            <w:tcW w:w="1620" w:type="dxa"/>
            <w:tcBorders>
              <w:tl2br w:val="nil"/>
              <w:tr2bl w:val="nil"/>
            </w:tcBorders>
            <w:noWrap w:val="0"/>
            <w:vAlign w:val="center"/>
          </w:tcPr>
          <w:p w14:paraId="0E1E93B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73109C0F">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《室内照明用LED产品能效限定值及能效等级》（GB30255）</w:t>
            </w:r>
          </w:p>
        </w:tc>
      </w:tr>
      <w:tr w14:paraId="7F803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0C9462F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080" w:type="dxa"/>
            <w:tcBorders>
              <w:tl2br w:val="nil"/>
              <w:tr2bl w:val="nil"/>
            </w:tcBorders>
            <w:noWrap w:val="0"/>
            <w:vAlign w:val="center"/>
          </w:tcPr>
          <w:p w14:paraId="3D726EC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★A020910电视设备</w:t>
            </w:r>
          </w:p>
        </w:tc>
        <w:tc>
          <w:tcPr>
            <w:tcW w:w="1320" w:type="dxa"/>
            <w:tcBorders>
              <w:tl2br w:val="nil"/>
              <w:tr2bl w:val="nil"/>
            </w:tcBorders>
            <w:noWrap w:val="0"/>
            <w:vAlign w:val="center"/>
          </w:tcPr>
          <w:p w14:paraId="3E16F582">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A02091001普通电视设备（电视机）</w:t>
            </w:r>
          </w:p>
        </w:tc>
        <w:tc>
          <w:tcPr>
            <w:tcW w:w="1620" w:type="dxa"/>
            <w:tcBorders>
              <w:tl2br w:val="nil"/>
              <w:tr2bl w:val="nil"/>
            </w:tcBorders>
            <w:noWrap w:val="0"/>
            <w:vAlign w:val="center"/>
          </w:tcPr>
          <w:p w14:paraId="1C86ECD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35C19684">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《平板电视能效限定值及能效等级》（GB24850）</w:t>
            </w:r>
          </w:p>
        </w:tc>
      </w:tr>
      <w:tr w14:paraId="4CDD67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42811334">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080" w:type="dxa"/>
            <w:tcBorders>
              <w:tl2br w:val="nil"/>
              <w:tr2bl w:val="nil"/>
            </w:tcBorders>
            <w:noWrap w:val="0"/>
            <w:vAlign w:val="center"/>
          </w:tcPr>
          <w:p w14:paraId="120DFC34">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★A020911视频设备</w:t>
            </w:r>
          </w:p>
        </w:tc>
        <w:tc>
          <w:tcPr>
            <w:tcW w:w="1320" w:type="dxa"/>
            <w:tcBorders>
              <w:tl2br w:val="nil"/>
              <w:tr2bl w:val="nil"/>
            </w:tcBorders>
            <w:noWrap w:val="0"/>
            <w:vAlign w:val="center"/>
          </w:tcPr>
          <w:p w14:paraId="4E0678D6">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A02091107视频监控设备</w:t>
            </w:r>
          </w:p>
        </w:tc>
        <w:tc>
          <w:tcPr>
            <w:tcW w:w="1620" w:type="dxa"/>
            <w:tcBorders>
              <w:tl2br w:val="nil"/>
              <w:tr2bl w:val="nil"/>
            </w:tcBorders>
            <w:noWrap w:val="0"/>
            <w:vAlign w:val="center"/>
          </w:tcPr>
          <w:p w14:paraId="0493AC20">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监视器</w:t>
            </w:r>
          </w:p>
        </w:tc>
        <w:tc>
          <w:tcPr>
            <w:tcW w:w="4540" w:type="dxa"/>
            <w:tcBorders>
              <w:tl2br w:val="nil"/>
              <w:tr2bl w:val="nil"/>
            </w:tcBorders>
            <w:noWrap w:val="0"/>
            <w:vAlign w:val="center"/>
          </w:tcPr>
          <w:p w14:paraId="61B53CA6">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2761F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69533E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080" w:type="dxa"/>
            <w:tcBorders>
              <w:tl2br w:val="nil"/>
              <w:tr2bl w:val="nil"/>
            </w:tcBorders>
            <w:noWrap w:val="0"/>
            <w:vAlign w:val="center"/>
          </w:tcPr>
          <w:p w14:paraId="1DDE371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A031210饮食炊事机械</w:t>
            </w:r>
          </w:p>
        </w:tc>
        <w:tc>
          <w:tcPr>
            <w:tcW w:w="1320" w:type="dxa"/>
            <w:tcBorders>
              <w:tl2br w:val="nil"/>
              <w:tr2bl w:val="nil"/>
            </w:tcBorders>
            <w:noWrap w:val="0"/>
            <w:vAlign w:val="center"/>
          </w:tcPr>
          <w:p w14:paraId="2260F22F">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商用燃气灶具</w:t>
            </w:r>
          </w:p>
        </w:tc>
        <w:tc>
          <w:tcPr>
            <w:tcW w:w="1620" w:type="dxa"/>
            <w:tcBorders>
              <w:tl2br w:val="nil"/>
              <w:tr2bl w:val="nil"/>
            </w:tcBorders>
            <w:noWrap w:val="0"/>
            <w:vAlign w:val="center"/>
          </w:tcPr>
          <w:p w14:paraId="50AE1C0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15F254B0">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《商用燃气灶具能效限定值及能效等级》（GB30531）</w:t>
            </w:r>
          </w:p>
        </w:tc>
      </w:tr>
      <w:tr w14:paraId="01D2F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4C0E20A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080" w:type="dxa"/>
            <w:vMerge w:val="restart"/>
            <w:tcBorders>
              <w:tl2br w:val="nil"/>
              <w:tr2bl w:val="nil"/>
            </w:tcBorders>
            <w:noWrap w:val="0"/>
            <w:vAlign w:val="center"/>
          </w:tcPr>
          <w:p w14:paraId="5822387A">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★A060805便器</w:t>
            </w:r>
          </w:p>
        </w:tc>
        <w:tc>
          <w:tcPr>
            <w:tcW w:w="1320" w:type="dxa"/>
            <w:tcBorders>
              <w:tl2br w:val="nil"/>
              <w:tr2bl w:val="nil"/>
            </w:tcBorders>
            <w:noWrap w:val="0"/>
            <w:vAlign w:val="center"/>
          </w:tcPr>
          <w:p w14:paraId="596B9948">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坐便器</w:t>
            </w:r>
          </w:p>
        </w:tc>
        <w:tc>
          <w:tcPr>
            <w:tcW w:w="1620" w:type="dxa"/>
            <w:tcBorders>
              <w:tl2br w:val="nil"/>
              <w:tr2bl w:val="nil"/>
            </w:tcBorders>
            <w:noWrap w:val="0"/>
            <w:vAlign w:val="center"/>
          </w:tcPr>
          <w:p w14:paraId="2951115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18475A88">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《坐便器水效限定值及水效等级》（GB25502）</w:t>
            </w:r>
          </w:p>
        </w:tc>
      </w:tr>
      <w:tr w14:paraId="191FE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3813498">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3AF620E3">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26B2505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蹲便器</w:t>
            </w:r>
          </w:p>
        </w:tc>
        <w:tc>
          <w:tcPr>
            <w:tcW w:w="1620" w:type="dxa"/>
            <w:tcBorders>
              <w:tl2br w:val="nil"/>
              <w:tr2bl w:val="nil"/>
            </w:tcBorders>
            <w:noWrap w:val="0"/>
            <w:vAlign w:val="center"/>
          </w:tcPr>
          <w:p w14:paraId="58AFFAC3">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0D3C4A4E">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《蹲便器用水效率限定值及用水效率等级》（GB30717）</w:t>
            </w:r>
          </w:p>
        </w:tc>
      </w:tr>
      <w:tr w14:paraId="1374C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F10D9E7">
            <w:pPr>
              <w:widowControl/>
              <w:shd w:val="clear"/>
              <w:jc w:val="left"/>
              <w:rPr>
                <w:rFonts w:hint="eastAsia" w:ascii="宋体" w:hAnsi="宋体" w:eastAsia="宋体" w:cs="宋体"/>
                <w:color w:val="auto"/>
                <w:kern w:val="0"/>
                <w:szCs w:val="21"/>
                <w:highlight w:val="none"/>
              </w:rPr>
            </w:pPr>
          </w:p>
        </w:tc>
        <w:tc>
          <w:tcPr>
            <w:tcW w:w="0" w:type="auto"/>
            <w:vMerge w:val="continue"/>
            <w:tcBorders>
              <w:tl2br w:val="nil"/>
              <w:tr2bl w:val="nil"/>
            </w:tcBorders>
            <w:noWrap w:val="0"/>
            <w:vAlign w:val="center"/>
          </w:tcPr>
          <w:p w14:paraId="62E30F8D">
            <w:pPr>
              <w:widowControl/>
              <w:shd w:val="clear"/>
              <w:jc w:val="left"/>
              <w:rPr>
                <w:rFonts w:hint="eastAsia" w:ascii="宋体" w:hAnsi="宋体" w:eastAsia="宋体" w:cs="宋体"/>
                <w:color w:val="auto"/>
                <w:kern w:val="0"/>
                <w:szCs w:val="21"/>
                <w:highlight w:val="none"/>
              </w:rPr>
            </w:pPr>
          </w:p>
        </w:tc>
        <w:tc>
          <w:tcPr>
            <w:tcW w:w="1320" w:type="dxa"/>
            <w:tcBorders>
              <w:tl2br w:val="nil"/>
              <w:tr2bl w:val="nil"/>
            </w:tcBorders>
            <w:noWrap w:val="0"/>
            <w:vAlign w:val="center"/>
          </w:tcPr>
          <w:p w14:paraId="48324AC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小便器</w:t>
            </w:r>
          </w:p>
        </w:tc>
        <w:tc>
          <w:tcPr>
            <w:tcW w:w="1620" w:type="dxa"/>
            <w:tcBorders>
              <w:tl2br w:val="nil"/>
              <w:tr2bl w:val="nil"/>
            </w:tcBorders>
            <w:noWrap w:val="0"/>
            <w:vAlign w:val="center"/>
          </w:tcPr>
          <w:p w14:paraId="2728031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2711287">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《小便器用水效率限定值及用水效率等级》（GB28377）</w:t>
            </w:r>
          </w:p>
        </w:tc>
      </w:tr>
      <w:tr w14:paraId="37C8D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CFBEF37">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080" w:type="dxa"/>
            <w:tcBorders>
              <w:tl2br w:val="nil"/>
              <w:tr2bl w:val="nil"/>
            </w:tcBorders>
            <w:noWrap w:val="0"/>
            <w:vAlign w:val="center"/>
          </w:tcPr>
          <w:p w14:paraId="03C16AC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★A060806水嘴</w:t>
            </w:r>
          </w:p>
        </w:tc>
        <w:tc>
          <w:tcPr>
            <w:tcW w:w="1320" w:type="dxa"/>
            <w:tcBorders>
              <w:tl2br w:val="nil"/>
              <w:tr2bl w:val="nil"/>
            </w:tcBorders>
            <w:noWrap w:val="0"/>
            <w:vAlign w:val="center"/>
          </w:tcPr>
          <w:p w14:paraId="14DC4B4B">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6423081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52AC8780">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《水嘴用水效率限定值及用水效率等级》（GB 25501）</w:t>
            </w:r>
          </w:p>
        </w:tc>
      </w:tr>
      <w:tr w14:paraId="7D6A2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34DDE039">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080" w:type="dxa"/>
            <w:tcBorders>
              <w:tl2br w:val="nil"/>
              <w:tr2bl w:val="nil"/>
            </w:tcBorders>
            <w:noWrap w:val="0"/>
            <w:vAlign w:val="center"/>
          </w:tcPr>
          <w:p w14:paraId="6411971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A060807便器冲洗阀</w:t>
            </w:r>
          </w:p>
        </w:tc>
        <w:tc>
          <w:tcPr>
            <w:tcW w:w="1320" w:type="dxa"/>
            <w:tcBorders>
              <w:tl2br w:val="nil"/>
              <w:tr2bl w:val="nil"/>
            </w:tcBorders>
            <w:noWrap w:val="0"/>
            <w:vAlign w:val="center"/>
          </w:tcPr>
          <w:p w14:paraId="28A7883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4B87A0A1">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6368EC3F">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《便器冲洗阀用水效率限定值及用水效率等级》（GB28379）</w:t>
            </w:r>
          </w:p>
        </w:tc>
      </w:tr>
      <w:tr w14:paraId="3BB26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95CCF3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080" w:type="dxa"/>
            <w:tcBorders>
              <w:tl2br w:val="nil"/>
              <w:tr2bl w:val="nil"/>
            </w:tcBorders>
            <w:noWrap w:val="0"/>
            <w:vAlign w:val="center"/>
          </w:tcPr>
          <w:p w14:paraId="12997685">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A060810淋浴器</w:t>
            </w:r>
          </w:p>
        </w:tc>
        <w:tc>
          <w:tcPr>
            <w:tcW w:w="1320" w:type="dxa"/>
            <w:tcBorders>
              <w:tl2br w:val="nil"/>
              <w:tr2bl w:val="nil"/>
            </w:tcBorders>
            <w:noWrap w:val="0"/>
            <w:vAlign w:val="center"/>
          </w:tcPr>
          <w:p w14:paraId="38210E0D">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20" w:type="dxa"/>
            <w:tcBorders>
              <w:tl2br w:val="nil"/>
              <w:tr2bl w:val="nil"/>
            </w:tcBorders>
            <w:noWrap w:val="0"/>
            <w:vAlign w:val="center"/>
          </w:tcPr>
          <w:p w14:paraId="5B4195DC">
            <w:pPr>
              <w:widowControl/>
              <w:shd w:val="clea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4540" w:type="dxa"/>
            <w:tcBorders>
              <w:tl2br w:val="nil"/>
              <w:tr2bl w:val="nil"/>
            </w:tcBorders>
            <w:noWrap w:val="0"/>
            <w:vAlign w:val="center"/>
          </w:tcPr>
          <w:p w14:paraId="4D407CB1">
            <w:pPr>
              <w:widowControl/>
              <w:shd w:val="clea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《淋浴器用水效率限定值及用水效率等级》（GB28378）</w:t>
            </w:r>
          </w:p>
        </w:tc>
      </w:tr>
    </w:tbl>
    <w:p w14:paraId="619999BF">
      <w:pPr>
        <w:pStyle w:val="17"/>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注：1.节能产品认证应依据相关国家标准的最新版本，依据国家标准中二级能效（水效）</w:t>
      </w:r>
      <w:r>
        <w:rPr>
          <w:rFonts w:hint="eastAsia" w:ascii="宋体" w:hAnsi="宋体" w:eastAsia="宋体" w:cs="宋体"/>
          <w:color w:val="auto"/>
          <w:sz w:val="21"/>
          <w:szCs w:val="21"/>
          <w:highlight w:val="none"/>
        </w:rPr>
        <w:t>指标。</w:t>
      </w:r>
    </w:p>
    <w:p w14:paraId="65049E6D">
      <w:pPr>
        <w:shd w:val="clea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386E9946">
      <w:pPr>
        <w:pStyle w:val="35"/>
        <w:shd w:val="clear"/>
        <w:rPr>
          <w:b w:val="0"/>
          <w:bCs w:val="0"/>
          <w:color w:val="auto"/>
          <w:szCs w:val="21"/>
          <w:highlight w:val="none"/>
        </w:rPr>
      </w:pPr>
      <w:r>
        <w:rPr>
          <w:b w:val="0"/>
          <w:bCs w:val="0"/>
          <w:color w:val="auto"/>
          <w:szCs w:val="21"/>
          <w:highlight w:val="none"/>
        </w:rPr>
        <w:br w:type="page"/>
      </w:r>
      <w:bookmarkStart w:id="53" w:name="_Toc476258758"/>
      <w:bookmarkStart w:id="54" w:name="_Toc476258664"/>
    </w:p>
    <w:p w14:paraId="44D9C3D0">
      <w:pPr>
        <w:pStyle w:val="35"/>
        <w:shd w:val="clear"/>
        <w:rPr>
          <w:b w:val="0"/>
          <w:bCs w:val="0"/>
          <w:color w:val="auto"/>
          <w:szCs w:val="21"/>
          <w:highlight w:val="none"/>
        </w:rPr>
      </w:pPr>
    </w:p>
    <w:p w14:paraId="7CF1CCDC">
      <w:pPr>
        <w:pStyle w:val="35"/>
        <w:shd w:val="clear"/>
        <w:rPr>
          <w:b w:val="0"/>
          <w:bCs w:val="0"/>
          <w:color w:val="auto"/>
          <w:szCs w:val="21"/>
          <w:highlight w:val="none"/>
        </w:rPr>
      </w:pPr>
    </w:p>
    <w:p w14:paraId="288ED710">
      <w:pPr>
        <w:pStyle w:val="35"/>
        <w:shd w:val="clear"/>
        <w:rPr>
          <w:b w:val="0"/>
          <w:bCs w:val="0"/>
          <w:color w:val="auto"/>
          <w:szCs w:val="21"/>
          <w:highlight w:val="none"/>
        </w:rPr>
      </w:pPr>
    </w:p>
    <w:p w14:paraId="5D145E93">
      <w:pPr>
        <w:pStyle w:val="35"/>
        <w:shd w:val="clear"/>
        <w:rPr>
          <w:b w:val="0"/>
          <w:bCs w:val="0"/>
          <w:color w:val="auto"/>
          <w:szCs w:val="21"/>
          <w:highlight w:val="none"/>
        </w:rPr>
      </w:pPr>
    </w:p>
    <w:p w14:paraId="39BBEDAF">
      <w:pPr>
        <w:pStyle w:val="35"/>
        <w:shd w:val="clear"/>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第三章  采购需求</w:t>
      </w:r>
      <w:bookmarkEnd w:id="53"/>
      <w:bookmarkEnd w:id="54"/>
    </w:p>
    <w:p w14:paraId="5DCC04E5">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6E83CDB5">
      <w:pPr>
        <w:shd w:val="clear"/>
        <w:tabs>
          <w:tab w:val="left" w:pos="180"/>
          <w:tab w:val="left" w:pos="1620"/>
        </w:tabs>
        <w:spacing w:line="276"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u w:val="single"/>
          <w:lang w:eastAsia="zh-CN"/>
        </w:rPr>
        <w:t>GXZC2026-J1-002129-GLZB</w:t>
      </w:r>
    </w:p>
    <w:p w14:paraId="1DA2AB6F">
      <w:pPr>
        <w:shd w:val="clear"/>
        <w:tabs>
          <w:tab w:val="left" w:pos="180"/>
          <w:tab w:val="left" w:pos="1620"/>
        </w:tabs>
        <w:spacing w:line="276"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货物类  </w:t>
      </w:r>
    </w:p>
    <w:p w14:paraId="29E43C45">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1D890992">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说明：</w:t>
      </w:r>
    </w:p>
    <w:p w14:paraId="5EC3E032">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1.为落实政府采购政策需满足的要求</w:t>
      </w:r>
    </w:p>
    <w:p w14:paraId="7C6A268A">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（1）本采购文件所称中小企业必须符合《政府采购促进中小企业发展管理办法》（财库〔2020〕46号）的规定。</w:t>
      </w:r>
    </w:p>
    <w:p w14:paraId="3B4A8B6A">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竞标人的竞标货物必须使用政府强制采购的节能产品，竞标人必须在竞标文件（商务及技术文件）中提供所竞标产品的节能产品认证证书复印件（加盖竞标人电子签章），否则按无效竞标处理。如本项目包含的货物属于品目清单内非标注“★”的产品时，应优先采购，具体详见“第四章 评标方法及评标标准”。根据财库〔2019〕9号及财库〔2019〕19号文件规定，若采购货物属于以上品目清单的产品时，竞标人的竞标货物必须使用政府强制采购的节能产品，竞标人必须在竞标文件中提供由国家确定的认证机构出具的处于有效期之内的节能产品认证证书复印件（加盖竞标人公章），否则相应竞标无效。</w:t>
      </w:r>
    </w:p>
    <w:p w14:paraId="45192CD3">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本国产品标准适用于货物，包括政府采购货物项目和服务项目中涉及的货物。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23ADA9">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根据《关于调整网络安全专用产品安全管理有关事项的公告》（2023第1号）规定，本项目采购需求中的产品如果包括《网络关键设备和网络安全专用产品目录》的网络安全专用产品，供应商在竞标文件中应主动列明供货范围中属于网络安全专用产品的竞标产品，并在竞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竞标处理。如属于《网络关键设备和网络安全专用产品目录》中“二、网络安全专用产品”内“产品类别”</w:t>
      </w:r>
      <w:r>
        <w:rPr>
          <w:rFonts w:hint="eastAsia" w:ascii="宋体" w:hAnsi="宋体"/>
          <w:color w:val="auto"/>
          <w:szCs w:val="21"/>
          <w:highlight w:val="none"/>
          <w:lang w:eastAsia="zh-CN"/>
        </w:rPr>
        <w:t>中</w:t>
      </w:r>
      <w:r>
        <w:rPr>
          <w:rFonts w:hint="eastAsia" w:ascii="宋体" w:hAnsi="宋体"/>
          <w:color w:val="auto"/>
          <w:szCs w:val="21"/>
          <w:highlight w:val="none"/>
        </w:rPr>
        <w:t>所描述的产品，但不属于所列“产品描述”情形的，应提供相应的说明及证明材料。</w:t>
      </w:r>
    </w:p>
    <w:p w14:paraId="1238C878">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2.“实质性要求”是指采购文件中已经指明不满足则竞标无效的条款，或者不能负偏离的条款，或者采购需求中带“▲”的条款。无标识则表示为一般技术参数要求，一般技术参数要求如响应为负偏离，不会导致竞标被否决。</w:t>
      </w:r>
    </w:p>
    <w:p w14:paraId="515AFBDA">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3.采购需求中出现的品牌、型号或者生产厂家仅起参考作用，不属于指定品牌、型号或者生产厂家的情形。竞标人可参照或者选用其他相当的品牌、型号或者生产厂家替代，但选用的竞标产品参数性能必须满足实质性要求。</w:t>
      </w:r>
    </w:p>
    <w:p w14:paraId="578AEBD3">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4.竞标人应根据自身实际情况如实响应采购文件，对采购文件提出的要求和条件作出明确响应，否则将作无效响应处理。对于重要技术条款或技术参数应当在竞标文件中提供技术支持资料，技术支持资料以采购文件中规定的形式为准，否则将视为无效技术支持资料。</w:t>
      </w:r>
    </w:p>
    <w:p w14:paraId="1049A3C0">
      <w:pPr>
        <w:shd w:val="clear"/>
        <w:tabs>
          <w:tab w:val="left" w:pos="180"/>
          <w:tab w:val="left" w:pos="1620"/>
        </w:tabs>
        <w:spacing w:line="276" w:lineRule="auto"/>
        <w:ind w:firstLine="420" w:firstLineChars="200"/>
        <w:rPr>
          <w:rFonts w:hint="eastAsia" w:ascii="宋体" w:hAnsi="宋体"/>
          <w:color w:val="auto"/>
          <w:szCs w:val="21"/>
          <w:highlight w:val="none"/>
        </w:rPr>
      </w:pPr>
      <w:r>
        <w:rPr>
          <w:rFonts w:hint="eastAsia" w:ascii="宋体" w:hAnsi="宋体"/>
          <w:color w:val="auto"/>
          <w:szCs w:val="21"/>
          <w:highlight w:val="none"/>
        </w:rPr>
        <w:t>5.竞标人必须自行为其竞标产品侵犯他人的知识产权或者专利成果的行为承担相应法律责任。</w:t>
      </w:r>
    </w:p>
    <w:p w14:paraId="36BACAF4">
      <w:pPr>
        <w:shd w:val="clear"/>
        <w:tabs>
          <w:tab w:val="left" w:pos="180"/>
          <w:tab w:val="left" w:pos="1620"/>
        </w:tabs>
        <w:spacing w:line="276"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6.根据《关于印发中小企业划型标准规定的通知》（工信部联企业〔2011〕300号）</w:t>
      </w:r>
      <w:r>
        <w:rPr>
          <w:rFonts w:hint="eastAsia" w:ascii="宋体" w:hAnsi="宋体"/>
          <w:color w:val="auto"/>
          <w:szCs w:val="21"/>
          <w:highlight w:val="none"/>
          <w:lang w:eastAsia="zh-CN"/>
        </w:rPr>
        <w:t>，</w:t>
      </w:r>
      <w:r>
        <w:rPr>
          <w:rFonts w:hint="eastAsia" w:ascii="宋体" w:hAnsi="宋体"/>
          <w:color w:val="auto"/>
          <w:szCs w:val="21"/>
          <w:highlight w:val="none"/>
        </w:rPr>
        <w:t>本次采购标的对应的中小企业划分标准所属行业</w:t>
      </w:r>
      <w:r>
        <w:rPr>
          <w:rFonts w:hint="eastAsia" w:ascii="宋体" w:hAnsi="宋体"/>
          <w:color w:val="auto"/>
          <w:szCs w:val="21"/>
          <w:highlight w:val="none"/>
          <w:lang w:val="en-US" w:eastAsia="zh-CN"/>
        </w:rPr>
        <w:t>详见下表。</w:t>
      </w:r>
    </w:p>
    <w:p w14:paraId="1553A05C">
      <w:pPr>
        <w:shd w:val="clear"/>
        <w:tabs>
          <w:tab w:val="left" w:pos="180"/>
          <w:tab w:val="left" w:pos="1620"/>
        </w:tabs>
        <w:spacing w:line="276" w:lineRule="auto"/>
        <w:ind w:firstLine="420" w:firstLineChars="200"/>
        <w:rPr>
          <w:rFonts w:hint="eastAsia" w:ascii="宋体" w:hAnsi="宋体"/>
          <w:color w:val="auto"/>
          <w:szCs w:val="21"/>
          <w:highlight w:val="none"/>
        </w:rPr>
      </w:pPr>
    </w:p>
    <w:p w14:paraId="3403CC86">
      <w:pPr>
        <w:shd w:val="clear"/>
        <w:spacing w:line="500" w:lineRule="exact"/>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szCs w:val="21"/>
          <w:highlight w:val="none"/>
        </w:rPr>
        <w:t>本项目采购预算</w:t>
      </w:r>
      <w:r>
        <w:rPr>
          <w:rFonts w:hint="eastAsia" w:ascii="宋体" w:hAnsi="宋体" w:eastAsia="宋体" w:cs="宋体"/>
          <w:b/>
          <w:color w:val="auto"/>
          <w:highlight w:val="none"/>
        </w:rPr>
        <w:t>1330473元</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最高限价1330473元</w:t>
      </w:r>
      <w:r>
        <w:rPr>
          <w:rFonts w:hint="eastAsia" w:ascii="宋体" w:hAnsi="宋体" w:eastAsia="宋体" w:cs="宋体"/>
          <w:b/>
          <w:color w:val="auto"/>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12"/>
        <w:gridCol w:w="496"/>
        <w:gridCol w:w="459"/>
        <w:gridCol w:w="5808"/>
        <w:gridCol w:w="829"/>
      </w:tblGrid>
      <w:tr w14:paraId="5CDF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DEC74A4">
            <w:pPr>
              <w:shd w:val="clear"/>
              <w:tabs>
                <w:tab w:val="left" w:pos="180"/>
                <w:tab w:val="left" w:pos="1620"/>
              </w:tabs>
              <w:spacing w:line="360" w:lineRule="exact"/>
              <w:jc w:val="center"/>
              <w:rPr>
                <w:rFonts w:ascii="宋体" w:hAnsi="宋体"/>
                <w:color w:val="auto"/>
                <w:szCs w:val="21"/>
                <w:highlight w:val="none"/>
              </w:rPr>
            </w:pPr>
            <w:r>
              <w:rPr>
                <w:rFonts w:hint="eastAsia" w:ascii="宋体" w:hAnsi="宋体"/>
                <w:color w:val="auto"/>
                <w:szCs w:val="21"/>
                <w:highlight w:val="none"/>
              </w:rPr>
              <w:t>序号</w:t>
            </w:r>
          </w:p>
        </w:tc>
        <w:tc>
          <w:tcPr>
            <w:tcW w:w="1212" w:type="dxa"/>
            <w:noWrap w:val="0"/>
            <w:vAlign w:val="center"/>
          </w:tcPr>
          <w:p w14:paraId="0D397803">
            <w:pPr>
              <w:shd w:val="clear"/>
              <w:tabs>
                <w:tab w:val="left" w:pos="180"/>
                <w:tab w:val="left" w:pos="1620"/>
              </w:tabs>
              <w:spacing w:line="360" w:lineRule="exact"/>
              <w:jc w:val="center"/>
              <w:rPr>
                <w:rFonts w:ascii="宋体" w:hAnsi="宋体"/>
                <w:color w:val="auto"/>
                <w:szCs w:val="21"/>
                <w:highlight w:val="none"/>
              </w:rPr>
            </w:pPr>
            <w:r>
              <w:rPr>
                <w:rFonts w:hint="eastAsia" w:ascii="宋体" w:hAnsi="宋体"/>
                <w:color w:val="auto"/>
                <w:szCs w:val="21"/>
                <w:highlight w:val="none"/>
              </w:rPr>
              <w:t>货物名称</w:t>
            </w:r>
          </w:p>
        </w:tc>
        <w:tc>
          <w:tcPr>
            <w:tcW w:w="496" w:type="dxa"/>
            <w:noWrap w:val="0"/>
            <w:vAlign w:val="center"/>
          </w:tcPr>
          <w:p w14:paraId="35ACDBBF">
            <w:pPr>
              <w:shd w:val="clear"/>
              <w:tabs>
                <w:tab w:val="left" w:pos="180"/>
                <w:tab w:val="left" w:pos="1620"/>
              </w:tabs>
              <w:spacing w:line="360" w:lineRule="exact"/>
              <w:jc w:val="center"/>
              <w:rPr>
                <w:rFonts w:ascii="宋体" w:hAnsi="宋体"/>
                <w:color w:val="auto"/>
                <w:szCs w:val="21"/>
                <w:highlight w:val="none"/>
              </w:rPr>
            </w:pPr>
            <w:r>
              <w:rPr>
                <w:rFonts w:hint="eastAsia" w:ascii="宋体" w:hAnsi="宋体"/>
                <w:color w:val="auto"/>
                <w:szCs w:val="21"/>
                <w:highlight w:val="none"/>
              </w:rPr>
              <w:t>数量</w:t>
            </w:r>
          </w:p>
        </w:tc>
        <w:tc>
          <w:tcPr>
            <w:tcW w:w="459" w:type="dxa"/>
            <w:noWrap w:val="0"/>
            <w:vAlign w:val="center"/>
          </w:tcPr>
          <w:p w14:paraId="5320202A">
            <w:pPr>
              <w:shd w:val="clear"/>
              <w:tabs>
                <w:tab w:val="left" w:pos="180"/>
                <w:tab w:val="left" w:pos="1620"/>
              </w:tabs>
              <w:spacing w:line="360" w:lineRule="exact"/>
              <w:jc w:val="center"/>
              <w:rPr>
                <w:rFonts w:ascii="宋体" w:hAnsi="宋体"/>
                <w:color w:val="auto"/>
                <w:szCs w:val="21"/>
                <w:highlight w:val="none"/>
              </w:rPr>
            </w:pPr>
            <w:r>
              <w:rPr>
                <w:rFonts w:hint="eastAsia" w:ascii="宋体" w:hAnsi="宋体"/>
                <w:color w:val="auto"/>
                <w:szCs w:val="21"/>
                <w:highlight w:val="none"/>
              </w:rPr>
              <w:t>单位</w:t>
            </w:r>
          </w:p>
        </w:tc>
        <w:tc>
          <w:tcPr>
            <w:tcW w:w="5808" w:type="dxa"/>
            <w:noWrap w:val="0"/>
            <w:vAlign w:val="center"/>
          </w:tcPr>
          <w:p w14:paraId="7CDB59E0">
            <w:pPr>
              <w:shd w:val="clear"/>
              <w:tabs>
                <w:tab w:val="left" w:pos="180"/>
                <w:tab w:val="left" w:pos="1620"/>
              </w:tabs>
              <w:spacing w:line="360" w:lineRule="exact"/>
              <w:jc w:val="center"/>
              <w:rPr>
                <w:rFonts w:ascii="宋体" w:hAnsi="宋体"/>
                <w:color w:val="auto"/>
                <w:szCs w:val="21"/>
                <w:highlight w:val="none"/>
              </w:rPr>
            </w:pPr>
            <w:r>
              <w:rPr>
                <w:rFonts w:hint="eastAsia" w:ascii="宋体" w:hAnsi="宋体"/>
                <w:color w:val="auto"/>
                <w:szCs w:val="21"/>
                <w:highlight w:val="none"/>
              </w:rPr>
              <w:t>技术参数及性能配置要求</w:t>
            </w:r>
          </w:p>
        </w:tc>
        <w:tc>
          <w:tcPr>
            <w:tcW w:w="829" w:type="dxa"/>
            <w:noWrap w:val="0"/>
            <w:vAlign w:val="center"/>
          </w:tcPr>
          <w:p w14:paraId="57CFC63E">
            <w:pPr>
              <w:shd w:val="clear"/>
              <w:tabs>
                <w:tab w:val="left" w:pos="180"/>
                <w:tab w:val="left" w:pos="1620"/>
              </w:tabs>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所属行业</w:t>
            </w:r>
          </w:p>
        </w:tc>
      </w:tr>
      <w:tr w14:paraId="7593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3DDC4C1F">
            <w:pPr>
              <w:shd w:val="clear"/>
              <w:tabs>
                <w:tab w:val="left" w:pos="180"/>
                <w:tab w:val="left" w:pos="1620"/>
              </w:tabs>
              <w:spacing w:line="400" w:lineRule="exact"/>
              <w:jc w:val="center"/>
              <w:rPr>
                <w:rFonts w:ascii="宋体" w:hAnsi="宋体"/>
                <w:color w:val="auto"/>
                <w:szCs w:val="21"/>
                <w:highlight w:val="none"/>
              </w:rPr>
            </w:pPr>
            <w:r>
              <w:rPr>
                <w:rFonts w:ascii="宋体" w:hAnsi="宋体"/>
                <w:color w:val="auto"/>
                <w:szCs w:val="21"/>
                <w:highlight w:val="none"/>
              </w:rPr>
              <w:t>1</w:t>
            </w:r>
          </w:p>
        </w:tc>
        <w:tc>
          <w:tcPr>
            <w:tcW w:w="1212" w:type="dxa"/>
            <w:noWrap w:val="0"/>
            <w:vAlign w:val="center"/>
          </w:tcPr>
          <w:p w14:paraId="0D80A0AA">
            <w:pPr>
              <w:widowControl/>
              <w:shd w:val="clear"/>
              <w:tabs>
                <w:tab w:val="left" w:pos="3150"/>
              </w:tabs>
              <w:jc w:val="center"/>
              <w:textAlignment w:val="center"/>
              <w:rPr>
                <w:rFonts w:ascii="宋体" w:hAnsi="宋体"/>
                <w:color w:val="auto"/>
                <w:szCs w:val="21"/>
                <w:highlight w:val="none"/>
              </w:rPr>
            </w:pPr>
            <w:r>
              <w:rPr>
                <w:rFonts w:hint="eastAsia" w:ascii="宋体" w:hAnsi="宋体"/>
                <w:color w:val="auto"/>
                <w:szCs w:val="21"/>
                <w:highlight w:val="none"/>
              </w:rPr>
              <w:t>物联网智能通信终端</w:t>
            </w:r>
          </w:p>
        </w:tc>
        <w:tc>
          <w:tcPr>
            <w:tcW w:w="496" w:type="dxa"/>
            <w:noWrap w:val="0"/>
            <w:vAlign w:val="center"/>
          </w:tcPr>
          <w:p w14:paraId="5FEE34DA">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9" w:type="dxa"/>
            <w:noWrap w:val="0"/>
            <w:vAlign w:val="center"/>
          </w:tcPr>
          <w:p w14:paraId="2F3D91A4">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5808" w:type="dxa"/>
            <w:noWrap w:val="0"/>
            <w:vAlign w:val="center"/>
          </w:tcPr>
          <w:p w14:paraId="330AA1A3">
            <w:pPr>
              <w:keepNext w:val="0"/>
              <w:keepLines w:val="0"/>
              <w:pageBreakBefore w:val="0"/>
              <w:widowControl w:val="0"/>
              <w:shd w:val="clear"/>
              <w:kinsoku/>
              <w:wordWrap w:val="0"/>
              <w:overflowPunct/>
              <w:topLinePunct/>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能与校区内不同品牌的自动报警主机进行通信，具备广泛的消防报警主机兼容性；可实现报警信息无缝上传至智慧消防平台，并支持平台对消防主机的远程双向控制，包括复位、消音及设备启停等功能。</w:t>
            </w:r>
          </w:p>
          <w:p w14:paraId="1C14926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采用AC220V</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50Hz</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或DC24V电源直接供电，同时支持备电功能可选铅酸或者锂电；</w:t>
            </w:r>
          </w:p>
          <w:p w14:paraId="73C636B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自动检测本机与消防主机通信状态，主机与监控中心通信状态；</w:t>
            </w:r>
          </w:p>
          <w:p w14:paraId="3CC3D11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提供5种接口（RS232接口、CAN接口、485接口、TTL接口、MPI接口）接收火灾报警和建筑消防设施运行状态信息；</w:t>
            </w:r>
          </w:p>
          <w:p w14:paraId="66D0912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能够循环存储12800条报警信息，方便查看记录；</w:t>
            </w:r>
          </w:p>
          <w:p w14:paraId="496016A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本机支持消防主机数据点导入功能，最高可导入132回路</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256点的位置描述信息；</w:t>
            </w:r>
          </w:p>
          <w:p w14:paraId="3C02152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兼容各类主流消防报警设备接入；</w:t>
            </w:r>
          </w:p>
          <w:p w14:paraId="2E16AC9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具有四路干接点输出功能；</w:t>
            </w:r>
          </w:p>
          <w:p w14:paraId="1B51E3C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具有四路输入功能；</w:t>
            </w:r>
          </w:p>
          <w:p w14:paraId="6F4A116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具有两路4-20mV/0-5V模拟量输入功能；</w:t>
            </w:r>
          </w:p>
          <w:p w14:paraId="04D8DB8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消防主机时钟同步功能，通过NTP服务器直接校准消防主机时间；</w:t>
            </w:r>
          </w:p>
          <w:p w14:paraId="54FD103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支持控制消防主机复位消音和设备启动停止等功能；</w:t>
            </w:r>
          </w:p>
          <w:p w14:paraId="7EF3D4B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12.</w:t>
            </w:r>
            <w:r>
              <w:rPr>
                <w:rFonts w:hint="eastAsia" w:ascii="宋体" w:hAnsi="宋体" w:eastAsia="宋体" w:cs="宋体"/>
                <w:color w:val="auto"/>
                <w:highlight w:val="none"/>
              </w:rPr>
              <w:t>支持语音播报，实时播报当前火警信息；</w:t>
            </w:r>
          </w:p>
          <w:p w14:paraId="3C8717F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13.</w:t>
            </w:r>
            <w:r>
              <w:rPr>
                <w:rFonts w:hint="eastAsia" w:ascii="宋体" w:hAnsi="宋体" w:eastAsia="宋体" w:cs="宋体"/>
                <w:color w:val="auto"/>
                <w:highlight w:val="none"/>
              </w:rPr>
              <w:t>支持边缘采集功能，可通过ModBus采集传感器信息；</w:t>
            </w:r>
          </w:p>
          <w:p w14:paraId="29BA59D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14.</w:t>
            </w:r>
            <w:r>
              <w:rPr>
                <w:rFonts w:hint="eastAsia" w:ascii="宋体" w:hAnsi="宋体" w:eastAsia="宋体" w:cs="宋体"/>
                <w:color w:val="auto"/>
                <w:highlight w:val="none"/>
              </w:rPr>
              <w:t>本机支持环境温湿度监测；</w:t>
            </w:r>
          </w:p>
          <w:p w14:paraId="0FEF190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15.</w:t>
            </w:r>
            <w:r>
              <w:rPr>
                <w:rFonts w:hint="eastAsia" w:ascii="宋体" w:hAnsi="宋体" w:eastAsia="宋体" w:cs="宋体"/>
                <w:color w:val="auto"/>
                <w:highlight w:val="none"/>
              </w:rPr>
              <w:t>支持设备安装位置定位功能，可实时获取设备的安装位置经纬度信息；</w:t>
            </w:r>
          </w:p>
          <w:p w14:paraId="11C5CA1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16.</w:t>
            </w:r>
            <w:r>
              <w:rPr>
                <w:rFonts w:hint="eastAsia" w:ascii="宋体" w:hAnsi="宋体" w:eastAsia="宋体" w:cs="宋体"/>
                <w:color w:val="auto"/>
                <w:highlight w:val="none"/>
              </w:rPr>
              <w:t>支持服务器远程喊话功能，可通过服务器向安装点直接语音喊话；</w:t>
            </w:r>
          </w:p>
          <w:p w14:paraId="63CD377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17.</w:t>
            </w:r>
            <w:r>
              <w:rPr>
                <w:rFonts w:hint="eastAsia" w:ascii="宋体" w:hAnsi="宋体" w:eastAsia="宋体" w:cs="宋体"/>
                <w:color w:val="auto"/>
                <w:highlight w:val="none"/>
              </w:rPr>
              <w:t>支持考勤打卡功能，可通过指纹或者图像实现值班打卡；</w:t>
            </w:r>
          </w:p>
          <w:p w14:paraId="192FBC9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18.</w:t>
            </w:r>
            <w:r>
              <w:rPr>
                <w:rFonts w:hint="eastAsia" w:ascii="宋体" w:hAnsi="宋体" w:eastAsia="宋体" w:cs="宋体"/>
                <w:color w:val="auto"/>
                <w:highlight w:val="none"/>
              </w:rPr>
              <w:t>支持一路摄像头接入具有一键抓拍功能；</w:t>
            </w:r>
          </w:p>
          <w:p w14:paraId="50A49CD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19.</w:t>
            </w:r>
            <w:r>
              <w:rPr>
                <w:rFonts w:hint="eastAsia" w:ascii="宋体" w:hAnsi="宋体" w:eastAsia="宋体" w:cs="宋体"/>
                <w:color w:val="auto"/>
                <w:highlight w:val="none"/>
              </w:rPr>
              <w:t>具有网关功能，</w:t>
            </w:r>
            <w:r>
              <w:rPr>
                <w:rFonts w:hint="eastAsia" w:ascii="宋体" w:hAnsi="宋体" w:eastAsia="宋体" w:cs="宋体"/>
                <w:color w:val="auto"/>
                <w:highlight w:val="none"/>
                <w:lang w:val="en-US" w:eastAsia="zh-CN"/>
              </w:rPr>
              <w:t>附带至少</w:t>
            </w:r>
            <w:r>
              <w:rPr>
                <w:rFonts w:hint="eastAsia" w:ascii="宋体" w:hAnsi="宋体" w:eastAsia="宋体" w:cs="宋体"/>
                <w:color w:val="auto"/>
                <w:highlight w:val="none"/>
              </w:rPr>
              <w:t>144点无线烟雾报警器；</w:t>
            </w:r>
          </w:p>
          <w:p w14:paraId="64B0B12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20.</w:t>
            </w:r>
            <w:r>
              <w:rPr>
                <w:rFonts w:hint="eastAsia" w:ascii="宋体" w:hAnsi="宋体" w:eastAsia="宋体" w:cs="宋体"/>
                <w:color w:val="auto"/>
                <w:highlight w:val="none"/>
              </w:rPr>
              <w:t>从启动命令发出到完成响应动作的时间不超过15秒；</w:t>
            </w:r>
          </w:p>
          <w:p w14:paraId="0A88222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21.</w:t>
            </w:r>
            <w:r>
              <w:rPr>
                <w:rFonts w:hint="eastAsia" w:ascii="宋体" w:hAnsi="宋体" w:cs="宋体"/>
                <w:color w:val="auto"/>
                <w:highlight w:val="none"/>
                <w:lang w:val="en-US" w:eastAsia="zh-CN"/>
              </w:rPr>
              <w:t>供应商</w:t>
            </w:r>
            <w:r>
              <w:rPr>
                <w:rFonts w:hint="eastAsia" w:ascii="宋体" w:hAnsi="宋体" w:eastAsia="宋体" w:cs="宋体"/>
                <w:color w:val="auto"/>
                <w:highlight w:val="none"/>
              </w:rPr>
              <w:t>所提供产品必须完全满足上述第11项功能要求，</w:t>
            </w:r>
            <w:r>
              <w:rPr>
                <w:rFonts w:hint="eastAsia" w:ascii="宋体" w:hAnsi="宋体" w:cs="宋体"/>
                <w:color w:val="auto"/>
                <w:highlight w:val="none"/>
                <w:lang w:val="en-US" w:eastAsia="zh-CN"/>
              </w:rPr>
              <w:t>供货时提供</w:t>
            </w:r>
            <w:r>
              <w:rPr>
                <w:rFonts w:hint="eastAsia" w:ascii="宋体" w:hAnsi="宋体" w:eastAsia="宋体" w:cs="宋体"/>
                <w:color w:val="auto"/>
                <w:highlight w:val="none"/>
              </w:rPr>
              <w:t>国家认可有资质的第三方检测机构出具的检测（检验）报告</w:t>
            </w:r>
            <w:r>
              <w:rPr>
                <w:rFonts w:hint="eastAsia" w:ascii="宋体" w:hAnsi="宋体" w:cs="宋体"/>
                <w:color w:val="auto"/>
                <w:highlight w:val="none"/>
                <w:lang w:val="en-US" w:eastAsia="zh-CN"/>
              </w:rPr>
              <w:t>原件核验</w:t>
            </w:r>
            <w:r>
              <w:rPr>
                <w:rFonts w:hint="eastAsia" w:ascii="宋体" w:hAnsi="宋体" w:eastAsia="宋体" w:cs="宋体"/>
                <w:color w:val="auto"/>
                <w:highlight w:val="none"/>
              </w:rPr>
              <w:t>。在响应文件“本《竞争性谈判文件》要求必须提交的材料”中提供远程设备启停功能截图（如消防水泵、排烟风机、声光警报器等）</w:t>
            </w:r>
            <w:r>
              <w:rPr>
                <w:rFonts w:hint="eastAsia"/>
                <w:color w:val="auto"/>
                <w:highlight w:val="none"/>
                <w:lang w:eastAsia="zh-CN"/>
              </w:rPr>
              <w:t>。</w:t>
            </w:r>
          </w:p>
        </w:tc>
        <w:tc>
          <w:tcPr>
            <w:tcW w:w="829" w:type="dxa"/>
            <w:noWrap w:val="0"/>
            <w:vAlign w:val="center"/>
          </w:tcPr>
          <w:p w14:paraId="49398F7A">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50D9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EEB00F9">
            <w:pPr>
              <w:shd w:val="clear"/>
              <w:tabs>
                <w:tab w:val="left" w:pos="180"/>
                <w:tab w:val="left" w:pos="1620"/>
              </w:tabs>
              <w:spacing w:line="400" w:lineRule="exact"/>
              <w:jc w:val="center"/>
              <w:rPr>
                <w:rFonts w:ascii="宋体" w:hAnsi="宋体"/>
                <w:color w:val="auto"/>
                <w:szCs w:val="21"/>
                <w:highlight w:val="none"/>
              </w:rPr>
            </w:pPr>
            <w:r>
              <w:rPr>
                <w:rFonts w:ascii="宋体" w:hAnsi="宋体"/>
                <w:color w:val="auto"/>
                <w:szCs w:val="21"/>
                <w:highlight w:val="none"/>
              </w:rPr>
              <w:t>2</w:t>
            </w:r>
          </w:p>
        </w:tc>
        <w:tc>
          <w:tcPr>
            <w:tcW w:w="1212" w:type="dxa"/>
            <w:shd w:val="clear" w:color="auto" w:fill="auto"/>
            <w:noWrap w:val="0"/>
            <w:vAlign w:val="center"/>
          </w:tcPr>
          <w:p w14:paraId="3FEF476E">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室内2.5D电子档案制作</w:t>
            </w:r>
          </w:p>
        </w:tc>
        <w:tc>
          <w:tcPr>
            <w:tcW w:w="496" w:type="dxa"/>
            <w:noWrap w:val="0"/>
            <w:vAlign w:val="center"/>
          </w:tcPr>
          <w:p w14:paraId="2C298C41">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9" w:type="dxa"/>
            <w:noWrap w:val="0"/>
            <w:vAlign w:val="center"/>
          </w:tcPr>
          <w:p w14:paraId="298309DC">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2DC9B87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完成项目总平面图与所有楼栋2.5D室内模型构建，并录入设备点位信息。2.5D建筑平面图包括（总平面图、图书馆、药基楼、研究生公寓、留学生公寓、卓越楼、职工宿舍453号楼、综合楼）</w:t>
            </w:r>
          </w:p>
          <w:p w14:paraId="29EE5984">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 xml:space="preserve">1. </w:t>
            </w:r>
            <w:r>
              <w:rPr>
                <w:rFonts w:hint="eastAsia" w:ascii="宋体" w:hAnsi="宋体" w:eastAsia="宋体" w:cs="宋体"/>
                <w:color w:val="auto"/>
                <w:highlight w:val="none"/>
              </w:rPr>
              <w:t>2.5D地图模型上作扩容建设，扩容办公区的全部建筑物；并接入消防点位数据，在原有线路与设备标注基础上扩容建模，实现消防点位可视化管理，至少支持水泵、风机、防火卷帘等消防设施的远程可视化一键启动，确保火情发生时快速响应。</w:t>
            </w:r>
          </w:p>
          <w:p w14:paraId="6E9E9727">
            <w:pPr>
              <w:keepNext w:val="0"/>
              <w:keepLines w:val="0"/>
              <w:pageBreakBefore w:val="0"/>
              <w:widowControl w:val="0"/>
              <w:numPr>
                <w:ilvl w:val="0"/>
                <w:numId w:val="4"/>
              </w:numPr>
              <w:shd w:val="clear"/>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消防编码图融合原CAD消防点位图纸，采用三维仿真建模技术精准还原建筑空间布局与墙体结构，构建具备空间层次感的立体模型框架。</w:t>
            </w:r>
          </w:p>
          <w:p w14:paraId="47C48542">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 xml:space="preserve">3. </w:t>
            </w:r>
            <w:r>
              <w:rPr>
                <w:rFonts w:hint="eastAsia" w:ascii="宋体" w:hAnsi="宋体" w:eastAsia="宋体" w:cs="宋体"/>
                <w:color w:val="auto"/>
                <w:highlight w:val="none"/>
              </w:rPr>
              <w:t>各楼层室内地图采用2.5D轻量化建模技术展示，结合GIS地理信息系统对消防设备进行空间坐标的精准标注与可视化管理，实现设备位置的动态定位。</w:t>
            </w:r>
          </w:p>
          <w:p w14:paraId="25BD3B5D">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 xml:space="preserve">4. </w:t>
            </w:r>
            <w:r>
              <w:rPr>
                <w:rFonts w:hint="eastAsia" w:ascii="宋体" w:hAnsi="宋体" w:eastAsia="宋体" w:cs="宋体"/>
                <w:color w:val="auto"/>
                <w:highlight w:val="none"/>
              </w:rPr>
              <w:t>精细化构建各楼栋建筑外立面模型，涵盖幕墙材质、门窗分布、装饰构件等细节要素，形成符合建筑实际风貌的三维外观呈现。</w:t>
            </w:r>
          </w:p>
          <w:p w14:paraId="316EAAD7">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 xml:space="preserve">5. </w:t>
            </w:r>
            <w:r>
              <w:rPr>
                <w:rFonts w:hint="eastAsia" w:ascii="宋体" w:hAnsi="宋体" w:eastAsia="宋体" w:cs="宋体"/>
                <w:color w:val="auto"/>
                <w:highlight w:val="none"/>
              </w:rPr>
              <w:t>整合总平面布局设计，完整呈现毗邻建筑分布、消防通道走向、扑救场地位置等要素，同步标注消防水源与应急疏散路线，完全符合《城市消防远程监控系统技术规范》GB 50440-2007的可视化标准。</w:t>
            </w:r>
          </w:p>
          <w:p w14:paraId="186E5401">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要求平台PC端及手机APP移动端均能显示报警点位的2.5D室内地图，并实现设备位置的动态定位</w:t>
            </w:r>
          </w:p>
        </w:tc>
        <w:tc>
          <w:tcPr>
            <w:tcW w:w="829" w:type="dxa"/>
            <w:noWrap w:val="0"/>
            <w:vAlign w:val="center"/>
          </w:tcPr>
          <w:p w14:paraId="4FC71D82">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3008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E03CE77">
            <w:pPr>
              <w:shd w:val="clea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1212" w:type="dxa"/>
            <w:shd w:val="clear" w:color="auto" w:fill="auto"/>
            <w:noWrap w:val="0"/>
            <w:vAlign w:val="center"/>
          </w:tcPr>
          <w:p w14:paraId="065718DC">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智慧消防系统软件</w:t>
            </w:r>
          </w:p>
        </w:tc>
        <w:tc>
          <w:tcPr>
            <w:tcW w:w="496" w:type="dxa"/>
            <w:noWrap w:val="0"/>
            <w:vAlign w:val="center"/>
          </w:tcPr>
          <w:p w14:paraId="7D37E616">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6F3729B9">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1526DF7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智慧消防平台具备网格化管理和业主用户APP等功能，根据使用用户的不同进行不同的分级，数据达到互联互通，并应具备如下功能：</w:t>
            </w:r>
          </w:p>
          <w:p w14:paraId="21754D3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智慧消防软件平台功能</w:t>
            </w:r>
          </w:p>
          <w:p w14:paraId="1007077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 系统设置</w:t>
            </w:r>
          </w:p>
          <w:p w14:paraId="3F7454B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 系统应支持单位信息管理，包括创建单位基本资料、联系人信息、形象展示图片、所属区域、网格化管理范围及相应地理信息图层信息。</w:t>
            </w:r>
          </w:p>
          <w:p w14:paraId="2FA5068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 系统应支持角色管理，管理角色ID、角色名称、基本权限、操作权限等，角色类型至少包括超级管理员、集团、分支单位及单个项目。</w:t>
            </w:r>
          </w:p>
          <w:p w14:paraId="327BDD6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 系统应具备权限管理功能，基于安全规则或策略，实现用户只能访问自己被授权的资源，用户角色至少包括管理人员、巡检员、维修人员。</w:t>
            </w:r>
          </w:p>
          <w:p w14:paraId="59335DF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 系统应支持信息管理，允许业主将单位内资料文件电子化存储，包括但不限于安全管理、年度计划、评估报告、培训演练、预案管理、检测报告、维保合同等文件管理。</w:t>
            </w:r>
          </w:p>
          <w:p w14:paraId="29C83BD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 控制台（数据集中展示大屏）</w:t>
            </w:r>
          </w:p>
          <w:p w14:paraId="1E5FD03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 系统应提供总平图建模功能。</w:t>
            </w:r>
          </w:p>
          <w:p w14:paraId="587CCF5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 系统应支持查看单位报警、预警、故障、异常数据，以图表形式展示设备运行状态、复核率、解除率、巡检维保统计等。</w:t>
            </w:r>
          </w:p>
          <w:p w14:paraId="3D2560F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 智慧应用－智慧消防－消防监测（火灾自动报警系统）</w:t>
            </w:r>
          </w:p>
          <w:p w14:paraId="714E06E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3.1 系统应能对接并调试用户信息传输装置，接收其上传的火灾报警设备运行状况，包括设备故障、离线、报警等状态信息。</w:t>
            </w:r>
          </w:p>
          <w:p w14:paraId="39B09F2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3.2 系统在接收到火灾报警信息时，应能点击打开事先绑定的视频实时播放。</w:t>
            </w:r>
          </w:p>
          <w:p w14:paraId="4F0AB86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3.3 系统应以列表和图形形式展示用户信息传输装置上传的信息，包括报警信息、状态时间曲线。</w:t>
            </w:r>
          </w:p>
          <w:p w14:paraId="5A5EB76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 消防供水系统</w:t>
            </w:r>
          </w:p>
          <w:p w14:paraId="56D92F2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4.1 系统应能接收水压、液位等水系统关键指标。</w:t>
            </w:r>
          </w:p>
          <w:p w14:paraId="4048DCC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4.2 系统应以列表和图形形式显示水系统监控状态信息，包括安装位置、所属单位及建筑物、监测值、上传时间。</w:t>
            </w:r>
          </w:p>
          <w:p w14:paraId="5E6CB10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4.3 系统应根据现场要求支持设置1级、2级预警值。</w:t>
            </w:r>
          </w:p>
          <w:p w14:paraId="3FAB50F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 防火门监测</w:t>
            </w:r>
          </w:p>
          <w:p w14:paraId="75AD1AD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5.1 系统应能解析已有防火门传感器的通讯协议，接收其开启/关闭状态信息。</w:t>
            </w:r>
          </w:p>
          <w:p w14:paraId="24DDA0E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5.2 系统应以列表和图形形式显示防火门监控状态信息，包括安装位置、所属单位及建筑物、监测值、上传时间。</w:t>
            </w:r>
          </w:p>
          <w:p w14:paraId="7869B6A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 电气火灾监测</w:t>
            </w:r>
          </w:p>
          <w:p w14:paraId="254B566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6.1 系统应能解析已有电气火灾监控设备、消防电源监控的通讯协议，接收其上传的相电流、漏电流、温度等指标（实际接收内容根据已有智慧用电设备支持的上传内容确定）。</w:t>
            </w:r>
          </w:p>
          <w:p w14:paraId="1344A18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6.2 系统应以列表形式展示已有电气火灾监控设备、消防电源监控上传的报警信息和状态信息，包括安装位置、所属单位及建筑物、监测值、上传时间。</w:t>
            </w:r>
          </w:p>
          <w:p w14:paraId="000CF26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 气体灭火监测</w:t>
            </w:r>
          </w:p>
          <w:p w14:paraId="7EF4791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7.1 系统应能解析已有气体灭火控制器的通讯协议，接收其启动/反馈状态信息。</w:t>
            </w:r>
          </w:p>
          <w:p w14:paraId="225A7FA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7.2 系统应以列表和图形形式显示气体灭火控制器状态信息，包括安装位置、所属单位及建筑物、监测值、上传时间。</w:t>
            </w:r>
          </w:p>
          <w:p w14:paraId="4976B70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 独立式监测设备</w:t>
            </w:r>
          </w:p>
          <w:p w14:paraId="097D2A4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8.1 系统应支持对独立式感烟探测器和独立式可燃气体探测器设备的监测。</w:t>
            </w:r>
          </w:p>
          <w:p w14:paraId="5A70034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8.2 系统应以列表和图形形式显示独立式设备监控状态信息，包括安装位置、所属单位及建筑物、报警值、上传时间。</w:t>
            </w:r>
          </w:p>
          <w:p w14:paraId="59162B5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 智慧应用－智慧消防－安全监管（报警复核、预警解除、消防设备故障、消防设备异常）</w:t>
            </w:r>
          </w:p>
          <w:p w14:paraId="43F522F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9.1 当物联网监测设备监测到报警时，系统应发送语音和弹窗提醒。消防安全专员可通过报警复核功能到现场复核确认警情：若确认真警，在APP和WEB端同时给予真警提示；若确认误报，消控室人员收到复核结果后在消控主机上进行复位。</w:t>
            </w:r>
          </w:p>
          <w:p w14:paraId="19CB240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9.2 系统应支持故障处理功能，消防安全专员可通过该功能将故障转换为工单下发给维保人员处理。</w:t>
            </w:r>
          </w:p>
          <w:p w14:paraId="7D877FA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 智慧应用－智慧消防－巡检巡查（防火巡查、防火检查、设施巡查）</w:t>
            </w:r>
          </w:p>
          <w:p w14:paraId="1A43ECF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10.1 系统应支持建立消防设施设备台账，标注所在楼栋、楼层及平面图中位置。</w:t>
            </w:r>
          </w:p>
          <w:p w14:paraId="0BCB8D8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10.2 系统应能按消防设施设备类型分别制定各自的巡查项要求，用于巡防人员日常巡查路线配置、社企单位内部制定巡查计划（含巡查频率、提醒时间间隔），并自动推送巡查任务给巡查负责人。系统应支持查看用户每日设备巡查路径、时间、顺序及巡查结果详情。</w:t>
            </w:r>
          </w:p>
          <w:p w14:paraId="13C99C9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10.3 系统应根据预先制定的巡查计划，自动生成每日巡查任务并推送给相应巡查人；巡查人利用手机进行移动巡查，形成巡查记录，并可依据设备巡查记录生成巡查报告。</w:t>
            </w:r>
          </w:p>
          <w:p w14:paraId="4F3204E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 智慧应用－智慧消防－视频监控（消控室脱岗监控、重点部位监控）</w:t>
            </w:r>
          </w:p>
          <w:p w14:paraId="3833F70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11.1 系统应具备消控室脱岗监测功能，可查看值班室人员脱岗及玩手机情况。</w:t>
            </w:r>
          </w:p>
          <w:p w14:paraId="3E19281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11.2 系统应具备重点部位监测功能，包括消防通道监测、入侵监测、热成像监测等。</w:t>
            </w:r>
          </w:p>
          <w:p w14:paraId="598884A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 设备管理</w:t>
            </w:r>
          </w:p>
          <w:p w14:paraId="1B23342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12.1 设备档案</w:t>
            </w:r>
          </w:p>
          <w:p w14:paraId="0C92350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12.1.1 系统应提供设备安装管理功能，支持火灾自动报警系统、独立烟感联网监测系统、可燃气体系统、电气火灾联网监测系统、室内水压联网监测系统、水位联网监测系统等各类设备的安装录入。设备管理按项目进行，支持设备安装的新增、修改、删除、查询、导入、导出。</w:t>
            </w:r>
          </w:p>
          <w:p w14:paraId="6754B50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12.1.2 系统应支持查看设备历史状态、监控项、配置项等信息。</w:t>
            </w:r>
          </w:p>
          <w:p w14:paraId="4FC76E6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12.2 设备封停</w:t>
            </w:r>
          </w:p>
          <w:p w14:paraId="16DA33A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12.2.1 当设备进行大批量维保/维修测试时，系统应支持设备封停，测试结束后取消封停。管理员在PC端可进行设备封停的新增、编辑、关闭、删除等操作。</w:t>
            </w:r>
          </w:p>
          <w:p w14:paraId="6F7BD3A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 巡检标签</w:t>
            </w:r>
          </w:p>
          <w:p w14:paraId="7870A70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系统应支持管理本单位内的蓝牙标签、NFC、RFID等电子巡检标签。添加巡检标签后，可用于创建巡查计划。</w:t>
            </w:r>
          </w:p>
          <w:p w14:paraId="20C0411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 过期设备</w:t>
            </w:r>
          </w:p>
          <w:p w14:paraId="0A373E0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当有设备过期时，系统应同时通过微信及站内通知提醒，并在过期设备页面列出。</w:t>
            </w:r>
          </w:p>
          <w:p w14:paraId="4FC9675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 工单管理（故障工单、应急维修、例行维保、消防告知单、困人工单、计划任务）</w:t>
            </w:r>
          </w:p>
          <w:p w14:paraId="2A60DC7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13.1 系统应支持项目管理人员针对巡检上报的故障，下发维修工单给维保人员。</w:t>
            </w:r>
          </w:p>
          <w:p w14:paraId="6B92CFA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13.2 维修</w:t>
            </w:r>
            <w:r>
              <w:rPr>
                <w:rFonts w:hint="eastAsia" w:ascii="宋体" w:hAnsi="宋体" w:eastAsia="宋体" w:cs="宋体"/>
                <w:color w:val="auto"/>
                <w:highlight w:val="none"/>
                <w:lang w:eastAsia="zh-CN"/>
              </w:rPr>
              <w:t>人员</w:t>
            </w:r>
            <w:r>
              <w:rPr>
                <w:rFonts w:hint="eastAsia" w:ascii="宋体" w:hAnsi="宋体" w:eastAsia="宋体" w:cs="宋体"/>
                <w:color w:val="auto"/>
                <w:highlight w:val="none"/>
              </w:rPr>
              <w:t>应能利用手机对工单进行处理申报，形成工单记录。</w:t>
            </w:r>
          </w:p>
          <w:p w14:paraId="4A153A6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13.3 系统应支持项目管理人员针对上报的困人故障，下发困人工单给维保人员。</w:t>
            </w:r>
          </w:p>
          <w:p w14:paraId="5162CE9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13.4 系统应支持项目管理人员下发定期巡检计划，可选择执行人、执行时间（时/天/周/月/年）及巡检路线。</w:t>
            </w:r>
          </w:p>
          <w:p w14:paraId="2EB2526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 统计分析</w:t>
            </w:r>
          </w:p>
          <w:p w14:paraId="1516447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14.1 系统应以图形和列表形式进行报警分析、预警分析、故障分析，从来源分析、时段分析、区域分析提供决策依据，并支持导出分析文件。</w:t>
            </w:r>
          </w:p>
          <w:p w14:paraId="1618778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 安全周报</w:t>
            </w:r>
          </w:p>
          <w:p w14:paraId="373999C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15.1 系统应能根据设施运行数据情况自动生成安全周报，并提供安全建议措施。 </w:t>
            </w:r>
          </w:p>
          <w:p w14:paraId="1F5C096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二、软件主要技术参数要求 </w:t>
            </w:r>
          </w:p>
          <w:p w14:paraId="733E6AA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2.1接入智慧消防远程监测系统从用户信息传输装置获取火灾报警信息到智慧消防物联平台。</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接收的时间不应大于5s</w:t>
            </w:r>
            <w:r>
              <w:rPr>
                <w:rFonts w:hint="eastAsia" w:ascii="宋体" w:hAnsi="宋体" w:eastAsia="宋体" w:cs="宋体"/>
                <w:color w:val="auto"/>
                <w:highlight w:val="none"/>
                <w:lang w:eastAsia="zh-CN"/>
              </w:rPr>
              <w:t>）</w:t>
            </w:r>
          </w:p>
          <w:p w14:paraId="4F2B421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2.2通过报警监控中心对火灾报警信息进行集中监督、管理、统计、分析、展示。</w:t>
            </w:r>
          </w:p>
          <w:p w14:paraId="56B73C4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2.3平台须具备警情分级别处置，平台须具备火警复核、预警解除、消防设备故障、设备反馈记录、消防设备屏蔽等功能菜单。报警复核、预警解除对不同级别的报警筛选，将不同等级的报警发送至不同级别的人员处置，支持对火警复核处置结果导出文档。（</w:t>
            </w:r>
            <w:r>
              <w:rPr>
                <w:rFonts w:hint="eastAsia" w:ascii="宋体" w:hAnsi="宋体" w:eastAsia="宋体" w:cs="宋体"/>
                <w:color w:val="auto"/>
                <w:highlight w:val="none"/>
                <w:lang w:val="en-US" w:eastAsia="zh-CN"/>
              </w:rPr>
              <w:t>在响应文件“本《竞争性谈判文件》要求必须提交的材料”中</w:t>
            </w:r>
            <w:r>
              <w:rPr>
                <w:rFonts w:hint="eastAsia" w:ascii="宋体" w:hAnsi="宋体" w:eastAsia="宋体" w:cs="宋体"/>
                <w:color w:val="auto"/>
                <w:highlight w:val="none"/>
              </w:rPr>
              <w:t>提供软件相关参数截图等证明</w:t>
            </w:r>
            <w:r>
              <w:rPr>
                <w:rFonts w:hint="eastAsia" w:ascii="宋体" w:hAnsi="宋体" w:eastAsia="宋体" w:cs="宋体"/>
                <w:color w:val="auto"/>
                <w:highlight w:val="none"/>
                <w:lang w:val="en-US" w:eastAsia="zh-CN"/>
              </w:rPr>
              <w:t>材料</w:t>
            </w:r>
            <w:r>
              <w:rPr>
                <w:rFonts w:hint="eastAsia" w:ascii="宋体" w:hAnsi="宋体" w:eastAsia="宋体" w:cs="宋体"/>
                <w:color w:val="auto"/>
                <w:highlight w:val="none"/>
              </w:rPr>
              <w:t>）</w:t>
            </w:r>
          </w:p>
          <w:p w14:paraId="0709F83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2.4平台须具备可以实时掌握建筑消防水泵房的用水状态，包括消防水箱液位、主管水压、主要阀门/水泵运行（启停）状态、泵房水浸状态、消防电源监控等实时数据。能够监测水泵房水箱运行、消防泵流量、水位水压情况。</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列表和图形形式显示水系统监控状态信息，包括安装位置、所属单位和建筑物、监测值和上传时间。可通过水系统管网图一张图显示全部管网水压、水位、水泵监测状态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（在响应文件“本《竞争性谈判文件》要求必须提交的材料”中提供软件相关参数截图等证明材料）</w:t>
            </w:r>
          </w:p>
          <w:p w14:paraId="4386CF7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2.5系统预先设置水位及压力报警阈值，一旦高于报警上限或低于报警下限，WEB平台和APP端会实时接收报警信息，根据报警阈值设置分级别预警，根据不同级别预警信息发送报警推送消息。（在响应文件“本《竞争性谈判文件》要求必须提交的材料”中提供软件相关参数截图等证明材料）</w:t>
            </w:r>
          </w:p>
          <w:p w14:paraId="3ACB3A6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2.6平台须具备对引起电气火灾的主要因素（线缆温度、电流、剩余电流）进行实时在线监测和统计分析，可实现对高压柜、变压器、低压配电柜、二级箱柜、末端的配电箱等各关键节点的剩余电流、电流和温度的实时监测。通过采集剩余电流、导线温度和电流的数据变化，超出</w:t>
            </w:r>
            <w:r>
              <w:rPr>
                <w:rFonts w:hint="eastAsia" w:ascii="宋体" w:hAnsi="宋体" w:eastAsia="宋体" w:cs="宋体"/>
                <w:color w:val="auto"/>
                <w:highlight w:val="none"/>
                <w:lang w:eastAsia="zh-CN"/>
              </w:rPr>
              <w:t>既定</w:t>
            </w:r>
            <w:r>
              <w:rPr>
                <w:rFonts w:hint="eastAsia" w:ascii="宋体" w:hAnsi="宋体" w:eastAsia="宋体" w:cs="宋体"/>
                <w:color w:val="auto"/>
                <w:highlight w:val="none"/>
              </w:rPr>
              <w:t>阈值或发生故障离线等情况立即上报平台。</w:t>
            </w:r>
          </w:p>
          <w:p w14:paraId="7F6986A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2.7平台具备联网单位行业分布展示；具备行业警情（火警、报警、预警、异常、故障）分析；同时提供区域内警情状态近7日趋势显示、设备概况，并且可以点开进入可查看设备详细信息、异常信息。</w:t>
            </w:r>
          </w:p>
          <w:p w14:paraId="569C161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2.8支持对地图内设备信息按照设备状态（如正常、故障、火警等）筛选显示，支持按照消防系统分类显示。</w:t>
            </w:r>
          </w:p>
          <w:p w14:paraId="3A9F94F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2.9平台支持地图显示，必须引用仿真三维地图，支持可视化三维切换模式。单位信息根据不同的警情情况无警情、有警情、有故障进行地图上点位标注，点击点位可以查看详细信息。（在响应文件“本《竞争性谈判文件》要求必须提交的材料”中提供软件相关参数截图等证明材料）</w:t>
            </w:r>
          </w:p>
          <w:p w14:paraId="3558D91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2.10能够实现系统值守大屏报警推送，现场视频联动，实时将消控报警信息的具体情况（报警类型、报警时间、报警位置）发送给指定的安全管理人员，同时能够查询报警回放视频、照片。（在响应文件“本《竞争性谈判文件》要求必须提交的材料”中提供软件相关参数截图等证明材料）</w:t>
            </w:r>
          </w:p>
          <w:p w14:paraId="0A9629A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2.11平台</w:t>
            </w:r>
            <w:r>
              <w:rPr>
                <w:rFonts w:hint="eastAsia" w:ascii="宋体" w:hAnsi="宋体" w:eastAsia="宋体" w:cs="宋体"/>
                <w:color w:val="auto"/>
                <w:highlight w:val="none"/>
                <w:lang w:eastAsia="zh-CN"/>
              </w:rPr>
              <w:t>须具备</w:t>
            </w:r>
            <w:r>
              <w:rPr>
                <w:rFonts w:hint="eastAsia" w:ascii="宋体" w:hAnsi="宋体" w:eastAsia="宋体" w:cs="宋体"/>
                <w:color w:val="auto"/>
                <w:highlight w:val="none"/>
              </w:rPr>
              <w:t>大屏报警弹框功能，报警信息列表查看，同时展示报警单位，预警单位，同时需要具备搜索功能进行指定时间、指定设备、警情类型选择进行展示。</w:t>
            </w:r>
          </w:p>
          <w:p w14:paraId="166A6C7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2.12平台须具备巡检巡查功能，能够运用手机实现离线巡查，运用蓝牙、NFC标签设置打卡；自动导出巡查报告，能够在系统上查看巡查记录，自动分析巡查进度；系统自动推送巡查任务给巡查负责人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查看用户每日的设备巡查的路径，了解每日巡查设备的时间顶序及巡查结果详情。</w:t>
            </w:r>
          </w:p>
          <w:p w14:paraId="5AB7FFE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2.13通过智慧平台的数据运算，自动生成消防设施运维安全周报，管理人员能够向分支单位下达自我安全评价任务，查看任务完成情况。（在响应文件“本《竞争性谈判文件》要求必须提交的材料”中提供软件相关参数截图等证明材料）管理人员查看分支单位自我安全评价总分值。如果是系统自动评分，显示待改进项。如果是自定义评分，显示对应的分项分值。系统预置安全评价模型，根据系统已有数据对分支单位进行自动安全评价，得出分数和待改进方向。分支单位可按照自定义的安全评价项目，结合自身情况自行进行安全评价，得出分数。</w:t>
            </w:r>
          </w:p>
          <w:p w14:paraId="0F79558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2.14平台须具备消控室智能化监控，对值守人员离岗、玩手机、睡觉等违规行为进行识别和报警，平台自动弹出报警事件实时视频，立即生成回放图片。管理人员可通过移动端、电脑端查看实时视频及图片。</w:t>
            </w:r>
          </w:p>
          <w:p w14:paraId="6B01676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2.15应具备通道疏散智能化监控，实时监测主要疏散通道的占用情况。当疏散通道被占用时，平台自动弹出报警事件，将该疏散通道报警图片和视频监控画面快速弹窗。</w:t>
            </w:r>
          </w:p>
          <w:p w14:paraId="574A19F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2.16设备智能化管理：支持对设备录入、编辑、查看等操作，设置设备到期自动提醒。</w:t>
            </w:r>
          </w:p>
          <w:p w14:paraId="5696FED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2.17支持权限分级，根据不同的需求系统</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单位值班人员管理功能。</w:t>
            </w:r>
          </w:p>
          <w:p w14:paraId="3001ACA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2.18支持对信息文件进行存储管理。</w:t>
            </w:r>
          </w:p>
          <w:p w14:paraId="6E6F9CE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三、系统架构要求：</w:t>
            </w:r>
          </w:p>
          <w:p w14:paraId="71407550">
            <w:pPr>
              <w:keepNext w:val="0"/>
              <w:keepLines w:val="0"/>
              <w:pageBreakBefore w:val="0"/>
              <w:widowControl w:val="0"/>
              <w:shd w:val="clear"/>
              <w:kinsoku/>
              <w:wordWrap w:val="0"/>
              <w:overflowPunct/>
              <w:topLinePunct/>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提供本项目的《智慧消防系统网络拓扑图》</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完整展示软件平台与前端硬件、传输网络、终端设备的组网架构与数据流向。</w:t>
            </w:r>
          </w:p>
        </w:tc>
        <w:tc>
          <w:tcPr>
            <w:tcW w:w="829" w:type="dxa"/>
            <w:noWrap w:val="0"/>
            <w:vAlign w:val="center"/>
          </w:tcPr>
          <w:p w14:paraId="0F3C776C">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3E3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0E037B05">
            <w:pPr>
              <w:shd w:val="clea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4</w:t>
            </w:r>
          </w:p>
        </w:tc>
        <w:tc>
          <w:tcPr>
            <w:tcW w:w="1212" w:type="dxa"/>
            <w:shd w:val="clear" w:color="auto" w:fill="auto"/>
            <w:noWrap w:val="0"/>
            <w:vAlign w:val="center"/>
          </w:tcPr>
          <w:p w14:paraId="354505D1">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智慧消防软件移动端</w:t>
            </w:r>
          </w:p>
        </w:tc>
        <w:tc>
          <w:tcPr>
            <w:tcW w:w="496" w:type="dxa"/>
            <w:noWrap w:val="0"/>
            <w:vAlign w:val="center"/>
          </w:tcPr>
          <w:p w14:paraId="672EA3BF">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6A2F546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3616CA5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手机APP可以对设备报警、预警、故障、异常等信息进行查看和处置，提供未处理数量及报警单位、时间、位置等详细信息</w:t>
            </w:r>
          </w:p>
          <w:p w14:paraId="1528FB9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手机APP查看报警设备以仿真三维地图形象展示，并能将消防报警设备快速弹出报警界面，快速定位到相应的仿真三维图展示出来。可根据管理人员选择正常、报警、故障、动作等不同分类显示不同的状态平图设备图标，直观展示设备的运行情况。（在响应文件“本《竞争性谈判文件》要求必须提交的材料”中提供软件相关参数截图等证明材料）</w:t>
            </w:r>
          </w:p>
          <w:p w14:paraId="3C525A0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手机APP巡检巡查应支持离线巡查（不使用网络），能够查看发布的巡查任务和要求，对照具体要求</w:t>
            </w:r>
            <w:r>
              <w:rPr>
                <w:rFonts w:hint="eastAsia" w:ascii="宋体" w:hAnsi="宋体" w:eastAsia="宋体" w:cs="宋体"/>
                <w:color w:val="auto"/>
                <w:highlight w:val="none"/>
                <w:lang w:eastAsia="zh-CN"/>
              </w:rPr>
              <w:t>到</w:t>
            </w:r>
            <w:r>
              <w:rPr>
                <w:rFonts w:hint="eastAsia" w:ascii="宋体" w:hAnsi="宋体" w:eastAsia="宋体" w:cs="宋体"/>
                <w:color w:val="auto"/>
                <w:highlight w:val="none"/>
              </w:rPr>
              <w:t>现场进行巡查，巡查支持文字描述、拍照描述、蓝牙、NFC标签打卡。（在响应文件“本《竞争性谈判文件》要求必须提交的材料”中提供软件相关参数截图等证明材料）</w:t>
            </w:r>
          </w:p>
          <w:p w14:paraId="0C9C463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可以对消控室等值班情况进行查看，利用物联视频终端进行远程查岗，智慧摄像机上传的事件可以进行查看。</w:t>
            </w:r>
          </w:p>
          <w:p w14:paraId="5443190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可以对重点部位位置查看实时直播画面。</w:t>
            </w:r>
          </w:p>
          <w:p w14:paraId="681E096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具备针对报警通知方式（短信、电话、APP 推送）可进行</w:t>
            </w:r>
            <w:r>
              <w:rPr>
                <w:rFonts w:hint="eastAsia" w:ascii="宋体" w:hAnsi="宋体" w:eastAsia="宋体" w:cs="宋体"/>
                <w:color w:val="auto"/>
                <w:highlight w:val="none"/>
                <w:lang w:eastAsia="zh-CN"/>
              </w:rPr>
              <w:t>灵活</w:t>
            </w:r>
            <w:r>
              <w:rPr>
                <w:rFonts w:hint="eastAsia" w:ascii="宋体" w:hAnsi="宋体" w:eastAsia="宋体" w:cs="宋体"/>
                <w:color w:val="auto"/>
                <w:highlight w:val="none"/>
              </w:rPr>
              <w:t>选择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针对</w:t>
            </w:r>
            <w:r>
              <w:rPr>
                <w:rFonts w:hint="eastAsia" w:ascii="宋体" w:hAnsi="宋体" w:eastAsia="宋体" w:cs="宋体"/>
                <w:color w:val="auto"/>
                <w:highlight w:val="none"/>
                <w:lang w:eastAsia="zh-CN"/>
              </w:rPr>
              <w:t>同一</w:t>
            </w:r>
            <w:r>
              <w:rPr>
                <w:rFonts w:hint="eastAsia" w:ascii="宋体" w:hAnsi="宋体" w:eastAsia="宋体" w:cs="宋体"/>
                <w:color w:val="auto"/>
                <w:highlight w:val="none"/>
              </w:rPr>
              <w:t>点位进行多次报警的情况，业主用户可进行电子协议同意后进行APP 端自主退订。</w:t>
            </w:r>
          </w:p>
          <w:p w14:paraId="5CAA043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智慧消防平台与线上维保助手打通，支持消防例行维保在线签字验收、评价（在响应文件“本《竞争性谈判文件》要求必须提交的材料”中提供软件相关参数截图等证明材料）</w:t>
            </w:r>
          </w:p>
          <w:p w14:paraId="1DE4D0A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可通过智慧消防APP，给维保单位创建故障工单、应急响应工单，并可实时跟踪工单处理进度，在线签字验收、评价。</w:t>
            </w:r>
          </w:p>
          <w:p w14:paraId="4BABB6D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手机APP远程反向操作功能：提供反向操作能力，支持对消防主机进行远程复位、消音以及手/自动模式切换等操作</w:t>
            </w:r>
            <w:r>
              <w:rPr>
                <w:rFonts w:hint="eastAsia" w:ascii="宋体" w:hAnsi="宋体" w:eastAsia="宋体" w:cs="宋体"/>
                <w:color w:val="auto"/>
                <w:highlight w:val="none"/>
                <w:lang w:eastAsia="zh-CN"/>
              </w:rPr>
              <w:t>。</w:t>
            </w:r>
          </w:p>
        </w:tc>
        <w:tc>
          <w:tcPr>
            <w:tcW w:w="829" w:type="dxa"/>
            <w:noWrap w:val="0"/>
            <w:vAlign w:val="center"/>
          </w:tcPr>
          <w:p w14:paraId="31F8873D">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软件和信息技术服务业</w:t>
            </w:r>
          </w:p>
        </w:tc>
      </w:tr>
      <w:tr w14:paraId="1662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F7F1963">
            <w:pPr>
              <w:shd w:val="clea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5</w:t>
            </w:r>
          </w:p>
        </w:tc>
        <w:tc>
          <w:tcPr>
            <w:tcW w:w="1212" w:type="dxa"/>
            <w:shd w:val="clear" w:color="auto" w:fill="auto"/>
            <w:noWrap w:val="0"/>
            <w:vAlign w:val="center"/>
          </w:tcPr>
          <w:p w14:paraId="4361A8B1">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远程控制功能模块</w:t>
            </w:r>
          </w:p>
        </w:tc>
        <w:tc>
          <w:tcPr>
            <w:tcW w:w="496" w:type="dxa"/>
            <w:noWrap w:val="0"/>
            <w:vAlign w:val="center"/>
          </w:tcPr>
          <w:p w14:paraId="6AFEC51F">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2C26AB0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40B712B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平台应支持在远程控制界面、图层界面及列表界面中，对所有可控制的消防设备（如消防水泵、风机、阀门、防火卷帘等）进行远程启动与停止操作，实现远程控制与设定。支持按楼栋、楼层、设备类型等快速筛选方式，并在远程控制专属界面、图层可视化界面及数据图表分析界面之间多端联动操作，实现一键式远程启动与精准停止。同时，支持根据现场管理需求自定义制定、下发与执行远程控制指令，操控过程全程留痕、状态实时反馈，确保操作的精准性、及时性与可追溯性。（在响应文件“本《竞争性谈判文件》要求必须提交的材料”中提供软件相关参数截图等证明材料）</w:t>
            </w:r>
          </w:p>
        </w:tc>
        <w:tc>
          <w:tcPr>
            <w:tcW w:w="829" w:type="dxa"/>
            <w:noWrap w:val="0"/>
            <w:vAlign w:val="center"/>
          </w:tcPr>
          <w:p w14:paraId="71B0C0B4">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4FC6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293468FE">
            <w:pPr>
              <w:shd w:val="clear"/>
              <w:tabs>
                <w:tab w:val="left" w:pos="180"/>
                <w:tab w:val="left" w:pos="1620"/>
              </w:tabs>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6</w:t>
            </w:r>
          </w:p>
        </w:tc>
        <w:tc>
          <w:tcPr>
            <w:tcW w:w="1212" w:type="dxa"/>
            <w:shd w:val="clear" w:color="auto" w:fill="auto"/>
            <w:noWrap w:val="0"/>
            <w:vAlign w:val="center"/>
          </w:tcPr>
          <w:p w14:paraId="034D0486">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安消联动功能模块</w:t>
            </w:r>
          </w:p>
        </w:tc>
        <w:tc>
          <w:tcPr>
            <w:tcW w:w="496" w:type="dxa"/>
            <w:noWrap w:val="0"/>
            <w:vAlign w:val="center"/>
          </w:tcPr>
          <w:p w14:paraId="1688953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0297205A">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16B14A1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基于已有视频资源，实现火灾报警与现场视频联动，支持实时查看及历史报警视频、图像回放。具体功能要求如下：</w:t>
            </w:r>
          </w:p>
          <w:p w14:paraId="5AA86A1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w:t>
            </w:r>
            <w:r>
              <w:rPr>
                <w:rFonts w:hint="eastAsia" w:ascii="宋体" w:hAnsi="宋体" w:eastAsia="宋体" w:cs="宋体"/>
                <w:color w:val="auto"/>
                <w:highlight w:val="none"/>
              </w:rPr>
              <w:t>视频快速调阅：点击探测器可直接调取关联摄像头的实时视频画面。</w:t>
            </w:r>
          </w:p>
          <w:p w14:paraId="53FFB5F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报警事件回溯：在安全监管模块中，可查看报警事件发生时的关联视频图片及事发前后一分钟的视频片段，快速还原现场情况。</w:t>
            </w:r>
          </w:p>
          <w:p w14:paraId="24C2D6D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预置点位联动：支持新增预置点位，并关联物联设备，实现视频联动查看。</w:t>
            </w:r>
          </w:p>
          <w:p w14:paraId="2924B1E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隐私保护模式：支持将摄像头设置为隐私摄像头，仅在告警期间允许有权限的管理人员查看。</w:t>
            </w:r>
          </w:p>
          <w:p w14:paraId="482562F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智能分析设备接入：支持边缘智能分析仪、视频编码器等智能视频分析相关设备的资料录入。</w:t>
            </w:r>
          </w:p>
          <w:p w14:paraId="4BA592D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智能视频分析功能：在接入边缘智能分析仪或摄像头本身支持告警推送的前提下，可实现以下智能分析：人员离岗检测、人员入侵检测、消防通道阻塞检测、火警或烟雾检测、高空抛物监测等。</w:t>
            </w:r>
          </w:p>
        </w:tc>
        <w:tc>
          <w:tcPr>
            <w:tcW w:w="829" w:type="dxa"/>
            <w:noWrap w:val="0"/>
            <w:vAlign w:val="center"/>
          </w:tcPr>
          <w:p w14:paraId="28F4B1DA">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软件和信息技术服务业</w:t>
            </w:r>
          </w:p>
        </w:tc>
      </w:tr>
      <w:tr w14:paraId="5C67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4342CC17">
            <w:pPr>
              <w:shd w:val="clear"/>
              <w:tabs>
                <w:tab w:val="left" w:pos="180"/>
                <w:tab w:val="left" w:pos="1620"/>
              </w:tabs>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7</w:t>
            </w:r>
          </w:p>
        </w:tc>
        <w:tc>
          <w:tcPr>
            <w:tcW w:w="1212" w:type="dxa"/>
            <w:shd w:val="clear" w:color="auto" w:fill="auto"/>
            <w:noWrap w:val="0"/>
            <w:vAlign w:val="center"/>
          </w:tcPr>
          <w:p w14:paraId="1C331DDB">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消防维保助手</w:t>
            </w:r>
          </w:p>
        </w:tc>
        <w:tc>
          <w:tcPr>
            <w:tcW w:w="496" w:type="dxa"/>
            <w:noWrap w:val="0"/>
            <w:vAlign w:val="center"/>
          </w:tcPr>
          <w:p w14:paraId="214DD34E">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7FD6EFBA">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5808" w:type="dxa"/>
            <w:noWrap w:val="0"/>
            <w:vAlign w:val="center"/>
          </w:tcPr>
          <w:p w14:paraId="4B09AA0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消防维保助手应具备维保单位的维保人员工作期间的实时跟踪监测，包括打卡位置、工单执行情况等。</w:t>
            </w:r>
          </w:p>
          <w:p w14:paraId="1298ED3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可制订每月维保计划，按要求定期开展维保工作，及时出具维保报告。</w:t>
            </w:r>
          </w:p>
          <w:p w14:paraId="7473E19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应支持无纸化例行维保，并能够与智慧消防平台连接，进行点位测试时，可向业主、维保单位反馈设备的测试状态。 业主单位能够在线跟踪维保维修进度，能够提供业主和维保单位双向联系，在维保结束后提交业主签字确认验收。</w:t>
            </w:r>
          </w:p>
          <w:p w14:paraId="39D8781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还应提供电子化的全天候应急响应服务，业主可通过在线</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电话、微信等方式进行应急报修，并在接到报修通知后及时派遣专业维保人员赶赴现场进行故障处理，一般情况下2小时内赶到现场，紧急情况下须在0.5小时内赶到现场，并将故障原因和处理结果通过电子化的方式告知业主签字确认。</w:t>
            </w:r>
          </w:p>
          <w:p w14:paraId="6022C43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支持日常的消防设备故障跟踪线上处置及验收。</w:t>
            </w:r>
          </w:p>
          <w:p w14:paraId="17F4B24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应具有消防设备台账管理功能，可总览业主单位的消防设备情况。</w:t>
            </w:r>
          </w:p>
          <w:p w14:paraId="3AA10D6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应具备自动生成电子化的原始记录功能。</w:t>
            </w:r>
          </w:p>
          <w:p w14:paraId="2F27A03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维保助手必须提供维保电脑端以及维保手机端，以便维保</w:t>
            </w:r>
            <w:r>
              <w:rPr>
                <w:rFonts w:hint="eastAsia" w:ascii="宋体" w:hAnsi="宋体" w:eastAsia="宋体" w:cs="宋体"/>
                <w:color w:val="auto"/>
                <w:highlight w:val="none"/>
                <w:lang w:eastAsia="zh-CN"/>
              </w:rPr>
              <w:t>人员</w:t>
            </w:r>
            <w:r>
              <w:rPr>
                <w:rFonts w:hint="eastAsia" w:ascii="宋体" w:hAnsi="宋体" w:eastAsia="宋体" w:cs="宋体"/>
                <w:color w:val="auto"/>
                <w:highlight w:val="none"/>
              </w:rPr>
              <w:t>在现场处置。</w:t>
            </w:r>
          </w:p>
          <w:p w14:paraId="31F2D10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例行保养工作时，发现零部件受损或严重老化必须更换时，支持生成无纸化的书面报告方式告知甲方，并提供针对性整改建议。</w:t>
            </w:r>
          </w:p>
          <w:p w14:paraId="658855C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10.维保助手应支持在地图模式下查看维保测试点位的测试情况，并通过图表直观展示点位测试的完成进度。</w:t>
            </w:r>
          </w:p>
        </w:tc>
        <w:tc>
          <w:tcPr>
            <w:tcW w:w="829" w:type="dxa"/>
            <w:noWrap w:val="0"/>
            <w:vAlign w:val="center"/>
          </w:tcPr>
          <w:p w14:paraId="67EE94EE">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软件和信息技术服务业</w:t>
            </w:r>
          </w:p>
        </w:tc>
      </w:tr>
      <w:tr w14:paraId="53DB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B086785">
            <w:pPr>
              <w:shd w:val="clear"/>
              <w:tabs>
                <w:tab w:val="left" w:pos="180"/>
                <w:tab w:val="left" w:pos="1620"/>
              </w:tabs>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8</w:t>
            </w:r>
          </w:p>
        </w:tc>
        <w:tc>
          <w:tcPr>
            <w:tcW w:w="1212" w:type="dxa"/>
            <w:shd w:val="clear" w:color="auto" w:fill="auto"/>
            <w:noWrap w:val="0"/>
            <w:vAlign w:val="center"/>
          </w:tcPr>
          <w:p w14:paraId="28A46020">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智慧消防管理机</w:t>
            </w:r>
          </w:p>
        </w:tc>
        <w:tc>
          <w:tcPr>
            <w:tcW w:w="496" w:type="dxa"/>
            <w:noWrap w:val="0"/>
            <w:vAlign w:val="center"/>
          </w:tcPr>
          <w:p w14:paraId="2650278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459" w:type="dxa"/>
            <w:noWrap w:val="0"/>
            <w:vAlign w:val="center"/>
          </w:tcPr>
          <w:p w14:paraId="564AD3C6">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5808" w:type="dxa"/>
            <w:noWrap w:val="0"/>
            <w:vAlign w:val="center"/>
          </w:tcPr>
          <w:p w14:paraId="5233EB8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实时采集全校消防控制主机火灾报警信息，与学校消防物联平台无缝对接，实现跨校区、多控制室消防安全管理，支持权限统一配置。支持标准化报警记录，至少涵盖时间、位置、类型等关键数据统一管理；支持线上化处置流程统一管理。</w:t>
            </w:r>
          </w:p>
          <w:p w14:paraId="518721C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支持通过平台对消防主机远程复位、消音、手自切换操作；支持对现场全部设施设备（至少包含水泵、卷帘、风机等）远程启动、停止。</w:t>
            </w:r>
          </w:p>
          <w:p w14:paraId="228E206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支持多系统深度融合，全面打破传统消防系统的信息孤岛，实现</w:t>
            </w:r>
            <w:r>
              <w:rPr>
                <w:rFonts w:hint="eastAsia" w:ascii="宋体" w:hAnsi="宋体" w:eastAsia="宋体" w:cs="宋体"/>
                <w:color w:val="auto"/>
                <w:highlight w:val="none"/>
                <w:lang w:val="en-US" w:eastAsia="zh-CN"/>
              </w:rPr>
              <w:t>与</w:t>
            </w:r>
            <w:r>
              <w:rPr>
                <w:rFonts w:hint="eastAsia" w:ascii="宋体" w:hAnsi="宋体" w:eastAsia="宋体" w:cs="宋体"/>
                <w:color w:val="auto"/>
                <w:highlight w:val="none"/>
              </w:rPr>
              <w:t>利达、海湾、南京消防、泰和安、青鸟消防、高新投三江、营口天成、依爱等主流品牌主机的深度融合与统一管控，构建互联互通的智慧消防新生态。</w:t>
            </w:r>
          </w:p>
          <w:p w14:paraId="7BCDBAC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设备智能化管理：支持对设备录入、编辑、查看等操作，设置设备到期自动提醒。</w:t>
            </w:r>
          </w:p>
          <w:p w14:paraId="489DC84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5.</w:t>
            </w:r>
            <w:r>
              <w:rPr>
                <w:rFonts w:hint="eastAsia" w:ascii="宋体" w:hAnsi="宋体" w:eastAsia="宋体" w:cs="宋体"/>
                <w:color w:val="auto"/>
                <w:highlight w:val="none"/>
              </w:rPr>
              <w:t>支持权限分级，根据不同的需求系统</w:t>
            </w:r>
            <w:r>
              <w:rPr>
                <w:rFonts w:hint="eastAsia" w:ascii="宋体" w:hAnsi="宋体" w:eastAsia="宋体" w:cs="宋体"/>
                <w:color w:val="auto"/>
                <w:highlight w:val="none"/>
                <w:lang w:eastAsia="zh-CN"/>
              </w:rPr>
              <w:t>提供</w:t>
            </w:r>
            <w:r>
              <w:rPr>
                <w:rFonts w:hint="eastAsia" w:ascii="宋体" w:hAnsi="宋体" w:eastAsia="宋体" w:cs="宋体"/>
                <w:color w:val="auto"/>
                <w:highlight w:val="none"/>
              </w:rPr>
              <w:t>单位值班人员管理功能。</w:t>
            </w:r>
          </w:p>
          <w:p w14:paraId="039418A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6.</w:t>
            </w:r>
            <w:r>
              <w:rPr>
                <w:rFonts w:hint="eastAsia" w:ascii="宋体" w:hAnsi="宋体" w:eastAsia="宋体" w:cs="宋体"/>
                <w:color w:val="auto"/>
                <w:highlight w:val="none"/>
              </w:rPr>
              <w:t>支持对信息文件进行存储管理。</w:t>
            </w:r>
          </w:p>
          <w:p w14:paraId="2CED0AD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7.</w:t>
            </w:r>
            <w:r>
              <w:rPr>
                <w:rFonts w:hint="eastAsia" w:ascii="宋体" w:hAnsi="宋体" w:eastAsia="宋体" w:cs="宋体"/>
                <w:color w:val="auto"/>
                <w:highlight w:val="none"/>
              </w:rPr>
              <w:t>通信接口：支持以太网（RJ45，10/100Mbps）、光纤</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协议支持MQTT、HTTP等，用于连接平台。</w:t>
            </w:r>
          </w:p>
          <w:p w14:paraId="296D72A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协议库：内置Modbus RTU、DL/T645、CJ/T188等工业及电表/水表规约，支持多种主流消防协议透传。</w:t>
            </w:r>
          </w:p>
          <w:p w14:paraId="7113269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w:t>
            </w:r>
            <w:r>
              <w:rPr>
                <w:rFonts w:hint="eastAsia" w:ascii="宋体" w:hAnsi="宋体" w:eastAsia="宋体" w:cs="宋体"/>
                <w:color w:val="auto"/>
                <w:highlight w:val="none"/>
              </w:rPr>
              <w:t>支持网格化管理和业主用户APP功能</w:t>
            </w:r>
            <w:r>
              <w:rPr>
                <w:rFonts w:hint="eastAsia" w:ascii="宋体" w:hAnsi="宋体" w:eastAsia="宋体" w:cs="宋体"/>
                <w:color w:val="auto"/>
                <w:highlight w:val="none"/>
                <w:lang w:eastAsia="zh-CN"/>
              </w:rPr>
              <w:t>。</w:t>
            </w:r>
          </w:p>
          <w:p w14:paraId="2F0F8D1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w:t>
            </w:r>
            <w:r>
              <w:rPr>
                <w:rFonts w:hint="eastAsia" w:ascii="宋体" w:hAnsi="宋体" w:eastAsia="宋体" w:cs="宋体"/>
                <w:color w:val="auto"/>
                <w:highlight w:val="none"/>
              </w:rPr>
              <w:t>处理器：采用嵌入式工业级CPU（如ARM架构），低功耗设计，等同或优于</w:t>
            </w:r>
            <w:r>
              <w:rPr>
                <w:rFonts w:hint="eastAsia" w:ascii="宋体" w:hAnsi="宋体" w:cs="宋体"/>
                <w:color w:val="auto"/>
                <w:highlight w:val="none"/>
                <w:lang w:eastAsia="zh-CN"/>
              </w:rPr>
              <w:t>Hygon</w:t>
            </w:r>
            <w:r>
              <w:rPr>
                <w:rFonts w:hint="eastAsia" w:ascii="宋体" w:hAnsi="宋体" w:eastAsia="宋体" w:cs="宋体"/>
                <w:color w:val="auto"/>
                <w:highlight w:val="none"/>
              </w:rPr>
              <w:t>国产化X86 CPU，8核，2.8GHz，数量≥1</w:t>
            </w:r>
            <w:r>
              <w:rPr>
                <w:rFonts w:hint="eastAsia" w:ascii="宋体" w:hAnsi="宋体" w:eastAsia="宋体" w:cs="宋体"/>
                <w:color w:val="auto"/>
                <w:highlight w:val="none"/>
                <w:lang w:eastAsia="zh-CN"/>
              </w:rPr>
              <w:t>。</w:t>
            </w:r>
          </w:p>
          <w:p w14:paraId="56B08CD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11.</w:t>
            </w:r>
            <w:r>
              <w:rPr>
                <w:rFonts w:hint="eastAsia" w:ascii="宋体" w:hAnsi="宋体" w:eastAsia="宋体" w:cs="宋体"/>
                <w:color w:val="auto"/>
                <w:highlight w:val="none"/>
              </w:rPr>
              <w:t>内存：≥32G内存</w:t>
            </w:r>
          </w:p>
          <w:p w14:paraId="266109F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12.</w:t>
            </w:r>
            <w:r>
              <w:rPr>
                <w:rFonts w:hint="eastAsia" w:ascii="宋体" w:hAnsi="宋体" w:eastAsia="宋体" w:cs="宋体"/>
                <w:color w:val="auto"/>
                <w:highlight w:val="none"/>
              </w:rPr>
              <w:t>硬盘：配置不少于2块4T 3.5</w:t>
            </w:r>
            <w:r>
              <w:rPr>
                <w:rFonts w:hint="eastAsia" w:ascii="宋体" w:hAnsi="宋体" w:eastAsia="宋体" w:cs="宋体"/>
                <w:color w:val="auto"/>
                <w:highlight w:val="none"/>
                <w:lang w:eastAsia="zh-CN"/>
              </w:rPr>
              <w:t>英寸</w:t>
            </w:r>
            <w:r>
              <w:rPr>
                <w:rFonts w:hint="eastAsia" w:ascii="宋体" w:hAnsi="宋体" w:eastAsia="宋体" w:cs="宋体"/>
                <w:color w:val="auto"/>
                <w:highlight w:val="none"/>
              </w:rPr>
              <w:t xml:space="preserve"> SATA热插拔机械硬盘，最大支持4块3.5</w:t>
            </w:r>
            <w:r>
              <w:rPr>
                <w:rFonts w:hint="eastAsia" w:ascii="宋体" w:hAnsi="宋体" w:eastAsia="宋体" w:cs="宋体"/>
                <w:color w:val="auto"/>
                <w:highlight w:val="none"/>
                <w:lang w:eastAsia="zh-CN"/>
              </w:rPr>
              <w:t>英寸</w:t>
            </w:r>
            <w:r>
              <w:rPr>
                <w:rFonts w:hint="eastAsia" w:ascii="宋体" w:hAnsi="宋体" w:eastAsia="宋体" w:cs="宋体"/>
                <w:color w:val="auto"/>
                <w:highlight w:val="none"/>
              </w:rPr>
              <w:t>/2.5</w:t>
            </w:r>
            <w:r>
              <w:rPr>
                <w:rFonts w:hint="eastAsia" w:ascii="宋体" w:hAnsi="宋体" w:eastAsia="宋体" w:cs="宋体"/>
                <w:color w:val="auto"/>
                <w:highlight w:val="none"/>
                <w:lang w:eastAsia="zh-CN"/>
              </w:rPr>
              <w:t>英寸</w:t>
            </w:r>
            <w:r>
              <w:rPr>
                <w:rFonts w:hint="eastAsia" w:ascii="宋体" w:hAnsi="宋体" w:eastAsia="宋体" w:cs="宋体"/>
                <w:color w:val="auto"/>
                <w:highlight w:val="none"/>
              </w:rPr>
              <w:t>SSD/SAS/SATA硬盘</w:t>
            </w:r>
          </w:p>
          <w:p w14:paraId="4C7B457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13.</w:t>
            </w:r>
            <w:r>
              <w:rPr>
                <w:rFonts w:hint="eastAsia" w:ascii="宋体" w:hAnsi="宋体" w:eastAsia="宋体" w:cs="宋体"/>
                <w:color w:val="auto"/>
                <w:highlight w:val="none"/>
              </w:rPr>
              <w:t>电源：配置不少于1个350W交流电源模块</w:t>
            </w:r>
          </w:p>
          <w:p w14:paraId="6A4A417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14.</w:t>
            </w:r>
            <w:r>
              <w:rPr>
                <w:rFonts w:hint="eastAsia" w:ascii="宋体" w:hAnsi="宋体" w:eastAsia="宋体" w:cs="宋体"/>
                <w:color w:val="auto"/>
                <w:highlight w:val="none"/>
              </w:rPr>
              <w:t>风扇：配置不少于4个风扇模组</w:t>
            </w:r>
          </w:p>
          <w:p w14:paraId="4E17041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15.</w:t>
            </w:r>
            <w:r>
              <w:rPr>
                <w:rFonts w:hint="eastAsia" w:ascii="宋体" w:hAnsi="宋体" w:eastAsia="宋体" w:cs="宋体"/>
                <w:color w:val="auto"/>
                <w:highlight w:val="none"/>
              </w:rPr>
              <w:t>工作环境：温度-10℃至55℃，相对湿度≤95%（无凝露）</w:t>
            </w:r>
          </w:p>
        </w:tc>
        <w:tc>
          <w:tcPr>
            <w:tcW w:w="829" w:type="dxa"/>
            <w:noWrap w:val="0"/>
            <w:vAlign w:val="center"/>
          </w:tcPr>
          <w:p w14:paraId="5A91A2C1">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503B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3BA3D8D">
            <w:pPr>
              <w:shd w:val="clear"/>
              <w:tabs>
                <w:tab w:val="left" w:pos="180"/>
                <w:tab w:val="left" w:pos="1620"/>
              </w:tabs>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1212" w:type="dxa"/>
            <w:shd w:val="clear" w:color="auto" w:fill="auto"/>
            <w:noWrap w:val="0"/>
            <w:vAlign w:val="center"/>
          </w:tcPr>
          <w:p w14:paraId="48380923">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点位复核</w:t>
            </w:r>
          </w:p>
        </w:tc>
        <w:tc>
          <w:tcPr>
            <w:tcW w:w="496" w:type="dxa"/>
            <w:noWrap w:val="0"/>
            <w:vAlign w:val="center"/>
          </w:tcPr>
          <w:p w14:paraId="30D0BFFC">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9" w:type="dxa"/>
            <w:noWrap w:val="0"/>
            <w:vAlign w:val="center"/>
          </w:tcPr>
          <w:p w14:paraId="6F81A8C0">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12AE205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作范围覆盖图书馆1689点、药基楼2016点、科技楼/研究生公寓5372点、留学生公寓2261点、卓越楼2260点、职工宿舍453号楼1599点、综合楼1252点，合计8栋建筑7套火灾报警系统、消防设备点位总数16552个；核心工作内容为持证技术人员完成对应楼栋全量消防点位的竣工图纸与现场实际情况逐一专项复核，同步开展全点位对应火灾报警、消防联动控制设备的全覆盖现场梳理、全项功能性测试与信息核验，逐台核对并精准固化每台设备的物理地址、现场安装位置及标准化命名信息，完成设备信息的规范化录入、多轮交叉校准与闭环修正，最终交付一套信息精准、数据一一对应、全程可溯源的消防设备标准化电子台账。</w:t>
            </w:r>
          </w:p>
        </w:tc>
        <w:tc>
          <w:tcPr>
            <w:tcW w:w="829" w:type="dxa"/>
            <w:noWrap w:val="0"/>
            <w:vAlign w:val="center"/>
          </w:tcPr>
          <w:p w14:paraId="6E2DF4C7">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其他未列明行业</w:t>
            </w:r>
          </w:p>
        </w:tc>
      </w:tr>
      <w:tr w14:paraId="397A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2F8D546">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1212" w:type="dxa"/>
            <w:shd w:val="clear" w:color="auto" w:fill="auto"/>
            <w:noWrap w:val="0"/>
            <w:vAlign w:val="center"/>
          </w:tcPr>
          <w:p w14:paraId="7F4D111D">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远程启动设备调试</w:t>
            </w:r>
          </w:p>
        </w:tc>
        <w:tc>
          <w:tcPr>
            <w:tcW w:w="496" w:type="dxa"/>
            <w:noWrap w:val="0"/>
            <w:vAlign w:val="center"/>
          </w:tcPr>
          <w:p w14:paraId="67ECB3E6">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9" w:type="dxa"/>
            <w:noWrap w:val="0"/>
            <w:vAlign w:val="center"/>
          </w:tcPr>
          <w:p w14:paraId="211048DC">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5808" w:type="dxa"/>
            <w:noWrap w:val="0"/>
            <w:vAlign w:val="center"/>
          </w:tcPr>
          <w:p w14:paraId="4F4B123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作范围覆盖图书馆1689点、药基楼2016点、科技楼/研究生公寓5372点、留学生公寓2261点、卓越楼2260点、职工宿舍453号楼1599点、综合楼1252点，合计消防设备点位总数16552个，8栋建筑7套火灾报警系统；核心工作内容为持证技术人员完成项目内全部消防硬件设备、配套软件系统的全功能测试与调试，完成消防火灾报警主机与智慧消防平台的协议对接、全量数据联调，分7套火灾报警系统完成设备远程启动、停止、复位、消音等核心控制功能的全项验证，完成系统报警联动、视频联动、分级信息推送等功能的全流程测试并确保响应及时合规，最终形成完整、可追溯的系统调试报告，确保所有消防设备及联动系统稳定正常运行。</w:t>
            </w:r>
          </w:p>
        </w:tc>
        <w:tc>
          <w:tcPr>
            <w:tcW w:w="829" w:type="dxa"/>
            <w:noWrap w:val="0"/>
            <w:vAlign w:val="center"/>
          </w:tcPr>
          <w:p w14:paraId="44CFC193">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5D5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3F9D1FB3">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1212" w:type="dxa"/>
            <w:shd w:val="clear" w:color="auto" w:fill="auto"/>
            <w:noWrap w:val="0"/>
            <w:vAlign w:val="center"/>
          </w:tcPr>
          <w:p w14:paraId="1AC2F051">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智慧水压探测器</w:t>
            </w:r>
          </w:p>
        </w:tc>
        <w:tc>
          <w:tcPr>
            <w:tcW w:w="496" w:type="dxa"/>
            <w:noWrap w:val="0"/>
            <w:vAlign w:val="center"/>
          </w:tcPr>
          <w:p w14:paraId="0BC9230B">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57</w:t>
            </w:r>
          </w:p>
        </w:tc>
        <w:tc>
          <w:tcPr>
            <w:tcW w:w="459" w:type="dxa"/>
            <w:noWrap w:val="0"/>
            <w:vAlign w:val="center"/>
          </w:tcPr>
          <w:p w14:paraId="4234676E">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只</w:t>
            </w:r>
          </w:p>
        </w:tc>
        <w:tc>
          <w:tcPr>
            <w:tcW w:w="5808" w:type="dxa"/>
            <w:noWrap w:val="0"/>
            <w:vAlign w:val="center"/>
          </w:tcPr>
          <w:p w14:paraId="456D1C6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传输方式：485通信线</w:t>
            </w:r>
          </w:p>
          <w:p w14:paraId="43408A6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精度等级：</w:t>
            </w:r>
            <w:r>
              <w:rPr>
                <w:rFonts w:hint="eastAsia" w:ascii="宋体" w:hAnsi="宋体" w:cs="宋体"/>
                <w:color w:val="auto"/>
                <w:highlight w:val="none"/>
                <w:lang w:val="en-US" w:eastAsia="zh-CN"/>
              </w:rPr>
              <w:t>≥</w:t>
            </w:r>
            <w:r>
              <w:rPr>
                <w:rFonts w:hint="eastAsia" w:ascii="宋体" w:hAnsi="宋体" w:eastAsia="宋体" w:cs="宋体"/>
                <w:color w:val="auto"/>
                <w:highlight w:val="none"/>
              </w:rPr>
              <w:t>1.0级/0.5级</w:t>
            </w:r>
          </w:p>
          <w:p w14:paraId="4E1A52D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供电电压：</w:t>
            </w:r>
            <w:r>
              <w:rPr>
                <w:rFonts w:hint="eastAsia" w:ascii="宋体" w:hAnsi="宋体" w:cs="宋体"/>
                <w:color w:val="auto"/>
                <w:highlight w:val="none"/>
                <w:lang w:val="en-US" w:eastAsia="zh-CN"/>
              </w:rPr>
              <w:t>≥</w:t>
            </w:r>
            <w:r>
              <w:rPr>
                <w:rFonts w:hint="eastAsia" w:ascii="宋体" w:hAnsi="宋体" w:eastAsia="宋体" w:cs="宋体"/>
                <w:color w:val="auto"/>
                <w:highlight w:val="none"/>
              </w:rPr>
              <w:t>24V</w:t>
            </w:r>
          </w:p>
          <w:p w14:paraId="6234CA4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长期稳定性：±0.25%FS/年（典型值）</w:t>
            </w:r>
          </w:p>
          <w:p w14:paraId="76C960B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显示及背光：LCD全屏显示 白色背光</w:t>
            </w:r>
          </w:p>
        </w:tc>
        <w:tc>
          <w:tcPr>
            <w:tcW w:w="829" w:type="dxa"/>
            <w:noWrap w:val="0"/>
            <w:vAlign w:val="center"/>
          </w:tcPr>
          <w:p w14:paraId="320F6B92">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655A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EC51546">
            <w:pPr>
              <w:shd w:val="clear"/>
              <w:tabs>
                <w:tab w:val="left" w:pos="180"/>
                <w:tab w:val="left" w:pos="1620"/>
              </w:tabs>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1212" w:type="dxa"/>
            <w:shd w:val="clear" w:color="auto" w:fill="auto"/>
            <w:noWrap w:val="0"/>
            <w:vAlign w:val="center"/>
          </w:tcPr>
          <w:p w14:paraId="5EC35FA3">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智慧液位探测器</w:t>
            </w:r>
          </w:p>
        </w:tc>
        <w:tc>
          <w:tcPr>
            <w:tcW w:w="496" w:type="dxa"/>
            <w:noWrap w:val="0"/>
            <w:vAlign w:val="center"/>
          </w:tcPr>
          <w:p w14:paraId="4E0BC3EF">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459" w:type="dxa"/>
            <w:noWrap w:val="0"/>
            <w:vAlign w:val="center"/>
          </w:tcPr>
          <w:p w14:paraId="0D23511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只</w:t>
            </w:r>
          </w:p>
        </w:tc>
        <w:tc>
          <w:tcPr>
            <w:tcW w:w="5808" w:type="dxa"/>
            <w:noWrap w:val="0"/>
            <w:vAlign w:val="center"/>
          </w:tcPr>
          <w:p w14:paraId="1271554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量程：0</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1m/5m/10m/100mH2O</w:t>
            </w:r>
          </w:p>
          <w:p w14:paraId="3BA0D97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过载压力：200%</w:t>
            </w:r>
          </w:p>
          <w:p w14:paraId="402282F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精度等级：</w:t>
            </w:r>
            <w:r>
              <w:rPr>
                <w:rFonts w:hint="eastAsia" w:ascii="宋体" w:hAnsi="宋体" w:cs="宋体"/>
                <w:color w:val="auto"/>
                <w:highlight w:val="none"/>
                <w:lang w:val="en-US" w:eastAsia="zh-CN"/>
              </w:rPr>
              <w:t>≤</w:t>
            </w:r>
            <w:r>
              <w:rPr>
                <w:rFonts w:hint="eastAsia" w:ascii="宋体" w:hAnsi="宋体" w:eastAsia="宋体" w:cs="宋体"/>
                <w:color w:val="auto"/>
                <w:highlight w:val="none"/>
              </w:rPr>
              <w:t>0.5%FS</w:t>
            </w:r>
          </w:p>
          <w:p w14:paraId="6FA9D36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长期稳定性：优于0.25%FS/年</w:t>
            </w:r>
          </w:p>
          <w:p w14:paraId="0921673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零点温度漂移：优于0.02%FS/"C，最大0.05%FS/"C</w:t>
            </w:r>
          </w:p>
          <w:p w14:paraId="435C315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灵敏度温度漂移：优于0.02%FS/PC，最大0.05%FS/C</w:t>
            </w:r>
          </w:p>
          <w:p w14:paraId="6B7A94F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供电电压：12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28VDC</w:t>
            </w:r>
          </w:p>
          <w:p w14:paraId="7A70586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输出信号：4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20mA/RS485/0-10V/0-5V</w:t>
            </w:r>
          </w:p>
          <w:p w14:paraId="4EEEC22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工作温度：-10～60℃</w:t>
            </w:r>
          </w:p>
          <w:p w14:paraId="54EC56E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传输距离：≥1Km</w:t>
            </w:r>
            <w:r>
              <w:rPr>
                <w:rFonts w:hint="eastAsia" w:ascii="宋体" w:hAnsi="宋体" w:cs="宋体"/>
                <w:color w:val="auto"/>
                <w:highlight w:val="none"/>
                <w:lang w:eastAsia="zh-CN"/>
              </w:rPr>
              <w:t>（</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20mA</w:t>
            </w:r>
            <w:r>
              <w:rPr>
                <w:rFonts w:hint="eastAsia" w:ascii="宋体" w:hAnsi="宋体" w:cs="宋体"/>
                <w:color w:val="auto"/>
                <w:highlight w:val="none"/>
                <w:lang w:eastAsia="zh-CN"/>
              </w:rPr>
              <w:t>）</w:t>
            </w:r>
          </w:p>
          <w:p w14:paraId="7DB2483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传输方式：485通信</w:t>
            </w:r>
          </w:p>
          <w:p w14:paraId="515D532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适配智慧消防平台</w:t>
            </w:r>
          </w:p>
        </w:tc>
        <w:tc>
          <w:tcPr>
            <w:tcW w:w="829" w:type="dxa"/>
            <w:noWrap w:val="0"/>
            <w:vAlign w:val="center"/>
          </w:tcPr>
          <w:p w14:paraId="0731BB39">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3893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4347576">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1212" w:type="dxa"/>
            <w:shd w:val="clear" w:color="auto" w:fill="auto"/>
            <w:noWrap w:val="0"/>
            <w:vAlign w:val="center"/>
          </w:tcPr>
          <w:p w14:paraId="71F4DDEE">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设备状态监测装置</w:t>
            </w:r>
          </w:p>
        </w:tc>
        <w:tc>
          <w:tcPr>
            <w:tcW w:w="496" w:type="dxa"/>
            <w:noWrap w:val="0"/>
            <w:vAlign w:val="center"/>
          </w:tcPr>
          <w:p w14:paraId="0DF34617">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459" w:type="dxa"/>
            <w:noWrap w:val="0"/>
            <w:vAlign w:val="center"/>
          </w:tcPr>
          <w:p w14:paraId="5A1B01E9">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套</w:t>
            </w:r>
          </w:p>
        </w:tc>
        <w:tc>
          <w:tcPr>
            <w:tcW w:w="5808" w:type="dxa"/>
            <w:noWrap w:val="0"/>
            <w:vAlign w:val="center"/>
          </w:tcPr>
          <w:p w14:paraId="298151B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无线通讯：4G,LoRa,LoRaWAN</w:t>
            </w:r>
          </w:p>
          <w:p w14:paraId="57D46C9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以太网接口：10/100M自适应</w:t>
            </w:r>
          </w:p>
          <w:p w14:paraId="5FE28E8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总线接口：RS485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 RS232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1（协议需单独定制开发）</w:t>
            </w:r>
          </w:p>
          <w:p w14:paraId="4784810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传输方式：无线及以太网双网卡设计，独特的双网卡自动切换技术</w:t>
            </w:r>
          </w:p>
          <w:p w14:paraId="42922F5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参数配置：本地USB接口</w:t>
            </w:r>
          </w:p>
          <w:p w14:paraId="570CE0A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远程配置，蓝牙配置</w:t>
            </w:r>
          </w:p>
          <w:p w14:paraId="05DC2B2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信号输入：8路4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20mA模拟量输入，8路/16路开关量输入可选</w:t>
            </w:r>
          </w:p>
          <w:p w14:paraId="1486265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信号输出：4路继电器输出</w:t>
            </w:r>
          </w:p>
          <w:p w14:paraId="481BC0E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供电电压：AC220V</w:t>
            </w:r>
          </w:p>
          <w:p w14:paraId="5FAEC19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工作温度：-20~80℃</w:t>
            </w:r>
          </w:p>
          <w:p w14:paraId="3532CFA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工作湿度：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95%（无凝霜）</w:t>
            </w:r>
          </w:p>
          <w:p w14:paraId="2C9238B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安装方式：壁挂式</w:t>
            </w:r>
          </w:p>
          <w:p w14:paraId="4549088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天线：吸盘天线</w:t>
            </w:r>
          </w:p>
          <w:p w14:paraId="4B4E84B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状态监测：实时监测消防设施的设备状态，包括：电源，手动/自动，启动/停止，运行/故障等状态信息</w:t>
            </w:r>
          </w:p>
          <w:p w14:paraId="7DEAFE9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功能设置：数据采集，记录，上发间隔可设，IP地址及端口（4G/NB）可设</w:t>
            </w:r>
          </w:p>
        </w:tc>
        <w:tc>
          <w:tcPr>
            <w:tcW w:w="829" w:type="dxa"/>
            <w:noWrap w:val="0"/>
            <w:vAlign w:val="center"/>
          </w:tcPr>
          <w:p w14:paraId="1CEF3E19">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2CC0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4C62624C">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14</w:t>
            </w:r>
          </w:p>
        </w:tc>
        <w:tc>
          <w:tcPr>
            <w:tcW w:w="1212" w:type="dxa"/>
            <w:shd w:val="clear" w:color="auto" w:fill="auto"/>
            <w:noWrap w:val="0"/>
            <w:vAlign w:val="center"/>
          </w:tcPr>
          <w:p w14:paraId="1264FDDA">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物联网信息采集设备</w:t>
            </w:r>
          </w:p>
        </w:tc>
        <w:tc>
          <w:tcPr>
            <w:tcW w:w="496" w:type="dxa"/>
            <w:noWrap w:val="0"/>
            <w:vAlign w:val="center"/>
          </w:tcPr>
          <w:p w14:paraId="61860A2A">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459" w:type="dxa"/>
            <w:noWrap w:val="0"/>
            <w:vAlign w:val="center"/>
          </w:tcPr>
          <w:p w14:paraId="2683DECE">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只</w:t>
            </w:r>
          </w:p>
        </w:tc>
        <w:tc>
          <w:tcPr>
            <w:tcW w:w="5808" w:type="dxa"/>
            <w:noWrap w:val="0"/>
            <w:vAlign w:val="center"/>
          </w:tcPr>
          <w:p w14:paraId="49537C5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工作电压：DC:9~36 V</w:t>
            </w:r>
          </w:p>
          <w:p w14:paraId="77E650E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工作电流：≤120mA@12.0V</w:t>
            </w:r>
          </w:p>
          <w:p w14:paraId="5D243D8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网口规格：RJ45、10/100Mbps. 交叉直连自适应</w:t>
            </w:r>
          </w:p>
          <w:p w14:paraId="36459A0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串口波特率：2400</w:t>
            </w:r>
            <w:r>
              <w:rPr>
                <w:rFonts w:hint="eastAsia" w:ascii="宋体" w:hAnsi="宋体" w:cs="宋体"/>
                <w:color w:val="auto"/>
                <w:highlight w:val="none"/>
                <w:lang w:eastAsia="zh-CN"/>
              </w:rPr>
              <w:t>～</w:t>
            </w:r>
            <w:r>
              <w:rPr>
                <w:rFonts w:hint="eastAsia" w:ascii="宋体" w:hAnsi="宋体" w:eastAsia="宋体" w:cs="宋体"/>
                <w:color w:val="auto"/>
                <w:highlight w:val="none"/>
              </w:rPr>
              <w:t>115200</w:t>
            </w:r>
            <w:r>
              <w:rPr>
                <w:rFonts w:hint="eastAsia" w:ascii="宋体" w:hAnsi="宋体" w:cs="宋体"/>
                <w:color w:val="auto"/>
                <w:highlight w:val="none"/>
                <w:lang w:eastAsia="zh-CN"/>
              </w:rPr>
              <w:t>（</w:t>
            </w:r>
            <w:r>
              <w:rPr>
                <w:rFonts w:hint="eastAsia" w:ascii="宋体" w:hAnsi="宋体" w:eastAsia="宋体" w:cs="宋体"/>
                <w:color w:val="auto"/>
                <w:highlight w:val="none"/>
              </w:rPr>
              <w:t>bps</w:t>
            </w:r>
            <w:r>
              <w:rPr>
                <w:rFonts w:hint="eastAsia" w:ascii="宋体" w:hAnsi="宋体" w:cs="宋体"/>
                <w:color w:val="auto"/>
                <w:highlight w:val="none"/>
                <w:lang w:eastAsia="zh-CN"/>
              </w:rPr>
              <w:t>）</w:t>
            </w:r>
          </w:p>
          <w:p w14:paraId="12C9E18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串口数：1路RS232、1路RS485</w:t>
            </w:r>
          </w:p>
          <w:p w14:paraId="4B719BA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网络协议：TCP. UDP.HTTP.MQTT</w:t>
            </w:r>
          </w:p>
          <w:p w14:paraId="644851E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IP获取方式：静态IP、DHCP</w:t>
            </w:r>
          </w:p>
          <w:p w14:paraId="0C5DE64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域名解析：支持</w:t>
            </w:r>
          </w:p>
          <w:p w14:paraId="64E51E7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用户配置：软件配置，网页配置，串口/网络AT指令配置</w:t>
            </w:r>
          </w:p>
          <w:p w14:paraId="552A137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简单透传方式：TCP. UDP、HTTP、MQTT</w:t>
            </w:r>
          </w:p>
          <w:p w14:paraId="31F64EB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软件参数：TCP Server连接</w:t>
            </w:r>
          </w:p>
          <w:p w14:paraId="01F7BA14">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网络缓存：25Kbyte</w:t>
            </w:r>
          </w:p>
          <w:p w14:paraId="2AEF191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串口缓存：3Kbyte</w:t>
            </w:r>
          </w:p>
          <w:p w14:paraId="05F5163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平均传输延时：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10ms</w:t>
            </w:r>
          </w:p>
          <w:p w14:paraId="6137088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可配接探测器种类：液位传感器、水压传感器、温湿度传感器</w:t>
            </w:r>
          </w:p>
        </w:tc>
        <w:tc>
          <w:tcPr>
            <w:tcW w:w="829" w:type="dxa"/>
            <w:noWrap w:val="0"/>
            <w:vAlign w:val="center"/>
          </w:tcPr>
          <w:p w14:paraId="3C712BBA">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1F80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317F63C6">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15</w:t>
            </w:r>
          </w:p>
        </w:tc>
        <w:tc>
          <w:tcPr>
            <w:tcW w:w="1212" w:type="dxa"/>
            <w:shd w:val="clear" w:color="auto" w:fill="auto"/>
            <w:noWrap w:val="0"/>
            <w:vAlign w:val="center"/>
          </w:tcPr>
          <w:p w14:paraId="2BF6F13C">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三维水泵房档案制作</w:t>
            </w:r>
          </w:p>
        </w:tc>
        <w:tc>
          <w:tcPr>
            <w:tcW w:w="496" w:type="dxa"/>
            <w:noWrap w:val="0"/>
            <w:vAlign w:val="center"/>
          </w:tcPr>
          <w:p w14:paraId="27E3F1ED">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008D7165">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5808" w:type="dxa"/>
            <w:noWrap w:val="0"/>
            <w:vAlign w:val="center"/>
          </w:tcPr>
          <w:p w14:paraId="7105BD8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完成消防水泵房、全区域消防给水管网现场实测复核，按 1:1等比例完成 3D 三维 “一张图” 建模，精准还原现场设备布局、管网走向、安装标高等实际状态，完成模型与现场的一致性校验，确保无错漏。</w:t>
            </w:r>
          </w:p>
          <w:p w14:paraId="31217E0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对水泵、阀门、仪表、报警阀组等全量消防设施开展精细化建模，同步标注设备型号规格、核心技术参数、精准安装位置、全周期维保信息，所有标注信息与对应模型构件深度绑定，支持一键溯源查看。</w:t>
            </w:r>
          </w:p>
          <w:p w14:paraId="57556A7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完成水压、液位、流量等现场监测设备的通讯接口对接与数据联调，实现实时监测数据与三维模型对应点位的精准绑定、同步展示；按国家消防规范设定分级阈值，数据异常时对应点位自动触发高亮预警，同步推送异常信息。</w:t>
            </w:r>
          </w:p>
          <w:p w14:paraId="2D0F700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开发三维模型无级缩放、360°旋转、全场景漫游等基础交互功能，适配日常巡检查看需求；在模型内对应设备点位嵌入专属远程控制入口，实现可视化一键启停控制，配套设置分级权限校验、不可篡改的操作全流程日志追溯功能，完成全系统联调测试。需现场核对图纸、测量数据，完善信息，专业技术员建模型、测试。</w:t>
            </w:r>
          </w:p>
        </w:tc>
        <w:tc>
          <w:tcPr>
            <w:tcW w:w="829" w:type="dxa"/>
            <w:noWrap w:val="0"/>
            <w:vAlign w:val="center"/>
          </w:tcPr>
          <w:p w14:paraId="717D4E9B">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软件和信息技术服务业</w:t>
            </w:r>
          </w:p>
        </w:tc>
      </w:tr>
      <w:tr w14:paraId="327F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0F17A5D">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16</w:t>
            </w:r>
          </w:p>
        </w:tc>
        <w:tc>
          <w:tcPr>
            <w:tcW w:w="1212" w:type="dxa"/>
            <w:shd w:val="clear" w:color="auto" w:fill="auto"/>
            <w:noWrap w:val="0"/>
            <w:vAlign w:val="center"/>
          </w:tcPr>
          <w:p w14:paraId="6D6F04C7">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音响</w:t>
            </w:r>
          </w:p>
        </w:tc>
        <w:tc>
          <w:tcPr>
            <w:tcW w:w="496" w:type="dxa"/>
            <w:noWrap w:val="0"/>
            <w:vAlign w:val="center"/>
          </w:tcPr>
          <w:p w14:paraId="71A31CE9">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682205A7">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5808" w:type="dxa"/>
            <w:noWrap w:val="0"/>
            <w:vAlign w:val="center"/>
          </w:tcPr>
          <w:p w14:paraId="0A7277A2">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rPr>
              <w:t>电脑有源音响，适配智慧消防报警音提示需求</w:t>
            </w:r>
            <w:r>
              <w:rPr>
                <w:rFonts w:hint="eastAsia" w:ascii="宋体" w:hAnsi="宋体" w:eastAsia="宋体" w:cs="宋体"/>
                <w:color w:val="auto"/>
                <w:highlight w:val="none"/>
                <w:lang w:eastAsia="zh-CN"/>
              </w:rPr>
              <w:t>。</w:t>
            </w:r>
          </w:p>
          <w:p w14:paraId="72A3A08F">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rPr>
              <w:t>双声道立体声，音量可调，报警音清晰洪亮</w:t>
            </w:r>
            <w:r>
              <w:rPr>
                <w:rFonts w:hint="eastAsia" w:ascii="宋体" w:hAnsi="宋体" w:eastAsia="宋体" w:cs="宋体"/>
                <w:color w:val="auto"/>
                <w:highlight w:val="none"/>
                <w:lang w:eastAsia="zh-CN"/>
              </w:rPr>
              <w:t>。</w:t>
            </w:r>
          </w:p>
          <w:p w14:paraId="19C0CED7">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频率响应范围 20Hz-20KHz，失真度≤1%</w:t>
            </w:r>
            <w:r>
              <w:rPr>
                <w:rFonts w:hint="eastAsia" w:ascii="宋体" w:hAnsi="宋体" w:eastAsia="宋体" w:cs="宋体"/>
                <w:color w:val="auto"/>
                <w:highlight w:val="none"/>
                <w:lang w:eastAsia="zh-CN"/>
              </w:rPr>
              <w:t>。</w:t>
            </w:r>
          </w:p>
          <w:p w14:paraId="0139D801">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防磁干扰设计，避免与监控设备产生信号干扰。</w:t>
            </w:r>
          </w:p>
        </w:tc>
        <w:tc>
          <w:tcPr>
            <w:tcW w:w="829" w:type="dxa"/>
            <w:noWrap w:val="0"/>
            <w:vAlign w:val="center"/>
          </w:tcPr>
          <w:p w14:paraId="208D4612">
            <w:pPr>
              <w:keepNext w:val="0"/>
              <w:keepLines w:val="0"/>
              <w:pageBreakBefore w:val="0"/>
              <w:widowControl w:val="0"/>
              <w:numPr>
                <w:ilvl w:val="0"/>
                <w:numId w:val="0"/>
              </w:numPr>
              <w:shd w:val="clear"/>
              <w:kinsoku/>
              <w:wordWrap w:val="0"/>
              <w:overflowPunct/>
              <w:topLinePunct/>
              <w:autoSpaceDE/>
              <w:autoSpaceDN/>
              <w:bidi w:val="0"/>
              <w:adjustRightInd/>
              <w:snapToGrid/>
              <w:spacing w:line="400" w:lineRule="exact"/>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1A4E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3CAEEA59">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17</w:t>
            </w:r>
          </w:p>
        </w:tc>
        <w:tc>
          <w:tcPr>
            <w:tcW w:w="1212" w:type="dxa"/>
            <w:shd w:val="clear" w:color="auto" w:fill="auto"/>
            <w:noWrap w:val="0"/>
            <w:vAlign w:val="center"/>
          </w:tcPr>
          <w:p w14:paraId="10D94ACB">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工业级企业无线路由器</w:t>
            </w:r>
          </w:p>
        </w:tc>
        <w:tc>
          <w:tcPr>
            <w:tcW w:w="496" w:type="dxa"/>
            <w:noWrap w:val="0"/>
            <w:vAlign w:val="center"/>
          </w:tcPr>
          <w:p w14:paraId="7AD0CFD2">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459" w:type="dxa"/>
            <w:noWrap w:val="0"/>
            <w:vAlign w:val="center"/>
          </w:tcPr>
          <w:p w14:paraId="0A476CC9">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5808" w:type="dxa"/>
            <w:noWrap w:val="0"/>
            <w:vAlign w:val="center"/>
          </w:tcPr>
          <w:p w14:paraId="78219628">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采用4G全网通+有线双备份</w:t>
            </w:r>
            <w:r>
              <w:rPr>
                <w:rFonts w:hint="eastAsia" w:ascii="宋体" w:hAnsi="宋体" w:eastAsia="宋体" w:cs="宋体"/>
                <w:color w:val="auto"/>
                <w:highlight w:val="none"/>
                <w:lang w:eastAsia="zh-CN"/>
              </w:rPr>
              <w:t>Wi-Fi</w:t>
            </w:r>
            <w:r>
              <w:rPr>
                <w:rFonts w:hint="eastAsia" w:ascii="宋体" w:hAnsi="宋体" w:eastAsia="宋体" w:cs="宋体"/>
                <w:color w:val="auto"/>
                <w:highlight w:val="none"/>
              </w:rPr>
              <w:t>6无线技术，支持有线宽带与4G蜂窝网络双链路冗余备份、断线自动切换；支持2.4GHz+5GHz双频并发，整机无线并发速率1800Mbps；</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配备1个千兆WAN口与4个千兆LAN口，所有网口均为10/100/1000Mbps自适应；支持PPPoE、动态IP、静态IP等多种上网方式，支持IPv4/IPv6双栈协议；采用外置天线，支持OFDMA、MU-MIMO传输技术，支持WPA3安全加密、企业级防火墙、支持远程运维管理功能</w:t>
            </w:r>
            <w:r>
              <w:rPr>
                <w:rFonts w:hint="eastAsia" w:ascii="宋体" w:hAnsi="宋体" w:eastAsia="宋体" w:cs="宋体"/>
                <w:color w:val="auto"/>
                <w:highlight w:val="none"/>
                <w:lang w:eastAsia="zh-CN"/>
              </w:rPr>
              <w:t>。</w:t>
            </w:r>
          </w:p>
        </w:tc>
        <w:tc>
          <w:tcPr>
            <w:tcW w:w="829" w:type="dxa"/>
            <w:noWrap w:val="0"/>
            <w:vAlign w:val="center"/>
          </w:tcPr>
          <w:p w14:paraId="1D578E2F">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469A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10E1B100">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1212" w:type="dxa"/>
            <w:shd w:val="clear" w:color="auto" w:fill="auto"/>
            <w:noWrap w:val="0"/>
            <w:vAlign w:val="center"/>
          </w:tcPr>
          <w:p w14:paraId="726E5F16">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视频推流操作终端1000路</w:t>
            </w:r>
          </w:p>
        </w:tc>
        <w:tc>
          <w:tcPr>
            <w:tcW w:w="496" w:type="dxa"/>
            <w:noWrap w:val="0"/>
            <w:vAlign w:val="center"/>
          </w:tcPr>
          <w:p w14:paraId="6125E306">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459" w:type="dxa"/>
            <w:noWrap w:val="0"/>
            <w:vAlign w:val="center"/>
          </w:tcPr>
          <w:p w14:paraId="167378C8">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5808" w:type="dxa"/>
            <w:noWrap w:val="0"/>
            <w:vAlign w:val="center"/>
          </w:tcPr>
          <w:p w14:paraId="23738E9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配合智慧消防安消联动功能使用，具备大并发视频流转发与联动事件存储能力。</w:t>
            </w:r>
          </w:p>
          <w:p w14:paraId="1236A13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采用高性能算力低功耗嵌入式架构</w:t>
            </w:r>
          </w:p>
          <w:p w14:paraId="760728A3">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支持≤1000路（1080P，H264/H265，240kb/s/路）视频直播推流，300路同时拉流及500人并发观看。</w:t>
            </w:r>
          </w:p>
          <w:p w14:paraId="6F50237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双千兆网口保障高并发场景下的稳定传输。</w:t>
            </w:r>
          </w:p>
          <w:p w14:paraId="3FB5D4C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支持前端预警触发的告警视频缓存与留存，秒级触发录像，录像文件本地存储后自动上传，无延迟。</w:t>
            </w:r>
          </w:p>
          <w:p w14:paraId="6138D96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支持从</w:t>
            </w:r>
            <w:r>
              <w:rPr>
                <w:rFonts w:hint="eastAsia" w:ascii="宋体" w:hAnsi="宋体" w:eastAsia="宋体" w:cs="宋体"/>
                <w:color w:val="auto"/>
                <w:highlight w:val="none"/>
                <w:lang w:eastAsia="zh-CN"/>
              </w:rPr>
              <w:t>既有</w:t>
            </w:r>
            <w:r>
              <w:rPr>
                <w:rFonts w:hint="eastAsia" w:ascii="宋体" w:hAnsi="宋体" w:eastAsia="宋体" w:cs="宋体"/>
                <w:color w:val="auto"/>
                <w:highlight w:val="none"/>
              </w:rPr>
              <w:t>硬盘录像机调取录像回放。</w:t>
            </w:r>
          </w:p>
          <w:p w14:paraId="346BB7C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支持H.265编码格式，适配WS-FLV、HLS多终端直播；</w:t>
            </w:r>
          </w:p>
          <w:p w14:paraId="06F3993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支持本地内网部署与远程安全接入双架构，核心服务部署于项目本地内网，手机端等远程终端通过云服务器构建的VPN等加密安全通道实现合规访问，带宽资源可控可管，有效规避网络拥塞与画面卡顿，全面满足大型项目智慧消防安消联动全流程视频管控需求。</w:t>
            </w:r>
          </w:p>
          <w:p w14:paraId="2BCA33F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电源：DC12V</w:t>
            </w:r>
          </w:p>
          <w:p w14:paraId="2282006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功耗：＜10W</w:t>
            </w:r>
          </w:p>
          <w:p w14:paraId="13A6E11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硬件接口：RJ45×2（100/1000M自适应）、USB接口×1、HDMI×1、IO输出×2、电源接口×1。</w:t>
            </w:r>
          </w:p>
          <w:p w14:paraId="7D5A634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存储配置：每台内置2块8TB监控级硬盘（3.5英寸SATA 6Gb/s、5400 RPM、24×7稳定写入、年负载180TB+、MTBF 100万小时，核心特性：采用非叠瓦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CMR/非SMR</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技术，读写寿命更长，数据更安全；专为24×7全天候监控环境设计，支持高负载连续写入，长期稳定运行）。</w:t>
            </w:r>
          </w:p>
        </w:tc>
        <w:tc>
          <w:tcPr>
            <w:tcW w:w="829" w:type="dxa"/>
            <w:noWrap w:val="0"/>
            <w:vAlign w:val="center"/>
          </w:tcPr>
          <w:p w14:paraId="073041C8">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工业</w:t>
            </w:r>
          </w:p>
        </w:tc>
      </w:tr>
      <w:tr w14:paraId="24A8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07DA0A91">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19</w:t>
            </w:r>
          </w:p>
        </w:tc>
        <w:tc>
          <w:tcPr>
            <w:tcW w:w="1212" w:type="dxa"/>
            <w:shd w:val="clear" w:color="auto" w:fill="auto"/>
            <w:noWrap w:val="0"/>
            <w:vAlign w:val="center"/>
          </w:tcPr>
          <w:p w14:paraId="7A9A5FC5">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音视频边缘网关</w:t>
            </w:r>
          </w:p>
        </w:tc>
        <w:tc>
          <w:tcPr>
            <w:tcW w:w="496" w:type="dxa"/>
            <w:noWrap w:val="0"/>
            <w:vAlign w:val="center"/>
          </w:tcPr>
          <w:p w14:paraId="604A1D3F">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58583680">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台</w:t>
            </w:r>
          </w:p>
        </w:tc>
        <w:tc>
          <w:tcPr>
            <w:tcW w:w="5808" w:type="dxa"/>
            <w:noWrap w:val="0"/>
            <w:vAlign w:val="center"/>
          </w:tcPr>
          <w:p w14:paraId="78314A0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电源输入：DC输入电压220V</w:t>
            </w:r>
          </w:p>
          <w:p w14:paraId="7536CF7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运算资源：i5</w:t>
            </w:r>
            <w:r>
              <w:rPr>
                <w:rFonts w:hint="eastAsia" w:ascii="宋体" w:hAnsi="宋体" w:cs="宋体"/>
                <w:color w:val="auto"/>
                <w:highlight w:val="none"/>
                <w:lang w:val="en-US" w:eastAsia="zh-CN"/>
              </w:rPr>
              <w:t>或同档次以上</w:t>
            </w:r>
            <w:r>
              <w:rPr>
                <w:rFonts w:hint="eastAsia" w:ascii="宋体" w:hAnsi="宋体" w:eastAsia="宋体" w:cs="宋体"/>
                <w:color w:val="auto"/>
                <w:highlight w:val="none"/>
              </w:rPr>
              <w:t xml:space="preserve"> 8GB内存</w:t>
            </w:r>
          </w:p>
          <w:p w14:paraId="6BA3E4F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协议标准：IEEE 802.3</w:t>
            </w:r>
          </w:p>
          <w:p w14:paraId="290BAEE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内置视频流处理服务</w:t>
            </w:r>
          </w:p>
        </w:tc>
        <w:tc>
          <w:tcPr>
            <w:tcW w:w="829" w:type="dxa"/>
            <w:noWrap w:val="0"/>
            <w:vAlign w:val="center"/>
          </w:tcPr>
          <w:p w14:paraId="0AA4DE3C">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44BE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2B8399A7">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1212" w:type="dxa"/>
            <w:shd w:val="clear" w:color="auto" w:fill="auto"/>
            <w:noWrap w:val="0"/>
            <w:vAlign w:val="center"/>
          </w:tcPr>
          <w:p w14:paraId="204B0AA6">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安消联动视频调试</w:t>
            </w:r>
          </w:p>
        </w:tc>
        <w:tc>
          <w:tcPr>
            <w:tcW w:w="496" w:type="dxa"/>
            <w:noWrap w:val="0"/>
            <w:vAlign w:val="center"/>
          </w:tcPr>
          <w:p w14:paraId="0773C70B">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09DEAE40">
            <w:pPr>
              <w:widowControl/>
              <w:shd w:val="clear"/>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5808" w:type="dxa"/>
            <w:noWrap w:val="0"/>
            <w:vAlign w:val="center"/>
          </w:tcPr>
          <w:p w14:paraId="1D782E7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完成视频设备与智慧消防平台的接口程序编写及协议解析；</w:t>
            </w:r>
          </w:p>
          <w:p w14:paraId="5F37A5E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实现消防报警与视频弹窗、录像、抓拍、语音播报联动；</w:t>
            </w:r>
          </w:p>
          <w:p w14:paraId="1FDE779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调试视频流平台接入、预览、回放、存储功能，确保画面清晰流畅；</w:t>
            </w:r>
          </w:p>
          <w:p w14:paraId="57AA266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形成完整调试报告，确保安消联动功能全部达标。</w:t>
            </w:r>
          </w:p>
        </w:tc>
        <w:tc>
          <w:tcPr>
            <w:tcW w:w="829" w:type="dxa"/>
            <w:noWrap w:val="0"/>
            <w:vAlign w:val="center"/>
          </w:tcPr>
          <w:p w14:paraId="36620813">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软件和信息技术服务业</w:t>
            </w:r>
          </w:p>
        </w:tc>
      </w:tr>
      <w:tr w14:paraId="4FFE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106F5BD6">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1212" w:type="dxa"/>
            <w:shd w:val="clear" w:color="auto" w:fill="auto"/>
            <w:noWrap w:val="0"/>
            <w:vAlign w:val="center"/>
          </w:tcPr>
          <w:p w14:paraId="11B9E34E">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超六类网线</w:t>
            </w:r>
          </w:p>
        </w:tc>
        <w:tc>
          <w:tcPr>
            <w:tcW w:w="496" w:type="dxa"/>
            <w:noWrap w:val="0"/>
            <w:vAlign w:val="center"/>
          </w:tcPr>
          <w:p w14:paraId="24E1783C">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310</w:t>
            </w:r>
          </w:p>
        </w:tc>
        <w:tc>
          <w:tcPr>
            <w:tcW w:w="459" w:type="dxa"/>
            <w:noWrap w:val="0"/>
            <w:vAlign w:val="center"/>
          </w:tcPr>
          <w:p w14:paraId="242105E5">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米</w:t>
            </w:r>
          </w:p>
        </w:tc>
        <w:tc>
          <w:tcPr>
            <w:tcW w:w="5808" w:type="dxa"/>
            <w:noWrap w:val="0"/>
            <w:vAlign w:val="center"/>
          </w:tcPr>
          <w:p w14:paraId="07A8456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超六类四对屏蔽水平电缆UTP增强型阻燃双绞线，执行标准为</w:t>
            </w:r>
            <w:r>
              <w:rPr>
                <w:rFonts w:hint="eastAsia" w:ascii="宋体" w:hAnsi="宋体" w:eastAsia="宋体" w:cs="宋体"/>
                <w:color w:val="auto"/>
                <w:highlight w:val="none"/>
                <w:lang w:eastAsia="zh-CN"/>
              </w:rPr>
              <w:t>《数字通信用聚烯烃绝缘水平对绞电缆》</w:t>
            </w:r>
            <w:r>
              <w:rPr>
                <w:rFonts w:hint="eastAsia" w:ascii="宋体" w:hAnsi="宋体" w:eastAsia="宋体" w:cs="宋体"/>
                <w:color w:val="auto"/>
                <w:highlight w:val="none"/>
              </w:rPr>
              <w:t>YD/T 1019-2023，导体材质为高纯精炼无氧铜，护套为环保阻燃PVC，传输速率为1000MBPS-250MHZ，20℃时1.0-250.0MHz时延差≤45</w:t>
            </w:r>
            <w:r>
              <w:rPr>
                <w:rFonts w:hint="eastAsia" w:ascii="宋体" w:hAnsi="宋体" w:cs="宋体"/>
                <w:color w:val="auto"/>
                <w:highlight w:val="none"/>
                <w:lang w:eastAsia="zh-CN"/>
              </w:rPr>
              <w:t>（</w:t>
            </w:r>
            <w:r>
              <w:rPr>
                <w:rFonts w:hint="eastAsia" w:ascii="宋体" w:hAnsi="宋体" w:eastAsia="宋体" w:cs="宋体"/>
                <w:color w:val="auto"/>
                <w:highlight w:val="none"/>
              </w:rPr>
              <w:t>ns/100m</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，20℃时直流电阻≤9.5Ω/100m，20℃时1.0-250.0MHz特性阻抗100±15Ω。用于智慧消防系统前端采集设备连接到各栋建筑计算中心设置的交换机处。</w:t>
            </w:r>
          </w:p>
        </w:tc>
        <w:tc>
          <w:tcPr>
            <w:tcW w:w="829" w:type="dxa"/>
            <w:noWrap w:val="0"/>
            <w:vAlign w:val="center"/>
          </w:tcPr>
          <w:p w14:paraId="423CC41A">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1779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085B28EE">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22</w:t>
            </w:r>
          </w:p>
        </w:tc>
        <w:tc>
          <w:tcPr>
            <w:tcW w:w="1212" w:type="dxa"/>
            <w:shd w:val="clear" w:color="auto" w:fill="auto"/>
            <w:noWrap w:val="0"/>
            <w:vAlign w:val="center"/>
          </w:tcPr>
          <w:p w14:paraId="0DA996C6">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光纤线</w:t>
            </w:r>
          </w:p>
        </w:tc>
        <w:tc>
          <w:tcPr>
            <w:tcW w:w="496" w:type="dxa"/>
            <w:noWrap w:val="0"/>
            <w:vAlign w:val="center"/>
          </w:tcPr>
          <w:p w14:paraId="49E9CD63">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300</w:t>
            </w:r>
          </w:p>
        </w:tc>
        <w:tc>
          <w:tcPr>
            <w:tcW w:w="459" w:type="dxa"/>
            <w:noWrap w:val="0"/>
            <w:vAlign w:val="center"/>
          </w:tcPr>
          <w:p w14:paraId="350E4343">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米</w:t>
            </w:r>
          </w:p>
        </w:tc>
        <w:tc>
          <w:tcPr>
            <w:tcW w:w="5808" w:type="dxa"/>
            <w:noWrap w:val="0"/>
            <w:vAlign w:val="center"/>
          </w:tcPr>
          <w:p w14:paraId="6839BD2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G.655（非零色散位移光纤），4芯单模光纤，纤芯直径：8.2±0.4μm，包层直径：125±1μm，抗拉强度：≥3000N，最小弯曲半径：静态：≥15倍光缆外径、动态：≥30倍光缆外径，工作温度范围：-40℃至+70℃，衰减：1550nm≤0.22[dB/km]、1625nm≤0.24[dB/km]，波长范围内的色散：1530~1565nm为2.0~6.0[ps/(nm-km)]、1565~1625nm为4.5~11.2[ps/(nm-km)]。智慧消防系统前端采集设备连接到各栋建筑计算中心设置的交换机处（传输距离大于100m时使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布线时需要熔纤、配置接线盒、光纤盘、FC对接头、尾纤等。</w:t>
            </w:r>
          </w:p>
        </w:tc>
        <w:tc>
          <w:tcPr>
            <w:tcW w:w="829" w:type="dxa"/>
            <w:noWrap w:val="0"/>
            <w:vAlign w:val="center"/>
          </w:tcPr>
          <w:p w14:paraId="0B8D789B">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612A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7DAD55B8">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1212" w:type="dxa"/>
            <w:shd w:val="clear" w:color="auto" w:fill="auto"/>
            <w:noWrap w:val="0"/>
            <w:vAlign w:val="center"/>
          </w:tcPr>
          <w:p w14:paraId="15C5C24D">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耐火屏蔽双绞线1</w:t>
            </w:r>
          </w:p>
        </w:tc>
        <w:tc>
          <w:tcPr>
            <w:tcW w:w="496" w:type="dxa"/>
            <w:noWrap w:val="0"/>
            <w:vAlign w:val="center"/>
          </w:tcPr>
          <w:p w14:paraId="16B4727E">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5260</w:t>
            </w:r>
          </w:p>
        </w:tc>
        <w:tc>
          <w:tcPr>
            <w:tcW w:w="459" w:type="dxa"/>
            <w:noWrap w:val="0"/>
            <w:vAlign w:val="center"/>
          </w:tcPr>
          <w:p w14:paraId="3D9410AE">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米</w:t>
            </w:r>
          </w:p>
        </w:tc>
        <w:tc>
          <w:tcPr>
            <w:tcW w:w="5808" w:type="dxa"/>
            <w:noWrap w:val="0"/>
            <w:vAlign w:val="center"/>
          </w:tcPr>
          <w:p w14:paraId="696712B1">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导体：材质为多股软铜（无氧铜）</w:t>
            </w:r>
          </w:p>
          <w:p w14:paraId="14D8C73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单股横截面规格：2.5</w:t>
            </w:r>
            <w:r>
              <w:rPr>
                <w:rFonts w:hint="eastAsia" w:ascii="宋体" w:hAnsi="宋体" w:eastAsia="宋体" w:cs="宋体"/>
                <w:color w:val="auto"/>
                <w:highlight w:val="none"/>
                <w:lang w:val="en-US"/>
              </w:rPr>
              <w:t>㎡</w:t>
            </w:r>
            <w:r>
              <w:rPr>
                <w:rFonts w:hint="eastAsia" w:ascii="宋体" w:hAnsi="宋体" w:eastAsia="宋体" w:cs="宋体"/>
                <w:color w:val="auto"/>
                <w:highlight w:val="none"/>
              </w:rPr>
              <w:t>，第5类导体（多股细铜丝绞合）</w:t>
            </w:r>
          </w:p>
          <w:p w14:paraId="5BC1477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单丝直径：≤0.21mm</w:t>
            </w:r>
          </w:p>
          <w:p w14:paraId="299925D0">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直流电阻（20℃）：≤7.98Ω/km</w:t>
            </w:r>
          </w:p>
          <w:p w14:paraId="7F543FA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绝缘料：聚乙烯（PE）（低烟无卤）</w:t>
            </w:r>
          </w:p>
          <w:p w14:paraId="51BE431B">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厚度：约0.8mm</w:t>
            </w:r>
          </w:p>
          <w:p w14:paraId="601DA832">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屏蔽层：结构：铜丝编织屏蔽（覆盖率≥80%），或铝箔+铜网，作用：抗电磁干扰（EMI/RFI）</w:t>
            </w:r>
          </w:p>
          <w:p w14:paraId="567309C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护套：材料为低烟无卤聚烯烃（LSZH）</w:t>
            </w:r>
          </w:p>
          <w:p w14:paraId="29CD2E7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外径：约8.0～9.0mm。</w:t>
            </w:r>
          </w:p>
        </w:tc>
        <w:tc>
          <w:tcPr>
            <w:tcW w:w="829" w:type="dxa"/>
            <w:noWrap w:val="0"/>
            <w:vAlign w:val="center"/>
          </w:tcPr>
          <w:p w14:paraId="7F93830C">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778C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CB9CFD7">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24</w:t>
            </w:r>
          </w:p>
        </w:tc>
        <w:tc>
          <w:tcPr>
            <w:tcW w:w="1212" w:type="dxa"/>
            <w:shd w:val="clear" w:color="auto" w:fill="auto"/>
            <w:noWrap w:val="0"/>
            <w:vAlign w:val="center"/>
          </w:tcPr>
          <w:p w14:paraId="4240BD5C">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耐火屏蔽双绞线2</w:t>
            </w:r>
          </w:p>
        </w:tc>
        <w:tc>
          <w:tcPr>
            <w:tcW w:w="496" w:type="dxa"/>
            <w:noWrap w:val="0"/>
            <w:vAlign w:val="center"/>
          </w:tcPr>
          <w:p w14:paraId="277F9ECE">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1230</w:t>
            </w:r>
          </w:p>
        </w:tc>
        <w:tc>
          <w:tcPr>
            <w:tcW w:w="459" w:type="dxa"/>
            <w:noWrap w:val="0"/>
            <w:vAlign w:val="center"/>
          </w:tcPr>
          <w:p w14:paraId="0397B0BA">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米</w:t>
            </w:r>
          </w:p>
        </w:tc>
        <w:tc>
          <w:tcPr>
            <w:tcW w:w="5808" w:type="dxa"/>
            <w:noWrap w:val="0"/>
            <w:vAlign w:val="center"/>
          </w:tcPr>
          <w:p w14:paraId="49CBFC1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导体：材质为多股软铜（无氧铜）</w:t>
            </w:r>
          </w:p>
          <w:p w14:paraId="3B67A1D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单股横截面规格：1.5</w:t>
            </w:r>
            <w:r>
              <w:rPr>
                <w:rFonts w:hint="eastAsia" w:ascii="宋体" w:hAnsi="宋体" w:eastAsia="宋体" w:cs="宋体"/>
                <w:color w:val="auto"/>
                <w:highlight w:val="none"/>
                <w:lang w:val="en-US"/>
              </w:rPr>
              <w:t>㎡</w:t>
            </w:r>
            <w:r>
              <w:rPr>
                <w:rFonts w:hint="eastAsia" w:ascii="宋体" w:hAnsi="宋体" w:eastAsia="宋体" w:cs="宋体"/>
                <w:color w:val="auto"/>
                <w:highlight w:val="none"/>
              </w:rPr>
              <w:t>，第5类导体（多股细铜丝绞合）</w:t>
            </w:r>
          </w:p>
          <w:p w14:paraId="29790907">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单丝直径：≤0.20mm</w:t>
            </w:r>
          </w:p>
          <w:p w14:paraId="66F6C695">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直流电阻（20℃）：≤12.1Ω/km</w:t>
            </w:r>
          </w:p>
          <w:p w14:paraId="5EB16E5F">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绝缘料：聚乙烯（PE）（低烟无卤）</w:t>
            </w:r>
          </w:p>
          <w:p w14:paraId="01BDC52C">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厚度：约0.7mm</w:t>
            </w:r>
          </w:p>
          <w:p w14:paraId="71F95526">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屏蔽层：结构：铜丝编织屏蔽（覆盖率≥80%），或铝箔+铜网，作用：抗电磁干扰（EMI/RFI）</w:t>
            </w:r>
          </w:p>
          <w:p w14:paraId="45D8EEBE">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护套：材料为低烟无卤聚烯烃（LSZH）</w:t>
            </w:r>
          </w:p>
          <w:p w14:paraId="6E70266D">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外径：约7.0～8.0mm。</w:t>
            </w:r>
          </w:p>
        </w:tc>
        <w:tc>
          <w:tcPr>
            <w:tcW w:w="829" w:type="dxa"/>
            <w:noWrap w:val="0"/>
            <w:vAlign w:val="center"/>
          </w:tcPr>
          <w:p w14:paraId="41CBA921">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68AE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5CAD0BC3">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25</w:t>
            </w:r>
          </w:p>
        </w:tc>
        <w:tc>
          <w:tcPr>
            <w:tcW w:w="1212" w:type="dxa"/>
            <w:shd w:val="clear" w:color="auto" w:fill="auto"/>
            <w:noWrap w:val="0"/>
            <w:vAlign w:val="center"/>
          </w:tcPr>
          <w:p w14:paraId="2259E14B">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镀锌金属线管</w:t>
            </w:r>
          </w:p>
        </w:tc>
        <w:tc>
          <w:tcPr>
            <w:tcW w:w="496" w:type="dxa"/>
            <w:noWrap w:val="0"/>
            <w:vAlign w:val="center"/>
          </w:tcPr>
          <w:p w14:paraId="6928CD36">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7100</w:t>
            </w:r>
          </w:p>
        </w:tc>
        <w:tc>
          <w:tcPr>
            <w:tcW w:w="459" w:type="dxa"/>
            <w:noWrap w:val="0"/>
            <w:vAlign w:val="center"/>
          </w:tcPr>
          <w:p w14:paraId="28D7C3B2">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米</w:t>
            </w:r>
          </w:p>
        </w:tc>
        <w:tc>
          <w:tcPr>
            <w:tcW w:w="5808" w:type="dxa"/>
            <w:noWrap w:val="0"/>
            <w:vAlign w:val="center"/>
          </w:tcPr>
          <w:p w14:paraId="62D008A9">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明敷镀锌金属线管SC20，管径为20mm，壁厚1.2mm，可冷弯。防火涂料喷涂，1.0h喷涂厚度≥1.0mm，表干时间≤4h，实干≤24h，耐水性：浸水168h无起泡、脱落，耐湿热：7天无开裂、剥落，冻融循环：15次无明显损伤。刷涂：羊毛刷/聚酯海绵刷，分层薄涂，每层干膜0.2–0.3mm（水性）/0.15–0.25mm（溶剂型）</w:t>
            </w:r>
          </w:p>
        </w:tc>
        <w:tc>
          <w:tcPr>
            <w:tcW w:w="829" w:type="dxa"/>
            <w:noWrap w:val="0"/>
            <w:vAlign w:val="center"/>
          </w:tcPr>
          <w:p w14:paraId="04693442">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工业</w:t>
            </w:r>
          </w:p>
        </w:tc>
      </w:tr>
      <w:tr w14:paraId="0A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0"/>
            <w:vAlign w:val="center"/>
          </w:tcPr>
          <w:p w14:paraId="667392D8">
            <w:pPr>
              <w:shd w:val="clear"/>
              <w:tabs>
                <w:tab w:val="left" w:pos="180"/>
                <w:tab w:val="left" w:pos="1620"/>
              </w:tabs>
              <w:spacing w:line="40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26</w:t>
            </w:r>
          </w:p>
        </w:tc>
        <w:tc>
          <w:tcPr>
            <w:tcW w:w="1212" w:type="dxa"/>
            <w:shd w:val="clear" w:color="auto" w:fill="auto"/>
            <w:noWrap w:val="0"/>
            <w:vAlign w:val="center"/>
          </w:tcPr>
          <w:p w14:paraId="052DAFA0">
            <w:pPr>
              <w:widowControl/>
              <w:shd w:val="clear"/>
              <w:tabs>
                <w:tab w:val="left" w:pos="3150"/>
              </w:tabs>
              <w:jc w:val="center"/>
              <w:textAlignment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施工</w:t>
            </w:r>
          </w:p>
        </w:tc>
        <w:tc>
          <w:tcPr>
            <w:tcW w:w="496" w:type="dxa"/>
            <w:noWrap w:val="0"/>
            <w:vAlign w:val="center"/>
          </w:tcPr>
          <w:p w14:paraId="61488A32">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59" w:type="dxa"/>
            <w:noWrap w:val="0"/>
            <w:vAlign w:val="center"/>
          </w:tcPr>
          <w:p w14:paraId="6EAAAE51">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5808" w:type="dxa"/>
            <w:noWrap w:val="0"/>
            <w:vAlign w:val="center"/>
          </w:tcPr>
          <w:p w14:paraId="43CF87CA">
            <w:pPr>
              <w:keepNext w:val="0"/>
              <w:keepLines w:val="0"/>
              <w:pageBreakBefore w:val="0"/>
              <w:widowControl w:val="0"/>
              <w:shd w:val="clear"/>
              <w:kinsoku/>
              <w:wordWrap w:val="0"/>
              <w:overflowPunct/>
              <w:topLinePunct/>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负责</w:t>
            </w:r>
            <w:r>
              <w:rPr>
                <w:rFonts w:hint="eastAsia" w:ascii="宋体" w:hAnsi="宋体" w:eastAsia="宋体" w:cs="宋体"/>
                <w:color w:val="auto"/>
                <w:highlight w:val="none"/>
              </w:rPr>
              <w:t>453号楼、药基楼、卓越楼、综合楼、图书馆等建筑的智慧消防设备</w:t>
            </w:r>
            <w:r>
              <w:rPr>
                <w:rFonts w:hint="eastAsia" w:ascii="宋体" w:hAnsi="宋体" w:cs="宋体"/>
                <w:color w:val="auto"/>
                <w:highlight w:val="none"/>
                <w:lang w:val="en-US" w:eastAsia="zh-CN"/>
              </w:rPr>
              <w:t>安装工作</w:t>
            </w:r>
            <w:r>
              <w:rPr>
                <w:rFonts w:hint="eastAsia" w:ascii="宋体" w:hAnsi="宋体" w:eastAsia="宋体" w:cs="宋体"/>
                <w:color w:val="auto"/>
                <w:highlight w:val="none"/>
              </w:rPr>
              <w:t>，需从各建筑单体布线连接到总监控室，</w:t>
            </w:r>
            <w:r>
              <w:rPr>
                <w:rFonts w:hint="eastAsia" w:ascii="宋体" w:hAnsi="宋体" w:cs="宋体"/>
                <w:color w:val="auto"/>
                <w:highlight w:val="none"/>
                <w:lang w:eastAsia="zh-CN"/>
              </w:rPr>
              <w:t>涉及</w:t>
            </w:r>
            <w:r>
              <w:rPr>
                <w:rFonts w:hint="eastAsia" w:ascii="宋体" w:hAnsi="宋体" w:eastAsia="宋体" w:cs="宋体"/>
                <w:color w:val="auto"/>
                <w:highlight w:val="none"/>
              </w:rPr>
              <w:t>埋地线管穿线、路面破除恢复、施工围挡等措施，安装人工、安全防护设施（施工围挡）、路面破除和恢复。</w:t>
            </w:r>
          </w:p>
        </w:tc>
        <w:tc>
          <w:tcPr>
            <w:tcW w:w="829" w:type="dxa"/>
            <w:noWrap w:val="0"/>
            <w:vAlign w:val="center"/>
          </w:tcPr>
          <w:p w14:paraId="19737E34">
            <w:pPr>
              <w:keepNext w:val="0"/>
              <w:keepLines w:val="0"/>
              <w:pageBreakBefore w:val="0"/>
              <w:widowControl w:val="0"/>
              <w:shd w:val="clear"/>
              <w:kinsoku/>
              <w:wordWrap w:val="0"/>
              <w:overflowPunct/>
              <w:topLinePunct/>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建筑业</w:t>
            </w:r>
          </w:p>
        </w:tc>
      </w:tr>
      <w:tr w14:paraId="01C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6" w:type="dxa"/>
            <w:gridSpan w:val="6"/>
            <w:noWrap w:val="0"/>
            <w:vAlign w:val="center"/>
          </w:tcPr>
          <w:p w14:paraId="58F24E1D">
            <w:pPr>
              <w:shd w:val="clear"/>
              <w:tabs>
                <w:tab w:val="left" w:pos="180"/>
                <w:tab w:val="left" w:pos="1620"/>
              </w:tabs>
              <w:spacing w:line="400" w:lineRule="exact"/>
              <w:jc w:val="left"/>
              <w:rPr>
                <w:rFonts w:ascii="宋体" w:hAnsi="宋体"/>
                <w:color w:val="auto"/>
                <w:szCs w:val="21"/>
                <w:highlight w:val="none"/>
              </w:rPr>
            </w:pPr>
            <w:r>
              <w:rPr>
                <w:rFonts w:hint="eastAsia" w:ascii="宋体" w:hAnsi="宋体"/>
                <w:b/>
                <w:color w:val="auto"/>
                <w:szCs w:val="21"/>
                <w:highlight w:val="none"/>
              </w:rPr>
              <w:t>商务要求表</w:t>
            </w:r>
          </w:p>
        </w:tc>
      </w:tr>
      <w:tr w14:paraId="6CC9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5D838CED">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交付使用时间</w:t>
            </w:r>
          </w:p>
        </w:tc>
        <w:tc>
          <w:tcPr>
            <w:tcW w:w="7096" w:type="dxa"/>
            <w:gridSpan w:val="3"/>
            <w:noWrap w:val="0"/>
            <w:vAlign w:val="center"/>
          </w:tcPr>
          <w:p w14:paraId="401A45A6">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接到采购人通知交货之日起</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日（日历日）内安装验收完成。</w:t>
            </w:r>
          </w:p>
        </w:tc>
      </w:tr>
      <w:tr w14:paraId="0E40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14C60145">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交付使用地点</w:t>
            </w:r>
          </w:p>
        </w:tc>
        <w:tc>
          <w:tcPr>
            <w:tcW w:w="7096" w:type="dxa"/>
            <w:gridSpan w:val="3"/>
            <w:noWrap w:val="0"/>
            <w:vAlign w:val="center"/>
          </w:tcPr>
          <w:p w14:paraId="3D76A1D2">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广西区内由采购单位指定地点。</w:t>
            </w:r>
          </w:p>
        </w:tc>
      </w:tr>
      <w:tr w14:paraId="031C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7399DDFD">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售后服务要求</w:t>
            </w:r>
          </w:p>
        </w:tc>
        <w:tc>
          <w:tcPr>
            <w:tcW w:w="7096" w:type="dxa"/>
            <w:gridSpan w:val="3"/>
            <w:noWrap w:val="0"/>
            <w:vAlign w:val="center"/>
          </w:tcPr>
          <w:p w14:paraId="0BCCFABD">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故障响应时间：成交人接到故障通知后需在1小时内作出响应（电话），成交供应商须主动电话沟通，核实故障情况并提供初步处置方案；同时南宁市内在2小时内派工程师到现场进行故障解除；南宁市外在6小时内派工程师到现场进行故障解除。</w:t>
            </w:r>
          </w:p>
          <w:p w14:paraId="787173DD">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2.免费培训采购单位维护人员，保证维护人员能进行日常运行维护工作；并能熟练地排除故障、管理设备、分析故障等。</w:t>
            </w:r>
          </w:p>
          <w:p w14:paraId="56F182E7">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3.项目施工期间，成交供应商需在校内设立临时服务办公点，全程驻点服务，直至本项目售后质保服务期限届满。</w:t>
            </w:r>
          </w:p>
        </w:tc>
      </w:tr>
      <w:tr w14:paraId="7517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7066E11A">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7096" w:type="dxa"/>
            <w:gridSpan w:val="3"/>
            <w:noWrap w:val="0"/>
            <w:vAlign w:val="center"/>
          </w:tcPr>
          <w:p w14:paraId="64985E36">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分项有要求的按分项服务要求，分项没有要求的质保期</w:t>
            </w:r>
            <w:r>
              <w:rPr>
                <w:rFonts w:hint="eastAsia" w:ascii="宋体" w:hAnsi="宋体" w:eastAsia="宋体" w:cs="宋体"/>
                <w:color w:val="auto"/>
                <w:szCs w:val="21"/>
                <w:highlight w:val="none"/>
              </w:rPr>
              <w:t>（保修期）</w:t>
            </w:r>
            <w:r>
              <w:rPr>
                <w:rFonts w:hint="eastAsia" w:ascii="宋体" w:hAnsi="宋体" w:eastAsia="宋体" w:cs="宋体"/>
                <w:color w:val="auto"/>
                <w:highlight w:val="none"/>
              </w:rPr>
              <w:t>1年（自验收合格之日起计）其余按国家规定的厂家承诺实行“三包”。</w:t>
            </w:r>
          </w:p>
        </w:tc>
      </w:tr>
      <w:tr w14:paraId="25D0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118A08F8">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付款条件</w:t>
            </w:r>
          </w:p>
        </w:tc>
        <w:tc>
          <w:tcPr>
            <w:tcW w:w="7096" w:type="dxa"/>
            <w:gridSpan w:val="3"/>
            <w:noWrap w:val="0"/>
            <w:vAlign w:val="center"/>
          </w:tcPr>
          <w:p w14:paraId="5C9AB332">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包含图书馆、药基楼、研究生公寓、留学生公寓、卓越楼、职工宿舍453栋、综合楼消防控制室相关设备，其中职工宿舍453栋对应合同金额占项目总价款的七分之一。依据采购人物业管理条例及校内管理规定，该部分费用由采购人承担12%，住户承担88%。按以下规则支付合同款项：</w:t>
            </w:r>
          </w:p>
          <w:p w14:paraId="2DFD51E5">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1.合同项下货物安装调试完毕且经采购人验收合格，采购人收到成交人提交的验收报告及付款申请资料后60个工作日内支付扣除职工宿舍453栋全部对应款项后，剩余合同价款一次性全额支付。</w:t>
            </w:r>
          </w:p>
          <w:p w14:paraId="57432175">
            <w:pPr>
              <w:keepNext w:val="0"/>
              <w:keepLines w:val="0"/>
              <w:pageBreakBefore w:val="0"/>
              <w:widowControl/>
              <w:shd w:val="clear"/>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2.职工宿舍453栋住户分摊的款项，待向住户全额收缴完毕后另行支付。</w:t>
            </w:r>
          </w:p>
          <w:p w14:paraId="40A1A626">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每次付款前，</w:t>
            </w:r>
            <w:r>
              <w:rPr>
                <w:rFonts w:hint="eastAsia" w:ascii="宋体" w:hAnsi="宋体" w:eastAsia="宋体" w:cs="宋体"/>
                <w:color w:val="auto"/>
                <w:szCs w:val="21"/>
                <w:highlight w:val="none"/>
                <w:lang w:eastAsia="zh-CN"/>
              </w:rPr>
              <w:t>成交人</w:t>
            </w:r>
            <w:r>
              <w:rPr>
                <w:rFonts w:hint="eastAsia" w:ascii="宋体" w:hAnsi="宋体" w:eastAsia="宋体" w:cs="宋体"/>
                <w:color w:val="auto"/>
                <w:szCs w:val="21"/>
                <w:highlight w:val="none"/>
              </w:rPr>
              <w:t>需提供</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支付金额的</w:t>
            </w:r>
            <w:r>
              <w:rPr>
                <w:rFonts w:hint="eastAsia" w:ascii="宋体" w:hAnsi="宋体" w:eastAsia="宋体" w:cs="宋体"/>
                <w:color w:val="auto"/>
                <w:szCs w:val="21"/>
                <w:highlight w:val="none"/>
                <w:lang w:val="en-US" w:eastAsia="zh-CN"/>
              </w:rPr>
              <w:t>真实、</w:t>
            </w:r>
            <w:r>
              <w:rPr>
                <w:rFonts w:hint="eastAsia" w:ascii="宋体" w:hAnsi="宋体" w:eastAsia="宋体" w:cs="宋体"/>
                <w:color w:val="auto"/>
                <w:szCs w:val="21"/>
                <w:highlight w:val="none"/>
              </w:rPr>
              <w:t>合法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有效的正式</w:t>
            </w:r>
            <w:r>
              <w:rPr>
                <w:rFonts w:hint="eastAsia" w:ascii="宋体" w:hAnsi="宋体" w:eastAsia="宋体" w:cs="宋体"/>
                <w:color w:val="auto"/>
                <w:szCs w:val="21"/>
                <w:highlight w:val="none"/>
              </w:rPr>
              <w:t>发票。</w:t>
            </w:r>
          </w:p>
        </w:tc>
      </w:tr>
      <w:tr w14:paraId="51A2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59FCB9A8">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7096" w:type="dxa"/>
            <w:gridSpan w:val="3"/>
            <w:noWrap w:val="0"/>
            <w:vAlign w:val="center"/>
          </w:tcPr>
          <w:p w14:paraId="3A4C7B2E">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一、总体要求</w:t>
            </w:r>
          </w:p>
          <w:p w14:paraId="41940494">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本项目按总价包干，为交钥匙项目，竞标报价中须包含设备及零配件、备品备件、材料、消耗品、工具的采购和运输（装卸），项目安装、调试、检测、试验及验收、配合服务费、售后服务、税金、利润及其他所有成本等费用，若有与其他项目承包商配合服务费由竞标人自行与其他承包方按照市场规则进行协商，采购人予以积极配合。</w:t>
            </w:r>
          </w:p>
          <w:p w14:paraId="16A14A5B">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成交人不得将项目非法分包或转包给任何单位和个人，否则采购人有权即刻终止合同，并要求成交人赔偿相应损失。</w:t>
            </w:r>
          </w:p>
          <w:p w14:paraId="6F830082">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二、采购标的验收标准</w:t>
            </w:r>
          </w:p>
          <w:p w14:paraId="463289B8">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验收过程中所产生的一切费用均由成交人承担。报价时应考虑相关费用。</w:t>
            </w:r>
          </w:p>
          <w:p w14:paraId="4C3EC379">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成交人在货物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tc>
      </w:tr>
      <w:tr w14:paraId="58D1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0" w:type="dxa"/>
            <w:gridSpan w:val="3"/>
            <w:noWrap w:val="0"/>
            <w:vAlign w:val="center"/>
          </w:tcPr>
          <w:p w14:paraId="179A0676">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履约保证金</w:t>
            </w:r>
          </w:p>
        </w:tc>
        <w:tc>
          <w:tcPr>
            <w:tcW w:w="7096" w:type="dxa"/>
            <w:gridSpan w:val="3"/>
            <w:noWrap w:val="0"/>
            <w:vAlign w:val="center"/>
          </w:tcPr>
          <w:p w14:paraId="5FDA3342">
            <w:pPr>
              <w:keepNext w:val="0"/>
              <w:keepLines w:val="0"/>
              <w:pageBreakBefore w:val="0"/>
              <w:widowControl w:val="0"/>
              <w:shd w:val="clear"/>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履约保证金金额：本项目成交金额的</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szCs w:val="21"/>
                <w:highlight w:val="none"/>
              </w:rPr>
              <w:t>。</w:t>
            </w:r>
          </w:p>
          <w:p w14:paraId="110B1FC5">
            <w:pPr>
              <w:keepNext w:val="0"/>
              <w:keepLines w:val="0"/>
              <w:pageBreakBefore w:val="0"/>
              <w:widowControl w:val="0"/>
              <w:shd w:val="clear"/>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履约保证金提交方式：支票、汇票、本票、银行转账或者金融机构、担保机构出具的保函等非现金形式。</w:t>
            </w:r>
          </w:p>
          <w:p w14:paraId="672DBCA0">
            <w:pPr>
              <w:keepNext w:val="0"/>
              <w:keepLines w:val="0"/>
              <w:pageBreakBefore w:val="0"/>
              <w:widowControl w:val="0"/>
              <w:shd w:val="clear"/>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w:t>
            </w:r>
          </w:p>
          <w:p w14:paraId="787B5C9A">
            <w:pPr>
              <w:pStyle w:val="60"/>
              <w:keepNext w:val="0"/>
              <w:keepLines w:val="0"/>
              <w:pageBreakBefore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开户名：</w:t>
            </w:r>
            <w:r>
              <w:rPr>
                <w:rFonts w:hint="eastAsia" w:ascii="宋体" w:hAnsi="宋体" w:eastAsia="宋体" w:cs="宋体"/>
                <w:color w:val="auto"/>
                <w:szCs w:val="21"/>
                <w:highlight w:val="none"/>
                <w:lang w:val="en-US" w:eastAsia="zh-CN"/>
              </w:rPr>
              <w:t>广西医科大学</w:t>
            </w:r>
          </w:p>
          <w:p w14:paraId="2128840A">
            <w:pPr>
              <w:pStyle w:val="60"/>
              <w:keepNext w:val="0"/>
              <w:keepLines w:val="0"/>
              <w:pageBreakBefore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r>
              <w:rPr>
                <w:rFonts w:hint="eastAsia" w:ascii="宋体" w:hAnsi="宋体" w:eastAsia="宋体" w:cs="宋体"/>
                <w:i w:val="0"/>
                <w:iCs w:val="0"/>
                <w:caps w:val="0"/>
                <w:color w:val="auto"/>
                <w:spacing w:val="0"/>
                <w:sz w:val="21"/>
                <w:szCs w:val="21"/>
                <w:highlight w:val="none"/>
              </w:rPr>
              <w:t>中行南宁市医科大支行</w:t>
            </w:r>
          </w:p>
          <w:p w14:paraId="10DE057F">
            <w:pPr>
              <w:pStyle w:val="60"/>
              <w:keepNext w:val="0"/>
              <w:keepLines w:val="0"/>
              <w:pageBreakBefore w:val="0"/>
              <w:suppressLineNumbers w:val="0"/>
              <w:shd w:val="clear"/>
              <w:kinsoku/>
              <w:wordWrap/>
              <w:overflowPunct/>
              <w:topLinePunct w:val="0"/>
              <w:bidi w:val="0"/>
              <w:adjustRightInd/>
              <w:snapToGrid/>
              <w:spacing w:before="0" w:beforeAutospacing="0" w:after="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  号：</w:t>
            </w:r>
            <w:r>
              <w:rPr>
                <w:rFonts w:hint="eastAsia" w:ascii="宋体" w:hAnsi="宋体" w:eastAsia="宋体" w:cs="宋体"/>
                <w:i w:val="0"/>
                <w:iCs w:val="0"/>
                <w:caps w:val="0"/>
                <w:color w:val="auto"/>
                <w:spacing w:val="0"/>
                <w:sz w:val="21"/>
                <w:szCs w:val="21"/>
                <w:highlight w:val="none"/>
              </w:rPr>
              <w:t>622357485287</w:t>
            </w:r>
          </w:p>
          <w:p w14:paraId="1C83BF1D">
            <w:pPr>
              <w:keepNext w:val="0"/>
              <w:keepLines w:val="0"/>
              <w:pageBreakBefore w:val="0"/>
              <w:widowControl w:val="0"/>
              <w:shd w:val="clear"/>
              <w:tabs>
                <w:tab w:val="left" w:pos="180"/>
                <w:tab w:val="left" w:pos="1620"/>
              </w:tabs>
              <w:kinsoku/>
              <w:wordWrap/>
              <w:overflowPunct/>
              <w:topLinePunct w:val="0"/>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银行行号：104611010332</w:t>
            </w:r>
          </w:p>
        </w:tc>
      </w:tr>
      <w:tr w14:paraId="0D54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6" w:type="dxa"/>
            <w:gridSpan w:val="6"/>
            <w:noWrap w:val="0"/>
            <w:vAlign w:val="center"/>
          </w:tcPr>
          <w:p w14:paraId="7A0F38E6">
            <w:pPr>
              <w:shd w:val="clear"/>
              <w:tabs>
                <w:tab w:val="left" w:pos="180"/>
                <w:tab w:val="left" w:pos="1620"/>
              </w:tabs>
              <w:spacing w:line="400" w:lineRule="exact"/>
              <w:jc w:val="left"/>
              <w:rPr>
                <w:rFonts w:ascii="宋体" w:hAnsi="宋体"/>
                <w:b/>
                <w:color w:val="auto"/>
                <w:szCs w:val="21"/>
                <w:highlight w:val="none"/>
              </w:rPr>
            </w:pPr>
            <w:r>
              <w:rPr>
                <w:rFonts w:hint="eastAsia" w:ascii="宋体" w:hAnsi="宋体" w:cs="宋体"/>
                <w:b/>
                <w:color w:val="auto"/>
                <w:kern w:val="0"/>
                <w:szCs w:val="21"/>
                <w:highlight w:val="none"/>
              </w:rPr>
              <w:t>谈判小组根据与供应商谈判情况可能实质性变动的内容</w:t>
            </w:r>
            <w:r>
              <w:rPr>
                <w:rFonts w:hint="eastAsia" w:ascii="宋体" w:hAnsi="宋体"/>
                <w:b/>
                <w:color w:val="auto"/>
                <w:szCs w:val="21"/>
                <w:highlight w:val="none"/>
              </w:rPr>
              <w:t>：</w:t>
            </w:r>
          </w:p>
          <w:p w14:paraId="484417DE">
            <w:pPr>
              <w:shd w:val="clear"/>
              <w:tabs>
                <w:tab w:val="left" w:pos="180"/>
                <w:tab w:val="left" w:pos="1620"/>
              </w:tabs>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未标注“▲”的内容。</w:t>
            </w:r>
          </w:p>
        </w:tc>
      </w:tr>
    </w:tbl>
    <w:p w14:paraId="41086A1E">
      <w:pPr>
        <w:shd w:val="clear"/>
        <w:spacing w:line="400" w:lineRule="exact"/>
        <w:ind w:firstLine="2875" w:firstLineChars="895"/>
        <w:jc w:val="left"/>
        <w:rPr>
          <w:rFonts w:hint="eastAsia" w:ascii="仿宋_GB2312" w:hAnsi="宋体" w:eastAsia="仿宋_GB2312"/>
          <w:b/>
          <w:color w:val="auto"/>
          <w:sz w:val="32"/>
          <w:szCs w:val="32"/>
          <w:highlight w:val="none"/>
        </w:rPr>
      </w:pPr>
    </w:p>
    <w:p w14:paraId="5DE8D44C">
      <w:pPr>
        <w:pStyle w:val="35"/>
        <w:shd w:val="clear"/>
        <w:rPr>
          <w:rFonts w:ascii="仿宋_GB2312" w:hAnsi="宋体" w:eastAsia="仿宋_GB2312"/>
          <w:b w:val="0"/>
          <w:color w:val="auto"/>
          <w:sz w:val="32"/>
          <w:szCs w:val="32"/>
          <w:highlight w:val="none"/>
        </w:rPr>
      </w:pPr>
      <w:r>
        <w:rPr>
          <w:rFonts w:ascii="仿宋_GB2312" w:hAnsi="宋体" w:eastAsia="仿宋_GB2312"/>
          <w:b w:val="0"/>
          <w:color w:val="auto"/>
          <w:sz w:val="32"/>
          <w:szCs w:val="32"/>
          <w:highlight w:val="none"/>
        </w:rPr>
        <w:br w:type="page"/>
      </w:r>
      <w:bookmarkStart w:id="55" w:name="_Toc476258665"/>
      <w:bookmarkStart w:id="56" w:name="_Toc476258759"/>
    </w:p>
    <w:p w14:paraId="724E95CB">
      <w:pPr>
        <w:pStyle w:val="35"/>
        <w:shd w:val="clear"/>
        <w:rPr>
          <w:rFonts w:ascii="仿宋_GB2312" w:hAnsi="宋体" w:eastAsia="仿宋_GB2312"/>
          <w:b w:val="0"/>
          <w:color w:val="auto"/>
          <w:sz w:val="32"/>
          <w:szCs w:val="32"/>
          <w:highlight w:val="none"/>
        </w:rPr>
      </w:pPr>
    </w:p>
    <w:p w14:paraId="797A9989">
      <w:pPr>
        <w:pStyle w:val="35"/>
        <w:shd w:val="clear"/>
        <w:rPr>
          <w:rFonts w:ascii="仿宋_GB2312" w:hAnsi="宋体" w:eastAsia="仿宋_GB2312"/>
          <w:b w:val="0"/>
          <w:color w:val="auto"/>
          <w:sz w:val="32"/>
          <w:szCs w:val="32"/>
          <w:highlight w:val="none"/>
        </w:rPr>
      </w:pPr>
    </w:p>
    <w:p w14:paraId="34EF3C2A">
      <w:pPr>
        <w:pStyle w:val="35"/>
        <w:shd w:val="clear"/>
        <w:rPr>
          <w:rFonts w:ascii="仿宋_GB2312" w:hAnsi="宋体" w:eastAsia="仿宋_GB2312"/>
          <w:b w:val="0"/>
          <w:color w:val="auto"/>
          <w:sz w:val="32"/>
          <w:szCs w:val="32"/>
          <w:highlight w:val="none"/>
        </w:rPr>
      </w:pPr>
    </w:p>
    <w:p w14:paraId="6A79AA76">
      <w:pPr>
        <w:pStyle w:val="35"/>
        <w:shd w:val="clear"/>
        <w:rPr>
          <w:rFonts w:ascii="仿宋_GB2312" w:hAnsi="宋体" w:eastAsia="仿宋_GB2312"/>
          <w:b w:val="0"/>
          <w:color w:val="auto"/>
          <w:sz w:val="32"/>
          <w:szCs w:val="32"/>
          <w:highlight w:val="none"/>
        </w:rPr>
      </w:pPr>
    </w:p>
    <w:p w14:paraId="0F096E99">
      <w:pPr>
        <w:pStyle w:val="35"/>
        <w:shd w:val="clear"/>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第四章  竞争性谈判响应文件格式</w:t>
      </w:r>
      <w:bookmarkEnd w:id="55"/>
      <w:bookmarkEnd w:id="56"/>
    </w:p>
    <w:p w14:paraId="5EEA2076">
      <w:pPr>
        <w:shd w:val="clear"/>
        <w:spacing w:line="500" w:lineRule="exact"/>
        <w:jc w:val="center"/>
        <w:rPr>
          <w:rFonts w:hint="eastAsia" w:ascii="仿宋_GB2312" w:hAnsi="宋体" w:eastAsia="仿宋_GB2312"/>
          <w:b/>
          <w:color w:val="auto"/>
          <w:sz w:val="32"/>
          <w:szCs w:val="32"/>
          <w:highlight w:val="none"/>
        </w:rPr>
      </w:pPr>
    </w:p>
    <w:p w14:paraId="7ACADF99">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竞争性谈判响应文件</w:t>
      </w:r>
      <w:r>
        <w:rPr>
          <w:rFonts w:hint="eastAsia" w:ascii="宋体" w:hAnsi="宋体"/>
          <w:b/>
          <w:bCs/>
          <w:color w:val="auto"/>
          <w:sz w:val="30"/>
          <w:szCs w:val="30"/>
          <w:highlight w:val="none"/>
        </w:rPr>
        <w:t>格式</w:t>
      </w:r>
    </w:p>
    <w:p w14:paraId="57DC0519">
      <w:pPr>
        <w:shd w:val="clear"/>
        <w:spacing w:line="240" w:lineRule="atLeast"/>
        <w:rPr>
          <w:rFonts w:hint="eastAsia" w:ascii="仿宋_GB2312" w:hAnsi="宋体" w:eastAsia="仿宋_GB2312"/>
          <w:b/>
          <w:color w:val="auto"/>
          <w:sz w:val="32"/>
          <w:szCs w:val="32"/>
          <w:highlight w:val="none"/>
          <w:u w:val="single"/>
        </w:rPr>
      </w:pPr>
    </w:p>
    <w:p w14:paraId="5AF7AC4C">
      <w:pPr>
        <w:shd w:val="clear"/>
        <w:spacing w:line="240" w:lineRule="atLeast"/>
        <w:rPr>
          <w:rFonts w:hint="eastAsia" w:ascii="仿宋_GB2312" w:hAnsi="宋体" w:eastAsia="仿宋_GB2312"/>
          <w:b/>
          <w:color w:val="auto"/>
          <w:sz w:val="32"/>
          <w:szCs w:val="32"/>
          <w:highlight w:val="none"/>
        </w:rPr>
      </w:pPr>
    </w:p>
    <w:p w14:paraId="7EABA7A2">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19ED1DAB">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竞争性谈判响应文件</w:t>
      </w:r>
    </w:p>
    <w:p w14:paraId="6FBEE294">
      <w:pPr>
        <w:shd w:val="clear"/>
        <w:spacing w:line="500" w:lineRule="exact"/>
        <w:ind w:firstLine="420" w:firstLineChars="200"/>
        <w:rPr>
          <w:rFonts w:hint="eastAsia" w:ascii="宋体" w:hAnsi="宋体"/>
          <w:color w:val="auto"/>
          <w:szCs w:val="21"/>
          <w:highlight w:val="none"/>
        </w:rPr>
      </w:pPr>
    </w:p>
    <w:p w14:paraId="53E3B65A">
      <w:pPr>
        <w:shd w:val="clear"/>
        <w:spacing w:line="500" w:lineRule="exact"/>
        <w:ind w:firstLine="420" w:firstLineChars="200"/>
        <w:rPr>
          <w:rFonts w:hint="eastAsia" w:ascii="宋体" w:hAnsi="宋体"/>
          <w:color w:val="auto"/>
          <w:szCs w:val="21"/>
          <w:highlight w:val="none"/>
        </w:rPr>
      </w:pPr>
    </w:p>
    <w:p w14:paraId="23898BBB">
      <w:pPr>
        <w:shd w:val="clear"/>
        <w:spacing w:line="500" w:lineRule="exact"/>
        <w:ind w:firstLine="420" w:firstLineChars="200"/>
        <w:rPr>
          <w:rFonts w:hint="eastAsia" w:ascii="宋体" w:hAnsi="宋体"/>
          <w:color w:val="auto"/>
          <w:szCs w:val="21"/>
          <w:highlight w:val="none"/>
        </w:rPr>
      </w:pPr>
    </w:p>
    <w:p w14:paraId="725B5DFD">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236A2F40">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5213FA8A">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42DAB7BB">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谈判供应商名称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621D87A6">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7849CD5C">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7993019D">
      <w:pPr>
        <w:shd w:val="clear"/>
        <w:spacing w:line="520" w:lineRule="exact"/>
        <w:rPr>
          <w:rFonts w:hint="eastAsia" w:ascii="宋体" w:hAnsi="宋体"/>
          <w:color w:val="auto"/>
          <w:szCs w:val="21"/>
          <w:highlight w:val="none"/>
        </w:rPr>
      </w:pPr>
    </w:p>
    <w:p w14:paraId="21C67160">
      <w:pPr>
        <w:shd w:val="clear"/>
        <w:spacing w:line="520" w:lineRule="exact"/>
        <w:ind w:firstLine="3767" w:firstLineChars="1340"/>
        <w:rPr>
          <w:rFonts w:hint="eastAsia" w:ascii="宋体" w:hAnsi="宋体"/>
          <w:b/>
          <w:color w:val="auto"/>
          <w:sz w:val="28"/>
          <w:szCs w:val="28"/>
          <w:highlight w:val="none"/>
        </w:rPr>
      </w:pPr>
    </w:p>
    <w:p w14:paraId="195B4349">
      <w:pPr>
        <w:shd w:val="clear"/>
        <w:spacing w:line="520" w:lineRule="exact"/>
        <w:ind w:firstLine="3767" w:firstLineChars="1340"/>
        <w:rPr>
          <w:rFonts w:hint="eastAsia" w:ascii="宋体" w:hAnsi="宋体"/>
          <w:b/>
          <w:color w:val="auto"/>
          <w:sz w:val="28"/>
          <w:szCs w:val="28"/>
          <w:highlight w:val="none"/>
        </w:rPr>
      </w:pPr>
    </w:p>
    <w:p w14:paraId="72FACE57">
      <w:pPr>
        <w:shd w:val="clear"/>
        <w:spacing w:line="520" w:lineRule="exact"/>
        <w:ind w:firstLine="3767" w:firstLineChars="1340"/>
        <w:rPr>
          <w:rFonts w:hint="eastAsia" w:ascii="宋体" w:hAnsi="宋体"/>
          <w:b/>
          <w:color w:val="auto"/>
          <w:sz w:val="28"/>
          <w:szCs w:val="28"/>
          <w:highlight w:val="none"/>
        </w:rPr>
      </w:pPr>
    </w:p>
    <w:p w14:paraId="2CD4A0CB">
      <w:pPr>
        <w:shd w:val="clear"/>
        <w:spacing w:line="520" w:lineRule="exact"/>
        <w:ind w:firstLine="3767" w:firstLineChars="1340"/>
        <w:rPr>
          <w:rFonts w:hint="eastAsia" w:ascii="宋体" w:hAnsi="宋体"/>
          <w:b/>
          <w:color w:val="auto"/>
          <w:sz w:val="28"/>
          <w:szCs w:val="28"/>
          <w:highlight w:val="none"/>
        </w:rPr>
      </w:pPr>
    </w:p>
    <w:p w14:paraId="5719067D">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0CA6E07C">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71D85666">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5C0B26D9">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43086E23">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663E1ED5">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分标号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9"/>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845"/>
        <w:gridCol w:w="2645"/>
        <w:gridCol w:w="823"/>
        <w:gridCol w:w="1419"/>
        <w:gridCol w:w="996"/>
      </w:tblGrid>
      <w:tr w14:paraId="67F0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14:paraId="67A026BE">
            <w:pPr>
              <w:pStyle w:val="21"/>
              <w:shd w:val="clear"/>
              <w:spacing w:line="400" w:lineRule="exact"/>
              <w:jc w:val="center"/>
              <w:rPr>
                <w:rFonts w:hint="eastAsia" w:hAnsi="宋体"/>
                <w:color w:val="auto"/>
                <w:spacing w:val="-20"/>
                <w:highlight w:val="none"/>
              </w:rPr>
            </w:pPr>
            <w:r>
              <w:rPr>
                <w:rFonts w:hint="eastAsia" w:hAnsi="宋体"/>
                <w:color w:val="auto"/>
                <w:spacing w:val="-20"/>
                <w:highlight w:val="none"/>
              </w:rPr>
              <w:t>序号</w:t>
            </w:r>
          </w:p>
        </w:tc>
        <w:tc>
          <w:tcPr>
            <w:tcW w:w="1011" w:type="dxa"/>
            <w:tcBorders>
              <w:bottom w:val="single" w:color="auto" w:sz="4" w:space="0"/>
            </w:tcBorders>
            <w:noWrap w:val="0"/>
            <w:vAlign w:val="center"/>
          </w:tcPr>
          <w:p w14:paraId="6A695B0E">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267" w:type="dxa"/>
            <w:tcBorders>
              <w:bottom w:val="single" w:color="auto" w:sz="4" w:space="0"/>
            </w:tcBorders>
            <w:noWrap w:val="0"/>
            <w:vAlign w:val="center"/>
          </w:tcPr>
          <w:p w14:paraId="543687B1">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品牌、型号规格、生产厂家</w:t>
            </w:r>
          </w:p>
        </w:tc>
        <w:tc>
          <w:tcPr>
            <w:tcW w:w="713" w:type="dxa"/>
            <w:tcBorders>
              <w:bottom w:val="single" w:color="auto" w:sz="4" w:space="0"/>
            </w:tcBorders>
            <w:noWrap w:val="0"/>
            <w:vAlign w:val="center"/>
          </w:tcPr>
          <w:p w14:paraId="41F14586">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r>
              <w:rPr>
                <w:rFonts w:hint="eastAsia" w:hAnsi="宋体"/>
                <w:color w:val="auto"/>
                <w:highlight w:val="none"/>
              </w:rPr>
              <w:t>①</w:t>
            </w:r>
          </w:p>
        </w:tc>
        <w:tc>
          <w:tcPr>
            <w:tcW w:w="845" w:type="dxa"/>
            <w:tcBorders>
              <w:bottom w:val="single" w:color="auto" w:sz="4" w:space="0"/>
            </w:tcBorders>
            <w:noWrap w:val="0"/>
            <w:vAlign w:val="center"/>
          </w:tcPr>
          <w:p w14:paraId="186009C0">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2645" w:type="dxa"/>
            <w:tcBorders>
              <w:bottom w:val="single" w:color="auto" w:sz="4" w:space="0"/>
            </w:tcBorders>
            <w:noWrap w:val="0"/>
            <w:vAlign w:val="center"/>
          </w:tcPr>
          <w:p w14:paraId="73860DC1">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技术参数及性能配置要求</w:t>
            </w:r>
          </w:p>
        </w:tc>
        <w:tc>
          <w:tcPr>
            <w:tcW w:w="823" w:type="dxa"/>
            <w:tcBorders>
              <w:bottom w:val="single" w:color="auto" w:sz="4" w:space="0"/>
            </w:tcBorders>
            <w:noWrap w:val="0"/>
            <w:vAlign w:val="center"/>
          </w:tcPr>
          <w:p w14:paraId="5F7068CD">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单价</w:t>
            </w:r>
            <w:r>
              <w:rPr>
                <w:rFonts w:hint="eastAsia" w:hAnsi="宋体"/>
                <w:color w:val="auto"/>
                <w:highlight w:val="none"/>
              </w:rPr>
              <w:t>②</w:t>
            </w:r>
          </w:p>
        </w:tc>
        <w:tc>
          <w:tcPr>
            <w:tcW w:w="1419" w:type="dxa"/>
            <w:tcBorders>
              <w:bottom w:val="single" w:color="auto" w:sz="4" w:space="0"/>
            </w:tcBorders>
            <w:noWrap w:val="0"/>
            <w:vAlign w:val="center"/>
          </w:tcPr>
          <w:p w14:paraId="30BC6779">
            <w:pPr>
              <w:pStyle w:val="21"/>
              <w:shd w:val="clear"/>
              <w:spacing w:line="400" w:lineRule="exact"/>
              <w:jc w:val="center"/>
              <w:rPr>
                <w:rFonts w:hint="eastAsia" w:hAnsi="宋体"/>
                <w:color w:val="auto"/>
                <w:highlight w:val="none"/>
              </w:rPr>
            </w:pPr>
            <w:r>
              <w:rPr>
                <w:rFonts w:hint="eastAsia" w:hAnsi="宋体"/>
                <w:color w:val="auto"/>
                <w:highlight w:val="none"/>
              </w:rPr>
              <w:t>单项合价</w:t>
            </w:r>
          </w:p>
          <w:p w14:paraId="2F4A42D9">
            <w:pPr>
              <w:pStyle w:val="21"/>
              <w:shd w:val="clear"/>
              <w:spacing w:line="400" w:lineRule="exact"/>
              <w:jc w:val="center"/>
              <w:rPr>
                <w:rFonts w:hAnsi="宋体"/>
                <w:color w:val="auto"/>
                <w:highlight w:val="none"/>
              </w:rPr>
            </w:pPr>
            <w:r>
              <w:rPr>
                <w:rFonts w:hint="eastAsia" w:hAnsi="宋体"/>
                <w:color w:val="auto"/>
                <w:highlight w:val="none"/>
              </w:rPr>
              <w:t>（元）</w:t>
            </w:r>
          </w:p>
          <w:p w14:paraId="304A62D5">
            <w:pPr>
              <w:pStyle w:val="21"/>
              <w:shd w:val="clear"/>
              <w:spacing w:line="400" w:lineRule="exact"/>
              <w:jc w:val="center"/>
              <w:rPr>
                <w:rFonts w:hAnsi="宋体"/>
                <w:color w:val="auto"/>
                <w:highlight w:val="none"/>
              </w:rPr>
            </w:pPr>
            <w:r>
              <w:rPr>
                <w:rFonts w:hint="eastAsia" w:hAnsi="宋体"/>
                <w:color w:val="auto"/>
                <w:highlight w:val="none"/>
              </w:rPr>
              <w:t>③</w:t>
            </w:r>
            <w:r>
              <w:rPr>
                <w:rFonts w:hAnsi="宋体"/>
                <w:color w:val="auto"/>
                <w:highlight w:val="none"/>
              </w:rPr>
              <w:t>=</w:t>
            </w:r>
            <w:r>
              <w:rPr>
                <w:rFonts w:hint="eastAsia" w:hAnsi="宋体"/>
                <w:color w:val="auto"/>
                <w:highlight w:val="none"/>
              </w:rPr>
              <w:t>①×②</w:t>
            </w:r>
          </w:p>
        </w:tc>
        <w:tc>
          <w:tcPr>
            <w:tcW w:w="996" w:type="dxa"/>
            <w:tcBorders>
              <w:bottom w:val="single" w:color="auto" w:sz="4" w:space="0"/>
            </w:tcBorders>
            <w:noWrap w:val="0"/>
            <w:vAlign w:val="center"/>
          </w:tcPr>
          <w:p w14:paraId="55FDA18C">
            <w:pPr>
              <w:pStyle w:val="21"/>
              <w:shd w:val="clear"/>
              <w:spacing w:line="400" w:lineRule="exact"/>
              <w:jc w:val="center"/>
              <w:rPr>
                <w:rFonts w:hint="eastAsia" w:hAnsi="宋体"/>
                <w:color w:val="auto"/>
                <w:highlight w:val="none"/>
              </w:rPr>
            </w:pPr>
            <w:r>
              <w:rPr>
                <w:rFonts w:hint="eastAsia" w:hAnsi="宋体"/>
                <w:color w:val="auto"/>
                <w:highlight w:val="none"/>
              </w:rPr>
              <w:t>备注</w:t>
            </w:r>
          </w:p>
        </w:tc>
      </w:tr>
      <w:tr w14:paraId="1201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7569655A">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14:paraId="3714E2B8">
            <w:pPr>
              <w:shd w:val="clear"/>
              <w:jc w:val="center"/>
              <w:rPr>
                <w:rFonts w:hint="eastAsia" w:ascii="宋体" w:hAnsi="宋体"/>
                <w:color w:val="auto"/>
                <w:highlight w:val="none"/>
              </w:rPr>
            </w:pPr>
          </w:p>
        </w:tc>
        <w:tc>
          <w:tcPr>
            <w:tcW w:w="1267" w:type="dxa"/>
            <w:noWrap w:val="0"/>
            <w:vAlign w:val="center"/>
          </w:tcPr>
          <w:p w14:paraId="06EB1C90">
            <w:pPr>
              <w:shd w:val="clear"/>
              <w:jc w:val="center"/>
              <w:rPr>
                <w:rFonts w:hint="eastAsia" w:ascii="宋体" w:hAnsi="宋体"/>
                <w:color w:val="auto"/>
                <w:highlight w:val="none"/>
              </w:rPr>
            </w:pPr>
          </w:p>
        </w:tc>
        <w:tc>
          <w:tcPr>
            <w:tcW w:w="713" w:type="dxa"/>
            <w:noWrap w:val="0"/>
            <w:vAlign w:val="center"/>
          </w:tcPr>
          <w:p w14:paraId="3254BDF3">
            <w:pPr>
              <w:pStyle w:val="21"/>
              <w:shd w:val="clear"/>
              <w:rPr>
                <w:rFonts w:hint="eastAsia" w:hAnsi="宋体"/>
                <w:color w:val="auto"/>
                <w:highlight w:val="none"/>
              </w:rPr>
            </w:pPr>
          </w:p>
        </w:tc>
        <w:tc>
          <w:tcPr>
            <w:tcW w:w="845" w:type="dxa"/>
            <w:noWrap w:val="0"/>
            <w:vAlign w:val="center"/>
          </w:tcPr>
          <w:p w14:paraId="461BC3CC">
            <w:pPr>
              <w:pStyle w:val="21"/>
              <w:shd w:val="clear"/>
              <w:rPr>
                <w:rFonts w:hint="eastAsia" w:hAnsi="宋体"/>
                <w:color w:val="auto"/>
                <w:highlight w:val="none"/>
              </w:rPr>
            </w:pPr>
          </w:p>
        </w:tc>
        <w:tc>
          <w:tcPr>
            <w:tcW w:w="2645" w:type="dxa"/>
            <w:noWrap w:val="0"/>
            <w:vAlign w:val="center"/>
          </w:tcPr>
          <w:p w14:paraId="73253238">
            <w:pPr>
              <w:pStyle w:val="21"/>
              <w:shd w:val="clear"/>
              <w:rPr>
                <w:rFonts w:hint="eastAsia" w:hAnsi="宋体"/>
                <w:color w:val="auto"/>
                <w:highlight w:val="none"/>
              </w:rPr>
            </w:pPr>
          </w:p>
        </w:tc>
        <w:tc>
          <w:tcPr>
            <w:tcW w:w="823" w:type="dxa"/>
            <w:noWrap w:val="0"/>
            <w:vAlign w:val="center"/>
          </w:tcPr>
          <w:p w14:paraId="409A48D9">
            <w:pPr>
              <w:pStyle w:val="21"/>
              <w:shd w:val="clear"/>
              <w:rPr>
                <w:rFonts w:hint="eastAsia" w:hAnsi="宋体"/>
                <w:color w:val="auto"/>
                <w:highlight w:val="none"/>
              </w:rPr>
            </w:pPr>
          </w:p>
        </w:tc>
        <w:tc>
          <w:tcPr>
            <w:tcW w:w="1419" w:type="dxa"/>
            <w:noWrap w:val="0"/>
            <w:vAlign w:val="center"/>
          </w:tcPr>
          <w:p w14:paraId="70D1B993">
            <w:pPr>
              <w:pStyle w:val="21"/>
              <w:shd w:val="clear"/>
              <w:rPr>
                <w:rFonts w:hint="eastAsia" w:hAnsi="宋体"/>
                <w:color w:val="auto"/>
                <w:highlight w:val="none"/>
              </w:rPr>
            </w:pPr>
          </w:p>
        </w:tc>
        <w:tc>
          <w:tcPr>
            <w:tcW w:w="996" w:type="dxa"/>
            <w:noWrap w:val="0"/>
            <w:vAlign w:val="center"/>
          </w:tcPr>
          <w:p w14:paraId="13B48724">
            <w:pPr>
              <w:pStyle w:val="21"/>
              <w:shd w:val="clear"/>
              <w:rPr>
                <w:rFonts w:hint="eastAsia" w:hAnsi="宋体"/>
                <w:color w:val="auto"/>
                <w:spacing w:val="-6"/>
                <w:highlight w:val="none"/>
              </w:rPr>
            </w:pPr>
          </w:p>
        </w:tc>
      </w:tr>
      <w:tr w14:paraId="6B10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3E5AAA2A">
            <w:pPr>
              <w:shd w:val="clear"/>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14:paraId="430F0464">
            <w:pPr>
              <w:shd w:val="clear"/>
              <w:jc w:val="center"/>
              <w:rPr>
                <w:rFonts w:hint="eastAsia" w:ascii="宋体" w:hAnsi="宋体"/>
                <w:color w:val="auto"/>
                <w:highlight w:val="none"/>
              </w:rPr>
            </w:pPr>
          </w:p>
        </w:tc>
        <w:tc>
          <w:tcPr>
            <w:tcW w:w="1267" w:type="dxa"/>
            <w:noWrap w:val="0"/>
            <w:vAlign w:val="center"/>
          </w:tcPr>
          <w:p w14:paraId="08018D75">
            <w:pPr>
              <w:shd w:val="clear"/>
              <w:jc w:val="center"/>
              <w:rPr>
                <w:rFonts w:hint="eastAsia" w:ascii="宋体" w:hAnsi="宋体"/>
                <w:color w:val="auto"/>
                <w:highlight w:val="none"/>
              </w:rPr>
            </w:pPr>
          </w:p>
        </w:tc>
        <w:tc>
          <w:tcPr>
            <w:tcW w:w="713" w:type="dxa"/>
            <w:noWrap w:val="0"/>
            <w:vAlign w:val="center"/>
          </w:tcPr>
          <w:p w14:paraId="36477E99">
            <w:pPr>
              <w:pStyle w:val="21"/>
              <w:shd w:val="clear"/>
              <w:rPr>
                <w:rFonts w:hint="eastAsia" w:hAnsi="宋体"/>
                <w:color w:val="auto"/>
                <w:highlight w:val="none"/>
              </w:rPr>
            </w:pPr>
          </w:p>
        </w:tc>
        <w:tc>
          <w:tcPr>
            <w:tcW w:w="845" w:type="dxa"/>
            <w:noWrap w:val="0"/>
            <w:vAlign w:val="center"/>
          </w:tcPr>
          <w:p w14:paraId="3AF1A10B">
            <w:pPr>
              <w:pStyle w:val="21"/>
              <w:shd w:val="clear"/>
              <w:rPr>
                <w:rFonts w:hint="eastAsia" w:hAnsi="宋体"/>
                <w:color w:val="auto"/>
                <w:highlight w:val="none"/>
              </w:rPr>
            </w:pPr>
          </w:p>
        </w:tc>
        <w:tc>
          <w:tcPr>
            <w:tcW w:w="2645" w:type="dxa"/>
            <w:noWrap w:val="0"/>
            <w:vAlign w:val="center"/>
          </w:tcPr>
          <w:p w14:paraId="667A6217">
            <w:pPr>
              <w:pStyle w:val="21"/>
              <w:shd w:val="clear"/>
              <w:rPr>
                <w:rFonts w:hint="eastAsia" w:hAnsi="宋体"/>
                <w:color w:val="auto"/>
                <w:highlight w:val="none"/>
              </w:rPr>
            </w:pPr>
          </w:p>
        </w:tc>
        <w:tc>
          <w:tcPr>
            <w:tcW w:w="823" w:type="dxa"/>
            <w:noWrap w:val="0"/>
            <w:vAlign w:val="center"/>
          </w:tcPr>
          <w:p w14:paraId="390E5BB3">
            <w:pPr>
              <w:pStyle w:val="21"/>
              <w:shd w:val="clear"/>
              <w:rPr>
                <w:rFonts w:hint="eastAsia" w:hAnsi="宋体"/>
                <w:color w:val="auto"/>
                <w:highlight w:val="none"/>
              </w:rPr>
            </w:pPr>
          </w:p>
        </w:tc>
        <w:tc>
          <w:tcPr>
            <w:tcW w:w="1419" w:type="dxa"/>
            <w:noWrap w:val="0"/>
            <w:vAlign w:val="center"/>
          </w:tcPr>
          <w:p w14:paraId="0DB30AD7">
            <w:pPr>
              <w:pStyle w:val="21"/>
              <w:shd w:val="clear"/>
              <w:rPr>
                <w:rFonts w:hint="eastAsia" w:hAnsi="宋体"/>
                <w:color w:val="auto"/>
                <w:highlight w:val="none"/>
              </w:rPr>
            </w:pPr>
          </w:p>
        </w:tc>
        <w:tc>
          <w:tcPr>
            <w:tcW w:w="996" w:type="dxa"/>
            <w:noWrap w:val="0"/>
            <w:vAlign w:val="center"/>
          </w:tcPr>
          <w:p w14:paraId="702FF478">
            <w:pPr>
              <w:pStyle w:val="21"/>
              <w:shd w:val="clear"/>
              <w:rPr>
                <w:rFonts w:hint="eastAsia" w:hAnsi="宋体"/>
                <w:color w:val="auto"/>
                <w:spacing w:val="-6"/>
                <w:highlight w:val="none"/>
              </w:rPr>
            </w:pPr>
          </w:p>
        </w:tc>
      </w:tr>
      <w:tr w14:paraId="098C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629C2776">
            <w:pPr>
              <w:shd w:val="clear"/>
              <w:jc w:val="center"/>
              <w:rPr>
                <w:rFonts w:ascii="宋体" w:hAnsi="宋体"/>
                <w:color w:val="auto"/>
                <w:sz w:val="24"/>
                <w:highlight w:val="none"/>
              </w:rPr>
            </w:pPr>
            <w:r>
              <w:rPr>
                <w:rFonts w:ascii="宋体" w:hAnsi="宋体"/>
                <w:color w:val="auto"/>
                <w:sz w:val="24"/>
                <w:highlight w:val="none"/>
              </w:rPr>
              <w:t>N</w:t>
            </w:r>
          </w:p>
        </w:tc>
        <w:tc>
          <w:tcPr>
            <w:tcW w:w="1011" w:type="dxa"/>
            <w:noWrap w:val="0"/>
            <w:vAlign w:val="center"/>
          </w:tcPr>
          <w:p w14:paraId="2D24C26F">
            <w:pPr>
              <w:shd w:val="clear"/>
              <w:jc w:val="center"/>
              <w:rPr>
                <w:rFonts w:hint="eastAsia" w:ascii="宋体" w:hAnsi="宋体"/>
                <w:color w:val="auto"/>
                <w:highlight w:val="none"/>
              </w:rPr>
            </w:pPr>
          </w:p>
        </w:tc>
        <w:tc>
          <w:tcPr>
            <w:tcW w:w="1267" w:type="dxa"/>
            <w:noWrap w:val="0"/>
            <w:vAlign w:val="center"/>
          </w:tcPr>
          <w:p w14:paraId="7FF57723">
            <w:pPr>
              <w:shd w:val="clear"/>
              <w:jc w:val="center"/>
              <w:rPr>
                <w:rFonts w:hint="eastAsia" w:ascii="宋体" w:hAnsi="宋体"/>
                <w:color w:val="auto"/>
                <w:highlight w:val="none"/>
              </w:rPr>
            </w:pPr>
          </w:p>
        </w:tc>
        <w:tc>
          <w:tcPr>
            <w:tcW w:w="713" w:type="dxa"/>
            <w:noWrap w:val="0"/>
            <w:vAlign w:val="center"/>
          </w:tcPr>
          <w:p w14:paraId="6C378DC9">
            <w:pPr>
              <w:pStyle w:val="21"/>
              <w:shd w:val="clear"/>
              <w:rPr>
                <w:rFonts w:hint="eastAsia" w:hAnsi="宋体"/>
                <w:color w:val="auto"/>
                <w:highlight w:val="none"/>
              </w:rPr>
            </w:pPr>
          </w:p>
        </w:tc>
        <w:tc>
          <w:tcPr>
            <w:tcW w:w="845" w:type="dxa"/>
            <w:noWrap w:val="0"/>
            <w:vAlign w:val="center"/>
          </w:tcPr>
          <w:p w14:paraId="209F1F9A">
            <w:pPr>
              <w:pStyle w:val="21"/>
              <w:shd w:val="clear"/>
              <w:rPr>
                <w:rFonts w:hint="eastAsia" w:hAnsi="宋体"/>
                <w:color w:val="auto"/>
                <w:highlight w:val="none"/>
              </w:rPr>
            </w:pPr>
          </w:p>
        </w:tc>
        <w:tc>
          <w:tcPr>
            <w:tcW w:w="2645" w:type="dxa"/>
            <w:noWrap w:val="0"/>
            <w:vAlign w:val="center"/>
          </w:tcPr>
          <w:p w14:paraId="72F63D63">
            <w:pPr>
              <w:pStyle w:val="21"/>
              <w:shd w:val="clear"/>
              <w:rPr>
                <w:rFonts w:hint="eastAsia" w:hAnsi="宋体"/>
                <w:color w:val="auto"/>
                <w:highlight w:val="none"/>
              </w:rPr>
            </w:pPr>
          </w:p>
        </w:tc>
        <w:tc>
          <w:tcPr>
            <w:tcW w:w="823" w:type="dxa"/>
            <w:noWrap w:val="0"/>
            <w:vAlign w:val="center"/>
          </w:tcPr>
          <w:p w14:paraId="17CA6A41">
            <w:pPr>
              <w:pStyle w:val="21"/>
              <w:shd w:val="clear"/>
              <w:rPr>
                <w:rFonts w:hint="eastAsia" w:hAnsi="宋体"/>
                <w:color w:val="auto"/>
                <w:highlight w:val="none"/>
              </w:rPr>
            </w:pPr>
          </w:p>
        </w:tc>
        <w:tc>
          <w:tcPr>
            <w:tcW w:w="1419" w:type="dxa"/>
            <w:noWrap w:val="0"/>
            <w:vAlign w:val="center"/>
          </w:tcPr>
          <w:p w14:paraId="58B2F98A">
            <w:pPr>
              <w:pStyle w:val="21"/>
              <w:shd w:val="clear"/>
              <w:rPr>
                <w:rFonts w:hint="eastAsia" w:hAnsi="宋体"/>
                <w:color w:val="auto"/>
                <w:highlight w:val="none"/>
              </w:rPr>
            </w:pPr>
          </w:p>
        </w:tc>
        <w:tc>
          <w:tcPr>
            <w:tcW w:w="996" w:type="dxa"/>
            <w:noWrap w:val="0"/>
            <w:vAlign w:val="center"/>
          </w:tcPr>
          <w:p w14:paraId="6F7CBAD7">
            <w:pPr>
              <w:pStyle w:val="21"/>
              <w:shd w:val="clear"/>
              <w:rPr>
                <w:rFonts w:hint="eastAsia" w:hAnsi="宋体"/>
                <w:color w:val="auto"/>
                <w:spacing w:val="-6"/>
                <w:highlight w:val="none"/>
              </w:rPr>
            </w:pPr>
          </w:p>
        </w:tc>
      </w:tr>
      <w:tr w14:paraId="6F43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14:paraId="63EC4FF1">
            <w:pPr>
              <w:pStyle w:val="21"/>
              <w:shd w:val="clear"/>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7DE243B3">
      <w:pPr>
        <w:shd w:val="clear"/>
        <w:spacing w:line="400" w:lineRule="exact"/>
        <w:rPr>
          <w:rFonts w:hint="eastAsia" w:ascii="宋体" w:hAnsi="宋体"/>
          <w:color w:val="auto"/>
          <w:szCs w:val="21"/>
          <w:highlight w:val="none"/>
        </w:rPr>
      </w:pPr>
    </w:p>
    <w:p w14:paraId="2C59216A">
      <w:pPr>
        <w:shd w:val="clear"/>
        <w:spacing w:line="400" w:lineRule="exact"/>
        <w:rPr>
          <w:rFonts w:hint="eastAsia" w:ascii="宋体" w:hAnsi="宋体" w:eastAsia="宋体" w:cs="宋体"/>
          <w:color w:val="auto"/>
          <w:szCs w:val="21"/>
          <w:highlight w:val="none"/>
        </w:rPr>
      </w:pPr>
      <w:r>
        <w:rPr>
          <w:rFonts w:hint="eastAsia" w:ascii="宋体" w:hAnsi="宋体"/>
          <w:color w:val="auto"/>
          <w:szCs w:val="21"/>
          <w:highlight w:val="none"/>
        </w:rPr>
        <w:t>注：</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所有价格均用人民币表示，单位为元，精确到小数点后两位数。</w:t>
      </w:r>
    </w:p>
    <w:p w14:paraId="74C0A1FF">
      <w:pPr>
        <w:shd w:val="clea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highlight w:val="none"/>
          <w:lang w:eastAsia="zh-CN"/>
        </w:rPr>
        <w:t>2.</w:t>
      </w:r>
      <w:r>
        <w:rPr>
          <w:rFonts w:hint="eastAsia" w:ascii="宋体" w:hAnsi="宋体" w:eastAsia="宋体" w:cs="宋体"/>
          <w:bCs/>
          <w:color w:val="auto"/>
          <w:highlight w:val="none"/>
        </w:rPr>
        <w:t>报价指货物、服务、随配附件、备品备件、工具、货物运抵指定交货地点、安装、调试的各种费用和售后服务、税金及其它所有成本、费用的总和</w:t>
      </w:r>
      <w:r>
        <w:rPr>
          <w:rFonts w:hint="eastAsia" w:ascii="宋体" w:hAnsi="宋体" w:eastAsia="宋体" w:cs="宋体"/>
          <w:color w:val="auto"/>
          <w:szCs w:val="21"/>
          <w:highlight w:val="none"/>
        </w:rPr>
        <w:t>。</w:t>
      </w:r>
    </w:p>
    <w:p w14:paraId="0D8665D7">
      <w:pPr>
        <w:shd w:val="clear"/>
        <w:snapToGrid w:val="0"/>
        <w:spacing w:before="50" w:after="5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凡需用专用辅材、耗材的专用设备类采购项目，应按采购文件规定的辅材、耗材量或按耗材的常规试用量提供报价。</w:t>
      </w:r>
    </w:p>
    <w:p w14:paraId="55FC07F9">
      <w:pPr>
        <w:shd w:val="clear"/>
        <w:snapToGrid w:val="0"/>
        <w:spacing w:before="50" w:after="5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报价表中的“货物名称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单项合价”列必须填写；设备类项目“品牌、型号规格、生产厂家”列必须填写（定制产品和服务除外）。</w:t>
      </w:r>
    </w:p>
    <w:p w14:paraId="5BF22135">
      <w:pPr>
        <w:pStyle w:val="21"/>
        <w:shd w:val="clear"/>
        <w:spacing w:line="500" w:lineRule="exact"/>
        <w:ind w:firstLine="420" w:firstLineChars="200"/>
        <w:rPr>
          <w:rFonts w:hint="eastAsia" w:hAnsi="宋体"/>
          <w:color w:val="auto"/>
          <w:highlight w:val="none"/>
        </w:rPr>
      </w:pPr>
    </w:p>
    <w:p w14:paraId="10238FF3">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238FD728">
      <w:pPr>
        <w:pStyle w:val="21"/>
        <w:shd w:val="clear"/>
        <w:spacing w:line="500" w:lineRule="exact"/>
        <w:ind w:firstLine="420" w:firstLineChars="200"/>
        <w:rPr>
          <w:rFonts w:hint="eastAsia" w:hAnsi="宋体"/>
          <w:color w:val="auto"/>
          <w:highlight w:val="none"/>
          <w:u w:val="single"/>
        </w:rPr>
      </w:pPr>
      <w:r>
        <w:rPr>
          <w:rFonts w:hint="eastAsia" w:hAnsi="宋体"/>
          <w:color w:val="auto"/>
          <w:highlight w:val="none"/>
        </w:rPr>
        <w:t>谈判供应商名称（盖章）：</w:t>
      </w:r>
      <w:r>
        <w:rPr>
          <w:rFonts w:hint="eastAsia" w:hAnsi="宋体"/>
          <w:color w:val="auto"/>
          <w:highlight w:val="none"/>
          <w:u w:val="single"/>
        </w:rPr>
        <w:t xml:space="preserve">                             </w:t>
      </w:r>
    </w:p>
    <w:p w14:paraId="452FAF63">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62F76B2">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665EA5B1">
      <w:pPr>
        <w:shd w:val="clear"/>
        <w:spacing w:line="52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谈  判  书</w:t>
      </w:r>
    </w:p>
    <w:p w14:paraId="2F240982">
      <w:pPr>
        <w:shd w:val="clear"/>
        <w:spacing w:line="520" w:lineRule="exact"/>
        <w:jc w:val="center"/>
        <w:rPr>
          <w:rFonts w:hint="eastAsia" w:ascii="宋体" w:hAnsi="宋体"/>
          <w:b/>
          <w:color w:val="auto"/>
          <w:szCs w:val="21"/>
          <w:highlight w:val="none"/>
        </w:rPr>
      </w:pPr>
    </w:p>
    <w:p w14:paraId="09C1D0F0">
      <w:pPr>
        <w:pStyle w:val="21"/>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7561202F">
      <w:pPr>
        <w:pStyle w:val="21"/>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项目政府采购的谈判邀请，我方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（谈判供应商名称、地址）</w:t>
      </w:r>
      <w:r>
        <w:rPr>
          <w:rFonts w:hint="eastAsia" w:hAnsi="宋体"/>
          <w:color w:val="auto"/>
          <w:highlight w:val="none"/>
        </w:rPr>
        <w:t>提交下述竞争性谈判响应文件</w:t>
      </w:r>
      <w:r>
        <w:rPr>
          <w:rFonts w:hint="eastAsia" w:hAnsi="宋体"/>
          <w:b/>
          <w:color w:val="auto"/>
          <w:highlight w:val="none"/>
        </w:rPr>
        <w:t>（资格文件、商务技术文件）。</w:t>
      </w:r>
    </w:p>
    <w:p w14:paraId="29A8C121">
      <w:pPr>
        <w:pStyle w:val="21"/>
        <w:shd w:val="clear"/>
        <w:spacing w:line="520" w:lineRule="exact"/>
        <w:ind w:firstLine="480"/>
        <w:rPr>
          <w:rFonts w:hint="eastAsia" w:hAnsi="宋体"/>
          <w:color w:val="auto"/>
          <w:highlight w:val="none"/>
        </w:rPr>
      </w:pPr>
      <w:r>
        <w:rPr>
          <w:rFonts w:hint="eastAsia" w:hAnsi="宋体"/>
          <w:color w:val="auto"/>
          <w:highlight w:val="none"/>
        </w:rPr>
        <w:t>1. 资格文件；</w:t>
      </w:r>
    </w:p>
    <w:p w14:paraId="1043EFC7">
      <w:pPr>
        <w:pStyle w:val="21"/>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3121351B">
      <w:pPr>
        <w:pStyle w:val="21"/>
        <w:shd w:val="clear"/>
        <w:spacing w:line="520" w:lineRule="exact"/>
        <w:ind w:firstLine="480"/>
        <w:rPr>
          <w:rFonts w:hint="eastAsia" w:hAnsi="宋体"/>
          <w:color w:val="auto"/>
          <w:highlight w:val="none"/>
        </w:rPr>
      </w:pPr>
      <w:r>
        <w:rPr>
          <w:rFonts w:hint="eastAsia" w:hAnsi="宋体"/>
          <w:color w:val="auto"/>
          <w:highlight w:val="none"/>
        </w:rPr>
        <w:t>3. 按竞争性谈判文件谈判供应商须知和采购需求提供的有关文件；</w:t>
      </w:r>
    </w:p>
    <w:p w14:paraId="0C626233">
      <w:pPr>
        <w:pStyle w:val="21"/>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2278CBE4">
      <w:pPr>
        <w:pStyle w:val="21"/>
        <w:shd w:val="clear"/>
        <w:spacing w:line="520" w:lineRule="exact"/>
        <w:ind w:firstLine="480"/>
        <w:rPr>
          <w:rFonts w:hint="eastAsia" w:hAnsi="宋体"/>
          <w:color w:val="auto"/>
          <w:highlight w:val="none"/>
        </w:rPr>
      </w:pPr>
      <w:r>
        <w:rPr>
          <w:rFonts w:hint="eastAsia" w:hAnsi="宋体"/>
          <w:color w:val="auto"/>
          <w:highlight w:val="none"/>
        </w:rPr>
        <w:t>1. 将按竞争性谈判文件的约定履行合同责任和义务；</w:t>
      </w:r>
    </w:p>
    <w:p w14:paraId="7E99FF5F">
      <w:pPr>
        <w:pStyle w:val="21"/>
        <w:shd w:val="clear"/>
        <w:spacing w:line="520" w:lineRule="exact"/>
        <w:ind w:firstLine="480"/>
        <w:rPr>
          <w:rFonts w:hint="eastAsia" w:hAnsi="宋体"/>
          <w:color w:val="auto"/>
          <w:highlight w:val="none"/>
        </w:rPr>
      </w:pPr>
      <w:r>
        <w:rPr>
          <w:rFonts w:hint="eastAsia" w:hAnsi="宋体"/>
          <w:color w:val="auto"/>
          <w:highlight w:val="none"/>
        </w:rPr>
        <w:t>2. 已详细审查全部竞争性谈判文件，包括</w:t>
      </w:r>
      <w:r>
        <w:rPr>
          <w:rFonts w:hint="eastAsia" w:hAnsi="宋体"/>
          <w:color w:val="auto"/>
          <w:highlight w:val="none"/>
          <w:u w:val="single"/>
        </w:rPr>
        <w:t>（补遗文件）（如果有的话）</w:t>
      </w:r>
      <w:r>
        <w:rPr>
          <w:rFonts w:hint="eastAsia" w:hAnsi="宋体"/>
          <w:color w:val="auto"/>
          <w:highlight w:val="none"/>
        </w:rPr>
        <w:t>；</w:t>
      </w:r>
    </w:p>
    <w:p w14:paraId="5C6D1912">
      <w:pPr>
        <w:pStyle w:val="21"/>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同意提供按照贵方可能要求的与其谈判有关的一切数据或资料；</w:t>
      </w:r>
    </w:p>
    <w:p w14:paraId="20F79A5A">
      <w:pPr>
        <w:pStyle w:val="21"/>
        <w:shd w:val="clear"/>
        <w:spacing w:line="520" w:lineRule="exact"/>
        <w:ind w:firstLine="480"/>
        <w:rPr>
          <w:rFonts w:hint="eastAsia" w:hAnsi="宋体"/>
          <w:color w:val="auto"/>
          <w:highlight w:val="none"/>
          <w:u w:val="single"/>
        </w:rPr>
      </w:pPr>
      <w:r>
        <w:rPr>
          <w:rFonts w:hint="eastAsia" w:hAnsi="宋体"/>
          <w:color w:val="auto"/>
          <w:highlight w:val="none"/>
        </w:rPr>
        <w:t>4. 与本谈判有关的一切正式往来信函请寄：</w:t>
      </w:r>
      <w:r>
        <w:rPr>
          <w:rFonts w:hint="eastAsia" w:hAnsi="宋体"/>
          <w:color w:val="auto"/>
          <w:highlight w:val="none"/>
          <w:u w:val="single"/>
        </w:rPr>
        <w:t xml:space="preserve">                                    </w:t>
      </w:r>
    </w:p>
    <w:p w14:paraId="3982F568">
      <w:pPr>
        <w:pStyle w:val="21"/>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2F6B2DA7">
      <w:pPr>
        <w:pStyle w:val="21"/>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3D82F91D">
      <w:pPr>
        <w:pStyle w:val="21"/>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88F3EF5">
      <w:pPr>
        <w:pStyle w:val="21"/>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070BE59F">
      <w:pPr>
        <w:pStyle w:val="21"/>
        <w:shd w:val="clear"/>
        <w:spacing w:line="520" w:lineRule="exact"/>
        <w:ind w:firstLine="840"/>
        <w:rPr>
          <w:rFonts w:hint="eastAsia" w:hAnsi="宋体"/>
          <w:color w:val="auto"/>
          <w:highlight w:val="none"/>
        </w:rPr>
      </w:pPr>
      <w:r>
        <w:rPr>
          <w:rFonts w:hint="eastAsia" w:hAnsi="宋体"/>
          <w:color w:val="auto"/>
          <w:highlight w:val="none"/>
        </w:rPr>
        <w:t>谈判供应商名称（盖章）：</w:t>
      </w:r>
      <w:r>
        <w:rPr>
          <w:rFonts w:hint="eastAsia" w:hAnsi="宋体"/>
          <w:color w:val="auto"/>
          <w:highlight w:val="none"/>
          <w:u w:val="single"/>
        </w:rPr>
        <w:t xml:space="preserve">                                                </w:t>
      </w:r>
    </w:p>
    <w:p w14:paraId="22F2EB42">
      <w:pPr>
        <w:pStyle w:val="21"/>
        <w:shd w:val="clear"/>
        <w:spacing w:line="520" w:lineRule="exact"/>
        <w:ind w:firstLine="840"/>
        <w:rPr>
          <w:rFonts w:hint="eastAsia" w:hAnsi="宋体"/>
          <w:color w:val="auto"/>
          <w:highlight w:val="none"/>
        </w:rPr>
      </w:pPr>
      <w:r>
        <w:rPr>
          <w:rFonts w:hint="eastAsia" w:hAnsi="宋体"/>
          <w:color w:val="auto"/>
          <w:highlight w:val="none"/>
        </w:rPr>
        <w:t xml:space="preserve">                     </w:t>
      </w:r>
    </w:p>
    <w:p w14:paraId="2A331BFE">
      <w:pPr>
        <w:shd w:val="clear"/>
        <w:adjustRightInd w:val="0"/>
        <w:snapToGrid w:val="0"/>
        <w:spacing w:line="300" w:lineRule="auto"/>
        <w:ind w:left="-88" w:leftChars="-42"/>
        <w:rPr>
          <w:rFonts w:hint="eastAsia" w:ascii="宋体" w:hAnsi="宋体"/>
          <w:color w:val="auto"/>
          <w:szCs w:val="21"/>
          <w:highlight w:val="none"/>
        </w:rPr>
      </w:pPr>
    </w:p>
    <w:p w14:paraId="560FE41C">
      <w:pPr>
        <w:shd w:val="clear"/>
        <w:adjustRightInd w:val="0"/>
        <w:snapToGrid w:val="0"/>
        <w:spacing w:line="300" w:lineRule="auto"/>
        <w:ind w:left="-88" w:leftChars="-42"/>
        <w:rPr>
          <w:rFonts w:hint="eastAsia" w:ascii="宋体" w:hAnsi="宋体"/>
          <w:color w:val="auto"/>
          <w:szCs w:val="21"/>
          <w:highlight w:val="none"/>
        </w:rPr>
      </w:pPr>
    </w:p>
    <w:p w14:paraId="35E4AF3F">
      <w:pPr>
        <w:shd w:val="clear"/>
        <w:adjustRightInd w:val="0"/>
        <w:snapToGrid w:val="0"/>
        <w:spacing w:line="300" w:lineRule="auto"/>
        <w:ind w:left="-88" w:leftChars="-42"/>
        <w:rPr>
          <w:rFonts w:hint="eastAsia" w:ascii="宋体" w:hAnsi="宋体"/>
          <w:color w:val="auto"/>
          <w:szCs w:val="21"/>
          <w:highlight w:val="none"/>
        </w:rPr>
      </w:pPr>
    </w:p>
    <w:p w14:paraId="5C07D0C0">
      <w:pPr>
        <w:shd w:val="clear"/>
        <w:adjustRightInd w:val="0"/>
        <w:snapToGrid w:val="0"/>
        <w:spacing w:line="300" w:lineRule="auto"/>
        <w:ind w:left="-88" w:leftChars="-42"/>
        <w:rPr>
          <w:rFonts w:hint="eastAsia" w:ascii="宋体" w:hAnsi="宋体"/>
          <w:color w:val="auto"/>
          <w:szCs w:val="21"/>
          <w:highlight w:val="none"/>
        </w:rPr>
      </w:pPr>
    </w:p>
    <w:p w14:paraId="6A3BF3A1">
      <w:pPr>
        <w:shd w:val="clear"/>
        <w:adjustRightInd w:val="0"/>
        <w:snapToGrid w:val="0"/>
        <w:spacing w:line="300" w:lineRule="auto"/>
        <w:ind w:left="-88" w:leftChars="-42"/>
        <w:rPr>
          <w:rFonts w:hint="eastAsia" w:ascii="宋体" w:hAnsi="宋体"/>
          <w:color w:val="auto"/>
          <w:szCs w:val="21"/>
          <w:highlight w:val="none"/>
        </w:rPr>
      </w:pPr>
    </w:p>
    <w:p w14:paraId="2A889AAD">
      <w:pPr>
        <w:shd w:val="clear"/>
        <w:adjustRightInd w:val="0"/>
        <w:snapToGrid w:val="0"/>
        <w:spacing w:line="300" w:lineRule="auto"/>
        <w:ind w:left="-88" w:leftChars="-42"/>
        <w:rPr>
          <w:rFonts w:hint="eastAsia" w:ascii="宋体" w:hAnsi="宋体"/>
          <w:color w:val="auto"/>
          <w:szCs w:val="21"/>
          <w:highlight w:val="none"/>
        </w:rPr>
      </w:pPr>
    </w:p>
    <w:p w14:paraId="1F58C749">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仿宋_GB2312" w:hAnsi="宋体" w:eastAsia="仿宋_GB2312"/>
          <w:b/>
          <w:color w:val="auto"/>
          <w:sz w:val="32"/>
          <w:szCs w:val="32"/>
          <w:highlight w:val="none"/>
        </w:rPr>
        <w:t>竞标声明书</w:t>
      </w:r>
    </w:p>
    <w:p w14:paraId="17F53288">
      <w:pPr>
        <w:shd w:val="clear"/>
        <w:spacing w:line="320" w:lineRule="exact"/>
        <w:jc w:val="center"/>
        <w:rPr>
          <w:rFonts w:hint="eastAsia" w:ascii="宋体" w:hAnsi="宋体"/>
          <w:color w:val="auto"/>
          <w:sz w:val="24"/>
          <w:szCs w:val="20"/>
          <w:highlight w:val="none"/>
        </w:rPr>
      </w:pPr>
    </w:p>
    <w:p w14:paraId="2C3D3152">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20A92E2A">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E7F4063">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148336D5">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30717466">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09BE3DCC">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14:paraId="5B943EE6">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14:paraId="0C0F9716">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0BEBA9E2">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4EE863CA">
      <w:pPr>
        <w:pStyle w:val="1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785A6D16">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2F150861">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26BEDB67">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6DA09E">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w:t>
      </w:r>
      <w:r>
        <w:rPr>
          <w:rFonts w:hint="eastAsia" w:ascii="宋体" w:hAnsi="宋体"/>
          <w:color w:val="auto"/>
          <w:szCs w:val="21"/>
          <w:highlight w:val="none"/>
          <w:lang w:eastAsia="zh-CN"/>
        </w:rPr>
        <w:t>中华人民共和国政府采购法实施条例</w:t>
      </w:r>
      <w:r>
        <w:rPr>
          <w:rFonts w:hint="eastAsia" w:ascii="宋体" w:hAnsi="宋体"/>
          <w:color w:val="auto"/>
          <w:szCs w:val="21"/>
          <w:highlight w:val="none"/>
        </w:rPr>
        <w:t>》规定的供应商条件，我方对此声明负全部法律责任。</w:t>
      </w:r>
    </w:p>
    <w:p w14:paraId="3B947ECF">
      <w:pPr>
        <w:pStyle w:val="20"/>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379DA358">
      <w:pPr>
        <w:pStyle w:val="66"/>
        <w:shd w:val="clear"/>
        <w:snapToGrid w:val="0"/>
        <w:spacing w:before="156" w:beforeLines="50" w:line="380" w:lineRule="exact"/>
        <w:ind w:firstLine="200"/>
        <w:rPr>
          <w:rFonts w:hint="eastAsia" w:ascii="宋体" w:hAnsi="宋体"/>
          <w:color w:val="auto"/>
          <w:sz w:val="21"/>
          <w:szCs w:val="21"/>
          <w:highlight w:val="none"/>
        </w:rPr>
      </w:pPr>
    </w:p>
    <w:p w14:paraId="4ACA55B7">
      <w:pPr>
        <w:shd w:val="clear"/>
        <w:snapToGrid w:val="0"/>
        <w:spacing w:before="156" w:beforeLines="50" w:line="380" w:lineRule="exact"/>
        <w:ind w:right="480" w:firstLine="4792" w:firstLineChars="2282"/>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4869AF27">
      <w:pPr>
        <w:shd w:val="clear"/>
        <w:snapToGrid w:val="0"/>
        <w:spacing w:before="156" w:beforeLines="50" w:after="50" w:line="380" w:lineRule="exact"/>
        <w:ind w:right="480" w:firstLine="4830" w:firstLineChars="23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4423A176">
      <w:pPr>
        <w:shd w:val="clear"/>
        <w:snapToGrid w:val="0"/>
        <w:spacing w:before="156" w:beforeLines="50" w:after="50" w:line="380" w:lineRule="exact"/>
        <w:ind w:right="480" w:firstLine="210" w:firstLineChars="100"/>
        <w:jc w:val="right"/>
        <w:rPr>
          <w:rFonts w:hint="eastAsia" w:ascii="宋体" w:hAnsi="宋体"/>
          <w:color w:val="auto"/>
          <w:szCs w:val="21"/>
          <w:highlight w:val="none"/>
        </w:rPr>
      </w:pPr>
      <w:r>
        <w:rPr>
          <w:rFonts w:hint="eastAsia" w:ascii="宋体" w:hAnsi="宋体"/>
          <w:color w:val="auto"/>
          <w:szCs w:val="21"/>
          <w:highlight w:val="none"/>
        </w:rPr>
        <w:t xml:space="preserve"> 年    月    日</w:t>
      </w:r>
    </w:p>
    <w:p w14:paraId="2DD44848">
      <w:pPr>
        <w:shd w:val="clear"/>
        <w:adjustRightInd w:val="0"/>
        <w:snapToGrid w:val="0"/>
        <w:spacing w:line="300" w:lineRule="auto"/>
        <w:ind w:left="-88" w:leftChars="-42"/>
        <w:rPr>
          <w:rFonts w:hint="eastAsia" w:ascii="宋体" w:hAnsi="宋体"/>
          <w:color w:val="auto"/>
          <w:szCs w:val="21"/>
          <w:highlight w:val="none"/>
        </w:rPr>
      </w:pPr>
    </w:p>
    <w:p w14:paraId="4AE5E729">
      <w:pPr>
        <w:pStyle w:val="21"/>
        <w:keepNext w:val="0"/>
        <w:keepLines w:val="0"/>
        <w:pageBreakBefore w:val="0"/>
        <w:widowControl w:val="0"/>
        <w:numPr>
          <w:ilvl w:val="0"/>
          <w:numId w:val="0"/>
        </w:numPr>
        <w:shd w:val="clear"/>
        <w:kinsoku/>
        <w:wordWrap/>
        <w:overflowPunct/>
        <w:topLinePunct w:val="0"/>
        <w:autoSpaceDE/>
        <w:autoSpaceDN/>
        <w:bidi w:val="0"/>
        <w:adjustRightInd/>
        <w:snapToGrid w:val="0"/>
        <w:spacing w:line="400" w:lineRule="exact"/>
        <w:jc w:val="left"/>
        <w:textAlignment w:val="auto"/>
        <w:rPr>
          <w:rFonts w:hint="eastAsia" w:hAnsi="宋体"/>
          <w:color w:val="auto"/>
          <w:szCs w:val="21"/>
          <w:highlight w:val="none"/>
          <w:lang w:val="en-US" w:eastAsia="zh-CN"/>
        </w:rPr>
      </w:pPr>
      <w:r>
        <w:rPr>
          <w:rFonts w:ascii="宋体" w:hAnsi="宋体"/>
          <w:color w:val="auto"/>
          <w:szCs w:val="21"/>
          <w:highlight w:val="none"/>
        </w:rPr>
        <w:br w:type="page"/>
      </w:r>
      <w:r>
        <w:rPr>
          <w:rFonts w:hint="eastAsia" w:hAnsi="宋体"/>
          <w:b/>
          <w:bCs/>
          <w:color w:val="auto"/>
          <w:szCs w:val="21"/>
          <w:highlight w:val="none"/>
          <w:lang w:val="en-US" w:eastAsia="zh-CN"/>
        </w:rPr>
        <w:t xml:space="preserve">附件二 </w:t>
      </w:r>
    </w:p>
    <w:p w14:paraId="5AF445A9">
      <w:pPr>
        <w:pStyle w:val="21"/>
        <w:keepNext w:val="0"/>
        <w:keepLines w:val="0"/>
        <w:pageBreakBefore w:val="0"/>
        <w:widowControl w:val="0"/>
        <w:numPr>
          <w:ilvl w:val="0"/>
          <w:numId w:val="0"/>
        </w:numPr>
        <w:shd w:val="clear"/>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供应商直接控股、管理关系信息表</w:t>
      </w:r>
    </w:p>
    <w:p w14:paraId="25424DA4">
      <w:pPr>
        <w:keepNext w:val="0"/>
        <w:keepLines w:val="0"/>
        <w:pageBreakBefore w:val="0"/>
        <w:widowControl w:val="0"/>
        <w:shd w:val="clear"/>
        <w:kinsoku/>
        <w:wordWrap/>
        <w:overflowPunct/>
        <w:topLinePunct w:val="0"/>
        <w:autoSpaceDE/>
        <w:autoSpaceDN/>
        <w:bidi w:val="0"/>
        <w:adjustRightInd/>
        <w:spacing w:line="400" w:lineRule="exact"/>
        <w:textAlignment w:val="auto"/>
        <w:rPr>
          <w:rFonts w:hint="eastAsia" w:ascii="宋体" w:hAnsi="宋体" w:eastAsia="宋体" w:cs="宋体"/>
          <w:color w:val="auto"/>
          <w:szCs w:val="21"/>
          <w:highlight w:val="none"/>
          <w:lang w:eastAsia="zh-CN"/>
        </w:rPr>
      </w:pPr>
    </w:p>
    <w:p w14:paraId="72669F15">
      <w:pPr>
        <w:shd w:val="clear"/>
        <w:snapToGrid w:val="0"/>
        <w:spacing w:before="50" w:afterLines="50" w:line="360" w:lineRule="auto"/>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供应商</w:t>
      </w:r>
      <w:r>
        <w:rPr>
          <w:rFonts w:hint="eastAsia" w:ascii="宋体" w:hAnsi="宋体" w:cs="宋体"/>
          <w:b/>
          <w:color w:val="auto"/>
          <w:kern w:val="0"/>
          <w:sz w:val="28"/>
          <w:szCs w:val="28"/>
          <w:highlight w:val="none"/>
        </w:rPr>
        <w:t>直接控股股东信息表</w:t>
      </w:r>
    </w:p>
    <w:tbl>
      <w:tblPr>
        <w:tblStyle w:val="39"/>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6C133D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7DFE6">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82E082F">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CC96EC8">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A01C1F">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7A2631">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265680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C96261">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704068">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A2CE05">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2F2F76">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4B52A">
            <w:pPr>
              <w:shd w:val="clear"/>
              <w:spacing w:line="360" w:lineRule="auto"/>
              <w:jc w:val="center"/>
              <w:rPr>
                <w:rFonts w:ascii="宋体" w:hAnsi="宋体" w:cs="宋体"/>
                <w:color w:val="auto"/>
                <w:kern w:val="0"/>
                <w:sz w:val="21"/>
                <w:szCs w:val="21"/>
                <w:highlight w:val="none"/>
              </w:rPr>
            </w:pPr>
          </w:p>
        </w:tc>
      </w:tr>
      <w:tr w14:paraId="7CCC13F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5E98A7">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BAF59">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AA7252">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C6FABE">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0CCFE9">
            <w:pPr>
              <w:shd w:val="clear"/>
              <w:spacing w:line="360" w:lineRule="auto"/>
              <w:jc w:val="center"/>
              <w:rPr>
                <w:rFonts w:ascii="宋体" w:hAnsi="宋体" w:cs="宋体"/>
                <w:color w:val="auto"/>
                <w:kern w:val="0"/>
                <w:sz w:val="21"/>
                <w:szCs w:val="21"/>
                <w:highlight w:val="none"/>
              </w:rPr>
            </w:pPr>
          </w:p>
        </w:tc>
      </w:tr>
      <w:tr w14:paraId="615BB21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CFF90E">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6385DE">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CBDEEC">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548430">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F9BCE5">
            <w:pPr>
              <w:shd w:val="clear"/>
              <w:spacing w:line="360" w:lineRule="auto"/>
              <w:jc w:val="center"/>
              <w:rPr>
                <w:rFonts w:ascii="宋体" w:hAnsi="宋体" w:cs="宋体"/>
                <w:color w:val="auto"/>
                <w:kern w:val="0"/>
                <w:sz w:val="21"/>
                <w:szCs w:val="21"/>
                <w:highlight w:val="none"/>
              </w:rPr>
            </w:pPr>
          </w:p>
        </w:tc>
      </w:tr>
      <w:tr w14:paraId="09CD1D2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39D399">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3AACF2">
            <w:pPr>
              <w:shd w:val="clear"/>
              <w:spacing w:line="360" w:lineRule="auto"/>
              <w:jc w:val="center"/>
              <w:rPr>
                <w:rFonts w:ascii="宋体" w:hAnsi="宋体" w:cs="宋体"/>
                <w:color w:val="auto"/>
                <w:kern w:val="0"/>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2730DA">
            <w:pPr>
              <w:shd w:val="clear"/>
              <w:spacing w:line="360" w:lineRule="auto"/>
              <w:jc w:val="center"/>
              <w:rPr>
                <w:rFonts w:ascii="宋体" w:hAnsi="宋体" w:cs="宋体"/>
                <w:color w:val="auto"/>
                <w:kern w:val="0"/>
                <w:sz w:val="21"/>
                <w:szCs w:val="21"/>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AF8118">
            <w:pPr>
              <w:shd w:val="clear"/>
              <w:spacing w:line="360" w:lineRule="auto"/>
              <w:jc w:val="center"/>
              <w:rPr>
                <w:rFonts w:ascii="宋体" w:hAnsi="宋体" w:cs="宋体"/>
                <w:color w:val="auto"/>
                <w:kern w:val="0"/>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13F5D">
            <w:pPr>
              <w:shd w:val="clear"/>
              <w:spacing w:line="360" w:lineRule="auto"/>
              <w:jc w:val="center"/>
              <w:rPr>
                <w:rFonts w:ascii="宋体" w:hAnsi="宋体" w:cs="宋体"/>
                <w:color w:val="auto"/>
                <w:kern w:val="0"/>
                <w:sz w:val="21"/>
                <w:szCs w:val="21"/>
                <w:highlight w:val="none"/>
              </w:rPr>
            </w:pPr>
          </w:p>
        </w:tc>
      </w:tr>
    </w:tbl>
    <w:p w14:paraId="34145722">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注：</w:t>
      </w:r>
    </w:p>
    <w:p w14:paraId="142F9173">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9A10B3">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65496EF2">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3.供应商不存在直接控股股东的，则填“无”。</w:t>
      </w:r>
    </w:p>
    <w:p w14:paraId="20345FFB">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4367A977">
      <w:pPr>
        <w:keepNext w:val="0"/>
        <w:keepLines w:val="0"/>
        <w:pageBreakBefore w:val="0"/>
        <w:widowControl w:val="0"/>
        <w:shd w:val="clear"/>
        <w:kinsoku/>
        <w:wordWrap/>
        <w:overflowPunct/>
        <w:topLinePunct w:val="0"/>
        <w:autoSpaceDE/>
        <w:autoSpaceDN/>
        <w:bidi w:val="0"/>
        <w:adjustRightInd/>
        <w:snapToGrid w:val="0"/>
        <w:spacing w:line="500" w:lineRule="exact"/>
        <w:jc w:val="left"/>
        <w:textAlignment w:val="auto"/>
        <w:rPr>
          <w:rFonts w:ascii="宋体" w:hAnsi="宋体" w:cs="宋体"/>
          <w:color w:val="auto"/>
          <w:sz w:val="21"/>
          <w:szCs w:val="21"/>
          <w:highlight w:val="none"/>
        </w:rPr>
      </w:pPr>
    </w:p>
    <w:p w14:paraId="4473F72C">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zh-CN"/>
        </w:rPr>
        <w:t>供应商名称（电子签章）：</w:t>
      </w:r>
    </w:p>
    <w:p w14:paraId="0E3BE58E">
      <w:pPr>
        <w:keepNext w:val="0"/>
        <w:keepLines w:val="0"/>
        <w:pageBreakBefore w:val="0"/>
        <w:widowControl w:val="0"/>
        <w:shd w:val="clear"/>
        <w:kinsoku/>
        <w:wordWrap/>
        <w:overflowPunct/>
        <w:topLinePunct w:val="0"/>
        <w:autoSpaceDE/>
        <w:autoSpaceDN/>
        <w:bidi w:val="0"/>
        <w:adjustRightInd/>
        <w:snapToGrid w:val="0"/>
        <w:spacing w:line="500" w:lineRule="exact"/>
        <w:ind w:firstLine="4515" w:firstLineChars="2150"/>
        <w:textAlignment w:val="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 xml:space="preserve"> 年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w:t>
      </w:r>
    </w:p>
    <w:p w14:paraId="69D3A325">
      <w:pPr>
        <w:shd w:val="clear"/>
        <w:snapToGrid w:val="0"/>
        <w:jc w:val="center"/>
        <w:rPr>
          <w:rFonts w:ascii="宋体" w:hAnsi="宋体" w:cs="宋体"/>
          <w:b/>
          <w:color w:val="auto"/>
          <w:sz w:val="21"/>
          <w:szCs w:val="21"/>
          <w:highlight w:val="none"/>
        </w:rPr>
      </w:pPr>
      <w:r>
        <w:rPr>
          <w:rFonts w:hint="eastAsia" w:ascii="宋体" w:hAnsi="宋体" w:cs="宋体"/>
          <w:b/>
          <w:color w:val="auto"/>
          <w:sz w:val="21"/>
          <w:szCs w:val="21"/>
          <w:highlight w:val="none"/>
        </w:rPr>
        <w:br w:type="page"/>
      </w:r>
    </w:p>
    <w:p w14:paraId="6DCE4763">
      <w:pPr>
        <w:shd w:val="clear"/>
        <w:snapToGrid w:val="0"/>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rPr>
        <w:t>供应商直接管理关系信息表</w:t>
      </w:r>
    </w:p>
    <w:tbl>
      <w:tblPr>
        <w:tblStyle w:val="39"/>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03171F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969EE4">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298E97">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EF0375">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A53764">
            <w:pPr>
              <w:shd w:val="clear"/>
              <w:spacing w:line="360" w:lineRule="auto"/>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备注</w:t>
            </w:r>
          </w:p>
        </w:tc>
      </w:tr>
      <w:tr w14:paraId="631A3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4A7BFD">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07DF1C">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0DF1E4">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0B6338">
            <w:pPr>
              <w:shd w:val="clear"/>
              <w:spacing w:line="360" w:lineRule="auto"/>
              <w:jc w:val="center"/>
              <w:rPr>
                <w:rFonts w:ascii="宋体" w:hAnsi="宋体" w:cs="宋体"/>
                <w:color w:val="auto"/>
                <w:kern w:val="0"/>
                <w:sz w:val="21"/>
                <w:szCs w:val="21"/>
                <w:highlight w:val="none"/>
              </w:rPr>
            </w:pPr>
          </w:p>
        </w:tc>
      </w:tr>
      <w:tr w14:paraId="3E79C0D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675877">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88F80D">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23C289">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05D0A">
            <w:pPr>
              <w:shd w:val="clear"/>
              <w:spacing w:line="360" w:lineRule="auto"/>
              <w:jc w:val="center"/>
              <w:rPr>
                <w:rFonts w:ascii="宋体" w:hAnsi="宋体" w:cs="宋体"/>
                <w:color w:val="auto"/>
                <w:kern w:val="0"/>
                <w:sz w:val="21"/>
                <w:szCs w:val="21"/>
                <w:highlight w:val="none"/>
              </w:rPr>
            </w:pPr>
          </w:p>
        </w:tc>
      </w:tr>
      <w:tr w14:paraId="1D3CB09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755401">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53D69">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40F6DA">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A1C98F">
            <w:pPr>
              <w:shd w:val="clear"/>
              <w:spacing w:line="360" w:lineRule="auto"/>
              <w:jc w:val="center"/>
              <w:rPr>
                <w:rFonts w:ascii="宋体" w:hAnsi="宋体" w:cs="宋体"/>
                <w:color w:val="auto"/>
                <w:kern w:val="0"/>
                <w:sz w:val="21"/>
                <w:szCs w:val="21"/>
                <w:highlight w:val="none"/>
              </w:rPr>
            </w:pPr>
          </w:p>
        </w:tc>
      </w:tr>
      <w:tr w14:paraId="6383663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9A949C">
            <w:pPr>
              <w:shd w:val="clear"/>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B61EAF">
            <w:pPr>
              <w:shd w:val="clear"/>
              <w:spacing w:line="360" w:lineRule="auto"/>
              <w:jc w:val="center"/>
              <w:rPr>
                <w:rFonts w:ascii="宋体" w:hAnsi="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574B55">
            <w:pPr>
              <w:shd w:val="clear"/>
              <w:spacing w:line="360" w:lineRule="auto"/>
              <w:jc w:val="center"/>
              <w:rPr>
                <w:rFonts w:ascii="宋体" w:hAnsi="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B87455">
            <w:pPr>
              <w:shd w:val="clear"/>
              <w:spacing w:line="360" w:lineRule="auto"/>
              <w:jc w:val="center"/>
              <w:rPr>
                <w:rFonts w:ascii="宋体" w:hAnsi="宋体" w:cs="宋体"/>
                <w:color w:val="auto"/>
                <w:kern w:val="0"/>
                <w:sz w:val="21"/>
                <w:szCs w:val="21"/>
                <w:highlight w:val="none"/>
              </w:rPr>
            </w:pPr>
          </w:p>
        </w:tc>
      </w:tr>
    </w:tbl>
    <w:p w14:paraId="57A4CD57">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E65899E">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328341B7">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2.本表所指的管理关系仅限于直接管理关系，不包括间接的管理关系。</w:t>
      </w:r>
    </w:p>
    <w:p w14:paraId="1BD2077F">
      <w:pPr>
        <w:keepNext w:val="0"/>
        <w:keepLines w:val="0"/>
        <w:pageBreakBefore w:val="0"/>
        <w:widowControl w:val="0"/>
        <w:shd w:val="clear"/>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3.供应商不存在直接管理关系的，则填“无”。</w:t>
      </w:r>
    </w:p>
    <w:p w14:paraId="68CA51E2">
      <w:pPr>
        <w:shd w:val="clear"/>
        <w:snapToGrid w:val="0"/>
        <w:spacing w:line="360" w:lineRule="auto"/>
        <w:jc w:val="left"/>
        <w:rPr>
          <w:rFonts w:ascii="宋体" w:hAnsi="宋体" w:cs="宋体"/>
          <w:color w:val="auto"/>
          <w:sz w:val="21"/>
          <w:szCs w:val="21"/>
          <w:highlight w:val="none"/>
        </w:rPr>
      </w:pPr>
    </w:p>
    <w:p w14:paraId="7F1AC0E6">
      <w:pPr>
        <w:shd w:val="clear"/>
        <w:snapToGrid w:val="0"/>
        <w:spacing w:line="360" w:lineRule="auto"/>
        <w:jc w:val="left"/>
        <w:rPr>
          <w:rFonts w:ascii="宋体" w:hAnsi="宋体" w:cs="宋体"/>
          <w:color w:val="auto"/>
          <w:sz w:val="21"/>
          <w:szCs w:val="21"/>
          <w:highlight w:val="none"/>
        </w:rPr>
      </w:pPr>
    </w:p>
    <w:p w14:paraId="5FE17E7C">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供应商名称（电子签章）：</w:t>
      </w:r>
    </w:p>
    <w:p w14:paraId="4A8684B7">
      <w:pPr>
        <w:keepNext w:val="0"/>
        <w:keepLines w:val="0"/>
        <w:pageBreakBefore w:val="0"/>
        <w:widowControl w:val="0"/>
        <w:shd w:val="clear"/>
        <w:kinsoku/>
        <w:wordWrap/>
        <w:overflowPunct/>
        <w:topLinePunct w:val="0"/>
        <w:autoSpaceDE/>
        <w:autoSpaceDN/>
        <w:bidi w:val="0"/>
        <w:adjustRightInd/>
        <w:snapToGrid w:val="0"/>
        <w:spacing w:line="500" w:lineRule="exact"/>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0FFD380C">
      <w:pPr>
        <w:shd w:val="clear"/>
        <w:snapToGrid w:val="0"/>
        <w:spacing w:before="50" w:afterLines="50"/>
        <w:jc w:val="left"/>
        <w:rPr>
          <w:rFonts w:ascii="宋体" w:hAnsi="宋体" w:cs="宋体"/>
          <w:color w:val="auto"/>
          <w:sz w:val="21"/>
          <w:szCs w:val="21"/>
          <w:highlight w:val="none"/>
        </w:rPr>
      </w:pPr>
    </w:p>
    <w:p w14:paraId="28FA8264">
      <w:pPr>
        <w:pStyle w:val="17"/>
        <w:shd w:val="clea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br w:type="page"/>
      </w:r>
      <w:r>
        <w:rPr>
          <w:rFonts w:hint="eastAsia" w:ascii="宋体" w:hAnsi="宋体" w:eastAsia="宋体" w:cs="宋体"/>
          <w:b/>
          <w:bCs/>
          <w:color w:val="auto"/>
          <w:szCs w:val="21"/>
          <w:highlight w:val="none"/>
          <w:lang w:val="en-US" w:eastAsia="zh-CN"/>
        </w:rPr>
        <w:t>附件三</w:t>
      </w:r>
    </w:p>
    <w:p w14:paraId="480F28E9">
      <w:pPr>
        <w:shd w:val="clear"/>
        <w:snapToGrid w:val="0"/>
        <w:spacing w:before="50" w:after="50"/>
        <w:jc w:val="center"/>
        <w:rPr>
          <w:rFonts w:hint="eastAsia" w:ascii="宋体" w:hAnsi="宋体" w:cs="宋体"/>
          <w:b/>
          <w:color w:val="auto"/>
          <w:sz w:val="32"/>
          <w:highlight w:val="none"/>
        </w:rPr>
      </w:pPr>
    </w:p>
    <w:p w14:paraId="61C8DBF5">
      <w:pPr>
        <w:shd w:val="clear"/>
        <w:snapToGrid w:val="0"/>
        <w:spacing w:before="50" w:after="50"/>
        <w:jc w:val="center"/>
        <w:rPr>
          <w:rFonts w:hint="eastAsia" w:ascii="宋体" w:hAnsi="宋体" w:cs="宋体"/>
          <w:b/>
          <w:color w:val="auto"/>
          <w:sz w:val="28"/>
          <w:szCs w:val="22"/>
          <w:highlight w:val="none"/>
        </w:rPr>
      </w:pPr>
      <w:r>
        <w:rPr>
          <w:rFonts w:hint="eastAsia" w:ascii="宋体" w:hAnsi="宋体" w:cs="宋体"/>
          <w:b/>
          <w:color w:val="auto"/>
          <w:sz w:val="28"/>
          <w:szCs w:val="22"/>
          <w:highlight w:val="none"/>
          <w:lang w:val="en-US" w:eastAsia="zh-CN"/>
        </w:rPr>
        <w:t>供应商</w:t>
      </w:r>
      <w:r>
        <w:rPr>
          <w:rFonts w:hint="eastAsia" w:ascii="宋体" w:hAnsi="宋体" w:cs="宋体"/>
          <w:b/>
          <w:color w:val="auto"/>
          <w:sz w:val="28"/>
          <w:szCs w:val="22"/>
          <w:highlight w:val="none"/>
        </w:rPr>
        <w:t>参加本项目无围标串标行为的承诺函</w:t>
      </w:r>
    </w:p>
    <w:p w14:paraId="070F0C0D">
      <w:pPr>
        <w:pStyle w:val="37"/>
        <w:shd w:val="clear"/>
        <w:rPr>
          <w:color w:val="auto"/>
          <w:sz w:val="21"/>
          <w:szCs w:val="21"/>
          <w:highlight w:val="none"/>
        </w:rPr>
      </w:pPr>
    </w:p>
    <w:p w14:paraId="5B4E5FF0">
      <w:pPr>
        <w:shd w:val="clear"/>
        <w:spacing w:line="440" w:lineRule="exact"/>
        <w:contextualSpacing/>
        <w:jc w:val="left"/>
        <w:rPr>
          <w:rFonts w:ascii="宋体" w:hAnsi="宋体" w:cs="宋体"/>
          <w:b/>
          <w:color w:val="auto"/>
          <w:sz w:val="21"/>
          <w:szCs w:val="21"/>
          <w:highlight w:val="none"/>
        </w:rPr>
      </w:pPr>
      <w:bookmarkStart w:id="57" w:name="OLE_LINK45"/>
      <w:bookmarkStart w:id="58" w:name="OLE_LINK44"/>
      <w:r>
        <w:rPr>
          <w:rFonts w:hint="eastAsia" w:ascii="宋体" w:hAnsi="宋体" w:cs="宋体"/>
          <w:b/>
          <w:color w:val="auto"/>
          <w:sz w:val="21"/>
          <w:szCs w:val="21"/>
          <w:highlight w:val="none"/>
        </w:rPr>
        <w:t>一、我方承诺无下列相互串通投标的情形：</w:t>
      </w:r>
    </w:p>
    <w:p w14:paraId="407263D9">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1.不同投标人的投标文件由同一单位或者个人编制；或者不同投标人报名的IP地址一致的；或者编制标书硬件设备CPU编号、硬盘编号、网卡地址一致的情况；</w:t>
      </w:r>
    </w:p>
    <w:p w14:paraId="53E4BD50">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2.不同投标人委托同一单位或者个人办理投标事宜；</w:t>
      </w:r>
    </w:p>
    <w:p w14:paraId="31A74B35">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3.不同的投标人的投标文件载明的项目管理员为同一个人；</w:t>
      </w:r>
    </w:p>
    <w:p w14:paraId="2E68AFED">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4.不同投标人的投标文件异常一致或者投标报价呈规律性差异；</w:t>
      </w:r>
    </w:p>
    <w:p w14:paraId="1FA039FF">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5.不同投标人的投标文件相互混装；</w:t>
      </w:r>
    </w:p>
    <w:p w14:paraId="02BD6AF5">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6.不同投标人的投标保证金从同一单位或者个人账户转出。</w:t>
      </w:r>
    </w:p>
    <w:p w14:paraId="77B8A09D">
      <w:pPr>
        <w:shd w:val="clear"/>
        <w:spacing w:line="440" w:lineRule="exact"/>
        <w:contextualSpacing/>
        <w:jc w:val="left"/>
        <w:rPr>
          <w:rFonts w:ascii="宋体" w:hAnsi="宋体" w:cs="宋体"/>
          <w:color w:val="auto"/>
          <w:sz w:val="21"/>
          <w:szCs w:val="21"/>
          <w:highlight w:val="none"/>
        </w:rPr>
      </w:pPr>
      <w:r>
        <w:rPr>
          <w:rFonts w:hint="eastAsia" w:ascii="宋体" w:hAnsi="宋体" w:cs="宋体"/>
          <w:b/>
          <w:color w:val="auto"/>
          <w:sz w:val="21"/>
          <w:szCs w:val="21"/>
          <w:highlight w:val="none"/>
        </w:rPr>
        <w:t>二、我方承诺无下列恶意串通的情形：</w:t>
      </w:r>
    </w:p>
    <w:p w14:paraId="5D712D11">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1.投标人直接或者间接从采购人或者采购代理机构处获得其他投标人的相关信息并修改其投标文件或者响应文件；</w:t>
      </w:r>
    </w:p>
    <w:p w14:paraId="215176E3">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2.投标人按照采购人或者采购代理机构的授意撤换、修改投标文件或者响应文件；</w:t>
      </w:r>
    </w:p>
    <w:p w14:paraId="17BFB9CD">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3.投标人之间协商报价、技术方案等投标文件或者响应文件的实质性内容；</w:t>
      </w:r>
    </w:p>
    <w:p w14:paraId="63F1CC1F">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4.属于同一集团、协会、商会等组织成员的投标人按照该组织要求协同参加政府采购活动；</w:t>
      </w:r>
    </w:p>
    <w:p w14:paraId="53A8CFD3">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5.投标人之间事先约定一致抬高或者压低投标报价，或者在招标项目中事先约定轮流以高价位或者低价位中标，或者事先约定由某一特定投标人中标，然后再参加投标；</w:t>
      </w:r>
    </w:p>
    <w:p w14:paraId="37931856">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6.投标人之间商定部分投标人放弃参加政府采购活动或者放弃中标；</w:t>
      </w:r>
    </w:p>
    <w:p w14:paraId="6673CB60">
      <w:pPr>
        <w:shd w:val="clear"/>
        <w:spacing w:line="440" w:lineRule="exact"/>
        <w:ind w:firstLine="411" w:firstLineChars="196"/>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7.投标人与采购人或者采购代理机构之间、投标人相互之间，为谋求特定投标人中标或者排斥其他投标人的其他串通行为。</w:t>
      </w:r>
    </w:p>
    <w:p w14:paraId="1639D7CF">
      <w:pPr>
        <w:shd w:val="clear"/>
        <w:spacing w:line="440" w:lineRule="exact"/>
        <w:ind w:firstLine="413" w:firstLineChars="196"/>
        <w:contextualSpacing/>
        <w:jc w:val="left"/>
        <w:rPr>
          <w:rFonts w:ascii="宋体" w:hAnsi="宋体" w:cs="宋体"/>
          <w:b/>
          <w:color w:val="auto"/>
          <w:sz w:val="21"/>
          <w:szCs w:val="21"/>
          <w:highlight w:val="none"/>
        </w:rPr>
      </w:pPr>
      <w:r>
        <w:rPr>
          <w:rFonts w:hint="eastAsia" w:ascii="宋体" w:hAnsi="宋体" w:cs="宋体"/>
          <w:b/>
          <w:color w:val="auto"/>
          <w:sz w:val="21"/>
          <w:szCs w:val="21"/>
          <w:highlight w:val="none"/>
        </w:rPr>
        <w:t>以上情形一经核查属实，接受政府采购监管部门对我方认定存在围标串标行为，我方愿意承担一切后果，并不再寻求任何旨在减轻或者免除法律责任的辩解。</w:t>
      </w:r>
      <w:bookmarkEnd w:id="57"/>
      <w:bookmarkEnd w:id="58"/>
    </w:p>
    <w:p w14:paraId="1DD572EE">
      <w:pPr>
        <w:pStyle w:val="21"/>
        <w:shd w:val="clear"/>
        <w:spacing w:line="440" w:lineRule="exact"/>
        <w:ind w:firstLine="5985" w:firstLineChars="2850"/>
        <w:contextualSpacing/>
        <w:rPr>
          <w:rFonts w:hAnsi="宋体" w:cs="宋体"/>
          <w:color w:val="auto"/>
          <w:sz w:val="21"/>
          <w:szCs w:val="21"/>
          <w:highlight w:val="none"/>
        </w:rPr>
      </w:pPr>
    </w:p>
    <w:p w14:paraId="230E7864">
      <w:pPr>
        <w:shd w:val="clear"/>
        <w:spacing w:line="360" w:lineRule="auto"/>
        <w:ind w:firstLine="420" w:firstLineChars="200"/>
        <w:contextualSpacing/>
        <w:rPr>
          <w:rFonts w:ascii="宋体" w:hAnsi="宋体" w:cs="宋体"/>
          <w:color w:val="auto"/>
          <w:sz w:val="21"/>
          <w:szCs w:val="21"/>
          <w:highlight w:val="none"/>
          <w:u w:val="single"/>
        </w:rPr>
      </w:pPr>
      <w:r>
        <w:rPr>
          <w:rFonts w:hint="eastAsia" w:hAnsi="宋体" w:cs="宋体"/>
          <w:color w:val="auto"/>
          <w:sz w:val="21"/>
          <w:szCs w:val="21"/>
          <w:highlight w:val="none"/>
        </w:rPr>
        <w:t>供应商名称（电子签章）：</w:t>
      </w:r>
    </w:p>
    <w:p w14:paraId="5C826242">
      <w:pPr>
        <w:shd w:val="clear"/>
        <w:spacing w:line="360" w:lineRule="auto"/>
        <w:ind w:firstLine="420" w:firstLineChars="200"/>
        <w:contextualSpacing/>
        <w:rPr>
          <w:rFonts w:hAnsi="宋体" w:cs="宋体"/>
          <w:color w:val="auto"/>
          <w:sz w:val="21"/>
          <w:szCs w:val="21"/>
          <w:highlight w:val="none"/>
        </w:rPr>
      </w:pPr>
      <w:r>
        <w:rPr>
          <w:rFonts w:hint="eastAsia" w:hAnsi="宋体" w:cs="宋体"/>
          <w:color w:val="auto"/>
          <w:sz w:val="21"/>
          <w:szCs w:val="21"/>
          <w:highlight w:val="none"/>
        </w:rPr>
        <w:t>日期：</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日</w:t>
      </w:r>
    </w:p>
    <w:p w14:paraId="20A7728A">
      <w:pPr>
        <w:shd w:val="clear"/>
        <w:adjustRightInd w:val="0"/>
        <w:snapToGrid w:val="0"/>
        <w:spacing w:line="500" w:lineRule="exact"/>
        <w:ind w:left="-88" w:leftChars="-42"/>
        <w:rPr>
          <w:rFonts w:hint="eastAsia"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附件</w:t>
      </w:r>
      <w:r>
        <w:rPr>
          <w:rFonts w:hint="eastAsia" w:ascii="宋体" w:hAnsi="宋体"/>
          <w:b/>
          <w:color w:val="auto"/>
          <w:szCs w:val="21"/>
          <w:highlight w:val="none"/>
          <w:lang w:val="en-US" w:eastAsia="zh-CN"/>
        </w:rPr>
        <w:t>四</w:t>
      </w:r>
      <w:r>
        <w:rPr>
          <w:rFonts w:hint="eastAsia" w:ascii="宋体" w:hAnsi="宋体"/>
          <w:b/>
          <w:color w:val="auto"/>
          <w:szCs w:val="21"/>
          <w:highlight w:val="none"/>
        </w:rPr>
        <w:t xml:space="preserve"> </w:t>
      </w:r>
    </w:p>
    <w:p w14:paraId="776B0F2F">
      <w:pPr>
        <w:shd w:val="clear"/>
        <w:spacing w:line="300" w:lineRule="auto"/>
        <w:rPr>
          <w:rFonts w:hint="eastAsia" w:ascii="宋体" w:hAnsi="宋体"/>
          <w:b/>
          <w:color w:val="auto"/>
          <w:szCs w:val="21"/>
          <w:highlight w:val="none"/>
        </w:rPr>
      </w:pPr>
    </w:p>
    <w:p w14:paraId="31C1E8E8">
      <w:pPr>
        <w:shd w:val="clear"/>
        <w:spacing w:line="300" w:lineRule="auto"/>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商务、技术响应、偏离情况说明表</w:t>
      </w:r>
    </w:p>
    <w:p w14:paraId="65C7445A">
      <w:pPr>
        <w:shd w:val="clear"/>
        <w:spacing w:line="300" w:lineRule="auto"/>
        <w:rPr>
          <w:rFonts w:hint="eastAsia" w:ascii="宋体" w:hAnsi="宋体"/>
          <w:color w:val="auto"/>
          <w:szCs w:val="21"/>
          <w:highlight w:val="none"/>
        </w:rPr>
      </w:pPr>
    </w:p>
    <w:p w14:paraId="715E5A89">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107A6FE2">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64AA6E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54478AFF">
            <w:pPr>
              <w:shd w:val="clear"/>
              <w:jc w:val="center"/>
              <w:rPr>
                <w:rFonts w:hint="eastAsia" w:ascii="宋体" w:hAnsi="宋体" w:eastAsia="宋体" w:cs="宋体"/>
                <w:color w:val="auto"/>
                <w:highlight w:val="none"/>
              </w:rPr>
            </w:pPr>
            <w:bookmarkStart w:id="59" w:name="_Toc173066401"/>
            <w:bookmarkStart w:id="60" w:name="_Toc254970588"/>
            <w:bookmarkStart w:id="61" w:name="_Toc254970729"/>
            <w:bookmarkStart w:id="62" w:name="_Toc173211900"/>
            <w:r>
              <w:rPr>
                <w:rFonts w:hint="eastAsia" w:ascii="宋体" w:hAnsi="宋体" w:eastAsia="宋体" w:cs="宋体"/>
                <w:color w:val="auto"/>
                <w:highlight w:val="none"/>
              </w:rPr>
              <w:t>序号</w:t>
            </w:r>
            <w:bookmarkEnd w:id="59"/>
            <w:bookmarkEnd w:id="60"/>
            <w:bookmarkEnd w:id="61"/>
            <w:bookmarkEnd w:id="62"/>
          </w:p>
        </w:tc>
        <w:tc>
          <w:tcPr>
            <w:tcW w:w="3013" w:type="dxa"/>
            <w:noWrap w:val="0"/>
            <w:vAlign w:val="center"/>
          </w:tcPr>
          <w:p w14:paraId="3C27C593">
            <w:pPr>
              <w:shd w:val="clear"/>
              <w:jc w:val="center"/>
              <w:rPr>
                <w:rFonts w:hint="eastAsia" w:ascii="宋体" w:hAnsi="宋体" w:eastAsia="宋体" w:cs="宋体"/>
                <w:color w:val="auto"/>
                <w:highlight w:val="none"/>
              </w:rPr>
            </w:pPr>
            <w:bookmarkStart w:id="63" w:name="_Toc254970730"/>
            <w:bookmarkStart w:id="64" w:name="_Toc173211901"/>
            <w:bookmarkStart w:id="65" w:name="_Toc173066402"/>
            <w:bookmarkStart w:id="66" w:name="_Toc254970589"/>
            <w:r>
              <w:rPr>
                <w:rFonts w:hint="eastAsia" w:ascii="宋体" w:hAnsi="宋体" w:eastAsia="宋体" w:cs="宋体"/>
                <w:color w:val="auto"/>
                <w:highlight w:val="none"/>
              </w:rPr>
              <w:t>竞争性谈判文件要求</w:t>
            </w:r>
            <w:bookmarkEnd w:id="63"/>
            <w:bookmarkEnd w:id="64"/>
            <w:bookmarkEnd w:id="65"/>
            <w:bookmarkEnd w:id="66"/>
          </w:p>
        </w:tc>
        <w:tc>
          <w:tcPr>
            <w:tcW w:w="3159" w:type="dxa"/>
            <w:noWrap w:val="0"/>
            <w:vAlign w:val="center"/>
          </w:tcPr>
          <w:p w14:paraId="18023DFE">
            <w:pPr>
              <w:shd w:val="clear"/>
              <w:jc w:val="center"/>
              <w:rPr>
                <w:rFonts w:hint="eastAsia" w:ascii="宋体" w:hAnsi="宋体" w:eastAsia="宋体" w:cs="宋体"/>
                <w:color w:val="auto"/>
                <w:highlight w:val="none"/>
              </w:rPr>
            </w:pPr>
            <w:bookmarkStart w:id="67" w:name="_Toc254970731"/>
            <w:bookmarkStart w:id="68" w:name="_Toc254970590"/>
            <w:bookmarkStart w:id="69" w:name="_Toc173211902"/>
            <w:bookmarkStart w:id="70" w:name="_Toc173066403"/>
            <w:r>
              <w:rPr>
                <w:rFonts w:hint="eastAsia" w:ascii="宋体" w:hAnsi="宋体" w:eastAsia="宋体" w:cs="宋体"/>
                <w:color w:val="auto"/>
                <w:highlight w:val="none"/>
              </w:rPr>
              <w:t>竞争性谈判响应文件具体响应</w:t>
            </w:r>
            <w:bookmarkEnd w:id="67"/>
            <w:bookmarkEnd w:id="68"/>
            <w:bookmarkEnd w:id="69"/>
            <w:bookmarkEnd w:id="70"/>
          </w:p>
        </w:tc>
        <w:tc>
          <w:tcPr>
            <w:tcW w:w="1571" w:type="dxa"/>
            <w:noWrap w:val="0"/>
            <w:vAlign w:val="center"/>
          </w:tcPr>
          <w:p w14:paraId="144BBBBF">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偏离说明</w:t>
            </w:r>
          </w:p>
        </w:tc>
        <w:tc>
          <w:tcPr>
            <w:tcW w:w="1460" w:type="dxa"/>
            <w:noWrap w:val="0"/>
            <w:vAlign w:val="center"/>
          </w:tcPr>
          <w:p w14:paraId="03986FCD">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4824A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096AAB28">
            <w:pPr>
              <w:shd w:val="clear"/>
              <w:jc w:val="center"/>
              <w:rPr>
                <w:rFonts w:hint="eastAsia" w:ascii="宋体" w:hAnsi="宋体" w:eastAsia="宋体" w:cs="宋体"/>
                <w:color w:val="auto"/>
                <w:highlight w:val="none"/>
              </w:rPr>
            </w:pPr>
            <w:bookmarkStart w:id="71" w:name="_Toc476258666"/>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部分</w:t>
            </w:r>
            <w:bookmarkEnd w:id="71"/>
            <w:r>
              <w:rPr>
                <w:rFonts w:hint="eastAsia" w:ascii="宋体" w:hAnsi="宋体" w:eastAsia="宋体" w:cs="宋体"/>
                <w:color w:val="auto"/>
                <w:highlight w:val="none"/>
              </w:rPr>
              <w:t>（技术参数及性能配置要求）</w:t>
            </w:r>
          </w:p>
        </w:tc>
      </w:tr>
      <w:tr w14:paraId="65D83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06477CFF">
            <w:pPr>
              <w:shd w:val="clear"/>
              <w:jc w:val="center"/>
              <w:rPr>
                <w:rFonts w:hint="eastAsia" w:ascii="宋体" w:hAnsi="宋体" w:eastAsia="宋体" w:cs="宋体"/>
                <w:color w:val="auto"/>
                <w:highlight w:val="none"/>
              </w:rPr>
            </w:pPr>
            <w:bookmarkStart w:id="72" w:name="_Toc173066406"/>
            <w:bookmarkStart w:id="73" w:name="_Toc173211905"/>
            <w:bookmarkStart w:id="74" w:name="_Toc254970734"/>
            <w:bookmarkStart w:id="75" w:name="_Toc254970593"/>
            <w:r>
              <w:rPr>
                <w:rFonts w:hint="eastAsia" w:ascii="宋体" w:hAnsi="宋体" w:eastAsia="宋体" w:cs="宋体"/>
                <w:color w:val="auto"/>
                <w:highlight w:val="none"/>
              </w:rPr>
              <w:t>1</w:t>
            </w:r>
            <w:bookmarkEnd w:id="72"/>
            <w:bookmarkEnd w:id="73"/>
            <w:bookmarkEnd w:id="74"/>
            <w:bookmarkEnd w:id="75"/>
          </w:p>
        </w:tc>
        <w:tc>
          <w:tcPr>
            <w:tcW w:w="3013" w:type="dxa"/>
            <w:noWrap w:val="0"/>
            <w:vAlign w:val="center"/>
          </w:tcPr>
          <w:p w14:paraId="7CA4814A">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36670851">
            <w:pPr>
              <w:shd w:val="clear"/>
              <w:rPr>
                <w:rFonts w:hint="eastAsia" w:ascii="宋体" w:hAnsi="宋体" w:eastAsia="宋体" w:cs="宋体"/>
                <w:color w:val="auto"/>
                <w:highlight w:val="none"/>
              </w:rPr>
            </w:pPr>
          </w:p>
        </w:tc>
        <w:tc>
          <w:tcPr>
            <w:tcW w:w="1571" w:type="dxa"/>
            <w:noWrap w:val="0"/>
            <w:vAlign w:val="center"/>
          </w:tcPr>
          <w:p w14:paraId="172B0C63">
            <w:pPr>
              <w:shd w:val="clear"/>
              <w:jc w:val="center"/>
              <w:rPr>
                <w:rFonts w:hint="eastAsia" w:ascii="宋体" w:hAnsi="宋体" w:eastAsia="宋体" w:cs="宋体"/>
                <w:color w:val="auto"/>
                <w:highlight w:val="none"/>
              </w:rPr>
            </w:pPr>
          </w:p>
        </w:tc>
        <w:tc>
          <w:tcPr>
            <w:tcW w:w="1460" w:type="dxa"/>
            <w:noWrap w:val="0"/>
            <w:vAlign w:val="center"/>
          </w:tcPr>
          <w:p w14:paraId="7F0DC977">
            <w:pPr>
              <w:shd w:val="clear"/>
              <w:jc w:val="center"/>
              <w:rPr>
                <w:rFonts w:hint="eastAsia" w:ascii="宋体" w:hAnsi="宋体" w:eastAsia="宋体" w:cs="宋体"/>
                <w:color w:val="auto"/>
                <w:highlight w:val="none"/>
              </w:rPr>
            </w:pPr>
          </w:p>
        </w:tc>
      </w:tr>
      <w:tr w14:paraId="75B815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94E0E18">
            <w:pPr>
              <w:shd w:val="clear"/>
              <w:jc w:val="center"/>
              <w:rPr>
                <w:rFonts w:hint="eastAsia" w:ascii="宋体" w:hAnsi="宋体" w:eastAsia="宋体" w:cs="宋体"/>
                <w:color w:val="auto"/>
                <w:highlight w:val="none"/>
              </w:rPr>
            </w:pPr>
            <w:bookmarkStart w:id="76" w:name="_Toc254970735"/>
            <w:bookmarkStart w:id="77" w:name="_Toc173066407"/>
            <w:bookmarkStart w:id="78" w:name="_Toc173211906"/>
            <w:bookmarkStart w:id="79" w:name="_Toc254970594"/>
            <w:r>
              <w:rPr>
                <w:rFonts w:hint="eastAsia" w:ascii="宋体" w:hAnsi="宋体" w:eastAsia="宋体" w:cs="宋体"/>
                <w:color w:val="auto"/>
                <w:highlight w:val="none"/>
              </w:rPr>
              <w:t>2</w:t>
            </w:r>
            <w:bookmarkEnd w:id="76"/>
            <w:bookmarkEnd w:id="77"/>
            <w:bookmarkEnd w:id="78"/>
            <w:bookmarkEnd w:id="79"/>
          </w:p>
        </w:tc>
        <w:tc>
          <w:tcPr>
            <w:tcW w:w="3013" w:type="dxa"/>
            <w:noWrap w:val="0"/>
            <w:vAlign w:val="center"/>
          </w:tcPr>
          <w:p w14:paraId="344CDEF5">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5135BC39">
            <w:pPr>
              <w:shd w:val="clear"/>
              <w:rPr>
                <w:rFonts w:hint="eastAsia" w:ascii="宋体" w:hAnsi="宋体" w:eastAsia="宋体" w:cs="宋体"/>
                <w:color w:val="auto"/>
                <w:highlight w:val="none"/>
              </w:rPr>
            </w:pPr>
          </w:p>
        </w:tc>
        <w:tc>
          <w:tcPr>
            <w:tcW w:w="1571" w:type="dxa"/>
            <w:noWrap w:val="0"/>
            <w:vAlign w:val="center"/>
          </w:tcPr>
          <w:p w14:paraId="36A664D5">
            <w:pPr>
              <w:shd w:val="clear"/>
              <w:jc w:val="center"/>
              <w:rPr>
                <w:rFonts w:hint="eastAsia" w:ascii="宋体" w:hAnsi="宋体" w:eastAsia="宋体" w:cs="宋体"/>
                <w:color w:val="auto"/>
                <w:highlight w:val="none"/>
              </w:rPr>
            </w:pPr>
          </w:p>
        </w:tc>
        <w:tc>
          <w:tcPr>
            <w:tcW w:w="1460" w:type="dxa"/>
            <w:noWrap w:val="0"/>
            <w:vAlign w:val="center"/>
          </w:tcPr>
          <w:p w14:paraId="48604DB6">
            <w:pPr>
              <w:shd w:val="clear"/>
              <w:jc w:val="center"/>
              <w:rPr>
                <w:rFonts w:hint="eastAsia" w:ascii="宋体" w:hAnsi="宋体" w:eastAsia="宋体" w:cs="宋体"/>
                <w:color w:val="auto"/>
                <w:highlight w:val="none"/>
              </w:rPr>
            </w:pPr>
          </w:p>
        </w:tc>
      </w:tr>
      <w:tr w14:paraId="3508A9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3997E21">
            <w:pPr>
              <w:shd w:val="clear"/>
              <w:jc w:val="center"/>
              <w:rPr>
                <w:rFonts w:hint="eastAsia" w:ascii="宋体" w:hAnsi="宋体" w:eastAsia="宋体" w:cs="宋体"/>
                <w:color w:val="auto"/>
                <w:highlight w:val="none"/>
              </w:rPr>
            </w:pPr>
            <w:bookmarkStart w:id="80" w:name="_Toc173066408"/>
            <w:bookmarkStart w:id="81" w:name="_Toc173211907"/>
            <w:bookmarkStart w:id="82" w:name="_Toc254970736"/>
            <w:bookmarkStart w:id="83" w:name="_Toc254970595"/>
            <w:r>
              <w:rPr>
                <w:rFonts w:hint="eastAsia" w:ascii="宋体" w:hAnsi="宋体" w:eastAsia="宋体" w:cs="宋体"/>
                <w:color w:val="auto"/>
                <w:highlight w:val="none"/>
              </w:rPr>
              <w:t>3</w:t>
            </w:r>
            <w:bookmarkEnd w:id="80"/>
            <w:bookmarkEnd w:id="81"/>
            <w:bookmarkEnd w:id="82"/>
            <w:bookmarkEnd w:id="83"/>
          </w:p>
        </w:tc>
        <w:tc>
          <w:tcPr>
            <w:tcW w:w="3013" w:type="dxa"/>
            <w:noWrap w:val="0"/>
            <w:vAlign w:val="center"/>
          </w:tcPr>
          <w:p w14:paraId="78545CCF">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52C30E48">
            <w:pPr>
              <w:shd w:val="clear"/>
              <w:rPr>
                <w:rFonts w:hint="eastAsia" w:ascii="宋体" w:hAnsi="宋体" w:eastAsia="宋体" w:cs="宋体"/>
                <w:color w:val="auto"/>
                <w:highlight w:val="none"/>
              </w:rPr>
            </w:pPr>
          </w:p>
        </w:tc>
        <w:tc>
          <w:tcPr>
            <w:tcW w:w="1571" w:type="dxa"/>
            <w:noWrap w:val="0"/>
            <w:vAlign w:val="center"/>
          </w:tcPr>
          <w:p w14:paraId="479149EE">
            <w:pPr>
              <w:shd w:val="clear"/>
              <w:jc w:val="center"/>
              <w:rPr>
                <w:rFonts w:hint="eastAsia" w:ascii="宋体" w:hAnsi="宋体" w:eastAsia="宋体" w:cs="宋体"/>
                <w:color w:val="auto"/>
                <w:highlight w:val="none"/>
              </w:rPr>
            </w:pPr>
          </w:p>
        </w:tc>
        <w:tc>
          <w:tcPr>
            <w:tcW w:w="1460" w:type="dxa"/>
            <w:noWrap w:val="0"/>
            <w:vAlign w:val="center"/>
          </w:tcPr>
          <w:p w14:paraId="6C4A9F0C">
            <w:pPr>
              <w:shd w:val="clear"/>
              <w:jc w:val="center"/>
              <w:rPr>
                <w:rFonts w:hint="eastAsia" w:ascii="宋体" w:hAnsi="宋体" w:eastAsia="宋体" w:cs="宋体"/>
                <w:color w:val="auto"/>
                <w:highlight w:val="none"/>
              </w:rPr>
            </w:pPr>
          </w:p>
        </w:tc>
      </w:tr>
      <w:tr w14:paraId="168D3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D8C2D2C">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013" w:type="dxa"/>
            <w:noWrap w:val="0"/>
            <w:vAlign w:val="center"/>
          </w:tcPr>
          <w:p w14:paraId="263230F6">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3B3EFA4A">
            <w:pPr>
              <w:shd w:val="clear"/>
              <w:rPr>
                <w:rFonts w:hint="eastAsia" w:ascii="宋体" w:hAnsi="宋体" w:eastAsia="宋体" w:cs="宋体"/>
                <w:color w:val="auto"/>
                <w:highlight w:val="none"/>
              </w:rPr>
            </w:pPr>
          </w:p>
        </w:tc>
        <w:tc>
          <w:tcPr>
            <w:tcW w:w="1571" w:type="dxa"/>
            <w:noWrap w:val="0"/>
            <w:vAlign w:val="center"/>
          </w:tcPr>
          <w:p w14:paraId="50D85841">
            <w:pPr>
              <w:shd w:val="clear"/>
              <w:jc w:val="center"/>
              <w:rPr>
                <w:rFonts w:hint="eastAsia" w:ascii="宋体" w:hAnsi="宋体" w:eastAsia="宋体" w:cs="宋体"/>
                <w:color w:val="auto"/>
                <w:highlight w:val="none"/>
              </w:rPr>
            </w:pPr>
          </w:p>
        </w:tc>
        <w:tc>
          <w:tcPr>
            <w:tcW w:w="1460" w:type="dxa"/>
            <w:noWrap w:val="0"/>
            <w:vAlign w:val="center"/>
          </w:tcPr>
          <w:p w14:paraId="27F1B930">
            <w:pPr>
              <w:shd w:val="clear"/>
              <w:jc w:val="center"/>
              <w:rPr>
                <w:rFonts w:hint="eastAsia" w:ascii="宋体" w:hAnsi="宋体" w:eastAsia="宋体" w:cs="宋体"/>
                <w:color w:val="auto"/>
                <w:highlight w:val="none"/>
              </w:rPr>
            </w:pPr>
          </w:p>
        </w:tc>
      </w:tr>
      <w:tr w14:paraId="282FE9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D7EBFEE">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013" w:type="dxa"/>
            <w:noWrap w:val="0"/>
            <w:vAlign w:val="center"/>
          </w:tcPr>
          <w:p w14:paraId="0DD5C44D">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60EAF8A5">
            <w:pPr>
              <w:shd w:val="clear"/>
              <w:rPr>
                <w:rFonts w:hint="eastAsia" w:ascii="宋体" w:hAnsi="宋体" w:eastAsia="宋体" w:cs="宋体"/>
                <w:color w:val="auto"/>
                <w:highlight w:val="none"/>
              </w:rPr>
            </w:pPr>
          </w:p>
        </w:tc>
        <w:tc>
          <w:tcPr>
            <w:tcW w:w="1571" w:type="dxa"/>
            <w:noWrap w:val="0"/>
            <w:vAlign w:val="center"/>
          </w:tcPr>
          <w:p w14:paraId="0CF66E60">
            <w:pPr>
              <w:shd w:val="clear"/>
              <w:jc w:val="center"/>
              <w:rPr>
                <w:rFonts w:hint="eastAsia" w:ascii="宋体" w:hAnsi="宋体" w:eastAsia="宋体" w:cs="宋体"/>
                <w:color w:val="auto"/>
                <w:highlight w:val="none"/>
              </w:rPr>
            </w:pPr>
          </w:p>
        </w:tc>
        <w:tc>
          <w:tcPr>
            <w:tcW w:w="1460" w:type="dxa"/>
            <w:noWrap w:val="0"/>
            <w:vAlign w:val="center"/>
          </w:tcPr>
          <w:p w14:paraId="696582BF">
            <w:pPr>
              <w:shd w:val="clear"/>
              <w:jc w:val="center"/>
              <w:rPr>
                <w:rFonts w:hint="eastAsia" w:ascii="宋体" w:hAnsi="宋体" w:eastAsia="宋体" w:cs="宋体"/>
                <w:color w:val="auto"/>
                <w:highlight w:val="none"/>
              </w:rPr>
            </w:pPr>
          </w:p>
        </w:tc>
      </w:tr>
      <w:tr w14:paraId="2E009F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F5C7F8B">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013" w:type="dxa"/>
            <w:noWrap w:val="0"/>
            <w:vAlign w:val="center"/>
          </w:tcPr>
          <w:p w14:paraId="69612BCA">
            <w:pPr>
              <w:shd w:val="clear"/>
              <w:tabs>
                <w:tab w:val="left" w:pos="180"/>
                <w:tab w:val="left" w:pos="1620"/>
              </w:tabs>
              <w:spacing w:line="400" w:lineRule="exact"/>
              <w:jc w:val="center"/>
              <w:rPr>
                <w:rFonts w:hint="eastAsia" w:ascii="宋体" w:hAnsi="宋体" w:eastAsia="宋体" w:cs="宋体"/>
                <w:color w:val="auto"/>
                <w:szCs w:val="21"/>
                <w:highlight w:val="none"/>
              </w:rPr>
            </w:pPr>
          </w:p>
        </w:tc>
        <w:tc>
          <w:tcPr>
            <w:tcW w:w="3159" w:type="dxa"/>
            <w:noWrap w:val="0"/>
            <w:vAlign w:val="top"/>
          </w:tcPr>
          <w:p w14:paraId="37CF09C3">
            <w:pPr>
              <w:shd w:val="clear"/>
              <w:rPr>
                <w:rFonts w:hint="eastAsia" w:ascii="宋体" w:hAnsi="宋体" w:eastAsia="宋体" w:cs="宋体"/>
                <w:color w:val="auto"/>
                <w:highlight w:val="none"/>
              </w:rPr>
            </w:pPr>
          </w:p>
        </w:tc>
        <w:tc>
          <w:tcPr>
            <w:tcW w:w="1571" w:type="dxa"/>
            <w:noWrap w:val="0"/>
            <w:vAlign w:val="center"/>
          </w:tcPr>
          <w:p w14:paraId="270DB267">
            <w:pPr>
              <w:shd w:val="clear"/>
              <w:jc w:val="center"/>
              <w:rPr>
                <w:rFonts w:hint="eastAsia" w:ascii="宋体" w:hAnsi="宋体" w:eastAsia="宋体" w:cs="宋体"/>
                <w:color w:val="auto"/>
                <w:highlight w:val="none"/>
              </w:rPr>
            </w:pPr>
          </w:p>
        </w:tc>
        <w:tc>
          <w:tcPr>
            <w:tcW w:w="1460" w:type="dxa"/>
            <w:noWrap w:val="0"/>
            <w:vAlign w:val="center"/>
          </w:tcPr>
          <w:p w14:paraId="5C36DB13">
            <w:pPr>
              <w:shd w:val="clear"/>
              <w:jc w:val="center"/>
              <w:rPr>
                <w:rFonts w:hint="eastAsia" w:ascii="宋体" w:hAnsi="宋体" w:eastAsia="宋体" w:cs="宋体"/>
                <w:color w:val="auto"/>
                <w:highlight w:val="none"/>
              </w:rPr>
            </w:pPr>
          </w:p>
        </w:tc>
      </w:tr>
      <w:tr w14:paraId="0C19B9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E3727DD">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013" w:type="dxa"/>
            <w:noWrap w:val="0"/>
            <w:vAlign w:val="center"/>
          </w:tcPr>
          <w:p w14:paraId="4EA44990">
            <w:pPr>
              <w:shd w:val="clear"/>
              <w:jc w:val="center"/>
              <w:rPr>
                <w:rFonts w:hint="eastAsia" w:ascii="宋体" w:hAnsi="宋体" w:eastAsia="宋体" w:cs="宋体"/>
                <w:color w:val="auto"/>
                <w:highlight w:val="none"/>
              </w:rPr>
            </w:pPr>
          </w:p>
        </w:tc>
        <w:tc>
          <w:tcPr>
            <w:tcW w:w="3159" w:type="dxa"/>
            <w:noWrap w:val="0"/>
            <w:vAlign w:val="top"/>
          </w:tcPr>
          <w:p w14:paraId="52AD7341">
            <w:pPr>
              <w:shd w:val="clear"/>
              <w:rPr>
                <w:rFonts w:hint="eastAsia" w:ascii="宋体" w:hAnsi="宋体" w:eastAsia="宋体" w:cs="宋体"/>
                <w:color w:val="auto"/>
                <w:highlight w:val="none"/>
              </w:rPr>
            </w:pPr>
          </w:p>
        </w:tc>
        <w:tc>
          <w:tcPr>
            <w:tcW w:w="1571" w:type="dxa"/>
            <w:noWrap w:val="0"/>
            <w:vAlign w:val="center"/>
          </w:tcPr>
          <w:p w14:paraId="21081FEA">
            <w:pPr>
              <w:shd w:val="clear"/>
              <w:jc w:val="center"/>
              <w:rPr>
                <w:rFonts w:hint="eastAsia" w:ascii="宋体" w:hAnsi="宋体" w:eastAsia="宋体" w:cs="宋体"/>
                <w:color w:val="auto"/>
                <w:highlight w:val="none"/>
              </w:rPr>
            </w:pPr>
          </w:p>
        </w:tc>
        <w:tc>
          <w:tcPr>
            <w:tcW w:w="1460" w:type="dxa"/>
            <w:noWrap w:val="0"/>
            <w:vAlign w:val="center"/>
          </w:tcPr>
          <w:p w14:paraId="51DBE2BC">
            <w:pPr>
              <w:shd w:val="clear"/>
              <w:jc w:val="center"/>
              <w:rPr>
                <w:rFonts w:hint="eastAsia" w:ascii="宋体" w:hAnsi="宋体" w:eastAsia="宋体" w:cs="宋体"/>
                <w:color w:val="auto"/>
                <w:highlight w:val="none"/>
              </w:rPr>
            </w:pPr>
          </w:p>
        </w:tc>
      </w:tr>
      <w:tr w14:paraId="2CCE1B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6EA8F5F9">
            <w:pPr>
              <w:shd w:val="clear"/>
              <w:jc w:val="center"/>
              <w:rPr>
                <w:rFonts w:hint="eastAsia" w:ascii="宋体" w:hAnsi="宋体" w:eastAsia="宋体" w:cs="宋体"/>
                <w:color w:val="auto"/>
                <w:highlight w:val="none"/>
              </w:rPr>
            </w:pPr>
            <w:bookmarkStart w:id="84" w:name="_Toc476258667"/>
            <w:r>
              <w:rPr>
                <w:rFonts w:hint="eastAsia" w:ascii="宋体" w:hAnsi="宋体" w:eastAsia="宋体" w:cs="宋体"/>
                <w:color w:val="auto"/>
                <w:highlight w:val="none"/>
                <w:lang w:val="en-US" w:eastAsia="zh-CN"/>
              </w:rPr>
              <w:t>商务</w:t>
            </w:r>
            <w:r>
              <w:rPr>
                <w:rFonts w:hint="eastAsia" w:ascii="宋体" w:hAnsi="宋体" w:eastAsia="宋体" w:cs="宋体"/>
                <w:color w:val="auto"/>
                <w:highlight w:val="none"/>
              </w:rPr>
              <w:t>部分</w:t>
            </w:r>
            <w:bookmarkEnd w:id="84"/>
            <w:r>
              <w:rPr>
                <w:rFonts w:hint="eastAsia" w:ascii="宋体" w:hAnsi="宋体" w:eastAsia="宋体" w:cs="宋体"/>
                <w:color w:val="auto"/>
                <w:highlight w:val="none"/>
              </w:rPr>
              <w:t>（商务要求表）</w:t>
            </w:r>
          </w:p>
        </w:tc>
      </w:tr>
      <w:tr w14:paraId="2EDD8D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31BFA6E">
            <w:pPr>
              <w:shd w:val="clear"/>
              <w:jc w:val="center"/>
              <w:rPr>
                <w:rFonts w:hint="eastAsia" w:ascii="宋体" w:hAnsi="宋体" w:eastAsia="宋体" w:cs="宋体"/>
                <w:color w:val="auto"/>
                <w:highlight w:val="none"/>
              </w:rPr>
            </w:pPr>
            <w:bookmarkStart w:id="85" w:name="_Toc476258668"/>
            <w:r>
              <w:rPr>
                <w:rFonts w:hint="eastAsia" w:ascii="宋体" w:hAnsi="宋体" w:eastAsia="宋体" w:cs="宋体"/>
                <w:color w:val="auto"/>
                <w:highlight w:val="none"/>
              </w:rPr>
              <w:t>1</w:t>
            </w:r>
            <w:bookmarkEnd w:id="85"/>
          </w:p>
        </w:tc>
        <w:tc>
          <w:tcPr>
            <w:tcW w:w="3013" w:type="dxa"/>
            <w:noWrap w:val="0"/>
            <w:vAlign w:val="center"/>
          </w:tcPr>
          <w:p w14:paraId="64AA3CA1">
            <w:pPr>
              <w:shd w:val="clear"/>
              <w:rPr>
                <w:rFonts w:hint="eastAsia" w:ascii="宋体" w:hAnsi="宋体" w:eastAsia="宋体" w:cs="宋体"/>
                <w:color w:val="auto"/>
                <w:highlight w:val="none"/>
              </w:rPr>
            </w:pPr>
          </w:p>
        </w:tc>
        <w:tc>
          <w:tcPr>
            <w:tcW w:w="3159" w:type="dxa"/>
            <w:noWrap w:val="0"/>
            <w:vAlign w:val="center"/>
          </w:tcPr>
          <w:p w14:paraId="2D9B88C1">
            <w:pPr>
              <w:shd w:val="clear"/>
              <w:rPr>
                <w:rFonts w:hint="eastAsia" w:ascii="宋体" w:hAnsi="宋体" w:eastAsia="宋体" w:cs="宋体"/>
                <w:color w:val="auto"/>
                <w:highlight w:val="none"/>
              </w:rPr>
            </w:pPr>
          </w:p>
        </w:tc>
        <w:tc>
          <w:tcPr>
            <w:tcW w:w="1571" w:type="dxa"/>
            <w:noWrap w:val="0"/>
            <w:vAlign w:val="center"/>
          </w:tcPr>
          <w:p w14:paraId="4C8AEE1F">
            <w:pPr>
              <w:shd w:val="clear"/>
              <w:rPr>
                <w:rFonts w:hint="eastAsia" w:ascii="宋体" w:hAnsi="宋体" w:eastAsia="宋体" w:cs="宋体"/>
                <w:color w:val="auto"/>
                <w:highlight w:val="none"/>
              </w:rPr>
            </w:pPr>
          </w:p>
        </w:tc>
        <w:tc>
          <w:tcPr>
            <w:tcW w:w="1460" w:type="dxa"/>
            <w:noWrap w:val="0"/>
            <w:vAlign w:val="center"/>
          </w:tcPr>
          <w:p w14:paraId="66C4E293">
            <w:pPr>
              <w:shd w:val="clear"/>
              <w:rPr>
                <w:rFonts w:hint="eastAsia" w:ascii="宋体" w:hAnsi="宋体" w:eastAsia="宋体" w:cs="宋体"/>
                <w:color w:val="auto"/>
                <w:highlight w:val="none"/>
              </w:rPr>
            </w:pPr>
          </w:p>
        </w:tc>
      </w:tr>
      <w:tr w14:paraId="0D3B36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20B3459">
            <w:pPr>
              <w:shd w:val="clear"/>
              <w:jc w:val="center"/>
              <w:rPr>
                <w:rFonts w:hint="eastAsia" w:ascii="宋体" w:hAnsi="宋体" w:eastAsia="宋体" w:cs="宋体"/>
                <w:color w:val="auto"/>
                <w:highlight w:val="none"/>
              </w:rPr>
            </w:pPr>
            <w:bookmarkStart w:id="86" w:name="_Toc476258669"/>
            <w:r>
              <w:rPr>
                <w:rFonts w:hint="eastAsia" w:ascii="宋体" w:hAnsi="宋体" w:eastAsia="宋体" w:cs="宋体"/>
                <w:color w:val="auto"/>
                <w:highlight w:val="none"/>
              </w:rPr>
              <w:t>2</w:t>
            </w:r>
            <w:bookmarkEnd w:id="86"/>
          </w:p>
        </w:tc>
        <w:tc>
          <w:tcPr>
            <w:tcW w:w="3013" w:type="dxa"/>
            <w:noWrap w:val="0"/>
            <w:vAlign w:val="center"/>
          </w:tcPr>
          <w:p w14:paraId="57E4A792">
            <w:pPr>
              <w:shd w:val="clear"/>
              <w:rPr>
                <w:rFonts w:hint="eastAsia" w:ascii="宋体" w:hAnsi="宋体" w:eastAsia="宋体" w:cs="宋体"/>
                <w:color w:val="auto"/>
                <w:highlight w:val="none"/>
              </w:rPr>
            </w:pPr>
          </w:p>
        </w:tc>
        <w:tc>
          <w:tcPr>
            <w:tcW w:w="3159" w:type="dxa"/>
            <w:noWrap w:val="0"/>
            <w:vAlign w:val="center"/>
          </w:tcPr>
          <w:p w14:paraId="50198E8E">
            <w:pPr>
              <w:shd w:val="clear"/>
              <w:rPr>
                <w:rFonts w:hint="eastAsia" w:ascii="宋体" w:hAnsi="宋体" w:eastAsia="宋体" w:cs="宋体"/>
                <w:color w:val="auto"/>
                <w:highlight w:val="none"/>
              </w:rPr>
            </w:pPr>
          </w:p>
        </w:tc>
        <w:tc>
          <w:tcPr>
            <w:tcW w:w="1571" w:type="dxa"/>
            <w:noWrap w:val="0"/>
            <w:vAlign w:val="center"/>
          </w:tcPr>
          <w:p w14:paraId="3C1F9B79">
            <w:pPr>
              <w:shd w:val="clear"/>
              <w:rPr>
                <w:rFonts w:hint="eastAsia" w:ascii="宋体" w:hAnsi="宋体" w:eastAsia="宋体" w:cs="宋体"/>
                <w:color w:val="auto"/>
                <w:highlight w:val="none"/>
              </w:rPr>
            </w:pPr>
          </w:p>
        </w:tc>
        <w:tc>
          <w:tcPr>
            <w:tcW w:w="1460" w:type="dxa"/>
            <w:noWrap w:val="0"/>
            <w:vAlign w:val="center"/>
          </w:tcPr>
          <w:p w14:paraId="5F957A34">
            <w:pPr>
              <w:shd w:val="clear"/>
              <w:rPr>
                <w:rFonts w:hint="eastAsia" w:ascii="宋体" w:hAnsi="宋体" w:eastAsia="宋体" w:cs="宋体"/>
                <w:color w:val="auto"/>
                <w:highlight w:val="none"/>
              </w:rPr>
            </w:pPr>
          </w:p>
        </w:tc>
      </w:tr>
      <w:tr w14:paraId="792AF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8C5395A">
            <w:pPr>
              <w:shd w:val="clear"/>
              <w:jc w:val="center"/>
              <w:rPr>
                <w:rFonts w:hint="eastAsia" w:ascii="宋体" w:hAnsi="宋体" w:eastAsia="宋体" w:cs="宋体"/>
                <w:color w:val="auto"/>
                <w:highlight w:val="none"/>
              </w:rPr>
            </w:pPr>
            <w:bookmarkStart w:id="87" w:name="_Toc476258670"/>
            <w:r>
              <w:rPr>
                <w:rFonts w:hint="eastAsia" w:ascii="宋体" w:hAnsi="宋体" w:eastAsia="宋体" w:cs="宋体"/>
                <w:color w:val="auto"/>
                <w:highlight w:val="none"/>
              </w:rPr>
              <w:t>3</w:t>
            </w:r>
            <w:bookmarkEnd w:id="87"/>
          </w:p>
        </w:tc>
        <w:tc>
          <w:tcPr>
            <w:tcW w:w="3013" w:type="dxa"/>
            <w:noWrap w:val="0"/>
            <w:vAlign w:val="center"/>
          </w:tcPr>
          <w:p w14:paraId="330C6D49">
            <w:pPr>
              <w:shd w:val="clear"/>
              <w:rPr>
                <w:rFonts w:hint="eastAsia" w:ascii="宋体" w:hAnsi="宋体" w:eastAsia="宋体" w:cs="宋体"/>
                <w:color w:val="auto"/>
                <w:highlight w:val="none"/>
              </w:rPr>
            </w:pPr>
          </w:p>
        </w:tc>
        <w:tc>
          <w:tcPr>
            <w:tcW w:w="3159" w:type="dxa"/>
            <w:noWrap w:val="0"/>
            <w:vAlign w:val="center"/>
          </w:tcPr>
          <w:p w14:paraId="34496A96">
            <w:pPr>
              <w:shd w:val="clear"/>
              <w:rPr>
                <w:rFonts w:hint="eastAsia" w:ascii="宋体" w:hAnsi="宋体" w:eastAsia="宋体" w:cs="宋体"/>
                <w:color w:val="auto"/>
                <w:highlight w:val="none"/>
              </w:rPr>
            </w:pPr>
          </w:p>
        </w:tc>
        <w:tc>
          <w:tcPr>
            <w:tcW w:w="1571" w:type="dxa"/>
            <w:noWrap w:val="0"/>
            <w:vAlign w:val="center"/>
          </w:tcPr>
          <w:p w14:paraId="5DD0C652">
            <w:pPr>
              <w:shd w:val="clear"/>
              <w:rPr>
                <w:rFonts w:hint="eastAsia" w:ascii="宋体" w:hAnsi="宋体" w:eastAsia="宋体" w:cs="宋体"/>
                <w:color w:val="auto"/>
                <w:highlight w:val="none"/>
              </w:rPr>
            </w:pPr>
          </w:p>
        </w:tc>
        <w:tc>
          <w:tcPr>
            <w:tcW w:w="1460" w:type="dxa"/>
            <w:noWrap w:val="0"/>
            <w:vAlign w:val="center"/>
          </w:tcPr>
          <w:p w14:paraId="7BE05345">
            <w:pPr>
              <w:shd w:val="clear"/>
              <w:rPr>
                <w:rFonts w:hint="eastAsia" w:ascii="宋体" w:hAnsi="宋体" w:eastAsia="宋体" w:cs="宋体"/>
                <w:color w:val="auto"/>
                <w:highlight w:val="none"/>
              </w:rPr>
            </w:pPr>
          </w:p>
        </w:tc>
      </w:tr>
      <w:tr w14:paraId="493D1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75615243">
            <w:pPr>
              <w:shd w:val="clear"/>
              <w:jc w:val="center"/>
              <w:rPr>
                <w:rFonts w:hint="eastAsia" w:ascii="宋体" w:hAnsi="宋体" w:eastAsia="宋体" w:cs="宋体"/>
                <w:color w:val="auto"/>
                <w:highlight w:val="none"/>
              </w:rPr>
            </w:pPr>
            <w:bookmarkStart w:id="88" w:name="_Toc476258671"/>
            <w:r>
              <w:rPr>
                <w:rFonts w:hint="eastAsia" w:ascii="宋体" w:hAnsi="宋体" w:eastAsia="宋体" w:cs="宋体"/>
                <w:color w:val="auto"/>
                <w:highlight w:val="none"/>
              </w:rPr>
              <w:t>…</w:t>
            </w:r>
            <w:bookmarkEnd w:id="88"/>
          </w:p>
        </w:tc>
        <w:tc>
          <w:tcPr>
            <w:tcW w:w="3013" w:type="dxa"/>
            <w:noWrap w:val="0"/>
            <w:vAlign w:val="center"/>
          </w:tcPr>
          <w:p w14:paraId="767F8AE5">
            <w:pPr>
              <w:shd w:val="clear"/>
              <w:rPr>
                <w:rFonts w:hint="eastAsia" w:ascii="宋体" w:hAnsi="宋体" w:eastAsia="宋体" w:cs="宋体"/>
                <w:color w:val="auto"/>
                <w:highlight w:val="none"/>
              </w:rPr>
            </w:pPr>
          </w:p>
        </w:tc>
        <w:tc>
          <w:tcPr>
            <w:tcW w:w="3159" w:type="dxa"/>
            <w:noWrap w:val="0"/>
            <w:vAlign w:val="center"/>
          </w:tcPr>
          <w:p w14:paraId="23001955">
            <w:pPr>
              <w:shd w:val="clear"/>
              <w:rPr>
                <w:rFonts w:hint="eastAsia" w:ascii="宋体" w:hAnsi="宋体" w:eastAsia="宋体" w:cs="宋体"/>
                <w:color w:val="auto"/>
                <w:highlight w:val="none"/>
              </w:rPr>
            </w:pPr>
          </w:p>
        </w:tc>
        <w:tc>
          <w:tcPr>
            <w:tcW w:w="1571" w:type="dxa"/>
            <w:tcBorders>
              <w:right w:val="single" w:color="auto" w:sz="4" w:space="0"/>
            </w:tcBorders>
            <w:noWrap w:val="0"/>
            <w:vAlign w:val="center"/>
          </w:tcPr>
          <w:p w14:paraId="71A632AB">
            <w:pPr>
              <w:shd w:val="clear"/>
              <w:rPr>
                <w:rFonts w:hint="eastAsia" w:ascii="宋体" w:hAnsi="宋体" w:eastAsia="宋体" w:cs="宋体"/>
                <w:color w:val="auto"/>
                <w:highlight w:val="none"/>
              </w:rPr>
            </w:pPr>
          </w:p>
        </w:tc>
        <w:tc>
          <w:tcPr>
            <w:tcW w:w="1460" w:type="dxa"/>
            <w:tcBorders>
              <w:left w:val="single" w:color="auto" w:sz="4" w:space="0"/>
            </w:tcBorders>
            <w:noWrap w:val="0"/>
            <w:vAlign w:val="center"/>
          </w:tcPr>
          <w:p w14:paraId="5C7C15D8">
            <w:pPr>
              <w:shd w:val="clear"/>
              <w:rPr>
                <w:rFonts w:hint="eastAsia" w:ascii="宋体" w:hAnsi="宋体" w:eastAsia="宋体" w:cs="宋体"/>
                <w:color w:val="auto"/>
                <w:highlight w:val="none"/>
              </w:rPr>
            </w:pPr>
          </w:p>
        </w:tc>
      </w:tr>
    </w:tbl>
    <w:p w14:paraId="01744273">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说明：谈判供应商应对照竞争性谈判文件“第三章 采购项目技术规格、参数及要求”，逐条说明所提供货物和服务已对竞争性谈判文件的商务、服务的响应情况，并填写“偏离说明”。“偏离说明”栏注明“正偏离</w:t>
      </w:r>
      <w:r>
        <w:rPr>
          <w:rFonts w:hint="eastAsia" w:ascii="宋体" w:hAnsi="宋体"/>
          <w:b/>
          <w:color w:val="auto"/>
          <w:szCs w:val="21"/>
          <w:highlight w:val="none"/>
          <w:lang w:eastAsia="zh-CN"/>
        </w:rPr>
        <w:t>”“</w:t>
      </w:r>
      <w:r>
        <w:rPr>
          <w:rFonts w:hint="eastAsia" w:ascii="宋体" w:hAnsi="宋体"/>
          <w:b/>
          <w:color w:val="auto"/>
          <w:szCs w:val="21"/>
          <w:highlight w:val="none"/>
        </w:rPr>
        <w:t>负偏离”或“无偏离”。谈判供应商所提供的服务与竞争性谈判文件要求相同的为无偏离，谈判供应商所提供的服务高于竞争性谈判文件要求的为正偏离，低于竞争性谈判文件要求的为负偏离。</w:t>
      </w:r>
    </w:p>
    <w:p w14:paraId="5D038E77">
      <w:pPr>
        <w:pStyle w:val="21"/>
        <w:shd w:val="clear"/>
        <w:spacing w:line="360" w:lineRule="exact"/>
        <w:rPr>
          <w:rFonts w:hint="eastAsia" w:hAnsi="宋体"/>
          <w:color w:val="auto"/>
          <w:highlight w:val="none"/>
        </w:rPr>
      </w:pPr>
    </w:p>
    <w:p w14:paraId="3322E688">
      <w:pPr>
        <w:pStyle w:val="21"/>
        <w:shd w:val="clear"/>
        <w:spacing w:line="500" w:lineRule="exact"/>
        <w:ind w:firstLine="4515" w:firstLineChars="215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38703682">
      <w:pPr>
        <w:pStyle w:val="21"/>
        <w:shd w:val="clear"/>
        <w:spacing w:line="500" w:lineRule="exact"/>
        <w:ind w:firstLine="4515" w:firstLineChars="2150"/>
        <w:rPr>
          <w:rFonts w:hint="eastAsia" w:hAnsi="宋体"/>
          <w:color w:val="auto"/>
          <w:highlight w:val="none"/>
          <w:u w:val="single"/>
        </w:rPr>
      </w:pPr>
      <w:r>
        <w:rPr>
          <w:rFonts w:hint="eastAsia" w:hAnsi="宋体"/>
          <w:color w:val="auto"/>
          <w:highlight w:val="none"/>
        </w:rPr>
        <w:t>谈判供应商名称（盖章）：</w:t>
      </w:r>
      <w:r>
        <w:rPr>
          <w:rFonts w:hint="eastAsia" w:hAnsi="宋体"/>
          <w:color w:val="auto"/>
          <w:highlight w:val="none"/>
          <w:u w:val="single"/>
        </w:rPr>
        <w:t xml:space="preserve">                     </w:t>
      </w:r>
    </w:p>
    <w:p w14:paraId="531573C9">
      <w:pPr>
        <w:shd w:val="clear"/>
        <w:spacing w:line="500" w:lineRule="exact"/>
        <w:ind w:firstLine="4515" w:firstLineChars="215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8779065">
      <w:pPr>
        <w:pStyle w:val="21"/>
        <w:shd w:val="clear"/>
        <w:spacing w:line="480" w:lineRule="auto"/>
        <w:ind w:firstLine="1470" w:firstLineChars="700"/>
        <w:rPr>
          <w:rFonts w:hint="eastAsia" w:hAnsi="宋体"/>
          <w:color w:val="auto"/>
          <w:highlight w:val="none"/>
        </w:rPr>
      </w:pPr>
    </w:p>
    <w:p w14:paraId="798B4BD8">
      <w:pPr>
        <w:shd w:val="clear"/>
        <w:spacing w:line="300" w:lineRule="auto"/>
        <w:rPr>
          <w:rFonts w:hint="eastAsia" w:ascii="宋体" w:hAnsi="宋体"/>
          <w:color w:val="auto"/>
          <w:szCs w:val="21"/>
          <w:highlight w:val="none"/>
        </w:rPr>
      </w:pPr>
    </w:p>
    <w:p w14:paraId="12D51BB1">
      <w:pPr>
        <w:shd w:val="clear"/>
        <w:spacing w:line="300" w:lineRule="auto"/>
        <w:rPr>
          <w:rFonts w:hint="eastAsia" w:ascii="宋体" w:hAnsi="宋体"/>
          <w:color w:val="auto"/>
          <w:szCs w:val="21"/>
          <w:highlight w:val="none"/>
        </w:rPr>
      </w:pPr>
    </w:p>
    <w:p w14:paraId="56091E12">
      <w:pPr>
        <w:shd w:val="clear"/>
        <w:spacing w:line="500" w:lineRule="exact"/>
        <w:rPr>
          <w:rFonts w:hint="eastAsia" w:ascii="宋体" w:hAnsi="宋体" w:eastAsia="宋体"/>
          <w:b/>
          <w:color w:val="auto"/>
          <w:szCs w:val="21"/>
          <w:highlight w:val="none"/>
          <w:lang w:eastAsia="zh-CN"/>
        </w:rPr>
      </w:pPr>
      <w:r>
        <w:rPr>
          <w:rFonts w:ascii="宋体" w:hAnsi="宋体"/>
          <w:color w:val="auto"/>
          <w:szCs w:val="21"/>
          <w:highlight w:val="none"/>
        </w:rPr>
        <w:br w:type="page"/>
      </w:r>
      <w:r>
        <w:rPr>
          <w:rFonts w:hint="eastAsia" w:ascii="宋体" w:hAnsi="宋体"/>
          <w:b/>
          <w:color w:val="auto"/>
          <w:szCs w:val="21"/>
          <w:highlight w:val="none"/>
        </w:rPr>
        <w:t>附件</w:t>
      </w:r>
      <w:r>
        <w:rPr>
          <w:rFonts w:hint="eastAsia" w:ascii="宋体" w:hAnsi="宋体"/>
          <w:b/>
          <w:color w:val="auto"/>
          <w:szCs w:val="21"/>
          <w:highlight w:val="none"/>
          <w:lang w:val="en-US" w:eastAsia="zh-CN"/>
        </w:rPr>
        <w:t>五</w:t>
      </w:r>
    </w:p>
    <w:p w14:paraId="61363226">
      <w:pPr>
        <w:shd w:val="clear"/>
        <w:adjustRightInd w:val="0"/>
        <w:snapToGrid w:val="0"/>
        <w:spacing w:line="300" w:lineRule="auto"/>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法定代表人授权委托书</w:t>
      </w:r>
    </w:p>
    <w:p w14:paraId="3B7301CB">
      <w:pPr>
        <w:shd w:val="clear"/>
        <w:adjustRightInd w:val="0"/>
        <w:snapToGrid w:val="0"/>
        <w:spacing w:line="520" w:lineRule="exact"/>
        <w:rPr>
          <w:rFonts w:hint="eastAsia" w:ascii="宋体" w:hAnsi="宋体"/>
          <w:color w:val="auto"/>
          <w:szCs w:val="21"/>
          <w:highlight w:val="none"/>
        </w:rPr>
      </w:pPr>
    </w:p>
    <w:p w14:paraId="777C4A18">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2D10271F">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（采购项目名称、采购项目编号）竞争性谈判</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21745852">
      <w:pPr>
        <w:shd w:val="clear"/>
        <w:spacing w:line="520" w:lineRule="exact"/>
        <w:rPr>
          <w:rFonts w:hint="eastAsia" w:ascii="宋体" w:hAnsi="宋体"/>
          <w:color w:val="auto"/>
          <w:szCs w:val="21"/>
          <w:highlight w:val="none"/>
        </w:rPr>
      </w:pPr>
    </w:p>
    <w:p w14:paraId="37D05288">
      <w:pPr>
        <w:shd w:val="clear"/>
        <w:spacing w:line="520" w:lineRule="exact"/>
        <w:rPr>
          <w:rFonts w:hint="eastAsia" w:ascii="宋体" w:hAnsi="宋体"/>
          <w:color w:val="auto"/>
          <w:szCs w:val="21"/>
          <w:highlight w:val="none"/>
        </w:rPr>
      </w:pPr>
      <w:r>
        <w:rPr>
          <w:rFonts w:hint="eastAsia" w:ascii="宋体" w:hAnsi="宋体"/>
          <w:color w:val="auto"/>
          <w:szCs w:val="21"/>
          <w:highlight w:val="none"/>
        </w:rPr>
        <w:t>谈判供应商（盖章）：</w:t>
      </w:r>
      <w:r>
        <w:rPr>
          <w:rFonts w:hint="eastAsia" w:ascii="宋体" w:hAnsi="宋体"/>
          <w:color w:val="auto"/>
          <w:szCs w:val="21"/>
          <w:highlight w:val="none"/>
          <w:u w:val="single"/>
        </w:rPr>
        <w:t xml:space="preserve">                   </w:t>
      </w:r>
    </w:p>
    <w:p w14:paraId="19EF1107">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551A36C0">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0E4A54E">
      <w:pPr>
        <w:shd w:val="clear"/>
        <w:spacing w:line="520" w:lineRule="exact"/>
        <w:rPr>
          <w:rFonts w:hint="eastAsia" w:ascii="宋体" w:hAnsi="宋体"/>
          <w:color w:val="auto"/>
          <w:szCs w:val="21"/>
          <w:highlight w:val="none"/>
        </w:rPr>
      </w:pPr>
    </w:p>
    <w:p w14:paraId="3556AB84">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509898B2">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2A8ED6AB">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767803E0">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0E5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0C441704">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6E5EDE72">
      <w:pPr>
        <w:shd w:val="clear"/>
        <w:autoSpaceDE w:val="0"/>
        <w:autoSpaceDN w:val="0"/>
        <w:spacing w:line="300" w:lineRule="auto"/>
        <w:ind w:left="480" w:hanging="480"/>
        <w:rPr>
          <w:rFonts w:hint="eastAsia" w:ascii="宋体" w:hAnsi="宋体"/>
          <w:color w:val="auto"/>
          <w:szCs w:val="21"/>
          <w:highlight w:val="none"/>
        </w:rPr>
      </w:pPr>
    </w:p>
    <w:p w14:paraId="5A3E4A2B">
      <w:pPr>
        <w:shd w:val="clear"/>
        <w:autoSpaceDE w:val="0"/>
        <w:autoSpaceDN w:val="0"/>
        <w:spacing w:line="300" w:lineRule="auto"/>
        <w:ind w:left="480" w:hanging="480"/>
        <w:rPr>
          <w:rFonts w:hint="eastAsia" w:ascii="宋体" w:hAnsi="宋体"/>
          <w:color w:val="auto"/>
          <w:szCs w:val="21"/>
          <w:highlight w:val="none"/>
        </w:rPr>
      </w:pPr>
    </w:p>
    <w:p w14:paraId="275B7C3B">
      <w:pPr>
        <w:pStyle w:val="21"/>
        <w:shd w:val="clear"/>
        <w:spacing w:line="300" w:lineRule="auto"/>
        <w:rPr>
          <w:rFonts w:hint="eastAsia" w:hAnsi="宋体"/>
          <w:color w:val="auto"/>
          <w:highlight w:val="none"/>
        </w:rPr>
      </w:pPr>
    </w:p>
    <w:p w14:paraId="56E0012F">
      <w:pPr>
        <w:pStyle w:val="21"/>
        <w:shd w:val="clear"/>
        <w:spacing w:line="300" w:lineRule="auto"/>
        <w:rPr>
          <w:rFonts w:hint="eastAsia" w:hAnsi="宋体"/>
          <w:color w:val="auto"/>
          <w:highlight w:val="none"/>
        </w:rPr>
      </w:pPr>
    </w:p>
    <w:p w14:paraId="0D7A3947">
      <w:pPr>
        <w:pStyle w:val="21"/>
        <w:shd w:val="clear"/>
        <w:spacing w:line="300" w:lineRule="auto"/>
        <w:rPr>
          <w:rFonts w:hint="eastAsia" w:hAnsi="宋体"/>
          <w:color w:val="auto"/>
          <w:highlight w:val="none"/>
        </w:rPr>
      </w:pPr>
    </w:p>
    <w:p w14:paraId="0FDF256D">
      <w:pPr>
        <w:pStyle w:val="21"/>
        <w:shd w:val="clear"/>
        <w:spacing w:line="300" w:lineRule="auto"/>
        <w:rPr>
          <w:rFonts w:hint="eastAsia" w:hAnsi="宋体"/>
          <w:color w:val="auto"/>
          <w:highlight w:val="none"/>
        </w:rPr>
      </w:pPr>
    </w:p>
    <w:p w14:paraId="60938272">
      <w:pPr>
        <w:pStyle w:val="21"/>
        <w:shd w:val="clear"/>
        <w:spacing w:line="300" w:lineRule="auto"/>
        <w:rPr>
          <w:rFonts w:hint="eastAsia" w:hAnsi="宋体"/>
          <w:color w:val="auto"/>
          <w:highlight w:val="none"/>
        </w:rPr>
      </w:pPr>
    </w:p>
    <w:p w14:paraId="26BE83EE">
      <w:pPr>
        <w:pStyle w:val="21"/>
        <w:shd w:val="clear"/>
        <w:spacing w:line="300" w:lineRule="auto"/>
        <w:rPr>
          <w:rFonts w:hint="eastAsia" w:hAnsi="宋体"/>
          <w:color w:val="auto"/>
          <w:highlight w:val="none"/>
        </w:rPr>
      </w:pPr>
    </w:p>
    <w:p w14:paraId="0C8F7207">
      <w:pPr>
        <w:shd w:val="clear"/>
        <w:spacing w:line="500" w:lineRule="exact"/>
        <w:rPr>
          <w:color w:val="auto"/>
          <w:kern w:val="0"/>
          <w:highlight w:val="none"/>
        </w:rPr>
      </w:pPr>
      <w:r>
        <w:rPr>
          <w:color w:val="auto"/>
          <w:kern w:val="0"/>
          <w:highlight w:val="none"/>
        </w:rPr>
        <w:t xml:space="preserve"> </w:t>
      </w:r>
    </w:p>
    <w:p w14:paraId="145BFAA5">
      <w:pPr>
        <w:shd w:val="clear"/>
        <w:spacing w:line="500" w:lineRule="exact"/>
        <w:rPr>
          <w:rFonts w:hint="eastAsia" w:ascii="宋体" w:hAnsi="宋体" w:eastAsia="宋体"/>
          <w:b/>
          <w:color w:val="auto"/>
          <w:szCs w:val="21"/>
          <w:highlight w:val="none"/>
          <w:lang w:eastAsia="zh-CN"/>
        </w:rPr>
      </w:pPr>
      <w:r>
        <w:rPr>
          <w:color w:val="auto"/>
          <w:kern w:val="0"/>
          <w:highlight w:val="none"/>
        </w:rPr>
        <w:br w:type="page"/>
      </w:r>
      <w:r>
        <w:rPr>
          <w:rFonts w:hint="eastAsia" w:ascii="宋体" w:hAnsi="宋体"/>
          <w:b/>
          <w:color w:val="auto"/>
          <w:szCs w:val="21"/>
          <w:highlight w:val="none"/>
        </w:rPr>
        <w:t>附件</w:t>
      </w:r>
      <w:r>
        <w:rPr>
          <w:rFonts w:hint="eastAsia" w:ascii="宋体" w:hAnsi="宋体"/>
          <w:b/>
          <w:color w:val="auto"/>
          <w:szCs w:val="21"/>
          <w:highlight w:val="none"/>
          <w:lang w:val="en-US" w:eastAsia="zh-CN"/>
        </w:rPr>
        <w:t>六</w:t>
      </w:r>
    </w:p>
    <w:p w14:paraId="4CE6CDDA">
      <w:pPr>
        <w:pStyle w:val="21"/>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货物</w:t>
      </w:r>
      <w:r>
        <w:rPr>
          <w:rFonts w:hAnsi="宋体"/>
          <w:b/>
          <w:bCs/>
          <w:color w:val="auto"/>
          <w:sz w:val="30"/>
          <w:szCs w:val="30"/>
          <w:highlight w:val="none"/>
        </w:rPr>
        <w:t>）</w:t>
      </w:r>
    </w:p>
    <w:p w14:paraId="7C74FD34">
      <w:pPr>
        <w:pStyle w:val="21"/>
        <w:shd w:val="clear"/>
        <w:spacing w:line="500" w:lineRule="exact"/>
        <w:jc w:val="center"/>
        <w:rPr>
          <w:rFonts w:hint="eastAsia" w:hAnsi="宋体"/>
          <w:b/>
          <w:bCs/>
          <w:color w:val="auto"/>
          <w:sz w:val="30"/>
          <w:szCs w:val="30"/>
          <w:highlight w:val="none"/>
        </w:rPr>
      </w:pPr>
    </w:p>
    <w:p w14:paraId="0DA48BA3">
      <w:pPr>
        <w:pStyle w:val="21"/>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采购活动，提供的货物全部由符合政策要求的中小企业制造。相关企业（含联合体中的中小企业、签订分包意向协议的中小企业）的具体情况如下：</w:t>
      </w:r>
    </w:p>
    <w:p w14:paraId="3AD9DE32">
      <w:pPr>
        <w:pStyle w:val="21"/>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（采购文件中明确的所属行业）行业</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3E8B76E3">
      <w:pPr>
        <w:pStyle w:val="21"/>
        <w:shd w:val="clear"/>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（采购文件中明确的所属行业）行业</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6A0BB1BD">
      <w:pPr>
        <w:pStyle w:val="21"/>
        <w:shd w:val="clear"/>
        <w:spacing w:line="500" w:lineRule="exact"/>
        <w:ind w:firstLine="420" w:firstLineChars="200"/>
        <w:jc w:val="left"/>
        <w:rPr>
          <w:rFonts w:hint="eastAsia"/>
          <w:color w:val="auto"/>
          <w:highlight w:val="none"/>
        </w:rPr>
      </w:pPr>
      <w:r>
        <w:rPr>
          <w:rFonts w:hint="eastAsia"/>
          <w:color w:val="auto"/>
          <w:highlight w:val="none"/>
        </w:rPr>
        <w:t>……</w:t>
      </w:r>
    </w:p>
    <w:p w14:paraId="76EC1761">
      <w:pPr>
        <w:pStyle w:val="21"/>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1E39617A">
      <w:pPr>
        <w:pStyle w:val="21"/>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222451AE">
      <w:pPr>
        <w:pStyle w:val="21"/>
        <w:shd w:val="clear"/>
        <w:spacing w:line="500" w:lineRule="exact"/>
        <w:ind w:firstLine="420" w:firstLineChars="200"/>
        <w:jc w:val="left"/>
        <w:rPr>
          <w:rFonts w:hint="eastAsia"/>
          <w:color w:val="auto"/>
          <w:highlight w:val="none"/>
        </w:rPr>
      </w:pPr>
    </w:p>
    <w:p w14:paraId="631DB9BB">
      <w:pPr>
        <w:pStyle w:val="21"/>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61CC7CF8">
      <w:pPr>
        <w:pStyle w:val="21"/>
        <w:shd w:val="clear"/>
        <w:spacing w:line="500" w:lineRule="exact"/>
        <w:ind w:firstLine="4620" w:firstLineChars="2200"/>
        <w:jc w:val="left"/>
        <w:rPr>
          <w:rFonts w:hint="eastAsia"/>
          <w:color w:val="auto"/>
          <w:highlight w:val="none"/>
        </w:rPr>
      </w:pPr>
      <w:r>
        <w:rPr>
          <w:rFonts w:hint="eastAsia"/>
          <w:color w:val="auto"/>
          <w:highlight w:val="none"/>
        </w:rPr>
        <w:t>日 期：</w:t>
      </w:r>
    </w:p>
    <w:p w14:paraId="182BB583">
      <w:pPr>
        <w:pStyle w:val="21"/>
        <w:shd w:val="clear"/>
        <w:spacing w:line="500" w:lineRule="exact"/>
        <w:jc w:val="left"/>
        <w:rPr>
          <w:rFonts w:hint="eastAsia"/>
          <w:color w:val="auto"/>
          <w:sz w:val="24"/>
          <w:szCs w:val="24"/>
          <w:highlight w:val="none"/>
        </w:rPr>
      </w:pPr>
    </w:p>
    <w:p w14:paraId="60E621B7">
      <w:pPr>
        <w:pStyle w:val="21"/>
        <w:shd w:val="clear"/>
        <w:spacing w:line="500" w:lineRule="exact"/>
        <w:jc w:val="left"/>
        <w:rPr>
          <w:rFonts w:hint="eastAsia"/>
          <w:color w:val="auto"/>
          <w:sz w:val="18"/>
          <w:szCs w:val="18"/>
          <w:highlight w:val="none"/>
        </w:rPr>
      </w:pPr>
      <w:r>
        <w:rPr>
          <w:rFonts w:hint="eastAsia"/>
          <w:color w:val="auto"/>
          <w:sz w:val="18"/>
          <w:szCs w:val="18"/>
          <w:highlight w:val="none"/>
        </w:rPr>
        <w:t>注：1</w:t>
      </w:r>
      <w:r>
        <w:rPr>
          <w:rFonts w:hint="eastAsia"/>
          <w:color w:val="auto"/>
          <w:sz w:val="18"/>
          <w:szCs w:val="18"/>
          <w:highlight w:val="none"/>
          <w:lang w:val="en-US" w:eastAsia="zh-CN"/>
        </w:rPr>
        <w:t>.</w:t>
      </w:r>
      <w:r>
        <w:rPr>
          <w:rFonts w:hint="eastAsia"/>
          <w:color w:val="auto"/>
          <w:sz w:val="18"/>
          <w:szCs w:val="18"/>
          <w:highlight w:val="none"/>
        </w:rPr>
        <w:t>从业人员、营业收入、资产总额填报上一年度数据，无上一年度数据的新成立企业可不填报。</w:t>
      </w:r>
    </w:p>
    <w:p w14:paraId="050A6C83">
      <w:pPr>
        <w:pStyle w:val="21"/>
        <w:shd w:val="clear"/>
        <w:spacing w:line="500" w:lineRule="exact"/>
        <w:ind w:firstLine="360" w:firstLineChars="200"/>
        <w:jc w:val="left"/>
        <w:rPr>
          <w:rFonts w:hint="eastAsia"/>
          <w:color w:val="auto"/>
          <w:sz w:val="18"/>
          <w:szCs w:val="18"/>
          <w:highlight w:val="none"/>
        </w:rPr>
      </w:pPr>
      <w:r>
        <w:rPr>
          <w:rFonts w:hint="eastAsia"/>
          <w:color w:val="auto"/>
          <w:sz w:val="18"/>
          <w:szCs w:val="18"/>
          <w:highlight w:val="none"/>
          <w:lang w:eastAsia="zh-CN"/>
        </w:rPr>
        <w:t>2.</w:t>
      </w:r>
      <w:r>
        <w:rPr>
          <w:rFonts w:hint="eastAsia"/>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4A8CA272">
      <w:pPr>
        <w:pStyle w:val="21"/>
        <w:shd w:val="clear"/>
        <w:spacing w:line="500" w:lineRule="exact"/>
        <w:ind w:firstLine="360" w:firstLineChars="200"/>
        <w:jc w:val="left"/>
        <w:rPr>
          <w:color w:val="auto"/>
          <w:sz w:val="18"/>
          <w:szCs w:val="18"/>
          <w:highlight w:val="none"/>
        </w:rPr>
      </w:pPr>
      <w:r>
        <w:rPr>
          <w:rFonts w:hint="eastAsia"/>
          <w:color w:val="auto"/>
          <w:sz w:val="18"/>
          <w:szCs w:val="18"/>
          <w:highlight w:val="none"/>
          <w:lang w:eastAsia="zh-CN"/>
        </w:rPr>
        <w:t>3.</w:t>
      </w:r>
      <w:r>
        <w:rPr>
          <w:rFonts w:hint="eastAsia"/>
          <w:color w:val="auto"/>
          <w:sz w:val="18"/>
          <w:szCs w:val="18"/>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0709104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ascii="宋体" w:hAnsi="宋体" w:cs="Arial Unicode MS"/>
          <w:b/>
          <w:bCs/>
          <w:color w:val="auto"/>
          <w:sz w:val="30"/>
          <w:szCs w:val="30"/>
          <w:highlight w:val="none"/>
        </w:rPr>
      </w:pPr>
      <w:r>
        <w:rPr>
          <w:color w:val="auto"/>
          <w:sz w:val="18"/>
          <w:szCs w:val="18"/>
          <w:highlight w:val="none"/>
        </w:rPr>
        <w:br w:type="page"/>
      </w:r>
      <w:r>
        <w:rPr>
          <w:rFonts w:hint="eastAsia" w:ascii="宋体" w:hAnsi="宋体" w:cs="微软雅黑"/>
          <w:b/>
          <w:bCs/>
          <w:color w:val="auto"/>
          <w:sz w:val="30"/>
          <w:szCs w:val="30"/>
          <w:highlight w:val="none"/>
        </w:rPr>
        <w:t>中小微企业划型标准</w:t>
      </w:r>
    </w:p>
    <w:tbl>
      <w:tblPr>
        <w:tblStyle w:val="39"/>
        <w:tblW w:w="859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89"/>
        <w:gridCol w:w="983"/>
        <w:gridCol w:w="1743"/>
        <w:gridCol w:w="1549"/>
        <w:gridCol w:w="996"/>
      </w:tblGrid>
      <w:tr w14:paraId="2072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tcBorders>
              <w:tl2br w:val="nil"/>
              <w:tr2bl w:val="nil"/>
            </w:tcBorders>
            <w:noWrap w:val="0"/>
            <w:vAlign w:val="center"/>
          </w:tcPr>
          <w:p w14:paraId="126B6646">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489" w:type="dxa"/>
            <w:tcBorders>
              <w:tl2br w:val="nil"/>
              <w:tr2bl w:val="nil"/>
            </w:tcBorders>
            <w:noWrap w:val="0"/>
            <w:vAlign w:val="center"/>
          </w:tcPr>
          <w:p w14:paraId="4CD9125B">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83" w:type="dxa"/>
            <w:tcBorders>
              <w:tl2br w:val="nil"/>
              <w:tr2bl w:val="nil"/>
            </w:tcBorders>
            <w:noWrap w:val="0"/>
            <w:vAlign w:val="center"/>
          </w:tcPr>
          <w:p w14:paraId="7DD876A5">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w:t>
            </w:r>
          </w:p>
          <w:p w14:paraId="57691CA9">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单位</w:t>
            </w:r>
          </w:p>
        </w:tc>
        <w:tc>
          <w:tcPr>
            <w:tcW w:w="1743" w:type="dxa"/>
            <w:tcBorders>
              <w:tl2br w:val="nil"/>
              <w:tr2bl w:val="nil"/>
            </w:tcBorders>
            <w:noWrap w:val="0"/>
            <w:vAlign w:val="center"/>
          </w:tcPr>
          <w:p w14:paraId="7BCE25E7">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549" w:type="dxa"/>
            <w:tcBorders>
              <w:tl2br w:val="nil"/>
              <w:tr2bl w:val="nil"/>
            </w:tcBorders>
            <w:noWrap w:val="0"/>
            <w:vAlign w:val="center"/>
          </w:tcPr>
          <w:p w14:paraId="3F865E34">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96" w:type="dxa"/>
            <w:tcBorders>
              <w:tl2br w:val="nil"/>
              <w:tr2bl w:val="nil"/>
            </w:tcBorders>
            <w:noWrap w:val="0"/>
            <w:vAlign w:val="center"/>
          </w:tcPr>
          <w:p w14:paraId="15761F35">
            <w:pPr>
              <w:widowControl/>
              <w:shd w:val="clear"/>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F8F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restart"/>
            <w:tcBorders>
              <w:tl2br w:val="nil"/>
              <w:tr2bl w:val="nil"/>
            </w:tcBorders>
            <w:noWrap w:val="0"/>
            <w:vAlign w:val="center"/>
          </w:tcPr>
          <w:p w14:paraId="743C34DD">
            <w:pPr>
              <w:widowControl/>
              <w:shd w:val="clea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489" w:type="dxa"/>
            <w:tcBorders>
              <w:tl2br w:val="nil"/>
              <w:tr2bl w:val="nil"/>
            </w:tcBorders>
            <w:noWrap w:val="0"/>
            <w:vAlign w:val="center"/>
          </w:tcPr>
          <w:p w14:paraId="6BCE2F0A">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83" w:type="dxa"/>
            <w:tcBorders>
              <w:tl2br w:val="nil"/>
              <w:tr2bl w:val="nil"/>
            </w:tcBorders>
            <w:noWrap w:val="0"/>
            <w:vAlign w:val="center"/>
          </w:tcPr>
          <w:p w14:paraId="4832746D">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43" w:type="dxa"/>
            <w:tcBorders>
              <w:tl2br w:val="nil"/>
              <w:tr2bl w:val="nil"/>
            </w:tcBorders>
            <w:noWrap w:val="0"/>
            <w:vAlign w:val="center"/>
          </w:tcPr>
          <w:p w14:paraId="2C752617">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549" w:type="dxa"/>
            <w:tcBorders>
              <w:tl2br w:val="nil"/>
              <w:tr2bl w:val="nil"/>
            </w:tcBorders>
            <w:noWrap w:val="0"/>
            <w:vAlign w:val="center"/>
          </w:tcPr>
          <w:p w14:paraId="4E43AE37">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6" w:type="dxa"/>
            <w:tcBorders>
              <w:tl2br w:val="nil"/>
              <w:tr2bl w:val="nil"/>
            </w:tcBorders>
            <w:noWrap w:val="0"/>
            <w:vAlign w:val="center"/>
          </w:tcPr>
          <w:p w14:paraId="2AB1E20B">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7FF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continue"/>
            <w:tcBorders>
              <w:tl2br w:val="nil"/>
              <w:tr2bl w:val="nil"/>
            </w:tcBorders>
            <w:noWrap w:val="0"/>
            <w:vAlign w:val="center"/>
          </w:tcPr>
          <w:p w14:paraId="106B6AD5">
            <w:pPr>
              <w:widowControl/>
              <w:shd w:val="clear"/>
              <w:jc w:val="center"/>
              <w:rPr>
                <w:rFonts w:hint="eastAsia" w:ascii="宋体" w:hAnsi="宋体" w:eastAsia="宋体" w:cs="宋体"/>
                <w:b/>
                <w:bCs/>
                <w:color w:val="auto"/>
                <w:kern w:val="0"/>
                <w:sz w:val="18"/>
                <w:szCs w:val="18"/>
                <w:highlight w:val="none"/>
              </w:rPr>
            </w:pPr>
          </w:p>
        </w:tc>
        <w:tc>
          <w:tcPr>
            <w:tcW w:w="1489" w:type="dxa"/>
            <w:tcBorders>
              <w:tl2br w:val="nil"/>
              <w:tr2bl w:val="nil"/>
            </w:tcBorders>
            <w:noWrap w:val="0"/>
            <w:vAlign w:val="center"/>
          </w:tcPr>
          <w:p w14:paraId="01C237EB">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83" w:type="dxa"/>
            <w:tcBorders>
              <w:tl2br w:val="nil"/>
              <w:tr2bl w:val="nil"/>
            </w:tcBorders>
            <w:noWrap w:val="0"/>
            <w:vAlign w:val="center"/>
          </w:tcPr>
          <w:p w14:paraId="7DED16DB">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43" w:type="dxa"/>
            <w:tcBorders>
              <w:tl2br w:val="nil"/>
              <w:tr2bl w:val="nil"/>
            </w:tcBorders>
            <w:noWrap w:val="0"/>
            <w:vAlign w:val="center"/>
          </w:tcPr>
          <w:p w14:paraId="77C69426">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549" w:type="dxa"/>
            <w:tcBorders>
              <w:tl2br w:val="nil"/>
              <w:tr2bl w:val="nil"/>
            </w:tcBorders>
            <w:noWrap w:val="0"/>
            <w:vAlign w:val="center"/>
          </w:tcPr>
          <w:p w14:paraId="5AED9B79">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6" w:type="dxa"/>
            <w:tcBorders>
              <w:tl2br w:val="nil"/>
              <w:tr2bl w:val="nil"/>
            </w:tcBorders>
            <w:noWrap w:val="0"/>
            <w:vAlign w:val="center"/>
          </w:tcPr>
          <w:p w14:paraId="66C68B9B">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5A6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restart"/>
            <w:tcBorders>
              <w:tl2br w:val="nil"/>
              <w:tr2bl w:val="nil"/>
            </w:tcBorders>
            <w:noWrap w:val="0"/>
            <w:vAlign w:val="center"/>
          </w:tcPr>
          <w:p w14:paraId="38315B16">
            <w:pPr>
              <w:widowControl/>
              <w:shd w:val="clea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489" w:type="dxa"/>
            <w:tcBorders>
              <w:tl2br w:val="nil"/>
              <w:tr2bl w:val="nil"/>
            </w:tcBorders>
            <w:noWrap w:val="0"/>
            <w:vAlign w:val="center"/>
          </w:tcPr>
          <w:p w14:paraId="18D7EA3E">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83" w:type="dxa"/>
            <w:tcBorders>
              <w:tl2br w:val="nil"/>
              <w:tr2bl w:val="nil"/>
            </w:tcBorders>
            <w:noWrap w:val="0"/>
            <w:vAlign w:val="center"/>
          </w:tcPr>
          <w:p w14:paraId="2341B6F2">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43" w:type="dxa"/>
            <w:tcBorders>
              <w:tl2br w:val="nil"/>
              <w:tr2bl w:val="nil"/>
            </w:tcBorders>
            <w:noWrap w:val="0"/>
            <w:vAlign w:val="center"/>
          </w:tcPr>
          <w:p w14:paraId="4DA68F22">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549" w:type="dxa"/>
            <w:tcBorders>
              <w:tl2br w:val="nil"/>
              <w:tr2bl w:val="nil"/>
            </w:tcBorders>
            <w:noWrap w:val="0"/>
            <w:vAlign w:val="center"/>
          </w:tcPr>
          <w:p w14:paraId="2D913E8C">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6" w:type="dxa"/>
            <w:tcBorders>
              <w:tl2br w:val="nil"/>
              <w:tr2bl w:val="nil"/>
            </w:tcBorders>
            <w:noWrap w:val="0"/>
            <w:vAlign w:val="center"/>
          </w:tcPr>
          <w:p w14:paraId="3C7BE031">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D17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continue"/>
            <w:tcBorders>
              <w:tl2br w:val="nil"/>
              <w:tr2bl w:val="nil"/>
            </w:tcBorders>
            <w:noWrap w:val="0"/>
            <w:vAlign w:val="center"/>
          </w:tcPr>
          <w:p w14:paraId="20913820">
            <w:pPr>
              <w:widowControl/>
              <w:shd w:val="clear"/>
              <w:jc w:val="center"/>
              <w:rPr>
                <w:rFonts w:hint="eastAsia" w:ascii="宋体" w:hAnsi="宋体" w:eastAsia="宋体" w:cs="宋体"/>
                <w:b/>
                <w:bCs/>
                <w:color w:val="auto"/>
                <w:kern w:val="0"/>
                <w:sz w:val="18"/>
                <w:szCs w:val="18"/>
                <w:highlight w:val="none"/>
              </w:rPr>
            </w:pPr>
          </w:p>
        </w:tc>
        <w:tc>
          <w:tcPr>
            <w:tcW w:w="1489" w:type="dxa"/>
            <w:tcBorders>
              <w:tl2br w:val="nil"/>
              <w:tr2bl w:val="nil"/>
            </w:tcBorders>
            <w:noWrap w:val="0"/>
            <w:vAlign w:val="center"/>
          </w:tcPr>
          <w:p w14:paraId="36D2AFE1">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83" w:type="dxa"/>
            <w:tcBorders>
              <w:tl2br w:val="nil"/>
              <w:tr2bl w:val="nil"/>
            </w:tcBorders>
            <w:noWrap w:val="0"/>
            <w:vAlign w:val="center"/>
          </w:tcPr>
          <w:p w14:paraId="21E6618C">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43" w:type="dxa"/>
            <w:tcBorders>
              <w:tl2br w:val="nil"/>
              <w:tr2bl w:val="nil"/>
            </w:tcBorders>
            <w:noWrap w:val="0"/>
            <w:vAlign w:val="center"/>
          </w:tcPr>
          <w:p w14:paraId="7F6DBEA1">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549" w:type="dxa"/>
            <w:tcBorders>
              <w:tl2br w:val="nil"/>
              <w:tr2bl w:val="nil"/>
            </w:tcBorders>
            <w:noWrap w:val="0"/>
            <w:vAlign w:val="center"/>
          </w:tcPr>
          <w:p w14:paraId="336D1D74">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6" w:type="dxa"/>
            <w:tcBorders>
              <w:tl2br w:val="nil"/>
              <w:tr2bl w:val="nil"/>
            </w:tcBorders>
            <w:noWrap w:val="0"/>
            <w:vAlign w:val="center"/>
          </w:tcPr>
          <w:p w14:paraId="0BE0BEEC">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1AF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restart"/>
            <w:tcBorders>
              <w:tl2br w:val="nil"/>
              <w:tr2bl w:val="nil"/>
            </w:tcBorders>
            <w:noWrap w:val="0"/>
            <w:vAlign w:val="center"/>
          </w:tcPr>
          <w:p w14:paraId="6848A401">
            <w:pPr>
              <w:widowControl/>
              <w:shd w:val="clea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489" w:type="dxa"/>
            <w:tcBorders>
              <w:tl2br w:val="nil"/>
              <w:tr2bl w:val="nil"/>
            </w:tcBorders>
            <w:noWrap w:val="0"/>
            <w:vAlign w:val="center"/>
          </w:tcPr>
          <w:p w14:paraId="0F09887A">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83" w:type="dxa"/>
            <w:tcBorders>
              <w:tl2br w:val="nil"/>
              <w:tr2bl w:val="nil"/>
            </w:tcBorders>
            <w:noWrap w:val="0"/>
            <w:vAlign w:val="center"/>
          </w:tcPr>
          <w:p w14:paraId="335AAD10">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43" w:type="dxa"/>
            <w:tcBorders>
              <w:tl2br w:val="nil"/>
              <w:tr2bl w:val="nil"/>
            </w:tcBorders>
            <w:noWrap w:val="0"/>
            <w:vAlign w:val="center"/>
          </w:tcPr>
          <w:p w14:paraId="6DD97B9E">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49" w:type="dxa"/>
            <w:tcBorders>
              <w:tl2br w:val="nil"/>
              <w:tr2bl w:val="nil"/>
            </w:tcBorders>
            <w:noWrap w:val="0"/>
            <w:vAlign w:val="center"/>
          </w:tcPr>
          <w:p w14:paraId="4435CCCB">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6" w:type="dxa"/>
            <w:tcBorders>
              <w:tl2br w:val="nil"/>
              <w:tr2bl w:val="nil"/>
            </w:tcBorders>
            <w:noWrap w:val="0"/>
            <w:vAlign w:val="center"/>
          </w:tcPr>
          <w:p w14:paraId="2A8A54B5">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50C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vMerge w:val="continue"/>
            <w:tcBorders>
              <w:tl2br w:val="nil"/>
              <w:tr2bl w:val="nil"/>
            </w:tcBorders>
            <w:noWrap w:val="0"/>
            <w:vAlign w:val="center"/>
          </w:tcPr>
          <w:p w14:paraId="00C3C583">
            <w:pPr>
              <w:widowControl/>
              <w:shd w:val="clear"/>
              <w:jc w:val="center"/>
              <w:rPr>
                <w:rFonts w:hint="eastAsia" w:ascii="宋体" w:hAnsi="宋体" w:eastAsia="宋体" w:cs="宋体"/>
                <w:b/>
                <w:bCs/>
                <w:color w:val="auto"/>
                <w:kern w:val="0"/>
                <w:sz w:val="18"/>
                <w:szCs w:val="18"/>
                <w:highlight w:val="none"/>
              </w:rPr>
            </w:pPr>
          </w:p>
        </w:tc>
        <w:tc>
          <w:tcPr>
            <w:tcW w:w="1489" w:type="dxa"/>
            <w:tcBorders>
              <w:tl2br w:val="nil"/>
              <w:tr2bl w:val="nil"/>
            </w:tcBorders>
            <w:noWrap w:val="0"/>
            <w:vAlign w:val="center"/>
          </w:tcPr>
          <w:p w14:paraId="289FEFD3">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83" w:type="dxa"/>
            <w:tcBorders>
              <w:tl2br w:val="nil"/>
              <w:tr2bl w:val="nil"/>
            </w:tcBorders>
            <w:noWrap w:val="0"/>
            <w:vAlign w:val="center"/>
          </w:tcPr>
          <w:p w14:paraId="53723EFA">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743" w:type="dxa"/>
            <w:tcBorders>
              <w:tl2br w:val="nil"/>
              <w:tr2bl w:val="nil"/>
            </w:tcBorders>
            <w:noWrap w:val="0"/>
            <w:vAlign w:val="center"/>
          </w:tcPr>
          <w:p w14:paraId="3D6F3E3F">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549" w:type="dxa"/>
            <w:tcBorders>
              <w:tl2br w:val="nil"/>
              <w:tr2bl w:val="nil"/>
            </w:tcBorders>
            <w:noWrap w:val="0"/>
            <w:vAlign w:val="center"/>
          </w:tcPr>
          <w:p w14:paraId="6E0CF370">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6" w:type="dxa"/>
            <w:tcBorders>
              <w:tl2br w:val="nil"/>
              <w:tr2bl w:val="nil"/>
            </w:tcBorders>
            <w:noWrap w:val="0"/>
            <w:vAlign w:val="center"/>
          </w:tcPr>
          <w:p w14:paraId="1C18F6A0">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7D1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831" w:type="dxa"/>
            <w:tcBorders>
              <w:tl2br w:val="nil"/>
              <w:tr2bl w:val="nil"/>
            </w:tcBorders>
            <w:noWrap w:val="0"/>
            <w:vAlign w:val="center"/>
          </w:tcPr>
          <w:p w14:paraId="0BD10482">
            <w:pPr>
              <w:widowControl/>
              <w:shd w:val="clear"/>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489" w:type="dxa"/>
            <w:tcBorders>
              <w:tl2br w:val="nil"/>
              <w:tr2bl w:val="nil"/>
            </w:tcBorders>
            <w:noWrap w:val="0"/>
            <w:vAlign w:val="center"/>
          </w:tcPr>
          <w:p w14:paraId="25DD43A5">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83" w:type="dxa"/>
            <w:tcBorders>
              <w:tl2br w:val="nil"/>
              <w:tr2bl w:val="nil"/>
            </w:tcBorders>
            <w:noWrap w:val="0"/>
            <w:vAlign w:val="center"/>
          </w:tcPr>
          <w:p w14:paraId="66E999F8">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743" w:type="dxa"/>
            <w:tcBorders>
              <w:tl2br w:val="nil"/>
              <w:tr2bl w:val="nil"/>
            </w:tcBorders>
            <w:noWrap w:val="0"/>
            <w:vAlign w:val="center"/>
          </w:tcPr>
          <w:p w14:paraId="790BAEF1">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549" w:type="dxa"/>
            <w:tcBorders>
              <w:tl2br w:val="nil"/>
              <w:tr2bl w:val="nil"/>
            </w:tcBorders>
            <w:noWrap w:val="0"/>
            <w:vAlign w:val="center"/>
          </w:tcPr>
          <w:p w14:paraId="6ADE062C">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6" w:type="dxa"/>
            <w:tcBorders>
              <w:tl2br w:val="nil"/>
              <w:tr2bl w:val="nil"/>
            </w:tcBorders>
            <w:noWrap w:val="0"/>
            <w:vAlign w:val="center"/>
          </w:tcPr>
          <w:p w14:paraId="45CF312F">
            <w:pPr>
              <w:widowControl/>
              <w:shd w:val="clear"/>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4DF5C62">
      <w:pPr>
        <w:pStyle w:val="21"/>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w:t>
      </w:r>
      <w:r>
        <w:rPr>
          <w:rFonts w:hint="eastAsia" w:hAnsi="宋体" w:cs="Times New Roman"/>
          <w:color w:val="auto"/>
          <w:highlight w:val="none"/>
          <w:lang w:eastAsia="zh-CN"/>
        </w:rPr>
        <w:t>〔2011〕300号</w:t>
      </w:r>
      <w:r>
        <w:rPr>
          <w:rFonts w:hint="eastAsia" w:hAnsi="宋体" w:cs="Times New Roman"/>
          <w:color w:val="auto"/>
          <w:highlight w:val="none"/>
        </w:rPr>
        <w:t>），大型、中型和小型企业须同时满足所列指标的下限，否则下划一档；微型企业只</w:t>
      </w:r>
      <w:r>
        <w:rPr>
          <w:rFonts w:hint="eastAsia" w:hAnsi="宋体" w:cs="Times New Roman"/>
          <w:color w:val="auto"/>
          <w:highlight w:val="none"/>
          <w:lang w:eastAsia="zh-CN"/>
        </w:rPr>
        <w:t>需</w:t>
      </w:r>
      <w:r>
        <w:rPr>
          <w:rFonts w:hint="eastAsia" w:hAnsi="宋体" w:cs="Times New Roman"/>
          <w:color w:val="auto"/>
          <w:highlight w:val="none"/>
        </w:rPr>
        <w:t>满足所列指标中的一项即可。</w:t>
      </w:r>
    </w:p>
    <w:p w14:paraId="47CC6179">
      <w:pPr>
        <w:shd w:val="clear"/>
        <w:spacing w:line="500" w:lineRule="exact"/>
        <w:rPr>
          <w:color w:val="auto"/>
          <w:kern w:val="0"/>
          <w:highlight w:val="none"/>
        </w:rPr>
      </w:pPr>
    </w:p>
    <w:p w14:paraId="4A301D73">
      <w:pPr>
        <w:shd w:val="clear"/>
        <w:spacing w:line="360" w:lineRule="auto"/>
        <w:contextualSpacing/>
        <w:jc w:val="center"/>
        <w:rPr>
          <w:rFonts w:ascii="仿宋_GB2312" w:hAnsi="仿宋_GB2312" w:eastAsia="仿宋_GB2312" w:cs="仿宋_GB2312"/>
          <w:b/>
          <w:bCs/>
          <w:color w:val="auto"/>
          <w:sz w:val="28"/>
          <w:szCs w:val="28"/>
          <w:highlight w:val="none"/>
        </w:rPr>
      </w:pPr>
      <w:r>
        <w:rPr>
          <w:color w:val="auto"/>
          <w:kern w:val="0"/>
          <w:highlight w:val="none"/>
        </w:rPr>
        <w:br w:type="page"/>
      </w:r>
      <w:r>
        <w:rPr>
          <w:rFonts w:hint="eastAsia" w:ascii="宋体" w:hAnsi="宋体" w:eastAsia="宋体" w:cs="微软雅黑"/>
          <w:b/>
          <w:bCs/>
          <w:color w:val="auto"/>
          <w:sz w:val="28"/>
          <w:szCs w:val="28"/>
          <w:highlight w:val="none"/>
        </w:rPr>
        <w:t>残疾人福利性单位声明函</w:t>
      </w:r>
    </w:p>
    <w:p w14:paraId="60F4648C">
      <w:pPr>
        <w:shd w:val="clear"/>
        <w:spacing w:line="520" w:lineRule="exact"/>
        <w:rPr>
          <w:rFonts w:ascii="仿宋_GB2312" w:hAnsi="仿宋_GB2312" w:eastAsia="仿宋_GB2312" w:cs="仿宋_GB2312"/>
          <w:color w:val="auto"/>
          <w:sz w:val="32"/>
          <w:szCs w:val="32"/>
          <w:highlight w:val="none"/>
        </w:rPr>
      </w:pPr>
    </w:p>
    <w:p w14:paraId="2023F5FA">
      <w:pPr>
        <w:shd w:val="clea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单位的</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6568B7E8">
      <w:pPr>
        <w:shd w:val="clear"/>
        <w:spacing w:line="360" w:lineRule="auto"/>
        <w:ind w:firstLine="420" w:firstLineChars="2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本单位对上述声明的真实性负责。如有虚假，将依法承担相应责任。</w:t>
      </w:r>
    </w:p>
    <w:p w14:paraId="17B41CF8">
      <w:pPr>
        <w:shd w:val="clear"/>
        <w:spacing w:line="360" w:lineRule="auto"/>
        <w:contextualSpacing/>
        <w:rPr>
          <w:rFonts w:ascii="宋体" w:hAnsi="宋体" w:cs="仿宋_GB2312"/>
          <w:color w:val="auto"/>
          <w:sz w:val="21"/>
          <w:szCs w:val="21"/>
          <w:highlight w:val="none"/>
        </w:rPr>
      </w:pPr>
    </w:p>
    <w:p w14:paraId="64BBCAD0">
      <w:pPr>
        <w:shd w:val="clear"/>
        <w:spacing w:line="360" w:lineRule="auto"/>
        <w:ind w:firstLine="2100" w:firstLineChars="10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单位名称（盖电子章）：</w:t>
      </w:r>
    </w:p>
    <w:p w14:paraId="15618B53">
      <w:pPr>
        <w:shd w:val="clear"/>
        <w:spacing w:line="360" w:lineRule="auto"/>
        <w:ind w:firstLine="3150" w:firstLineChars="15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日  期：</w:t>
      </w:r>
    </w:p>
    <w:p w14:paraId="3AD7BE2C">
      <w:pPr>
        <w:shd w:val="clear"/>
        <w:spacing w:line="360" w:lineRule="auto"/>
        <w:contextualSpacing/>
        <w:rPr>
          <w:rFonts w:ascii="宋体" w:hAnsi="宋体" w:cs="仿宋_GB2312"/>
          <w:color w:val="auto"/>
          <w:sz w:val="21"/>
          <w:szCs w:val="21"/>
          <w:highlight w:val="none"/>
        </w:rPr>
      </w:pPr>
    </w:p>
    <w:p w14:paraId="7B09E03B">
      <w:pPr>
        <w:shd w:val="clear"/>
        <w:spacing w:line="360" w:lineRule="auto"/>
        <w:contextualSpacing/>
        <w:rPr>
          <w:rFonts w:ascii="宋体" w:hAnsi="宋体" w:cs="仿宋_GB2312"/>
          <w:color w:val="auto"/>
          <w:sz w:val="21"/>
          <w:szCs w:val="21"/>
          <w:highlight w:val="none"/>
        </w:rPr>
      </w:pPr>
    </w:p>
    <w:p w14:paraId="217CFD5E">
      <w:pPr>
        <w:shd w:val="clear"/>
        <w:spacing w:line="360" w:lineRule="auto"/>
        <w:contextualSpacing/>
        <w:rPr>
          <w:rFonts w:ascii="宋体" w:hAnsi="宋体" w:cs="仿宋_GB2312"/>
          <w:color w:val="auto"/>
          <w:sz w:val="21"/>
          <w:szCs w:val="21"/>
          <w:highlight w:val="none"/>
        </w:rPr>
      </w:pPr>
    </w:p>
    <w:p w14:paraId="399412EA">
      <w:pPr>
        <w:shd w:val="clea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7C63B5D">
      <w:pPr>
        <w:numPr>
          <w:ilvl w:val="0"/>
          <w:numId w:val="0"/>
        </w:numPr>
        <w:shd w:val="clear"/>
        <w:spacing w:line="720" w:lineRule="auto"/>
        <w:rPr>
          <w:rFonts w:hint="eastAsia"/>
          <w:color w:val="auto"/>
          <w:kern w:val="2"/>
          <w:sz w:val="21"/>
          <w:szCs w:val="24"/>
          <w:highlight w:val="none"/>
          <w:lang w:val="en-US" w:eastAsia="zh-CN" w:bidi="ar-SA"/>
        </w:rPr>
      </w:pPr>
      <w:r>
        <w:rPr>
          <w:color w:val="auto"/>
          <w:highlight w:val="none"/>
        </w:rPr>
        <w:br w:type="page"/>
      </w:r>
      <w:r>
        <w:rPr>
          <w:rFonts w:hint="eastAsia"/>
          <w:b/>
          <w:bCs/>
          <w:color w:val="auto"/>
          <w:kern w:val="2"/>
          <w:sz w:val="21"/>
          <w:szCs w:val="24"/>
          <w:highlight w:val="none"/>
          <w:lang w:val="en-US" w:eastAsia="zh-CN" w:bidi="ar-SA"/>
        </w:rPr>
        <w:t>附件七</w:t>
      </w:r>
    </w:p>
    <w:p w14:paraId="0E67B3C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eastAsia="宋体"/>
          <w:b/>
          <w:bCs/>
          <w:color w:val="auto"/>
          <w:sz w:val="21"/>
          <w:szCs w:val="24"/>
          <w:highlight w:val="none"/>
          <w:lang w:val="en-US" w:eastAsia="zh-CN"/>
        </w:rPr>
      </w:pPr>
      <w:r>
        <w:rPr>
          <w:rFonts w:hint="eastAsia"/>
          <w:b/>
          <w:bCs/>
          <w:color w:val="auto"/>
          <w:sz w:val="21"/>
          <w:szCs w:val="24"/>
          <w:highlight w:val="none"/>
          <w:lang w:val="en-US" w:eastAsia="zh-CN"/>
        </w:rPr>
        <w:t>《</w:t>
      </w:r>
      <w:r>
        <w:rPr>
          <w:rFonts w:hint="eastAsia"/>
          <w:b/>
          <w:bCs/>
          <w:color w:val="auto"/>
          <w:sz w:val="24"/>
          <w:szCs w:val="32"/>
          <w:highlight w:val="none"/>
          <w:lang w:val="en-US" w:eastAsia="zh-CN"/>
        </w:rPr>
        <w:t>关于符合本国产品标准的声明函》或者财政部会同有关部门规定的有关证明文件</w:t>
      </w:r>
    </w:p>
    <w:p w14:paraId="05D795B3">
      <w:pPr>
        <w:numPr>
          <w:ilvl w:val="0"/>
          <w:numId w:val="0"/>
        </w:numPr>
        <w:shd w:val="clear"/>
        <w:spacing w:line="72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关于符合本国产品标准的声明函</w:t>
      </w:r>
    </w:p>
    <w:p w14:paraId="5016E4D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46CC40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44"/>
          <w:rFonts w:hint="eastAsia" w:ascii="宋体" w:hAnsi="宋体" w:eastAsia="宋体" w:cs="宋体"/>
          <w:i w:val="0"/>
          <w:iCs w:val="0"/>
          <w:caps w:val="0"/>
          <w:color w:val="auto"/>
          <w:spacing w:val="0"/>
          <w:sz w:val="21"/>
          <w:szCs w:val="21"/>
          <w:highlight w:val="none"/>
          <w:shd w:val="clear" w:color="auto" w:fill="FFFFFF"/>
        </w:rPr>
        <w:t>（产品名称1）</w:t>
      </w:r>
      <w:r>
        <w:rPr>
          <w:rStyle w:val="44"/>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44"/>
          <w:rFonts w:hint="eastAsia" w:ascii="宋体" w:hAnsi="宋体" w:eastAsia="宋体" w:cs="宋体"/>
          <w:i w:val="0"/>
          <w:iCs w:val="0"/>
          <w:caps w:val="0"/>
          <w:color w:val="auto"/>
          <w:spacing w:val="0"/>
          <w:sz w:val="21"/>
          <w:szCs w:val="21"/>
          <w:highlight w:val="none"/>
          <w:shd w:val="clear" w:color="auto" w:fill="FFFFFF"/>
        </w:rPr>
        <w:t>（厂名）</w:t>
      </w:r>
      <w:r>
        <w:rPr>
          <w:rStyle w:val="44"/>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4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4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44"/>
          <w:rFonts w:hint="eastAsia" w:ascii="宋体" w:hAnsi="宋体" w:eastAsia="宋体" w:cs="宋体"/>
          <w:i w:val="0"/>
          <w:iCs w:val="0"/>
          <w:caps w:val="0"/>
          <w:color w:val="auto"/>
          <w:spacing w:val="0"/>
          <w:sz w:val="21"/>
          <w:szCs w:val="21"/>
          <w:highlight w:val="none"/>
          <w:shd w:val="clear" w:color="auto" w:fill="FFFFFF"/>
        </w:rPr>
        <w:t>（规定比例）</w:t>
      </w:r>
      <w:r>
        <w:rPr>
          <w:rStyle w:val="44"/>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4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44"/>
          <w:rFonts w:hint="eastAsia" w:ascii="宋体" w:hAnsi="宋体" w:eastAsia="宋体" w:cs="宋体"/>
          <w:i w:val="0"/>
          <w:iCs w:val="0"/>
          <w:caps w:val="0"/>
          <w:color w:val="auto"/>
          <w:spacing w:val="0"/>
          <w:sz w:val="21"/>
          <w:szCs w:val="21"/>
          <w:highlight w:val="none"/>
          <w:shd w:val="clear" w:color="auto" w:fill="FFFFFF"/>
        </w:rPr>
        <w:t>（关键组件）</w:t>
      </w:r>
      <w:r>
        <w:rPr>
          <w:rStyle w:val="44"/>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44"/>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44"/>
          <w:rFonts w:hint="eastAsia" w:ascii="宋体" w:hAnsi="宋体" w:eastAsia="宋体" w:cs="宋体"/>
          <w:i w:val="0"/>
          <w:iCs w:val="0"/>
          <w:caps w:val="0"/>
          <w:color w:val="auto"/>
          <w:spacing w:val="0"/>
          <w:sz w:val="21"/>
          <w:szCs w:val="21"/>
          <w:highlight w:val="none"/>
          <w:shd w:val="clear" w:color="auto" w:fill="FFFFFF"/>
        </w:rPr>
        <w:t>（关键工序）</w:t>
      </w:r>
      <w:r>
        <w:rPr>
          <w:rStyle w:val="44"/>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B4A046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4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44"/>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44"/>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4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44"/>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4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44"/>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44"/>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44"/>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7BC0F44B">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44B5B70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27B44D00">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shd w:val="clear" w:color="auto" w:fill="FFFFFF"/>
        </w:rPr>
      </w:pPr>
    </w:p>
    <w:p w14:paraId="52C314C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2A5DB7C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084CAF3F">
      <w:pPr>
        <w:numPr>
          <w:ilvl w:val="0"/>
          <w:numId w:val="0"/>
        </w:numPr>
        <w:shd w:val="clear"/>
        <w:spacing w:line="400" w:lineRule="exact"/>
        <w:ind w:firstLine="420" w:firstLineChars="200"/>
        <w:jc w:val="left"/>
        <w:rPr>
          <w:rFonts w:hint="eastAsia" w:ascii="宋体" w:hAnsi="宋体" w:eastAsia="宋体" w:cs="宋体"/>
          <w:b w:val="0"/>
          <w:bCs w:val="0"/>
          <w:color w:val="auto"/>
          <w:sz w:val="21"/>
          <w:szCs w:val="21"/>
          <w:highlight w:val="none"/>
        </w:rPr>
      </w:pPr>
    </w:p>
    <w:p w14:paraId="3CDCACC0">
      <w:pPr>
        <w:numPr>
          <w:ilvl w:val="0"/>
          <w:numId w:val="0"/>
        </w:numPr>
        <w:shd w:val="clear"/>
        <w:spacing w:line="400" w:lineRule="exact"/>
        <w:ind w:firstLine="420" w:firstLineChars="200"/>
        <w:jc w:val="left"/>
        <w:rPr>
          <w:rFonts w:hint="eastAsia" w:ascii="宋体" w:hAnsi="宋体" w:eastAsia="宋体" w:cs="宋体"/>
          <w:b w:val="0"/>
          <w:bCs w:val="0"/>
          <w:color w:val="auto"/>
          <w:sz w:val="21"/>
          <w:szCs w:val="21"/>
          <w:highlight w:val="none"/>
        </w:rPr>
      </w:pPr>
    </w:p>
    <w:p w14:paraId="59DC0EFA">
      <w:pPr>
        <w:keepNext w:val="0"/>
        <w:keepLines w:val="0"/>
        <w:pageBreakBefore w:val="0"/>
        <w:numPr>
          <w:ilvl w:val="0"/>
          <w:numId w:val="0"/>
        </w:numPr>
        <w:shd w:val="clea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0B7EEEE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7D5C2CD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0687E81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4F1536BE">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4FBA28C4">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CB65E19">
      <w:pPr>
        <w:numPr>
          <w:ilvl w:val="0"/>
          <w:numId w:val="0"/>
        </w:numPr>
        <w:shd w:val="clear"/>
        <w:spacing w:line="720" w:lineRule="auto"/>
        <w:jc w:val="center"/>
        <w:rPr>
          <w:rFonts w:ascii="宋体" w:hAnsi="宋体" w:eastAsia="宋体" w:cs="宋体"/>
          <w:b/>
          <w:bCs/>
          <w:color w:val="auto"/>
          <w:sz w:val="28"/>
          <w:szCs w:val="28"/>
          <w:highlight w:val="none"/>
        </w:rPr>
      </w:pPr>
      <w:r>
        <w:rPr>
          <w:color w:val="auto"/>
          <w:highlight w:val="none"/>
        </w:rPr>
        <w:br w:type="page"/>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关于本国产品比例的承诺函（如适用）</w:t>
      </w:r>
    </w:p>
    <w:p w14:paraId="1349F8B0">
      <w:pPr>
        <w:numPr>
          <w:ilvl w:val="0"/>
          <w:numId w:val="0"/>
        </w:numPr>
        <w:shd w:val="clear"/>
        <w:spacing w:line="400" w:lineRule="exact"/>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w:t>
      </w:r>
      <w:r>
        <w:rPr>
          <w:rFonts w:hint="eastAsia" w:ascii="宋体" w:hAnsi="宋体" w:eastAsia="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单位</w:t>
      </w:r>
      <w:r>
        <w:rPr>
          <w:rFonts w:hint="eastAsia" w:ascii="宋体" w:hAnsi="宋体" w:eastAsia="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郑重声明，根据《国务院办公厅关于在政府采购中实施本国产品标准及相关政策的通知》</w:t>
      </w:r>
      <w:r>
        <w:rPr>
          <w:rFonts w:hint="eastAsia" w:ascii="宋体" w:hAnsi="宋体" w:eastAsia="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国办发</w:t>
      </w:r>
      <w:r>
        <w:rPr>
          <w:rFonts w:hint="eastAsia" w:ascii="宋体" w:hAnsi="宋体" w:eastAsia="宋体" w:cs="宋体"/>
          <w:color w:val="auto"/>
          <w:kern w:val="0"/>
          <w:szCs w:val="21"/>
          <w:highlight w:val="none"/>
          <w:shd w:val="clear" w:color="auto" w:fill="FFFFFF"/>
          <w:lang w:eastAsia="zh-CN"/>
        </w:rPr>
        <w:t>〔2025〕34号）</w:t>
      </w:r>
      <w:r>
        <w:rPr>
          <w:rFonts w:hint="eastAsia" w:ascii="宋体" w:hAnsi="宋体" w:eastAsia="宋体" w:cs="宋体"/>
          <w:color w:val="auto"/>
          <w:kern w:val="0"/>
          <w:szCs w:val="21"/>
          <w:highlight w:val="none"/>
          <w:shd w:val="clear" w:color="auto" w:fill="FFFFFF"/>
        </w:rPr>
        <w:t>的规定，本公司</w:t>
      </w:r>
      <w:r>
        <w:rPr>
          <w:rFonts w:hint="eastAsia" w:ascii="宋体" w:hAnsi="宋体" w:eastAsia="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单位</w:t>
      </w:r>
      <w:r>
        <w:rPr>
          <w:rFonts w:hint="eastAsia" w:ascii="宋体" w:hAnsi="宋体" w:eastAsia="宋体" w:cs="宋体"/>
          <w:color w:val="auto"/>
          <w:kern w:val="0"/>
          <w:szCs w:val="21"/>
          <w:highlight w:val="none"/>
          <w:shd w:val="clear" w:color="auto" w:fill="FFFFFF"/>
          <w:lang w:eastAsia="zh-CN"/>
        </w:rPr>
        <w:t>）</w:t>
      </w:r>
      <w:r>
        <w:rPr>
          <w:rFonts w:hint="eastAsia" w:ascii="宋体" w:hAnsi="宋体" w:eastAsia="宋体" w:cs="宋体"/>
          <w:color w:val="auto"/>
          <w:kern w:val="0"/>
          <w:szCs w:val="21"/>
          <w:highlight w:val="none"/>
          <w:shd w:val="clear" w:color="auto" w:fill="FFFFFF"/>
        </w:rPr>
        <w:t>提供的符合本国产品标准的产品成本之和占提供的全部产品成本之和的比例达到 80%以上。</w:t>
      </w:r>
    </w:p>
    <w:p w14:paraId="61FBC4F6">
      <w:pPr>
        <w:numPr>
          <w:ilvl w:val="0"/>
          <w:numId w:val="0"/>
        </w:numPr>
        <w:shd w:val="clear"/>
        <w:spacing w:line="400" w:lineRule="exact"/>
        <w:ind w:firstLine="420" w:firstLineChars="200"/>
        <w:jc w:val="left"/>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单位</w:t>
      </w:r>
      <w:r>
        <w:rPr>
          <w:rFonts w:hint="eastAsia" w:ascii="宋体" w:hAnsi="宋体" w:eastAsia="宋体" w:cs="宋体"/>
          <w:b w:val="0"/>
          <w:bCs w:val="0"/>
          <w:color w:val="auto"/>
          <w:kern w:val="0"/>
          <w:sz w:val="21"/>
          <w:szCs w:val="21"/>
          <w:highlight w:val="none"/>
          <w:shd w:val="clear" w:color="auto" w:fill="FFFFFF"/>
          <w:lang w:eastAsia="zh-CN"/>
        </w:rPr>
        <w:t>）</w:t>
      </w:r>
      <w:r>
        <w:rPr>
          <w:rFonts w:hint="eastAsia" w:ascii="宋体" w:hAnsi="宋体" w:eastAsia="宋体" w:cs="宋体"/>
          <w:b w:val="0"/>
          <w:bCs w:val="0"/>
          <w:color w:val="auto"/>
          <w:kern w:val="0"/>
          <w:sz w:val="21"/>
          <w:szCs w:val="21"/>
          <w:highlight w:val="none"/>
          <w:shd w:val="clear" w:color="auto" w:fill="FFFFFF"/>
        </w:rPr>
        <w:t>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E203996">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sz w:val="21"/>
          <w:szCs w:val="21"/>
          <w:highlight w:val="none"/>
          <w:shd w:val="clear" w:color="auto" w:fill="FFFFFF"/>
        </w:rPr>
      </w:pPr>
    </w:p>
    <w:p w14:paraId="05701C08">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6F7898FF">
      <w:pPr>
        <w:numPr>
          <w:ilvl w:val="0"/>
          <w:numId w:val="0"/>
        </w:numPr>
        <w:shd w:val="clear"/>
        <w:spacing w:line="720" w:lineRule="auto"/>
        <w:ind w:firstLine="210" w:firstLineChars="1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34710A38">
      <w:pPr>
        <w:pStyle w:val="35"/>
        <w:shd w:val="clear"/>
        <w:rPr>
          <w:color w:val="auto"/>
          <w:highlight w:val="none"/>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r>
        <w:rPr>
          <w:color w:val="auto"/>
          <w:highlight w:val="none"/>
        </w:rPr>
        <w:br w:type="page"/>
      </w:r>
      <w:bookmarkStart w:id="89" w:name="_Toc476258760"/>
      <w:bookmarkStart w:id="90" w:name="_Toc476258672"/>
    </w:p>
    <w:p w14:paraId="1F2BB6C5">
      <w:pPr>
        <w:pStyle w:val="35"/>
        <w:shd w:val="clear"/>
        <w:rPr>
          <w:color w:val="auto"/>
          <w:highlight w:val="none"/>
        </w:rPr>
      </w:pPr>
    </w:p>
    <w:p w14:paraId="02D4981E">
      <w:pPr>
        <w:pStyle w:val="35"/>
        <w:shd w:val="clear"/>
        <w:rPr>
          <w:color w:val="auto"/>
          <w:highlight w:val="none"/>
        </w:rPr>
      </w:pPr>
    </w:p>
    <w:p w14:paraId="6B37C1CA">
      <w:pPr>
        <w:pStyle w:val="35"/>
        <w:shd w:val="clear"/>
        <w:rPr>
          <w:color w:val="auto"/>
          <w:highlight w:val="none"/>
        </w:rPr>
      </w:pPr>
    </w:p>
    <w:p w14:paraId="56158197">
      <w:pPr>
        <w:pStyle w:val="35"/>
        <w:shd w:val="clear"/>
        <w:rPr>
          <w:color w:val="auto"/>
          <w:highlight w:val="none"/>
        </w:rPr>
      </w:pPr>
    </w:p>
    <w:p w14:paraId="16BFDB0E">
      <w:pPr>
        <w:pStyle w:val="35"/>
        <w:shd w:val="clear"/>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第五章  合同主要条款</w:t>
      </w:r>
      <w:bookmarkEnd w:id="89"/>
      <w:bookmarkEnd w:id="90"/>
    </w:p>
    <w:p w14:paraId="0E780B39">
      <w:pPr>
        <w:shd w:val="clear"/>
        <w:spacing w:line="300" w:lineRule="auto"/>
        <w:ind w:left="420" w:hanging="420"/>
        <w:jc w:val="center"/>
        <w:rPr>
          <w:rFonts w:hint="eastAsia" w:ascii="黑体" w:hAnsi="宋体" w:eastAsia="黑体"/>
          <w:b/>
          <w:color w:val="auto"/>
          <w:kern w:val="0"/>
          <w:sz w:val="32"/>
          <w:szCs w:val="32"/>
          <w:highlight w:val="none"/>
        </w:rPr>
      </w:pPr>
    </w:p>
    <w:p w14:paraId="57BAA40B">
      <w:pPr>
        <w:shd w:val="clear"/>
        <w:spacing w:line="300" w:lineRule="auto"/>
        <w:ind w:left="420" w:hanging="420"/>
        <w:jc w:val="center"/>
        <w:rPr>
          <w:rFonts w:hint="eastAsia" w:ascii="黑体" w:hAnsi="宋体" w:eastAsia="黑体"/>
          <w:b/>
          <w:color w:val="auto"/>
          <w:kern w:val="0"/>
          <w:sz w:val="32"/>
          <w:szCs w:val="32"/>
          <w:highlight w:val="none"/>
        </w:rPr>
      </w:pPr>
    </w:p>
    <w:p w14:paraId="24997636">
      <w:pPr>
        <w:shd w:val="clear"/>
        <w:spacing w:line="300" w:lineRule="auto"/>
        <w:ind w:left="420" w:hanging="420"/>
        <w:jc w:val="center"/>
        <w:rPr>
          <w:rFonts w:hint="eastAsia" w:ascii="黑体" w:hAnsi="宋体" w:eastAsia="黑体"/>
          <w:b/>
          <w:color w:val="auto"/>
          <w:kern w:val="0"/>
          <w:sz w:val="32"/>
          <w:szCs w:val="32"/>
          <w:highlight w:val="none"/>
        </w:rPr>
      </w:pPr>
    </w:p>
    <w:p w14:paraId="53A094DC">
      <w:pPr>
        <w:shd w:val="clear"/>
        <w:spacing w:line="300" w:lineRule="auto"/>
        <w:ind w:left="420" w:hanging="420"/>
        <w:jc w:val="center"/>
        <w:rPr>
          <w:rFonts w:hint="eastAsia" w:ascii="黑体" w:hAnsi="宋体" w:eastAsia="黑体"/>
          <w:b/>
          <w:color w:val="auto"/>
          <w:kern w:val="0"/>
          <w:sz w:val="32"/>
          <w:szCs w:val="32"/>
          <w:highlight w:val="none"/>
        </w:rPr>
      </w:pPr>
    </w:p>
    <w:p w14:paraId="573FC104">
      <w:pPr>
        <w:shd w:val="clear"/>
        <w:spacing w:line="300" w:lineRule="auto"/>
        <w:ind w:left="420" w:hanging="420"/>
        <w:jc w:val="center"/>
        <w:rPr>
          <w:rFonts w:hint="eastAsia" w:ascii="黑体" w:hAnsi="宋体" w:eastAsia="黑体"/>
          <w:b/>
          <w:color w:val="auto"/>
          <w:kern w:val="0"/>
          <w:sz w:val="32"/>
          <w:szCs w:val="32"/>
          <w:highlight w:val="none"/>
        </w:rPr>
      </w:pPr>
    </w:p>
    <w:p w14:paraId="6B09FCAC">
      <w:pPr>
        <w:shd w:val="clear"/>
        <w:spacing w:line="300" w:lineRule="auto"/>
        <w:ind w:left="420" w:hanging="420"/>
        <w:jc w:val="center"/>
        <w:rPr>
          <w:rFonts w:hint="eastAsia" w:ascii="黑体" w:hAnsi="宋体" w:eastAsia="黑体"/>
          <w:b/>
          <w:color w:val="auto"/>
          <w:kern w:val="0"/>
          <w:sz w:val="32"/>
          <w:szCs w:val="32"/>
          <w:highlight w:val="none"/>
        </w:rPr>
      </w:pPr>
    </w:p>
    <w:p w14:paraId="65B93760">
      <w:pPr>
        <w:shd w:val="clear"/>
        <w:spacing w:line="300" w:lineRule="auto"/>
        <w:ind w:left="420" w:hanging="420"/>
        <w:jc w:val="center"/>
        <w:rPr>
          <w:rFonts w:hint="eastAsia" w:ascii="黑体" w:hAnsi="宋体" w:eastAsia="黑体"/>
          <w:b/>
          <w:color w:val="auto"/>
          <w:kern w:val="0"/>
          <w:sz w:val="32"/>
          <w:szCs w:val="32"/>
          <w:highlight w:val="none"/>
        </w:rPr>
      </w:pPr>
    </w:p>
    <w:p w14:paraId="33BA1220">
      <w:pPr>
        <w:shd w:val="clear"/>
        <w:spacing w:line="300" w:lineRule="auto"/>
        <w:ind w:left="420" w:hanging="420"/>
        <w:jc w:val="center"/>
        <w:rPr>
          <w:rFonts w:hint="eastAsia" w:ascii="黑体" w:hAnsi="宋体" w:eastAsia="黑体"/>
          <w:b/>
          <w:color w:val="auto"/>
          <w:kern w:val="0"/>
          <w:sz w:val="32"/>
          <w:szCs w:val="32"/>
          <w:highlight w:val="none"/>
        </w:rPr>
      </w:pPr>
    </w:p>
    <w:p w14:paraId="10CFF220">
      <w:pPr>
        <w:shd w:val="clear"/>
        <w:spacing w:line="300" w:lineRule="auto"/>
        <w:ind w:left="420" w:hanging="420"/>
        <w:jc w:val="center"/>
        <w:rPr>
          <w:rFonts w:hint="eastAsia" w:ascii="黑体" w:hAnsi="宋体" w:eastAsia="黑体"/>
          <w:b/>
          <w:color w:val="auto"/>
          <w:kern w:val="0"/>
          <w:sz w:val="32"/>
          <w:szCs w:val="32"/>
          <w:highlight w:val="none"/>
        </w:rPr>
      </w:pPr>
    </w:p>
    <w:p w14:paraId="3C08A47C">
      <w:pPr>
        <w:shd w:val="clear"/>
        <w:spacing w:line="300" w:lineRule="auto"/>
        <w:ind w:left="420" w:hanging="420"/>
        <w:jc w:val="center"/>
        <w:rPr>
          <w:rFonts w:hint="eastAsia" w:ascii="黑体" w:hAnsi="宋体" w:eastAsia="黑体"/>
          <w:b/>
          <w:color w:val="auto"/>
          <w:kern w:val="0"/>
          <w:sz w:val="32"/>
          <w:szCs w:val="32"/>
          <w:highlight w:val="none"/>
        </w:rPr>
      </w:pPr>
    </w:p>
    <w:p w14:paraId="7A809DF3">
      <w:pPr>
        <w:shd w:val="clear"/>
        <w:spacing w:line="300" w:lineRule="auto"/>
        <w:ind w:left="420" w:hanging="420"/>
        <w:jc w:val="center"/>
        <w:rPr>
          <w:rFonts w:hint="eastAsia" w:ascii="黑体" w:hAnsi="宋体" w:eastAsia="黑体"/>
          <w:b/>
          <w:color w:val="auto"/>
          <w:kern w:val="0"/>
          <w:sz w:val="32"/>
          <w:szCs w:val="32"/>
          <w:highlight w:val="none"/>
        </w:rPr>
      </w:pPr>
    </w:p>
    <w:p w14:paraId="539551A3">
      <w:pPr>
        <w:shd w:val="clear"/>
        <w:spacing w:line="720" w:lineRule="auto"/>
        <w:jc w:val="center"/>
        <w:rPr>
          <w:rFonts w:hint="eastAsia"/>
          <w:b/>
          <w:color w:val="auto"/>
          <w:sz w:val="32"/>
          <w:szCs w:val="32"/>
          <w:highlight w:val="none"/>
        </w:rPr>
      </w:pPr>
      <w:r>
        <w:rPr>
          <w:color w:val="auto"/>
          <w:szCs w:val="21"/>
          <w:highlight w:val="none"/>
        </w:rPr>
        <w:br w:type="page"/>
      </w:r>
      <w:r>
        <w:rPr>
          <w:rFonts w:hint="eastAsia" w:hAnsi="宋体"/>
          <w:b/>
          <w:bCs/>
          <w:color w:val="auto"/>
          <w:sz w:val="32"/>
          <w:szCs w:val="32"/>
          <w:highlight w:val="none"/>
        </w:rPr>
        <w:t>广西壮族自治区政府采购合同（格式）</w:t>
      </w:r>
    </w:p>
    <w:p w14:paraId="6FE205F8">
      <w:pPr>
        <w:shd w:val="clear"/>
        <w:snapToGrid w:val="0"/>
        <w:spacing w:line="400" w:lineRule="exact"/>
        <w:ind w:right="480" w:firstLine="5040" w:firstLineChars="2400"/>
        <w:rPr>
          <w:rFonts w:hint="eastAsia" w:ascii="宋体" w:hAnsi="宋体"/>
          <w:bCs/>
          <w:color w:val="auto"/>
          <w:szCs w:val="21"/>
          <w:highlight w:val="none"/>
          <w:u w:val="single"/>
        </w:rPr>
      </w:pPr>
      <w:r>
        <w:rPr>
          <w:rFonts w:hint="eastAsia" w:ascii="宋体" w:hAnsi="宋体"/>
          <w:bCs/>
          <w:color w:val="auto"/>
          <w:szCs w:val="21"/>
          <w:highlight w:val="none"/>
        </w:rPr>
        <w:t xml:space="preserve">              合同编号：</w:t>
      </w:r>
    </w:p>
    <w:p w14:paraId="3ADB1EC2">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0F6628F0">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采购项目名称和</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4D395015">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广西南宁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60683904">
      <w:pPr>
        <w:shd w:val="clear"/>
        <w:snapToGrid w:val="0"/>
        <w:spacing w:line="382" w:lineRule="exact"/>
        <w:ind w:firstLine="420" w:firstLineChars="200"/>
        <w:rPr>
          <w:rFonts w:hint="eastAsia" w:ascii="宋体" w:hAnsi="宋体"/>
          <w:color w:val="auto"/>
          <w:szCs w:val="21"/>
          <w:highlight w:val="none"/>
        </w:rPr>
      </w:pPr>
    </w:p>
    <w:p w14:paraId="454BED0C">
      <w:pPr>
        <w:shd w:val="clear"/>
        <w:snapToGrid w:val="0"/>
        <w:spacing w:line="382" w:lineRule="exact"/>
        <w:rPr>
          <w:rFonts w:hint="eastAsia" w:ascii="宋体" w:hAnsi="宋体"/>
          <w:color w:val="auto"/>
          <w:szCs w:val="21"/>
          <w:highlight w:val="none"/>
        </w:rPr>
      </w:pPr>
      <w:r>
        <w:rPr>
          <w:rFonts w:hint="eastAsia" w:ascii="宋体" w:hAnsi="宋体"/>
          <w:color w:val="auto"/>
          <w:szCs w:val="21"/>
          <w:highlight w:val="none"/>
        </w:rPr>
        <w:t xml:space="preserve">    根据《中华人民共和国政府采购法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中华人民共和国民法典》等</w:t>
      </w:r>
      <w:r>
        <w:rPr>
          <w:rFonts w:hint="eastAsia" w:ascii="宋体" w:hAnsi="宋体"/>
          <w:color w:val="auto"/>
          <w:szCs w:val="21"/>
          <w:highlight w:val="none"/>
          <w:lang w:eastAsia="zh-CN"/>
        </w:rPr>
        <w:t>法律法规</w:t>
      </w:r>
      <w:r>
        <w:rPr>
          <w:rFonts w:hint="eastAsia" w:ascii="宋体" w:hAnsi="宋体"/>
          <w:color w:val="auto"/>
          <w:szCs w:val="21"/>
          <w:highlight w:val="none"/>
        </w:rPr>
        <w:t>规定，按照竞争性谈判文件（以下简称“谈判文件”）规定条款和成交供应商竞争性谈判响应文件（以下简称“响应文件”）及其承诺，甲乙双方签订本合同。</w:t>
      </w:r>
    </w:p>
    <w:p w14:paraId="3E24E80F">
      <w:pPr>
        <w:shd w:val="clear"/>
        <w:snapToGrid w:val="0"/>
        <w:spacing w:line="382" w:lineRule="exact"/>
        <w:rPr>
          <w:rFonts w:hint="eastAsia" w:ascii="宋体" w:hAnsi="宋体"/>
          <w:b/>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第一条　合同标的</w:t>
      </w:r>
    </w:p>
    <w:p w14:paraId="6383C8F5">
      <w:pPr>
        <w:numPr>
          <w:ilvl w:val="0"/>
          <w:numId w:val="0"/>
        </w:numPr>
        <w:shd w:val="clear"/>
        <w:snapToGrid w:val="0"/>
        <w:spacing w:line="382" w:lineRule="exact"/>
        <w:ind w:left="795" w:leftChars="0" w:hanging="360" w:firstLineChars="0"/>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供货一览表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0452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3A60FFA7">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40" w:type="dxa"/>
            <w:noWrap w:val="0"/>
            <w:vAlign w:val="center"/>
          </w:tcPr>
          <w:p w14:paraId="1A8E4D4F">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081" w:type="dxa"/>
            <w:noWrap w:val="0"/>
            <w:vAlign w:val="center"/>
          </w:tcPr>
          <w:p w14:paraId="1214D20E">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商标品牌</w:t>
            </w:r>
          </w:p>
        </w:tc>
        <w:tc>
          <w:tcPr>
            <w:tcW w:w="1194" w:type="dxa"/>
            <w:noWrap w:val="0"/>
            <w:vAlign w:val="center"/>
          </w:tcPr>
          <w:p w14:paraId="6A196E0E">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93" w:type="dxa"/>
            <w:noWrap w:val="0"/>
            <w:vAlign w:val="center"/>
          </w:tcPr>
          <w:p w14:paraId="19D43E50">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920" w:type="dxa"/>
            <w:noWrap w:val="0"/>
            <w:vAlign w:val="center"/>
          </w:tcPr>
          <w:p w14:paraId="15DA73EC">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32" w:type="dxa"/>
            <w:noWrap w:val="0"/>
            <w:vAlign w:val="center"/>
          </w:tcPr>
          <w:p w14:paraId="199414F0">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80" w:type="dxa"/>
            <w:noWrap w:val="0"/>
            <w:vAlign w:val="center"/>
          </w:tcPr>
          <w:p w14:paraId="0DB26032">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161676B4">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440" w:type="dxa"/>
            <w:noWrap w:val="0"/>
            <w:vAlign w:val="center"/>
          </w:tcPr>
          <w:p w14:paraId="2FC82AD3">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09F47DDF">
            <w:pPr>
              <w:shd w:val="clear"/>
              <w:snapToGrid w:val="0"/>
              <w:spacing w:line="382"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764A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038FA36C">
            <w:pPr>
              <w:shd w:val="clear"/>
              <w:snapToGrid w:val="0"/>
              <w:spacing w:line="382" w:lineRule="exact"/>
              <w:jc w:val="center"/>
              <w:rPr>
                <w:rFonts w:hint="eastAsia" w:ascii="宋体" w:hAnsi="宋体" w:eastAsia="宋体" w:cs="宋体"/>
                <w:color w:val="auto"/>
                <w:szCs w:val="21"/>
                <w:highlight w:val="none"/>
              </w:rPr>
            </w:pPr>
          </w:p>
        </w:tc>
        <w:tc>
          <w:tcPr>
            <w:tcW w:w="1140" w:type="dxa"/>
            <w:noWrap w:val="0"/>
            <w:vAlign w:val="center"/>
          </w:tcPr>
          <w:p w14:paraId="09D1EB9D">
            <w:pPr>
              <w:shd w:val="clear"/>
              <w:snapToGrid w:val="0"/>
              <w:spacing w:line="382" w:lineRule="exact"/>
              <w:jc w:val="center"/>
              <w:rPr>
                <w:rFonts w:hint="eastAsia" w:ascii="宋体" w:hAnsi="宋体" w:eastAsia="宋体" w:cs="宋体"/>
                <w:color w:val="auto"/>
                <w:szCs w:val="21"/>
                <w:highlight w:val="none"/>
              </w:rPr>
            </w:pPr>
          </w:p>
        </w:tc>
        <w:tc>
          <w:tcPr>
            <w:tcW w:w="1081" w:type="dxa"/>
            <w:noWrap w:val="0"/>
            <w:vAlign w:val="center"/>
          </w:tcPr>
          <w:p w14:paraId="6CBC70E7">
            <w:pPr>
              <w:shd w:val="clear"/>
              <w:snapToGrid w:val="0"/>
              <w:spacing w:line="382" w:lineRule="exact"/>
              <w:jc w:val="center"/>
              <w:rPr>
                <w:rFonts w:hint="eastAsia" w:ascii="宋体" w:hAnsi="宋体" w:eastAsia="宋体" w:cs="宋体"/>
                <w:color w:val="auto"/>
                <w:szCs w:val="21"/>
                <w:highlight w:val="none"/>
              </w:rPr>
            </w:pPr>
          </w:p>
        </w:tc>
        <w:tc>
          <w:tcPr>
            <w:tcW w:w="1194" w:type="dxa"/>
            <w:noWrap w:val="0"/>
            <w:vAlign w:val="center"/>
          </w:tcPr>
          <w:p w14:paraId="57273EA4">
            <w:pPr>
              <w:shd w:val="clear"/>
              <w:snapToGrid w:val="0"/>
              <w:spacing w:line="382" w:lineRule="exact"/>
              <w:jc w:val="center"/>
              <w:rPr>
                <w:rFonts w:hint="eastAsia" w:ascii="宋体" w:hAnsi="宋体" w:eastAsia="宋体" w:cs="宋体"/>
                <w:color w:val="auto"/>
                <w:szCs w:val="21"/>
                <w:highlight w:val="none"/>
              </w:rPr>
            </w:pPr>
          </w:p>
        </w:tc>
        <w:tc>
          <w:tcPr>
            <w:tcW w:w="1193" w:type="dxa"/>
            <w:noWrap w:val="0"/>
            <w:vAlign w:val="center"/>
          </w:tcPr>
          <w:p w14:paraId="2F2AF64D">
            <w:pPr>
              <w:shd w:val="clear"/>
              <w:snapToGrid w:val="0"/>
              <w:spacing w:line="382" w:lineRule="exact"/>
              <w:jc w:val="center"/>
              <w:rPr>
                <w:rFonts w:hint="eastAsia" w:ascii="宋体" w:hAnsi="宋体" w:eastAsia="宋体" w:cs="宋体"/>
                <w:color w:val="auto"/>
                <w:szCs w:val="21"/>
                <w:highlight w:val="none"/>
              </w:rPr>
            </w:pPr>
          </w:p>
        </w:tc>
        <w:tc>
          <w:tcPr>
            <w:tcW w:w="920" w:type="dxa"/>
            <w:noWrap w:val="0"/>
            <w:vAlign w:val="center"/>
          </w:tcPr>
          <w:p w14:paraId="2E35D196">
            <w:pPr>
              <w:shd w:val="clear"/>
              <w:snapToGrid w:val="0"/>
              <w:spacing w:line="382" w:lineRule="exact"/>
              <w:jc w:val="center"/>
              <w:rPr>
                <w:rFonts w:hint="eastAsia" w:ascii="宋体" w:hAnsi="宋体" w:eastAsia="宋体" w:cs="宋体"/>
                <w:color w:val="auto"/>
                <w:szCs w:val="21"/>
                <w:highlight w:val="none"/>
              </w:rPr>
            </w:pPr>
          </w:p>
        </w:tc>
        <w:tc>
          <w:tcPr>
            <w:tcW w:w="832" w:type="dxa"/>
            <w:noWrap w:val="0"/>
            <w:vAlign w:val="center"/>
          </w:tcPr>
          <w:p w14:paraId="71CCDB1E">
            <w:pPr>
              <w:shd w:val="clear"/>
              <w:snapToGrid w:val="0"/>
              <w:spacing w:line="382" w:lineRule="exact"/>
              <w:jc w:val="center"/>
              <w:rPr>
                <w:rFonts w:hint="eastAsia" w:ascii="宋体" w:hAnsi="宋体" w:eastAsia="宋体" w:cs="宋体"/>
                <w:color w:val="auto"/>
                <w:szCs w:val="21"/>
                <w:highlight w:val="none"/>
              </w:rPr>
            </w:pPr>
          </w:p>
        </w:tc>
        <w:tc>
          <w:tcPr>
            <w:tcW w:w="1080" w:type="dxa"/>
            <w:noWrap w:val="0"/>
            <w:vAlign w:val="center"/>
          </w:tcPr>
          <w:p w14:paraId="5A167AC2">
            <w:pPr>
              <w:shd w:val="clear"/>
              <w:snapToGrid w:val="0"/>
              <w:spacing w:line="382" w:lineRule="exact"/>
              <w:jc w:val="center"/>
              <w:rPr>
                <w:rFonts w:hint="eastAsia" w:ascii="宋体" w:hAnsi="宋体" w:eastAsia="宋体" w:cs="宋体"/>
                <w:color w:val="auto"/>
                <w:szCs w:val="21"/>
                <w:highlight w:val="none"/>
              </w:rPr>
            </w:pPr>
          </w:p>
        </w:tc>
        <w:tc>
          <w:tcPr>
            <w:tcW w:w="1440" w:type="dxa"/>
            <w:noWrap w:val="0"/>
            <w:vAlign w:val="center"/>
          </w:tcPr>
          <w:p w14:paraId="3B339CCC">
            <w:pPr>
              <w:shd w:val="clear"/>
              <w:snapToGrid w:val="0"/>
              <w:spacing w:line="382" w:lineRule="exact"/>
              <w:jc w:val="center"/>
              <w:rPr>
                <w:rFonts w:hint="eastAsia" w:ascii="宋体" w:hAnsi="宋体" w:eastAsia="宋体" w:cs="宋体"/>
                <w:color w:val="auto"/>
                <w:szCs w:val="21"/>
                <w:highlight w:val="none"/>
              </w:rPr>
            </w:pPr>
          </w:p>
        </w:tc>
      </w:tr>
      <w:tr w14:paraId="5714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3C9947CA">
            <w:pPr>
              <w:shd w:val="clear"/>
              <w:spacing w:line="382"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人民币合计金额（大写）                          （小写）                 </w:t>
            </w:r>
          </w:p>
        </w:tc>
      </w:tr>
    </w:tbl>
    <w:p w14:paraId="65C7E9D1">
      <w:pPr>
        <w:shd w:val="clear"/>
        <w:spacing w:line="382"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合同合计金额包括货物价款，备件、专用工具、安装、调试、检验、技术培训及技术资料和包装、运输等全部费用。如谈判文件、响应文件对其另有规定的，从其规定。</w:t>
      </w:r>
    </w:p>
    <w:p w14:paraId="0C7EBA57">
      <w:pPr>
        <w:shd w:val="clear"/>
        <w:spacing w:line="382" w:lineRule="exact"/>
        <w:rPr>
          <w:rFonts w:hint="eastAsia" w:ascii="宋体" w:hAnsi="宋体"/>
          <w:b/>
          <w:color w:val="auto"/>
          <w:szCs w:val="21"/>
          <w:highlight w:val="none"/>
        </w:rPr>
      </w:pPr>
      <w:r>
        <w:rPr>
          <w:rFonts w:hint="eastAsia"/>
          <w:color w:val="auto"/>
          <w:highlight w:val="none"/>
        </w:rPr>
        <w:t xml:space="preserve">    </w:t>
      </w:r>
      <w:r>
        <w:rPr>
          <w:rFonts w:hint="eastAsia" w:ascii="宋体" w:hAnsi="宋体"/>
          <w:b/>
          <w:color w:val="auto"/>
          <w:szCs w:val="21"/>
          <w:highlight w:val="none"/>
        </w:rPr>
        <w:t>第二条　质量保证</w:t>
      </w:r>
    </w:p>
    <w:p w14:paraId="000713D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rPr>
        <w:t>乙方所提供的货物型号、技术规格、技术参数等质量必须与谈判文件、响应文件和承诺相一致。乙方提供的节能和环保产品必须是列入品目清单的产品。</w:t>
      </w:r>
    </w:p>
    <w:p w14:paraId="436B373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乙方所提供的货物必须是全新、未经使用的原装产品，且在正常安装、使用和保养条件下，其使用寿命期内各项指标均达到质量要求。</w:t>
      </w:r>
    </w:p>
    <w:p w14:paraId="5ED9117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第三条　权利保证</w:t>
      </w:r>
    </w:p>
    <w:p w14:paraId="123F805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6167F0D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2.乙方应按采购文件规定的时间或投标文件承诺的时间向甲方提供使用货物的有关完整的技术资料。</w:t>
      </w:r>
    </w:p>
    <w:p w14:paraId="5CD8ED8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未经甲方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580F565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4.乙方保证所交付的货物的所有权完全属于乙方且无任何抵押、质押、查封等产权瑕疵，如乙方提供的货物存在产权瑕疵则应当向甲方支付因此造成的损失。</w:t>
      </w:r>
    </w:p>
    <w:p w14:paraId="351AE56E">
      <w:pPr>
        <w:shd w:val="clear"/>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5.乙方对自身提供的报价文件、资质、承诺等均客观、真实，不得虚构或隐瞒事实影响本合同的履行，否则乙方应当对甲方承担缔约过失责任，赔偿甲方的损失。</w:t>
      </w:r>
    </w:p>
    <w:p w14:paraId="3AA01C5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第四条　包装和运输</w:t>
      </w:r>
    </w:p>
    <w:p w14:paraId="7FE1B84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rPr>
        <w:t>乙方提供的货物均应按谈判文件、响应文件要求的包装材料、包装标准、包装方式进行包装，每一包装单元内应附详细的装箱单和质量合格证。</w:t>
      </w:r>
    </w:p>
    <w:p w14:paraId="1F5119B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货物的运输方式：</w:t>
      </w:r>
      <w:r>
        <w:rPr>
          <w:rFonts w:hint="eastAsia" w:ascii="宋体" w:hAnsi="宋体" w:eastAsia="宋体" w:cs="宋体"/>
          <w:b w:val="0"/>
          <w:bCs/>
          <w:color w:val="auto"/>
          <w:szCs w:val="21"/>
          <w:highlight w:val="none"/>
          <w:u w:val="single"/>
        </w:rPr>
        <w:t>由乙方负责</w:t>
      </w:r>
      <w:r>
        <w:rPr>
          <w:rFonts w:hint="eastAsia" w:ascii="宋体" w:hAnsi="宋体" w:eastAsia="宋体" w:cs="宋体"/>
          <w:b w:val="0"/>
          <w:bCs/>
          <w:color w:val="auto"/>
          <w:szCs w:val="21"/>
          <w:highlight w:val="none"/>
        </w:rPr>
        <w:t>。</w:t>
      </w:r>
    </w:p>
    <w:p w14:paraId="3C2B3E1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3.</w:t>
      </w:r>
      <w:r>
        <w:rPr>
          <w:rFonts w:hint="eastAsia" w:ascii="宋体" w:hAnsi="宋体" w:eastAsia="宋体" w:cs="宋体"/>
          <w:b w:val="0"/>
          <w:bCs/>
          <w:color w:val="auto"/>
          <w:szCs w:val="21"/>
          <w:highlight w:val="none"/>
        </w:rPr>
        <w:t>乙方负责货物运输，货物运输合理损耗及计算方法：</w:t>
      </w:r>
      <w:r>
        <w:rPr>
          <w:rFonts w:hint="eastAsia" w:ascii="宋体" w:hAnsi="宋体" w:eastAsia="宋体" w:cs="宋体"/>
          <w:b w:val="0"/>
          <w:bCs/>
          <w:color w:val="auto"/>
          <w:szCs w:val="21"/>
          <w:highlight w:val="none"/>
          <w:u w:val="single"/>
        </w:rPr>
        <w:t>不接受损耗</w:t>
      </w:r>
      <w:r>
        <w:rPr>
          <w:rFonts w:hint="eastAsia" w:ascii="宋体" w:hAnsi="宋体" w:eastAsia="宋体" w:cs="宋体"/>
          <w:b w:val="0"/>
          <w:bCs/>
          <w:color w:val="auto"/>
          <w:szCs w:val="21"/>
          <w:highlight w:val="none"/>
        </w:rPr>
        <w:t>。货物安装调试完毕并经甲方验收</w:t>
      </w:r>
      <w:r>
        <w:rPr>
          <w:rFonts w:hint="eastAsia" w:ascii="宋体" w:hAnsi="宋体" w:eastAsia="宋体" w:cs="宋体"/>
          <w:color w:val="auto"/>
          <w:szCs w:val="21"/>
          <w:highlight w:val="none"/>
        </w:rPr>
        <w:t>合格前货物毁损、灭失的风险均由乙方承担。</w:t>
      </w:r>
    </w:p>
    <w:p w14:paraId="68AFB29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第五条　交付和验收</w:t>
      </w:r>
    </w:p>
    <w:p w14:paraId="663D9D0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rPr>
        <w:t>交货时间：</w:t>
      </w:r>
      <w:r>
        <w:rPr>
          <w:rFonts w:hint="eastAsia" w:ascii="宋体" w:hAnsi="宋体" w:eastAsia="宋体" w:cs="宋体"/>
          <w:b w:val="0"/>
          <w:bCs/>
          <w:color w:val="auto"/>
          <w:szCs w:val="21"/>
          <w:highlight w:val="none"/>
          <w:u w:val="single"/>
        </w:rPr>
        <w:t xml:space="preserve">   按乙方响应文件中所承诺的时间   </w:t>
      </w:r>
      <w:r>
        <w:rPr>
          <w:rFonts w:hint="eastAsia" w:ascii="宋体" w:hAnsi="宋体" w:eastAsia="宋体" w:cs="宋体"/>
          <w:b w:val="0"/>
          <w:bCs/>
          <w:color w:val="auto"/>
          <w:szCs w:val="21"/>
          <w:highlight w:val="none"/>
        </w:rPr>
        <w:t>、地点：</w:t>
      </w:r>
      <w:r>
        <w:rPr>
          <w:rFonts w:hint="eastAsia" w:ascii="宋体" w:hAnsi="宋体" w:eastAsia="宋体" w:cs="宋体"/>
          <w:b w:val="0"/>
          <w:bCs/>
          <w:color w:val="auto"/>
          <w:szCs w:val="21"/>
          <w:highlight w:val="none"/>
          <w:u w:val="single"/>
        </w:rPr>
        <w:t xml:space="preserve">   采购人指定地点   </w:t>
      </w:r>
      <w:r>
        <w:rPr>
          <w:rFonts w:hint="eastAsia" w:ascii="宋体" w:hAnsi="宋体" w:eastAsia="宋体" w:cs="宋体"/>
          <w:b w:val="0"/>
          <w:bCs/>
          <w:color w:val="auto"/>
          <w:szCs w:val="21"/>
          <w:highlight w:val="none"/>
        </w:rPr>
        <w:t>。</w:t>
      </w:r>
    </w:p>
    <w:p w14:paraId="07D9EBB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2.</w:t>
      </w:r>
      <w:r>
        <w:rPr>
          <w:rFonts w:hint="eastAsia" w:ascii="宋体" w:hAnsi="宋体" w:eastAsia="宋体" w:cs="宋体"/>
          <w:b w:val="0"/>
          <w:bCs/>
          <w:color w:val="auto"/>
          <w:spacing w:val="4"/>
          <w:highlight w:val="none"/>
        </w:rPr>
        <w:t>甲方在到货时有权依照招标文件与响应文件的规定对货物进行到货验收，</w:t>
      </w:r>
      <w:r>
        <w:rPr>
          <w:rFonts w:hint="eastAsia" w:ascii="宋体" w:hAnsi="宋体" w:eastAsia="宋体" w:cs="宋体"/>
          <w:b w:val="0"/>
          <w:bCs/>
          <w:color w:val="auto"/>
          <w:highlight w:val="none"/>
        </w:rPr>
        <w:t>对于不符合采购文件、投标文件规定和本合同约定的货物，甲方有权拒绝接收并要求乙方另行发货，乙方另行发出货物后未在本条第1款约定的时间内完成安装调试的，按逾期交付处理。</w:t>
      </w:r>
    </w:p>
    <w:p w14:paraId="174FA8B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3.乙方应将所提供货物的装箱清单、用户手册、原厂保修卡、随机资料、工具和备品、备件等交付给甲方，如有缺失应在完成安装调试之前补齐，乙方不能补齐的，按验收不合格处理。</w:t>
      </w:r>
    </w:p>
    <w:p w14:paraId="454E85E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4.产品安装、调试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01996BA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5.甲方应当在全部货物完成安装、调试完成后七个工作日内组织验收。如因甲方原因暂时不能安装、调试的货物，经双方签字确认后可延期组织验收。甲方因自身原因逾期超过30个工作日未组织验收，应当向乙方出具书面说明情况，经双方签字确认后可延期组织验收。验收合格后由甲、乙双方签署货物验收合格单（加盖甲方公章方为有效）。</w:t>
      </w:r>
    </w:p>
    <w:p w14:paraId="6059581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甲方委托第三方组织的验收项目，其验收时间以该项目验收方案确定的验收时间为准，验收结果以该项目验收报告结论为准。在验收过程中发现乙方有违约情形的，甲方有权暂不支付已达到支付条件的货款，待乙方违约问题解决后再行办理货款结算。</w:t>
      </w:r>
    </w:p>
    <w:p w14:paraId="188B173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7.甲方对验收报告结论有异议的，在收到报告之日起五个工作日内以书面形式向乙方提出，乙方应自收到甲方书面异议后</w:t>
      </w:r>
      <w:r>
        <w:rPr>
          <w:rFonts w:hint="eastAsia" w:ascii="宋体" w:hAnsi="宋体" w:eastAsia="宋体" w:cs="宋体"/>
          <w:b w:val="0"/>
          <w:bCs/>
          <w:color w:val="auto"/>
          <w:highlight w:val="none"/>
          <w:u w:val="single"/>
        </w:rPr>
        <w:t>七个工作日</w:t>
      </w:r>
      <w:r>
        <w:rPr>
          <w:rFonts w:hint="eastAsia" w:ascii="宋体" w:hAnsi="宋体" w:eastAsia="宋体" w:cs="宋体"/>
          <w:b w:val="0"/>
          <w:bCs/>
          <w:color w:val="auto"/>
          <w:highlight w:val="none"/>
        </w:rPr>
        <w:t>内及时予以解决。</w:t>
      </w:r>
    </w:p>
    <w:p w14:paraId="6614994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rPr>
        <w:t>第六条　安装和培训</w:t>
      </w:r>
    </w:p>
    <w:p w14:paraId="2C404A0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甲方应提供必要安装条件（如场地、电源、水源等）。</w:t>
      </w:r>
    </w:p>
    <w:p w14:paraId="13BBCEE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由甲方根据情况合理安排  </w:t>
      </w:r>
      <w:r>
        <w:rPr>
          <w:rFonts w:hint="eastAsia" w:ascii="宋体" w:hAnsi="宋体" w:eastAsia="宋体" w:cs="宋体"/>
          <w:color w:val="auto"/>
          <w:szCs w:val="21"/>
          <w:highlight w:val="none"/>
        </w:rPr>
        <w:t>。</w:t>
      </w:r>
    </w:p>
    <w:p w14:paraId="3D7C9FF1">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第七条  售后服务、保修期</w:t>
      </w:r>
    </w:p>
    <w:p w14:paraId="3CCCE42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1.乙方应按照国家有关法律法规和“三包”规定以及采购文件及投标文件和本合同附件，为甲方提供售后服务。</w:t>
      </w:r>
    </w:p>
    <w:p w14:paraId="4F2B968D">
      <w:pPr>
        <w:shd w:val="clear"/>
        <w:snapToGrid/>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2.货物质量保证期：</w:t>
      </w:r>
      <w:r>
        <w:rPr>
          <w:rFonts w:hint="eastAsia" w:ascii="宋体" w:hAnsi="宋体" w:eastAsia="宋体" w:cs="宋体"/>
          <w:color w:val="auto"/>
          <w:highlight w:val="none"/>
          <w:u w:val="single"/>
        </w:rPr>
        <w:t>除“技术需求及要求”中另有约定外，其余货物按国家有关产品“三包”规定执行“三包”。货物有更长的质量保证期限的（以采购需求及中标人承诺为准），按照更长期限执行。货物质量保证期自验收合格之日起计算。</w:t>
      </w:r>
    </w:p>
    <w:p w14:paraId="3DA9E09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3.乙方提供的服务承诺和售后服务及质量保证期责任等</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具体约定事项。（见合同附件）</w:t>
      </w:r>
    </w:p>
    <w:p w14:paraId="6EFD985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第八条　付款方式</w:t>
      </w:r>
    </w:p>
    <w:p w14:paraId="6262E6D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highlight w:val="none"/>
        </w:rPr>
        <w:t>当采购数量与实际使用数量不一致时，乙方应根据实际使用量供货，合同的最终结算金额按实</w:t>
      </w:r>
    </w:p>
    <w:p w14:paraId="169573E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际使用量乘以成交单价进行计算</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lang w:val="en-US" w:eastAsia="zh-CN"/>
        </w:rPr>
        <w:t>但增加的金额不能超过原合同金额的10%</w:t>
      </w:r>
      <w:r>
        <w:rPr>
          <w:rFonts w:hint="eastAsia" w:ascii="宋体" w:hAnsi="宋体" w:eastAsia="宋体" w:cs="宋体"/>
          <w:b w:val="0"/>
          <w:bCs/>
          <w:color w:val="auto"/>
          <w:highlight w:val="none"/>
        </w:rPr>
        <w:t>。</w:t>
      </w:r>
    </w:p>
    <w:p w14:paraId="2282699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eastAsia="zh-CN"/>
        </w:rPr>
        <w:t>2.</w:t>
      </w:r>
      <w:r>
        <w:rPr>
          <w:rFonts w:hint="eastAsia" w:ascii="宋体" w:hAnsi="宋体" w:eastAsia="宋体" w:cs="宋体"/>
          <w:b w:val="0"/>
          <w:bCs/>
          <w:color w:val="auto"/>
          <w:highlight w:val="none"/>
        </w:rPr>
        <w:t>资金性质：</w:t>
      </w:r>
      <w:r>
        <w:rPr>
          <w:rFonts w:hint="eastAsia" w:ascii="宋体" w:hAnsi="宋体" w:eastAsia="宋体" w:cs="宋体"/>
          <w:b w:val="0"/>
          <w:bCs/>
          <w:color w:val="auto"/>
          <w:highlight w:val="none"/>
          <w:u w:val="single"/>
        </w:rPr>
        <w:t xml:space="preserve">  财政性资金    </w:t>
      </w:r>
      <w:r>
        <w:rPr>
          <w:rFonts w:hint="eastAsia" w:ascii="宋体" w:hAnsi="宋体" w:eastAsia="宋体" w:cs="宋体"/>
          <w:b w:val="0"/>
          <w:bCs/>
          <w:color w:val="auto"/>
          <w:highlight w:val="none"/>
        </w:rPr>
        <w:t>。</w:t>
      </w:r>
    </w:p>
    <w:p w14:paraId="424580B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 xml:space="preserve">    </w:t>
      </w:r>
      <w:r>
        <w:rPr>
          <w:rFonts w:hint="eastAsia" w:ascii="宋体" w:hAnsi="宋体" w:eastAsia="宋体" w:cs="宋体"/>
          <w:b w:val="0"/>
          <w:bCs/>
          <w:color w:val="auto"/>
          <w:highlight w:val="none"/>
          <w:lang w:eastAsia="zh-CN"/>
        </w:rPr>
        <w:t>3.</w:t>
      </w:r>
      <w:r>
        <w:rPr>
          <w:rFonts w:hint="eastAsia" w:ascii="宋体" w:hAnsi="宋体" w:eastAsia="宋体" w:cs="宋体"/>
          <w:b w:val="0"/>
          <w:bCs/>
          <w:color w:val="auto"/>
          <w:highlight w:val="none"/>
        </w:rPr>
        <w:t>付款方式：</w:t>
      </w:r>
      <w:r>
        <w:rPr>
          <w:rFonts w:hint="eastAsia" w:ascii="宋体" w:hAnsi="宋体" w:eastAsia="宋体" w:cs="宋体"/>
          <w:b w:val="0"/>
          <w:bCs/>
          <w:color w:val="auto"/>
          <w:kern w:val="0"/>
          <w:szCs w:val="21"/>
          <w:highlight w:val="none"/>
        </w:rPr>
        <w:t>详见《采购需求》。</w:t>
      </w:r>
    </w:p>
    <w:p w14:paraId="6089C93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第九条　</w:t>
      </w:r>
      <w:r>
        <w:rPr>
          <w:rFonts w:hint="eastAsia" w:ascii="宋体" w:hAnsi="宋体" w:eastAsia="宋体" w:cs="宋体"/>
          <w:b/>
          <w:color w:val="auto"/>
          <w:highlight w:val="none"/>
        </w:rPr>
        <w:t>履约</w:t>
      </w:r>
      <w:r>
        <w:rPr>
          <w:rFonts w:hint="eastAsia" w:ascii="宋体" w:hAnsi="宋体" w:eastAsia="宋体" w:cs="宋体"/>
          <w:b/>
          <w:color w:val="auto"/>
          <w:szCs w:val="21"/>
          <w:highlight w:val="none"/>
        </w:rPr>
        <w:t>保证金</w:t>
      </w:r>
    </w:p>
    <w:p w14:paraId="5A28B7F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按本项目履约保证金规定比例缴纳。</w:t>
      </w:r>
    </w:p>
    <w:p w14:paraId="0F87F056">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第十条  税费</w:t>
      </w:r>
    </w:p>
    <w:p w14:paraId="71DD206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本合同执行中相关的一切税费均由乙方负担。</w:t>
      </w:r>
    </w:p>
    <w:p w14:paraId="3F80F1A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第十一条  质量保证及售后服务</w:t>
      </w:r>
    </w:p>
    <w:p w14:paraId="1F3EBCE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乙方应按谈判文件规定及响应文件承诺的货物性能、技术要求、质量标准向甲方提供未经使用的全新产品。</w:t>
      </w:r>
      <w:r>
        <w:rPr>
          <w:rFonts w:hint="eastAsia" w:ascii="宋体" w:hAnsi="宋体" w:eastAsia="宋体" w:cs="宋体"/>
          <w:color w:val="auto"/>
          <w:highlight w:val="none"/>
        </w:rPr>
        <w:t>乙方提供货物的质量保证期按交货验收合格之日起</w:t>
      </w:r>
      <w:r>
        <w:rPr>
          <w:rFonts w:hint="eastAsia" w:ascii="宋体" w:hAnsi="宋体" w:eastAsia="宋体" w:cs="宋体"/>
          <w:color w:val="auto"/>
          <w:highlight w:val="none"/>
          <w:lang w:eastAsia="zh-CN"/>
        </w:rPr>
        <w:t>计算</w:t>
      </w:r>
      <w:r>
        <w:rPr>
          <w:rFonts w:hint="eastAsia" w:ascii="宋体" w:hAnsi="宋体" w:eastAsia="宋体" w:cs="宋体"/>
          <w:color w:val="auto"/>
          <w:highlight w:val="none"/>
        </w:rPr>
        <w:t>（期限见《采购需求》中的要求）。在保证期内因货物本身的质量问题发生故障，乙方应负责免费修理和更换零部件。对达不到技术要求者，根据实际情况，经双方协商，可按以下办法处理：</w:t>
      </w:r>
    </w:p>
    <w:p w14:paraId="1D6307A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（1）更换：由乙方承担所发生的全部费用。</w:t>
      </w:r>
    </w:p>
    <w:p w14:paraId="00CC37D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（2）贬值处理：由甲乙双方合议定价。</w:t>
      </w:r>
    </w:p>
    <w:p w14:paraId="65467E5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（3）退货处理：乙方应退还甲方支付的合同款，同时应承担该货物的直接费用（运输、保险、检验、</w:t>
      </w:r>
    </w:p>
    <w:p w14:paraId="27A57C3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货款利息及银行手续费等）。</w:t>
      </w:r>
    </w:p>
    <w:p w14:paraId="0834700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如在使用过程中发生质量问题，乙方在接到甲方通知后在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小时内到达甲方现场。</w:t>
      </w:r>
    </w:p>
    <w:p w14:paraId="020101E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在质保期内，乙方应对货物出现的质量及安全问题负责处理解决并承担一切费用。</w:t>
      </w:r>
    </w:p>
    <w:p w14:paraId="665632B2">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在货物免费保修期内，因人为因素出现的故障不在免费保修范围内。超过保修期的机器设备，</w:t>
      </w:r>
      <w:r>
        <w:rPr>
          <w:rFonts w:hint="eastAsia" w:ascii="宋体" w:hAnsi="宋体" w:eastAsia="宋体" w:cs="宋体"/>
          <w:color w:val="auto"/>
          <w:highlight w:val="none"/>
          <w:lang w:eastAsia="zh-CN"/>
        </w:rPr>
        <w:t>终身</w:t>
      </w:r>
      <w:r>
        <w:rPr>
          <w:rFonts w:hint="eastAsia" w:ascii="宋体" w:hAnsi="宋体" w:eastAsia="宋体" w:cs="宋体"/>
          <w:color w:val="auto"/>
          <w:highlight w:val="none"/>
        </w:rPr>
        <w:t>维修，维修时只收部件成本费。</w:t>
      </w:r>
    </w:p>
    <w:p w14:paraId="05FAD6E7">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乙方交付全部货物、配套软硬件、系统设备时，甲方、监理（如有）、验收小组对照采购文件、响应文件、技术响应承诺、第三方检测报告逐项核验全部技术参数、功能指标、设备型号、材质规格、配套软件版本。</w:t>
      </w:r>
    </w:p>
    <w:p w14:paraId="3A080CD4">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若到货货物存在任意一项核心实质性技术参数、关键功能、设备型号与响应文件承诺、采购文件要求不一致、不匹配，或存在缺配、低配、以次充好、贴牌替代、私自更改配置等情形，均认定乙方存在虚假响应、虚假应标行为。</w:t>
      </w:r>
    </w:p>
    <w:p w14:paraId="183B29E7">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7.出现上述虚假应标情形的，甲方有权选择以下任一或多项措施追究供应商违约责任，供应商无异议：</w:t>
      </w:r>
    </w:p>
    <w:p w14:paraId="5E0FCDAE">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（1）当场全部拒收货物，所有货物不予签收、不予入库，乙方须在3个工作日内自行清运全部货品，产生的运输、仓储、人工等全部费用由乙方自行承担；</w:t>
      </w:r>
    </w:p>
    <w:p w14:paraId="4D2AA1BA">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（2）甲方有权单方书面解除本采购合同，合同自解除通知送达之日终止，不予支付任何合同款项；</w:t>
      </w:r>
    </w:p>
    <w:p w14:paraId="27EB9927">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（3）乙方须按合同总金额20%向甲方支付违约金；若违约金不足以弥补甲方工期延误、二次采购、人工检测、第三方复测、项目停滞等全部直接及间接损失的，甲方有权就差额部分继续追偿；</w:t>
      </w:r>
    </w:p>
    <w:p w14:paraId="7DD6B644">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甲方将乙方虚假应标相关书面证据、检测记录、现场核验记录完整归档，同步上报本级财政政府采购监管主管部门，纳入政府采购供应商不良行为记录；涉及违法违规的，配合监管部门依法作出行政处罚；涉嫌提供虚假材料谋取成交、骗取合同的，移交纪检、市场监管相关部门处理。</w:t>
      </w:r>
    </w:p>
    <w:p w14:paraId="64C823D5">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若乙方逾期未清运不合格货品、未退还已收款项、未足额支付违约金，甲方有权从履约保证金中直接全额抵扣，不足部分通过诉讼、仲裁途径追偿，由此产生的诉讼费、保全费、律师费、鉴定费、差旅费等全部维权成本均由乙方承担。</w:t>
      </w:r>
    </w:p>
    <w:p w14:paraId="523AD466">
      <w:pPr>
        <w:keepNext w:val="0"/>
        <w:keepLines w:val="0"/>
        <w:pageBreakBefore w:val="0"/>
        <w:widowControl w:val="0"/>
        <w:shd w:val="clear"/>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9.本条款独立有效，不受合同其他条款效力影响，合同解除、终止后本追责条款持续有效。</w:t>
      </w:r>
    </w:p>
    <w:p w14:paraId="1C97DF0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第十二条  调试和验收</w:t>
      </w:r>
    </w:p>
    <w:p w14:paraId="72834F4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eastAsia="宋体" w:cs="宋体"/>
          <w:bCs/>
          <w:color w:val="auto"/>
          <w:highlight w:val="none"/>
        </w:rPr>
        <w:t>甲方应当在到货（安装、调试</w:t>
      </w:r>
      <w:r>
        <w:rPr>
          <w:rFonts w:hint="eastAsia" w:ascii="宋体" w:hAnsi="宋体" w:eastAsia="宋体" w:cs="宋体"/>
          <w:bCs/>
          <w:color w:val="auto"/>
          <w:highlight w:val="none"/>
          <w:lang w:eastAsia="zh-CN"/>
        </w:rPr>
        <w:t>完成</w:t>
      </w:r>
      <w:r>
        <w:rPr>
          <w:rFonts w:hint="eastAsia" w:ascii="宋体" w:hAnsi="宋体" w:eastAsia="宋体" w:cs="宋体"/>
          <w:bCs/>
          <w:color w:val="auto"/>
          <w:highlight w:val="none"/>
        </w:rPr>
        <w:t>）后七个工作日内进行验收</w:t>
      </w:r>
      <w:r>
        <w:rPr>
          <w:rFonts w:hint="eastAsia" w:ascii="宋体" w:hAnsi="宋体" w:eastAsia="宋体" w:cs="宋体"/>
          <w:color w:val="auto"/>
          <w:highlight w:val="none"/>
        </w:rPr>
        <w:t>。</w:t>
      </w:r>
    </w:p>
    <w:p w14:paraId="0F547C7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乙方交货前应对产品作出全面检查和对验收文件进行整理，并列出清单，作为甲方收货验收和使用的技术条件依据，检验的结果应随货物交甲方。</w:t>
      </w:r>
    </w:p>
    <w:p w14:paraId="7BFF66F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甲方对乙方提供的货物在使用前进行调试时，乙方需负责安装并培训甲方的使用操作人员，并协助甲方一起调试，直到符合技术要求，甲方才做最终验收。</w:t>
      </w:r>
    </w:p>
    <w:p w14:paraId="0148572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对技术复杂的货物，甲方应请国家认可的专业检测机构参与初步验收及最终验收，并由其出具质量检测报告。</w:t>
      </w:r>
    </w:p>
    <w:p w14:paraId="79DC4C9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5.</w:t>
      </w:r>
      <w:r>
        <w:rPr>
          <w:rFonts w:hint="eastAsia" w:ascii="宋体" w:hAnsi="宋体" w:eastAsia="宋体" w:cs="宋体"/>
          <w:color w:val="auto"/>
          <w:highlight w:val="none"/>
        </w:rPr>
        <w:t>验收时乙方必须在现场，验收完毕后作出验收结果报告；验收费用由乙方负责。</w:t>
      </w:r>
    </w:p>
    <w:p w14:paraId="5628E52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第十三条  货物包装、发运及运输</w:t>
      </w:r>
    </w:p>
    <w:p w14:paraId="59D3557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乙方应在货物发运前对其进行满足运输距离、防潮、防震、防锈和防破损装卸等要求包装，以</w:t>
      </w:r>
    </w:p>
    <w:p w14:paraId="0C1EE2C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保证货物安全运达甲方指定地点。</w:t>
      </w:r>
    </w:p>
    <w:p w14:paraId="0BA4708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使用说明书、质量检验证明书、随配附件和工具以及清单一并附于货物内。</w:t>
      </w:r>
    </w:p>
    <w:p w14:paraId="4F917218">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乙方在货物发运手续办理完毕后二十四小时内或货到甲方四十八小时前通知甲方，以准备接货。</w:t>
      </w:r>
    </w:p>
    <w:p w14:paraId="34FD64B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货物在交付甲方前发生的风险均由乙方负责。</w:t>
      </w:r>
    </w:p>
    <w:p w14:paraId="40A8B48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5.</w:t>
      </w:r>
      <w:r>
        <w:rPr>
          <w:rFonts w:hint="eastAsia" w:ascii="宋体" w:hAnsi="宋体" w:eastAsia="宋体" w:cs="宋体"/>
          <w:color w:val="auto"/>
          <w:highlight w:val="none"/>
        </w:rPr>
        <w:t>货物在规定的交付期限内由乙方送达甲方指定的地点视为交付，乙方同时需通知甲方货物已送达。</w:t>
      </w:r>
    </w:p>
    <w:p w14:paraId="5EC873AD">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第十四条　 违约责任</w:t>
      </w:r>
    </w:p>
    <w:p w14:paraId="75D1A28E">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highlight w:val="none"/>
        </w:rPr>
        <w:t>1.乙方所提供的货物规格、技术标准、材料等质量不合格的，且更换不及时的按逾期交货处罚；因质量问题甲方不同意接收的或特殊情况甲方同意接收的，乙方应向甲方支付违约货款额 5%违约金并赔偿甲方经济损失。</w:t>
      </w:r>
    </w:p>
    <w:p w14:paraId="3E86003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2691FBB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3.因包装、运输引起的货物损坏，按质量不合格处罚，甲方有权要求乙方重新交付合格的货物并要求乙方向甲方支付违约货款额 5%违约金并赔偿甲方经济损失。</w:t>
      </w:r>
    </w:p>
    <w:p w14:paraId="23791F88">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甲方无故延期接收货物、乙方逾期交货的，每天向对方偿付违约货款额3‰的逾期违约金。乙方逾期完成安装调试的，每天向甲方支付合同合计金额的3‰的逾期违约金。甲方延期付货款的，每天向乙方偿付延期货款额的3‰违约金，甲方违约金支付总额不超过延期货款额5%（若甲方因特殊情形无法按时支付货款的，经乙方同意可以延期付款，乙方同意延期付款的不视为甲方违约）。</w:t>
      </w:r>
    </w:p>
    <w:p w14:paraId="6F8AC1E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乙方逾期交货或逾期完成安装调试的，每天向甲方支付合同合计金额的3‰的逾期违约金，累计不超过合同合计金额的</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。甲方延期付货款的，每天向乙方偿付延期货款额的3‰违约金，累计不超过延期货款额的5% （若甲方因特殊情形无法按时支付货款的，经乙方同意可以延期付款，乙方同意延期付款的不视为甲方违约）。若逾期超过 15天的，对方有权解除合同，违约方承担因此给对方造成的经济损失。若</w:t>
      </w:r>
      <w:r>
        <w:rPr>
          <w:rFonts w:hint="eastAsia" w:ascii="宋体" w:hAnsi="宋体" w:eastAsia="宋体" w:cs="宋体"/>
          <w:color w:val="auto"/>
          <w:highlight w:val="none"/>
          <w:lang w:eastAsia="zh-CN"/>
        </w:rPr>
        <w:t>因</w:t>
      </w:r>
      <w:r>
        <w:rPr>
          <w:rFonts w:hint="eastAsia" w:ascii="宋体" w:hAnsi="宋体" w:eastAsia="宋体" w:cs="宋体"/>
          <w:color w:val="auto"/>
          <w:highlight w:val="none"/>
        </w:rPr>
        <w:t>乙方违约造成甲方解除合同的，乙方应在合同解除之日起十日内全额退还甲方已付款项，并按中国人民银行授权全国银行间同业拆借中心公布的一年期贷款市场报价利率（LPR）支付自甲方付款之日起至退款之日止的利息，同时赔偿甲方因此遭受的其他损失。若</w:t>
      </w:r>
      <w:r>
        <w:rPr>
          <w:rFonts w:hint="eastAsia" w:ascii="宋体" w:hAnsi="宋体" w:eastAsia="宋体" w:cs="宋体"/>
          <w:color w:val="auto"/>
          <w:highlight w:val="none"/>
          <w:lang w:eastAsia="zh-CN"/>
        </w:rPr>
        <w:t>因</w:t>
      </w:r>
      <w:r>
        <w:rPr>
          <w:rFonts w:hint="eastAsia" w:ascii="宋体" w:hAnsi="宋体" w:eastAsia="宋体" w:cs="宋体"/>
          <w:color w:val="auto"/>
          <w:highlight w:val="none"/>
        </w:rPr>
        <w:t>甲方违约造成乙方解除合同的，乙方有权收回已交付的货物，运费由乙方承担，应在合同解除之日起十日内全额退还甲方已付款项。</w:t>
      </w:r>
    </w:p>
    <w:p w14:paraId="27835C8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 货物最终验收结果为不合格且乙方无法通过更换、重做等补救措施达到合格标准的，视为乙方根本性违约，甲方有权解除本合同，乙方应退还甲方已付全部费用并向甲方支付合同合计金额20%的违约金。</w:t>
      </w:r>
    </w:p>
    <w:p w14:paraId="5FA62ED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6.乙方未按本合同和投标文件中规定的服务承诺提供售后服务的，乙方应按本合同合计金额的5%向甲方支付违约金。</w:t>
      </w:r>
    </w:p>
    <w:p w14:paraId="377E1FA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7.乙方提供的货物在质量保证期内，因设计、工艺或材料的缺陷和</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质量原因造成的问题，由乙方负责修复，如无法修复的乙方负责更换全新货物，或者按合同价向甲方赔偿经济损失，乙方维修的费用及更换全新货物的费用由乙方自行承担，甲方不支付任何费用。</w:t>
      </w:r>
    </w:p>
    <w:p w14:paraId="27F69DE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其他</w:t>
      </w:r>
      <w:r>
        <w:rPr>
          <w:rFonts w:hint="eastAsia" w:ascii="宋体" w:hAnsi="宋体" w:eastAsia="宋体" w:cs="宋体"/>
          <w:color w:val="auto"/>
          <w:highlight w:val="none"/>
        </w:rPr>
        <w:t>违约行为按违约货款额5%收取违约金并赔偿经济损失。</w:t>
      </w:r>
    </w:p>
    <w:p w14:paraId="5EC87FC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9.乙方未经甲方同意，不得更换项目人员，否则，更换一个应赔偿甲方500元违约金，更换项目人员超过半数的，甲方有权解除合同并要求乙方支付合同金额的20%的违约金。</w:t>
      </w:r>
    </w:p>
    <w:p w14:paraId="5680200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10.乙方擅自将合同义务转给第三方履行的，一经发现，甲方有权解除合同并要求乙方支付合同金额的20%的违约金，并赔偿给甲方造成的损失。</w:t>
      </w:r>
    </w:p>
    <w:p w14:paraId="50B645C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11.乙方自甲方通知安装、调试之日起十日内拒不履行安装、调试义务的，乙方应按本合同合计金额5%向甲方支付违约金，情形严重的，甲方有权拒绝支付货款、委托第三方协助安装、调试，由此产生的损失由乙方承担。</w:t>
      </w:r>
    </w:p>
    <w:p w14:paraId="3ADA9785">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本合同约定的违约责任或经济损失包括但不限于实际造成的经济损失、因维权所产生的律师费、诉讼费、保全费、保全保函费、执行费、鉴定费、公证费、评估费等。</w:t>
      </w:r>
    </w:p>
    <w:p w14:paraId="225A9D8B">
      <w:pPr>
        <w:shd w:val="clear"/>
        <w:spacing w:line="400" w:lineRule="exact"/>
        <w:ind w:firstLine="420"/>
        <w:rPr>
          <w:rFonts w:hint="eastAsia" w:ascii="宋体" w:hAnsi="宋体" w:eastAsia="宋体" w:cs="宋体"/>
          <w:b/>
          <w:color w:val="auto"/>
          <w:highlight w:val="none"/>
        </w:rPr>
      </w:pPr>
      <w:r>
        <w:rPr>
          <w:rFonts w:hint="eastAsia" w:ascii="宋体" w:hAnsi="宋体" w:eastAsia="宋体" w:cs="宋体"/>
          <w:b/>
          <w:color w:val="auto"/>
          <w:highlight w:val="none"/>
        </w:rPr>
        <w:t>第十五条  不可抗力事件处理</w:t>
      </w:r>
    </w:p>
    <w:p w14:paraId="16DEB08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在合同有效期内，任何一方因不可抗力事件导致不能履行合同，则合同履行期可延长，其延长期与不可抗力影响期相同。</w:t>
      </w:r>
    </w:p>
    <w:p w14:paraId="755CF03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不可抗力事件发生后，应立即通知对方，并寄送有关权威机构出具的证明。</w:t>
      </w:r>
    </w:p>
    <w:p w14:paraId="78B3C99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不可抗力事件延续</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十天以上，双方应通过友好协商，确定是否继续履行合同。</w:t>
      </w:r>
    </w:p>
    <w:p w14:paraId="47A90C0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第十六条  合同争议解决</w:t>
      </w:r>
    </w:p>
    <w:p w14:paraId="232CCDE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rPr>
        <w:t>因货物质量问题发生争议的，应邀请国家认可的质量检测机构对货物质量进行鉴定。货物符合标准的，鉴定费由甲方承担；货物不符合标准的，鉴定费由乙方承担。</w:t>
      </w:r>
    </w:p>
    <w:p w14:paraId="4D96E63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因履行本合同引起的或与本合同有关的争议，甲乙双方应首先通过友好协商解决，如果协商不能解决，可向仲裁委员会申请仲裁或向人民法院提起诉讼。</w:t>
      </w:r>
    </w:p>
    <w:p w14:paraId="76538DB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3.</w:t>
      </w:r>
      <w:r>
        <w:rPr>
          <w:rFonts w:hint="eastAsia" w:ascii="宋体" w:hAnsi="宋体" w:eastAsia="宋体" w:cs="宋体"/>
          <w:b w:val="0"/>
          <w:bCs/>
          <w:color w:val="auto"/>
          <w:szCs w:val="21"/>
          <w:highlight w:val="none"/>
        </w:rPr>
        <w:t>诉讼期间，本合同继续履行。</w:t>
      </w:r>
    </w:p>
    <w:p w14:paraId="2AA0CF22">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第十七条  合同生效及其它</w:t>
      </w:r>
    </w:p>
    <w:p w14:paraId="151F5634">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1.</w:t>
      </w:r>
      <w:r>
        <w:rPr>
          <w:rFonts w:hint="eastAsia" w:ascii="宋体" w:hAnsi="宋体" w:eastAsia="宋体" w:cs="宋体"/>
          <w:b/>
          <w:color w:val="auto"/>
          <w:highlight w:val="none"/>
        </w:rPr>
        <w:t>合同经双方法定代表人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负责人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或授权代表（委托代理人）签字并加盖单位公章后生效。</w:t>
      </w:r>
    </w:p>
    <w:p w14:paraId="3E9C56F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2.</w:t>
      </w:r>
      <w:r>
        <w:rPr>
          <w:rFonts w:hint="eastAsia" w:ascii="宋体" w:hAnsi="宋体" w:eastAsia="宋体" w:cs="宋体"/>
          <w:b/>
          <w:color w:val="auto"/>
          <w:highlight w:val="none"/>
        </w:rPr>
        <w:t>合同执行中涉及采购资金和采购内容修改或补充的，须</w:t>
      </w:r>
      <w:r>
        <w:rPr>
          <w:rFonts w:hint="eastAsia" w:ascii="宋体" w:hAnsi="宋体" w:eastAsia="宋体" w:cs="宋体"/>
          <w:b/>
          <w:color w:val="auto"/>
          <w:highlight w:val="none"/>
          <w:lang w:eastAsia="zh-CN"/>
        </w:rPr>
        <w:t>签订</w:t>
      </w:r>
      <w:r>
        <w:rPr>
          <w:rFonts w:hint="eastAsia" w:ascii="宋体" w:hAnsi="宋体" w:eastAsia="宋体" w:cs="宋体"/>
          <w:b/>
          <w:color w:val="auto"/>
          <w:highlight w:val="none"/>
        </w:rPr>
        <w:t>书面补充协议报广西壮族自治区财政厅政府采购监督管理处备案，方可作为主合同不可分割的一部分。</w:t>
      </w:r>
    </w:p>
    <w:p w14:paraId="418F8D5F">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3.</w:t>
      </w:r>
      <w:r>
        <w:rPr>
          <w:rFonts w:hint="eastAsia" w:ascii="宋体" w:hAnsi="宋体" w:eastAsia="宋体" w:cs="宋体"/>
          <w:b/>
          <w:color w:val="auto"/>
          <w:highlight w:val="none"/>
        </w:rPr>
        <w:t>本合同未尽事宜，遵照《中华人民共和国民法典》有关条文执行。</w:t>
      </w:r>
    </w:p>
    <w:p w14:paraId="29AFE533">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第十八条　 合同的变更、终止与转让</w:t>
      </w:r>
    </w:p>
    <w:p w14:paraId="2F8E17B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除《中华人民共和国政府采购法》第五十条规定的情形外，本合同一经签订，甲乙双方不得擅自变更、中止或终止。</w:t>
      </w:r>
    </w:p>
    <w:p w14:paraId="7179099D">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乙方不得擅自转让（无进口资格的供应商委托进口货物除外）其应履行的合同义务。</w:t>
      </w:r>
    </w:p>
    <w:p w14:paraId="66CB3116">
      <w:pPr>
        <w:keepNext w:val="0"/>
        <w:keepLines w:val="0"/>
        <w:pageBreakBefore w:val="0"/>
        <w:widowControl w:val="0"/>
        <w:shd w:val="clea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签订本合同依据</w:t>
      </w:r>
    </w:p>
    <w:p w14:paraId="4BCF633E">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谈判文件；</w:t>
      </w:r>
    </w:p>
    <w:p w14:paraId="238FB10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乙方提供的响应文件；</w:t>
      </w:r>
    </w:p>
    <w:p w14:paraId="63BD4D6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成交通知书</w:t>
      </w:r>
      <w:r>
        <w:rPr>
          <w:rFonts w:hint="eastAsia" w:ascii="宋体" w:hAnsi="宋体" w:eastAsia="宋体" w:cs="宋体"/>
          <w:color w:val="auto"/>
          <w:szCs w:val="21"/>
          <w:highlight w:val="none"/>
          <w:lang w:eastAsia="zh-CN"/>
        </w:rPr>
        <w:t>；</w:t>
      </w:r>
    </w:p>
    <w:p w14:paraId="6D7B3B8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.其他合同文件（招标文件、乙方提供的投标文件等）。</w:t>
      </w:r>
    </w:p>
    <w:p w14:paraId="770D37E3">
      <w:pPr>
        <w:shd w:val="clear"/>
        <w:snapToGrid/>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.上述合同文件互相补充和解释。如果合同文件之间存在矛盾或者不一致之处，以上述文件的排列顺序在先者为准，同一个文件存在矛盾或者不一致之处，以对产品及服务有更高要求或对甲方更有利为准。</w:t>
      </w:r>
    </w:p>
    <w:p w14:paraId="6C2C9054">
      <w:pPr>
        <w:shd w:val="clear"/>
        <w:snapToGrid/>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w:t>
      </w:r>
      <w:r>
        <w:rPr>
          <w:rFonts w:hint="eastAsia" w:ascii="宋体" w:hAnsi="宋体" w:eastAsia="宋体" w:cs="宋体"/>
          <w:color w:val="auto"/>
          <w:szCs w:val="21"/>
          <w:highlight w:val="none"/>
          <w:lang w:val="en-US" w:eastAsia="zh-CN"/>
        </w:rPr>
        <w:t>伍</w:t>
      </w:r>
      <w:r>
        <w:rPr>
          <w:rFonts w:hint="eastAsia" w:ascii="宋体" w:hAnsi="宋体" w:eastAsia="宋体" w:cs="宋体"/>
          <w:color w:val="auto"/>
          <w:szCs w:val="21"/>
          <w:highlight w:val="none"/>
        </w:rPr>
        <w:t>份，具有同等法律效力，采购代理机构一份，</w:t>
      </w:r>
      <w:r>
        <w:rPr>
          <w:rFonts w:hint="eastAsia" w:ascii="宋体" w:hAnsi="宋体" w:eastAsia="宋体" w:cs="宋体"/>
          <w:color w:val="auto"/>
          <w:highlight w:val="none"/>
          <w:u w:val="none"/>
        </w:rPr>
        <w:t>甲方执叁份，乙方执壹份</w:t>
      </w:r>
      <w:r>
        <w:rPr>
          <w:rFonts w:hint="eastAsia" w:ascii="宋体" w:hAnsi="宋体" w:eastAsia="宋体" w:cs="宋体"/>
          <w:color w:val="auto"/>
          <w:highlight w:val="none"/>
        </w:rPr>
        <w:t>。</w:t>
      </w:r>
      <w:r>
        <w:rPr>
          <w:rFonts w:hint="eastAsia" w:ascii="宋体" w:hAnsi="宋体" w:eastAsia="宋体" w:cs="宋体"/>
          <w:color w:val="auto"/>
          <w:szCs w:val="21"/>
          <w:highlight w:val="none"/>
        </w:rPr>
        <w:t>本合</w:t>
      </w:r>
      <w:r>
        <w:rPr>
          <w:rFonts w:hint="eastAsia" w:ascii="宋体" w:hAnsi="宋体" w:eastAsia="宋体" w:cs="宋体"/>
          <w:color w:val="auto"/>
          <w:szCs w:val="21"/>
          <w:highlight w:val="none"/>
          <w:lang w:eastAsia="zh-CN"/>
        </w:rPr>
        <w:t>同在</w:t>
      </w:r>
      <w:r>
        <w:rPr>
          <w:rFonts w:hint="eastAsia" w:ascii="宋体" w:hAnsi="宋体" w:eastAsia="宋体" w:cs="宋体"/>
          <w:color w:val="auto"/>
          <w:szCs w:val="21"/>
          <w:highlight w:val="none"/>
        </w:rPr>
        <w:t>甲乙双方签字盖章后生效。</w:t>
      </w:r>
    </w:p>
    <w:p w14:paraId="7D961842">
      <w:pPr>
        <w:shd w:val="clear"/>
        <w:snapToGrid w:val="0"/>
        <w:spacing w:line="382" w:lineRule="exact"/>
        <w:ind w:firstLine="420" w:firstLineChars="200"/>
        <w:rPr>
          <w:rFonts w:hint="eastAsia" w:ascii="宋体" w:hAnsi="宋体"/>
          <w:color w:val="auto"/>
          <w:szCs w:val="21"/>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0A9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4689" w:type="dxa"/>
            <w:noWrap w:val="0"/>
            <w:vAlign w:val="center"/>
          </w:tcPr>
          <w:p w14:paraId="7BF9B34A">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33C84DB9">
            <w:pPr>
              <w:shd w:val="clear"/>
              <w:snapToGrid w:val="0"/>
              <w:spacing w:line="400" w:lineRule="exact"/>
              <w:rPr>
                <w:rFonts w:hint="eastAsia" w:ascii="宋体" w:hAnsi="宋体"/>
                <w:color w:val="auto"/>
                <w:szCs w:val="21"/>
                <w:highlight w:val="none"/>
              </w:rPr>
            </w:pPr>
          </w:p>
          <w:p w14:paraId="5CF4F857">
            <w:pPr>
              <w:shd w:val="clear"/>
              <w:snapToGrid w:val="0"/>
              <w:spacing w:line="400" w:lineRule="exact"/>
              <w:rPr>
                <w:rFonts w:hint="eastAsia" w:ascii="宋体" w:hAnsi="宋体"/>
                <w:color w:val="auto"/>
                <w:szCs w:val="21"/>
                <w:highlight w:val="none"/>
              </w:rPr>
            </w:pPr>
          </w:p>
          <w:p w14:paraId="6626862F">
            <w:pPr>
              <w:shd w:val="clear"/>
              <w:snapToGrid w:val="0"/>
              <w:spacing w:line="400" w:lineRule="exact"/>
              <w:rPr>
                <w:rFonts w:hint="eastAsia" w:ascii="宋体" w:hAnsi="宋体"/>
                <w:color w:val="auto"/>
                <w:szCs w:val="21"/>
                <w:highlight w:val="none"/>
              </w:rPr>
            </w:pPr>
          </w:p>
          <w:p w14:paraId="4254715D">
            <w:pPr>
              <w:shd w:val="clear"/>
              <w:snapToGrid w:val="0"/>
              <w:spacing w:line="400" w:lineRule="exact"/>
              <w:rPr>
                <w:rFonts w:hint="eastAsia" w:ascii="宋体" w:hAnsi="宋体"/>
                <w:color w:val="auto"/>
                <w:szCs w:val="21"/>
                <w:highlight w:val="none"/>
              </w:rPr>
            </w:pPr>
          </w:p>
          <w:p w14:paraId="2E2F3595">
            <w:pPr>
              <w:shd w:val="clear"/>
              <w:snapToGrid w:val="0"/>
              <w:spacing w:line="40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690" w:type="dxa"/>
            <w:noWrap w:val="0"/>
            <w:vAlign w:val="center"/>
          </w:tcPr>
          <w:p w14:paraId="3B5A1CFD">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2F5526AF">
            <w:pPr>
              <w:shd w:val="clear"/>
              <w:snapToGrid w:val="0"/>
              <w:spacing w:line="400" w:lineRule="exact"/>
              <w:rPr>
                <w:rFonts w:hint="eastAsia" w:ascii="宋体" w:hAnsi="宋体"/>
                <w:color w:val="auto"/>
                <w:szCs w:val="21"/>
                <w:highlight w:val="none"/>
              </w:rPr>
            </w:pPr>
          </w:p>
          <w:p w14:paraId="3E09F7B1">
            <w:pPr>
              <w:shd w:val="clear"/>
              <w:snapToGrid w:val="0"/>
              <w:spacing w:line="400" w:lineRule="exact"/>
              <w:rPr>
                <w:rFonts w:hint="eastAsia" w:ascii="宋体" w:hAnsi="宋体"/>
                <w:color w:val="auto"/>
                <w:szCs w:val="21"/>
                <w:highlight w:val="none"/>
              </w:rPr>
            </w:pPr>
          </w:p>
          <w:p w14:paraId="5D0CF3A1">
            <w:pPr>
              <w:shd w:val="clear"/>
              <w:snapToGrid w:val="0"/>
              <w:spacing w:line="400" w:lineRule="exact"/>
              <w:rPr>
                <w:rFonts w:hint="eastAsia" w:ascii="宋体" w:hAnsi="宋体"/>
                <w:color w:val="auto"/>
                <w:szCs w:val="21"/>
                <w:highlight w:val="none"/>
              </w:rPr>
            </w:pPr>
          </w:p>
          <w:p w14:paraId="67C693B6">
            <w:pPr>
              <w:shd w:val="clear"/>
              <w:snapToGrid w:val="0"/>
              <w:spacing w:line="400" w:lineRule="exact"/>
              <w:rPr>
                <w:rFonts w:hint="eastAsia" w:ascii="宋体" w:hAnsi="宋体"/>
                <w:color w:val="auto"/>
                <w:szCs w:val="21"/>
                <w:highlight w:val="none"/>
              </w:rPr>
            </w:pPr>
          </w:p>
          <w:p w14:paraId="0B57A6E8">
            <w:pPr>
              <w:shd w:val="clear"/>
              <w:snapToGrid w:val="0"/>
              <w:spacing w:line="40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494C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4689" w:type="dxa"/>
            <w:noWrap w:val="0"/>
            <w:vAlign w:val="top"/>
          </w:tcPr>
          <w:p w14:paraId="35D3595A">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690" w:type="dxa"/>
            <w:noWrap w:val="0"/>
            <w:vAlign w:val="top"/>
          </w:tcPr>
          <w:p w14:paraId="6164BC31">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08D5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89" w:type="dxa"/>
            <w:noWrap w:val="0"/>
            <w:vAlign w:val="top"/>
          </w:tcPr>
          <w:p w14:paraId="4CFC2444">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4690" w:type="dxa"/>
            <w:noWrap w:val="0"/>
            <w:vAlign w:val="top"/>
          </w:tcPr>
          <w:p w14:paraId="23E57493">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10B6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689" w:type="dxa"/>
            <w:noWrap w:val="0"/>
            <w:vAlign w:val="top"/>
          </w:tcPr>
          <w:p w14:paraId="20D5BD3B">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690" w:type="dxa"/>
            <w:noWrap w:val="0"/>
            <w:vAlign w:val="top"/>
          </w:tcPr>
          <w:p w14:paraId="6A79D5A6">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0D35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4689" w:type="dxa"/>
            <w:noWrap w:val="0"/>
            <w:vAlign w:val="top"/>
          </w:tcPr>
          <w:p w14:paraId="3F3AF9C5">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c>
          <w:tcPr>
            <w:tcW w:w="4690" w:type="dxa"/>
            <w:noWrap w:val="0"/>
            <w:vAlign w:val="top"/>
          </w:tcPr>
          <w:p w14:paraId="73D3C7A5">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r>
      <w:tr w14:paraId="2A14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689" w:type="dxa"/>
            <w:noWrap w:val="0"/>
            <w:vAlign w:val="top"/>
          </w:tcPr>
          <w:p w14:paraId="78EC5D96">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690" w:type="dxa"/>
            <w:noWrap w:val="0"/>
            <w:vAlign w:val="top"/>
          </w:tcPr>
          <w:p w14:paraId="3B4A48A2">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1D0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89" w:type="dxa"/>
            <w:noWrap w:val="0"/>
            <w:vAlign w:val="top"/>
          </w:tcPr>
          <w:p w14:paraId="17A324C9">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690" w:type="dxa"/>
            <w:noWrap w:val="0"/>
            <w:vAlign w:val="top"/>
          </w:tcPr>
          <w:p w14:paraId="383EDEEE">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7C55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noWrap w:val="0"/>
            <w:vAlign w:val="top"/>
          </w:tcPr>
          <w:p w14:paraId="2D46456D">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c>
          <w:tcPr>
            <w:tcW w:w="4690" w:type="dxa"/>
            <w:noWrap w:val="0"/>
            <w:vAlign w:val="top"/>
          </w:tcPr>
          <w:p w14:paraId="675FE8A1">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r>
      <w:tr w14:paraId="38C9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noWrap w:val="0"/>
            <w:vAlign w:val="top"/>
          </w:tcPr>
          <w:p w14:paraId="02C75412">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690" w:type="dxa"/>
            <w:noWrap w:val="0"/>
            <w:vAlign w:val="top"/>
          </w:tcPr>
          <w:p w14:paraId="2926FEFC">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4AE2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4689" w:type="dxa"/>
            <w:noWrap w:val="0"/>
            <w:vAlign w:val="top"/>
          </w:tcPr>
          <w:p w14:paraId="6A76FC7B">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690" w:type="dxa"/>
            <w:noWrap w:val="0"/>
            <w:vAlign w:val="top"/>
          </w:tcPr>
          <w:p w14:paraId="58C85D3B">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r>
      <w:tr w14:paraId="2A6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jc w:val="center"/>
        </w:trPr>
        <w:tc>
          <w:tcPr>
            <w:tcW w:w="9379" w:type="dxa"/>
            <w:gridSpan w:val="2"/>
            <w:noWrap w:val="0"/>
            <w:vAlign w:val="top"/>
          </w:tcPr>
          <w:p w14:paraId="60696719">
            <w:pPr>
              <w:shd w:val="clear"/>
              <w:snapToGrid w:val="0"/>
              <w:spacing w:line="408" w:lineRule="auto"/>
              <w:rPr>
                <w:color w:val="auto"/>
                <w:szCs w:val="21"/>
                <w:highlight w:val="none"/>
              </w:rPr>
            </w:pPr>
            <w:r>
              <w:rPr>
                <w:rFonts w:hint="eastAsia" w:ascii="宋体" w:hAnsi="宋体"/>
                <w:color w:val="auto"/>
                <w:highlight w:val="none"/>
              </w:rPr>
              <w:t>经办人：</w:t>
            </w:r>
          </w:p>
          <w:p w14:paraId="2A97AF90">
            <w:pPr>
              <w:shd w:val="clear"/>
              <w:snapToGrid w:val="0"/>
              <w:spacing w:line="400" w:lineRule="exact"/>
              <w:jc w:val="right"/>
              <w:rPr>
                <w:rFonts w:hint="eastAsia" w:ascii="宋体" w:hAnsi="宋体"/>
                <w:color w:val="auto"/>
                <w:szCs w:val="21"/>
                <w:highlight w:val="none"/>
              </w:rPr>
            </w:pPr>
            <w:r>
              <w:rPr>
                <w:rFonts w:hint="eastAsia" w:ascii="宋体" w:hAnsi="宋体"/>
                <w:color w:val="auto"/>
                <w:highlight w:val="none"/>
              </w:rPr>
              <w:t>年    月    日</w:t>
            </w:r>
          </w:p>
        </w:tc>
      </w:tr>
    </w:tbl>
    <w:p w14:paraId="5B2F854B">
      <w:pPr>
        <w:shd w:val="clear"/>
        <w:snapToGrid w:val="0"/>
        <w:ind w:left="420" w:hanging="420" w:hangingChars="200"/>
        <w:rPr>
          <w:rFonts w:hint="eastAsia" w:ascii="宋体" w:hAnsi="宋体"/>
          <w:color w:val="auto"/>
          <w:szCs w:val="21"/>
          <w:highlight w:val="none"/>
        </w:rPr>
      </w:pPr>
    </w:p>
    <w:p w14:paraId="1D646FE3">
      <w:pPr>
        <w:shd w:val="clear"/>
        <w:snapToGrid w:val="0"/>
        <w:spacing w:line="360" w:lineRule="auto"/>
        <w:jc w:val="center"/>
        <w:rPr>
          <w:rFonts w:hint="eastAsia" w:ascii="宋体" w:hAnsi="宋体"/>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tbl>
      <w:tblPr>
        <w:tblStyle w:val="39"/>
        <w:tblW w:w="0" w:type="auto"/>
        <w:jc w:val="center"/>
        <w:tblLayout w:type="fixed"/>
        <w:tblCellMar>
          <w:top w:w="0" w:type="dxa"/>
          <w:left w:w="108" w:type="dxa"/>
          <w:bottom w:w="0" w:type="dxa"/>
          <w:right w:w="108" w:type="dxa"/>
        </w:tblCellMar>
      </w:tblPr>
      <w:tblGrid>
        <w:gridCol w:w="4420"/>
        <w:gridCol w:w="4871"/>
      </w:tblGrid>
      <w:tr w14:paraId="59F73002">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129DBE13">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1.</w:t>
            </w:r>
            <w:r>
              <w:rPr>
                <w:rFonts w:hint="eastAsia" w:ascii="宋体" w:hAnsi="宋体"/>
                <w:b/>
                <w:color w:val="auto"/>
                <w:szCs w:val="21"/>
                <w:highlight w:val="none"/>
              </w:rPr>
              <w:t>供应商承诺具体事项：详见响应文件。</w:t>
            </w:r>
          </w:p>
        </w:tc>
      </w:tr>
      <w:tr w14:paraId="6CC2FB0A">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13440EEE">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2.</w:t>
            </w:r>
            <w:r>
              <w:rPr>
                <w:rFonts w:hint="eastAsia" w:ascii="宋体" w:hAnsi="宋体"/>
                <w:b/>
                <w:color w:val="auto"/>
                <w:szCs w:val="21"/>
                <w:highlight w:val="none"/>
              </w:rPr>
              <w:t>售后服务具体事项：详见响应文件。</w:t>
            </w:r>
          </w:p>
        </w:tc>
      </w:tr>
      <w:tr w14:paraId="71EB0B37">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1DE6C1FF">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保修期责任：详见响应文件。</w:t>
            </w:r>
          </w:p>
        </w:tc>
      </w:tr>
      <w:tr w14:paraId="67AA29FA">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5254693F">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4.</w:t>
            </w:r>
            <w:r>
              <w:rPr>
                <w:rFonts w:hint="eastAsia" w:ascii="宋体" w:hAnsi="宋体"/>
                <w:b/>
                <w:color w:val="auto"/>
                <w:szCs w:val="21"/>
                <w:highlight w:val="none"/>
              </w:rPr>
              <w:t>其他具体事项：详见响应文件。</w:t>
            </w:r>
          </w:p>
        </w:tc>
      </w:tr>
      <w:tr w14:paraId="5B186628">
        <w:tblPrEx>
          <w:tblCellMar>
            <w:top w:w="0" w:type="dxa"/>
            <w:left w:w="108" w:type="dxa"/>
            <w:bottom w:w="0" w:type="dxa"/>
            <w:right w:w="108" w:type="dxa"/>
          </w:tblCellMar>
        </w:tblPrEx>
        <w:trPr>
          <w:trHeight w:val="4513" w:hRule="atLeast"/>
          <w:jc w:val="center"/>
        </w:trPr>
        <w:tc>
          <w:tcPr>
            <w:tcW w:w="4420" w:type="dxa"/>
            <w:tcBorders>
              <w:top w:val="single" w:color="auto" w:sz="4" w:space="0"/>
              <w:left w:val="single" w:color="auto" w:sz="4" w:space="0"/>
              <w:bottom w:val="single" w:color="auto" w:sz="4" w:space="0"/>
              <w:right w:val="single" w:color="auto" w:sz="4" w:space="0"/>
            </w:tcBorders>
            <w:noWrap w:val="0"/>
            <w:vAlign w:val="top"/>
          </w:tcPr>
          <w:p w14:paraId="797D9A26">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甲方（章）</w:t>
            </w:r>
          </w:p>
          <w:p w14:paraId="5D14979B">
            <w:pPr>
              <w:shd w:val="clear"/>
              <w:snapToGrid w:val="0"/>
              <w:spacing w:line="400" w:lineRule="exact"/>
              <w:ind w:firstLine="422" w:firstLineChars="200"/>
              <w:rPr>
                <w:rFonts w:hint="eastAsia" w:ascii="宋体" w:hAnsi="宋体"/>
                <w:b/>
                <w:color w:val="auto"/>
                <w:szCs w:val="21"/>
                <w:highlight w:val="none"/>
              </w:rPr>
            </w:pPr>
          </w:p>
          <w:p w14:paraId="4155FDC8">
            <w:pPr>
              <w:shd w:val="clear"/>
              <w:snapToGrid w:val="0"/>
              <w:spacing w:line="400" w:lineRule="exact"/>
              <w:ind w:firstLine="422" w:firstLineChars="200"/>
              <w:rPr>
                <w:rFonts w:hint="eastAsia" w:ascii="宋体" w:hAnsi="宋体"/>
                <w:b/>
                <w:color w:val="auto"/>
                <w:szCs w:val="21"/>
                <w:highlight w:val="none"/>
              </w:rPr>
            </w:pPr>
          </w:p>
          <w:p w14:paraId="6818BA4E">
            <w:pPr>
              <w:shd w:val="clear"/>
              <w:snapToGrid w:val="0"/>
              <w:spacing w:line="400" w:lineRule="exact"/>
              <w:ind w:firstLine="422" w:firstLineChars="200"/>
              <w:rPr>
                <w:rFonts w:hint="eastAsia" w:ascii="宋体" w:hAnsi="宋体"/>
                <w:b/>
                <w:color w:val="auto"/>
                <w:szCs w:val="21"/>
                <w:highlight w:val="none"/>
              </w:rPr>
            </w:pPr>
          </w:p>
          <w:p w14:paraId="0072C7BD">
            <w:pPr>
              <w:shd w:val="clear"/>
              <w:snapToGrid w:val="0"/>
              <w:spacing w:line="400" w:lineRule="exact"/>
              <w:ind w:firstLine="422" w:firstLineChars="200"/>
              <w:rPr>
                <w:rFonts w:hint="eastAsia" w:ascii="宋体" w:hAnsi="宋体"/>
                <w:b/>
                <w:color w:val="auto"/>
                <w:szCs w:val="21"/>
                <w:highlight w:val="none"/>
              </w:rPr>
            </w:pPr>
          </w:p>
          <w:p w14:paraId="792459AB">
            <w:pPr>
              <w:shd w:val="clear"/>
              <w:snapToGrid w:val="0"/>
              <w:spacing w:line="400" w:lineRule="exact"/>
              <w:ind w:firstLine="422" w:firstLineChars="200"/>
              <w:rPr>
                <w:rFonts w:hint="eastAsia" w:ascii="宋体" w:hAnsi="宋体"/>
                <w:b/>
                <w:color w:val="auto"/>
                <w:szCs w:val="21"/>
                <w:highlight w:val="none"/>
              </w:rPr>
            </w:pPr>
          </w:p>
          <w:p w14:paraId="1C76B15E">
            <w:pPr>
              <w:shd w:val="clear"/>
              <w:snapToGrid w:val="0"/>
              <w:spacing w:line="400" w:lineRule="exact"/>
              <w:ind w:firstLine="422" w:firstLineChars="200"/>
              <w:rPr>
                <w:rFonts w:hint="eastAsia" w:ascii="宋体" w:hAnsi="宋体"/>
                <w:b/>
                <w:color w:val="auto"/>
                <w:szCs w:val="21"/>
                <w:highlight w:val="none"/>
              </w:rPr>
            </w:pPr>
          </w:p>
          <w:p w14:paraId="15343EA9">
            <w:pPr>
              <w:shd w:val="clear"/>
              <w:snapToGrid w:val="0"/>
              <w:spacing w:line="400" w:lineRule="exact"/>
              <w:ind w:firstLine="422" w:firstLineChars="200"/>
              <w:rPr>
                <w:rFonts w:hint="eastAsia" w:ascii="宋体" w:hAnsi="宋体"/>
                <w:b/>
                <w:color w:val="auto"/>
                <w:szCs w:val="21"/>
                <w:highlight w:val="none"/>
              </w:rPr>
            </w:pPr>
          </w:p>
          <w:p w14:paraId="5FF12010">
            <w:pPr>
              <w:shd w:val="clear"/>
              <w:snapToGrid w:val="0"/>
              <w:spacing w:line="400" w:lineRule="exact"/>
              <w:ind w:firstLine="422" w:firstLineChars="200"/>
              <w:rPr>
                <w:rFonts w:hint="eastAsia" w:ascii="宋体" w:hAnsi="宋体"/>
                <w:b/>
                <w:color w:val="auto"/>
                <w:szCs w:val="21"/>
                <w:highlight w:val="none"/>
              </w:rPr>
            </w:pPr>
          </w:p>
          <w:p w14:paraId="6A63CE70">
            <w:pPr>
              <w:shd w:val="clear"/>
              <w:snapToGrid w:val="0"/>
              <w:spacing w:line="400" w:lineRule="exact"/>
              <w:ind w:firstLine="422" w:firstLineChars="200"/>
              <w:rPr>
                <w:rFonts w:hint="eastAsia" w:ascii="宋体" w:hAnsi="宋体"/>
                <w:b/>
                <w:color w:val="auto"/>
                <w:szCs w:val="21"/>
                <w:highlight w:val="none"/>
              </w:rPr>
            </w:pPr>
          </w:p>
          <w:p w14:paraId="568AE117">
            <w:pPr>
              <w:shd w:val="clea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2B1DCB48">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乙方（章）</w:t>
            </w:r>
          </w:p>
          <w:p w14:paraId="4479D48C">
            <w:pPr>
              <w:shd w:val="clear"/>
              <w:snapToGrid w:val="0"/>
              <w:spacing w:line="400" w:lineRule="exact"/>
              <w:ind w:firstLine="422" w:firstLineChars="200"/>
              <w:rPr>
                <w:rFonts w:hint="eastAsia" w:ascii="宋体" w:hAnsi="宋体"/>
                <w:b/>
                <w:color w:val="auto"/>
                <w:szCs w:val="21"/>
                <w:highlight w:val="none"/>
              </w:rPr>
            </w:pPr>
          </w:p>
          <w:p w14:paraId="44404123">
            <w:pPr>
              <w:shd w:val="clear"/>
              <w:snapToGrid w:val="0"/>
              <w:spacing w:line="400" w:lineRule="exact"/>
              <w:ind w:firstLine="422" w:firstLineChars="200"/>
              <w:rPr>
                <w:rFonts w:hint="eastAsia" w:ascii="宋体" w:hAnsi="宋体"/>
                <w:b/>
                <w:color w:val="auto"/>
                <w:szCs w:val="21"/>
                <w:highlight w:val="none"/>
              </w:rPr>
            </w:pPr>
          </w:p>
          <w:p w14:paraId="38C97184">
            <w:pPr>
              <w:shd w:val="clear"/>
              <w:snapToGrid w:val="0"/>
              <w:spacing w:line="400" w:lineRule="exact"/>
              <w:ind w:firstLine="422" w:firstLineChars="200"/>
              <w:rPr>
                <w:rFonts w:hint="eastAsia" w:ascii="宋体" w:hAnsi="宋体"/>
                <w:b/>
                <w:color w:val="auto"/>
                <w:szCs w:val="21"/>
                <w:highlight w:val="none"/>
              </w:rPr>
            </w:pPr>
          </w:p>
          <w:p w14:paraId="10F2741A">
            <w:pPr>
              <w:shd w:val="clear"/>
              <w:snapToGrid w:val="0"/>
              <w:spacing w:line="400" w:lineRule="exact"/>
              <w:ind w:firstLine="422" w:firstLineChars="200"/>
              <w:rPr>
                <w:rFonts w:hint="eastAsia" w:ascii="宋体" w:hAnsi="宋体"/>
                <w:b/>
                <w:color w:val="auto"/>
                <w:szCs w:val="21"/>
                <w:highlight w:val="none"/>
              </w:rPr>
            </w:pPr>
          </w:p>
          <w:p w14:paraId="45A518C5">
            <w:pPr>
              <w:shd w:val="clear"/>
              <w:snapToGrid w:val="0"/>
              <w:spacing w:line="400" w:lineRule="exact"/>
              <w:ind w:firstLine="422" w:firstLineChars="200"/>
              <w:rPr>
                <w:rFonts w:hint="eastAsia" w:ascii="宋体" w:hAnsi="宋体"/>
                <w:b/>
                <w:color w:val="auto"/>
                <w:szCs w:val="21"/>
                <w:highlight w:val="none"/>
              </w:rPr>
            </w:pPr>
          </w:p>
          <w:p w14:paraId="14F406AD">
            <w:pPr>
              <w:shd w:val="clear"/>
              <w:snapToGrid w:val="0"/>
              <w:spacing w:line="400" w:lineRule="exact"/>
              <w:ind w:firstLine="422" w:firstLineChars="200"/>
              <w:rPr>
                <w:rFonts w:hint="eastAsia" w:ascii="宋体" w:hAnsi="宋体"/>
                <w:b/>
                <w:color w:val="auto"/>
                <w:szCs w:val="21"/>
                <w:highlight w:val="none"/>
              </w:rPr>
            </w:pPr>
          </w:p>
          <w:p w14:paraId="3C86FBAE">
            <w:pPr>
              <w:shd w:val="clear"/>
              <w:snapToGrid w:val="0"/>
              <w:spacing w:line="400" w:lineRule="exact"/>
              <w:ind w:firstLine="422" w:firstLineChars="200"/>
              <w:rPr>
                <w:rFonts w:hint="eastAsia" w:ascii="宋体" w:hAnsi="宋体"/>
                <w:b/>
                <w:color w:val="auto"/>
                <w:szCs w:val="21"/>
                <w:highlight w:val="none"/>
              </w:rPr>
            </w:pPr>
          </w:p>
          <w:p w14:paraId="113C3353">
            <w:pPr>
              <w:shd w:val="clear"/>
              <w:snapToGrid w:val="0"/>
              <w:spacing w:line="400" w:lineRule="exact"/>
              <w:ind w:firstLine="422" w:firstLineChars="200"/>
              <w:rPr>
                <w:rFonts w:hint="eastAsia" w:ascii="宋体" w:hAnsi="宋体"/>
                <w:b/>
                <w:color w:val="auto"/>
                <w:szCs w:val="21"/>
                <w:highlight w:val="none"/>
              </w:rPr>
            </w:pPr>
          </w:p>
          <w:p w14:paraId="13B3F056">
            <w:pPr>
              <w:shd w:val="clear"/>
              <w:snapToGrid w:val="0"/>
              <w:spacing w:line="400" w:lineRule="exact"/>
              <w:ind w:firstLine="422" w:firstLineChars="200"/>
              <w:rPr>
                <w:rFonts w:hint="eastAsia" w:ascii="宋体" w:hAnsi="宋体"/>
                <w:b/>
                <w:color w:val="auto"/>
                <w:szCs w:val="21"/>
                <w:highlight w:val="none"/>
              </w:rPr>
            </w:pPr>
          </w:p>
          <w:p w14:paraId="44187A14">
            <w:pPr>
              <w:shd w:val="clea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52531BAE">
      <w:pPr>
        <w:pStyle w:val="35"/>
        <w:shd w:val="clear"/>
        <w:rPr>
          <w:color w:val="auto"/>
          <w:highlight w:val="none"/>
        </w:rPr>
      </w:pPr>
      <w:r>
        <w:rPr>
          <w:rFonts w:hint="eastAsia" w:ascii="宋体" w:hAnsi="宋体"/>
          <w:color w:val="auto"/>
          <w:szCs w:val="21"/>
          <w:highlight w:val="none"/>
        </w:rPr>
        <w:t xml:space="preserve">   注：售后服务事项填不下时可另加附页</w:t>
      </w:r>
      <w:r>
        <w:rPr>
          <w:color w:val="auto"/>
          <w:highlight w:val="none"/>
        </w:rPr>
        <w:br w:type="page"/>
      </w:r>
      <w:bookmarkStart w:id="91" w:name="_Toc476258761"/>
      <w:bookmarkStart w:id="92" w:name="_Toc476258673"/>
    </w:p>
    <w:p w14:paraId="3256A62A">
      <w:pPr>
        <w:pStyle w:val="35"/>
        <w:shd w:val="clear"/>
        <w:rPr>
          <w:color w:val="auto"/>
          <w:highlight w:val="none"/>
        </w:rPr>
      </w:pPr>
    </w:p>
    <w:p w14:paraId="69F6D1BA">
      <w:pPr>
        <w:pStyle w:val="35"/>
        <w:shd w:val="clear"/>
        <w:rPr>
          <w:color w:val="auto"/>
          <w:highlight w:val="none"/>
        </w:rPr>
      </w:pPr>
    </w:p>
    <w:p w14:paraId="2C0917C8">
      <w:pPr>
        <w:pStyle w:val="35"/>
        <w:shd w:val="clear"/>
        <w:rPr>
          <w:color w:val="auto"/>
          <w:highlight w:val="none"/>
        </w:rPr>
      </w:pPr>
    </w:p>
    <w:p w14:paraId="1F19CAA8">
      <w:pPr>
        <w:pStyle w:val="35"/>
        <w:shd w:val="clear"/>
        <w:rPr>
          <w:color w:val="auto"/>
          <w:highlight w:val="none"/>
        </w:rPr>
      </w:pPr>
    </w:p>
    <w:p w14:paraId="4B71F61B">
      <w:pPr>
        <w:pStyle w:val="35"/>
        <w:shd w:val="clear"/>
        <w:rPr>
          <w:rFonts w:hint="eastAsia" w:eastAsia="宋体" w:cs="Times New Roman"/>
          <w:b/>
          <w:bCs/>
          <w:color w:val="auto"/>
          <w:sz w:val="44"/>
          <w:szCs w:val="44"/>
          <w:highlight w:val="none"/>
        </w:rPr>
      </w:pPr>
      <w:r>
        <w:rPr>
          <w:rFonts w:hint="eastAsia" w:eastAsia="宋体" w:cs="Times New Roman"/>
          <w:b/>
          <w:bCs/>
          <w:color w:val="auto"/>
          <w:sz w:val="44"/>
          <w:szCs w:val="44"/>
          <w:highlight w:val="none"/>
        </w:rPr>
        <w:t>第六章  评定标准</w:t>
      </w:r>
      <w:bookmarkEnd w:id="91"/>
      <w:bookmarkEnd w:id="92"/>
    </w:p>
    <w:p w14:paraId="46F7C7A9">
      <w:pPr>
        <w:pStyle w:val="21"/>
        <w:shd w:val="clear"/>
        <w:spacing w:line="440" w:lineRule="exact"/>
        <w:rPr>
          <w:rFonts w:hint="eastAsia" w:ascii="黑体" w:hAnsi="宋体" w:eastAsia="黑体"/>
          <w:b/>
          <w:color w:val="auto"/>
          <w:kern w:val="0"/>
          <w:sz w:val="32"/>
          <w:szCs w:val="32"/>
          <w:highlight w:val="none"/>
        </w:rPr>
      </w:pPr>
    </w:p>
    <w:p w14:paraId="2933E698">
      <w:pPr>
        <w:pStyle w:val="21"/>
        <w:shd w:val="clear"/>
        <w:spacing w:line="440" w:lineRule="exact"/>
        <w:rPr>
          <w:rFonts w:hint="eastAsia" w:ascii="黑体" w:hAnsi="宋体" w:eastAsia="黑体"/>
          <w:b/>
          <w:color w:val="auto"/>
          <w:kern w:val="0"/>
          <w:sz w:val="32"/>
          <w:szCs w:val="32"/>
          <w:highlight w:val="none"/>
        </w:rPr>
      </w:pPr>
    </w:p>
    <w:p w14:paraId="1DC5E1A8">
      <w:pPr>
        <w:pStyle w:val="21"/>
        <w:shd w:val="clear"/>
        <w:spacing w:line="440" w:lineRule="exact"/>
        <w:rPr>
          <w:rFonts w:hint="eastAsia" w:ascii="黑体" w:hAnsi="宋体" w:eastAsia="黑体"/>
          <w:b/>
          <w:color w:val="auto"/>
          <w:kern w:val="0"/>
          <w:sz w:val="32"/>
          <w:szCs w:val="32"/>
          <w:highlight w:val="none"/>
        </w:rPr>
      </w:pPr>
    </w:p>
    <w:p w14:paraId="685A8608">
      <w:pPr>
        <w:pStyle w:val="21"/>
        <w:shd w:val="clear"/>
        <w:spacing w:line="440" w:lineRule="exact"/>
        <w:rPr>
          <w:rFonts w:hint="eastAsia" w:ascii="黑体" w:hAnsi="宋体" w:eastAsia="黑体"/>
          <w:b/>
          <w:color w:val="auto"/>
          <w:kern w:val="0"/>
          <w:sz w:val="32"/>
          <w:szCs w:val="32"/>
          <w:highlight w:val="none"/>
        </w:rPr>
      </w:pPr>
    </w:p>
    <w:p w14:paraId="374BF354">
      <w:pPr>
        <w:pStyle w:val="21"/>
        <w:shd w:val="clear"/>
        <w:spacing w:line="440" w:lineRule="exact"/>
        <w:rPr>
          <w:rFonts w:hint="eastAsia" w:ascii="黑体" w:hAnsi="宋体" w:eastAsia="黑体"/>
          <w:b/>
          <w:color w:val="auto"/>
          <w:kern w:val="0"/>
          <w:sz w:val="32"/>
          <w:szCs w:val="32"/>
          <w:highlight w:val="none"/>
        </w:rPr>
      </w:pPr>
    </w:p>
    <w:p w14:paraId="60561489">
      <w:pPr>
        <w:pStyle w:val="21"/>
        <w:shd w:val="clear"/>
        <w:spacing w:line="440" w:lineRule="exact"/>
        <w:rPr>
          <w:rFonts w:hint="eastAsia" w:ascii="黑体" w:hAnsi="宋体" w:eastAsia="黑体"/>
          <w:b/>
          <w:color w:val="auto"/>
          <w:kern w:val="0"/>
          <w:sz w:val="32"/>
          <w:szCs w:val="32"/>
          <w:highlight w:val="none"/>
        </w:rPr>
      </w:pPr>
    </w:p>
    <w:p w14:paraId="26842816">
      <w:pPr>
        <w:pStyle w:val="21"/>
        <w:shd w:val="clear"/>
        <w:spacing w:line="440" w:lineRule="exact"/>
        <w:rPr>
          <w:rFonts w:hint="eastAsia" w:ascii="黑体" w:hAnsi="宋体" w:eastAsia="黑体"/>
          <w:b/>
          <w:color w:val="auto"/>
          <w:kern w:val="0"/>
          <w:sz w:val="32"/>
          <w:szCs w:val="32"/>
          <w:highlight w:val="none"/>
        </w:rPr>
      </w:pPr>
    </w:p>
    <w:p w14:paraId="504DF602">
      <w:pPr>
        <w:pStyle w:val="21"/>
        <w:shd w:val="clear"/>
        <w:spacing w:line="440" w:lineRule="exact"/>
        <w:rPr>
          <w:rFonts w:hint="eastAsia" w:ascii="黑体" w:hAnsi="宋体" w:eastAsia="黑体"/>
          <w:b/>
          <w:color w:val="auto"/>
          <w:kern w:val="0"/>
          <w:sz w:val="32"/>
          <w:szCs w:val="32"/>
          <w:highlight w:val="none"/>
        </w:rPr>
      </w:pPr>
    </w:p>
    <w:p w14:paraId="7C42A6F1">
      <w:pPr>
        <w:pStyle w:val="21"/>
        <w:shd w:val="clear"/>
        <w:spacing w:line="440" w:lineRule="exact"/>
        <w:rPr>
          <w:rFonts w:hint="eastAsia" w:ascii="黑体" w:hAnsi="宋体" w:eastAsia="黑体"/>
          <w:b/>
          <w:color w:val="auto"/>
          <w:kern w:val="0"/>
          <w:sz w:val="32"/>
          <w:szCs w:val="32"/>
          <w:highlight w:val="none"/>
        </w:rPr>
      </w:pPr>
    </w:p>
    <w:p w14:paraId="64C98C47">
      <w:pPr>
        <w:pStyle w:val="21"/>
        <w:shd w:val="clear"/>
        <w:spacing w:line="440" w:lineRule="exact"/>
        <w:rPr>
          <w:rFonts w:hint="eastAsia" w:ascii="黑体" w:hAnsi="宋体" w:eastAsia="黑体"/>
          <w:b/>
          <w:color w:val="auto"/>
          <w:kern w:val="0"/>
          <w:sz w:val="32"/>
          <w:szCs w:val="32"/>
          <w:highlight w:val="none"/>
        </w:rPr>
      </w:pPr>
    </w:p>
    <w:p w14:paraId="21DAA2D3">
      <w:pPr>
        <w:pStyle w:val="21"/>
        <w:shd w:val="clear"/>
        <w:spacing w:line="440" w:lineRule="exact"/>
        <w:rPr>
          <w:rFonts w:hint="eastAsia" w:hAnsi="宋体"/>
          <w:b/>
          <w:color w:val="auto"/>
          <w:kern w:val="0"/>
          <w:highlight w:val="none"/>
        </w:rPr>
      </w:pPr>
    </w:p>
    <w:p w14:paraId="16D2DFD5">
      <w:pPr>
        <w:pStyle w:val="21"/>
        <w:shd w:val="clear"/>
        <w:spacing w:line="720" w:lineRule="auto"/>
        <w:jc w:val="center"/>
        <w:rPr>
          <w:rFonts w:hint="eastAsia" w:ascii="仿宋_GB2312" w:hAnsi="宋体" w:eastAsia="仿宋_GB2312"/>
          <w:color w:val="auto"/>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评定标准</w:t>
      </w:r>
    </w:p>
    <w:p w14:paraId="6D0767B7">
      <w:pPr>
        <w:pStyle w:val="21"/>
        <w:shd w:val="clear"/>
        <w:spacing w:line="380" w:lineRule="exact"/>
        <w:rPr>
          <w:rFonts w:hint="eastAsia" w:ascii="仿宋_GB2312" w:hAnsi="宋体" w:eastAsia="仿宋_GB2312"/>
          <w:color w:val="auto"/>
          <w:highlight w:val="none"/>
        </w:rPr>
      </w:pPr>
      <w:r>
        <w:rPr>
          <w:rFonts w:hint="eastAsia" w:hAnsi="宋体"/>
          <w:b/>
          <w:color w:val="auto"/>
          <w:highlight w:val="none"/>
        </w:rPr>
        <w:t>一、评审原则</w:t>
      </w:r>
    </w:p>
    <w:p w14:paraId="3A3E6255">
      <w:pPr>
        <w:pStyle w:val="21"/>
        <w:shd w:val="clear"/>
        <w:spacing w:line="380" w:lineRule="exact"/>
        <w:rPr>
          <w:rFonts w:hint="eastAsia" w:ascii="Times New Roman" w:hAnsi="Times New Roman" w:cs="Times New Roman"/>
          <w:color w:val="auto"/>
          <w:highlight w:val="none"/>
        </w:rPr>
      </w:pPr>
      <w:r>
        <w:rPr>
          <w:rFonts w:hint="eastAsia" w:ascii="仿宋_GB2312" w:hAnsi="宋体" w:eastAsia="仿宋_GB2312"/>
          <w:color w:val="auto"/>
          <w:highlight w:val="none"/>
        </w:rPr>
        <w:t xml:space="preserve">    </w:t>
      </w:r>
      <w:r>
        <w:rPr>
          <w:rFonts w:hint="eastAsia" w:ascii="Times New Roman" w:hAnsi="Times New Roman" w:cs="Times New Roman"/>
          <w:color w:val="auto"/>
          <w:highlight w:val="none"/>
        </w:rPr>
        <w:t>（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73A7845A">
      <w:pPr>
        <w:pStyle w:val="21"/>
        <w:shd w:val="clear"/>
        <w:spacing w:line="380" w:lineRule="exact"/>
        <w:rPr>
          <w:rFonts w:hint="eastAsia" w:ascii="Times New Roman" w:hAnsi="Times New Roman" w:cs="Times New Roman"/>
          <w:bCs/>
          <w:color w:val="auto"/>
          <w:highlight w:val="none"/>
        </w:rPr>
      </w:pPr>
      <w:r>
        <w:rPr>
          <w:rFonts w:hint="eastAsia" w:ascii="Times New Roman" w:hAnsi="Times New Roman" w:cs="Times New Roman"/>
          <w:color w:val="auto"/>
          <w:highlight w:val="none"/>
        </w:rPr>
        <w:t xml:space="preserve">    （二）评审依据：以竞争性谈判文件和竞争性</w:t>
      </w:r>
      <w:r>
        <w:rPr>
          <w:rFonts w:hint="eastAsia" w:ascii="Times New Roman" w:hAnsi="Times New Roman" w:cs="Times New Roman"/>
          <w:bCs/>
          <w:color w:val="auto"/>
          <w:highlight w:val="none"/>
        </w:rPr>
        <w:t>谈判响应文件为依据</w:t>
      </w:r>
      <w:r>
        <w:rPr>
          <w:rFonts w:hint="eastAsia"/>
          <w:bCs/>
          <w:color w:val="auto"/>
          <w:highlight w:val="none"/>
        </w:rPr>
        <w:t>。</w:t>
      </w:r>
    </w:p>
    <w:p w14:paraId="227BEBDC">
      <w:pPr>
        <w:pStyle w:val="21"/>
        <w:shd w:val="clear"/>
        <w:spacing w:line="380" w:lineRule="exact"/>
        <w:rPr>
          <w:rFonts w:hint="eastAsia" w:hAnsi="宋体"/>
          <w:b/>
          <w:bCs/>
          <w:color w:val="auto"/>
          <w:highlight w:val="none"/>
        </w:rPr>
      </w:pPr>
      <w:r>
        <w:rPr>
          <w:rFonts w:hint="eastAsia" w:hAnsi="宋体"/>
          <w:b/>
          <w:bCs/>
          <w:color w:val="auto"/>
          <w:highlight w:val="none"/>
        </w:rPr>
        <w:t>二、评标方法</w:t>
      </w:r>
    </w:p>
    <w:p w14:paraId="0716E557">
      <w:pPr>
        <w:pStyle w:val="21"/>
        <w:shd w:val="clear"/>
        <w:spacing w:line="380" w:lineRule="exact"/>
        <w:rPr>
          <w:rFonts w:hint="eastAsia" w:ascii="宋体" w:hAnsi="宋体" w:eastAsia="宋体" w:cs="宋体"/>
          <w:color w:val="auto"/>
          <w:kern w:val="0"/>
          <w:highlight w:val="none"/>
        </w:rPr>
      </w:pPr>
      <w:r>
        <w:rPr>
          <w:rFonts w:hint="eastAsia" w:ascii="宋体" w:hAnsi="宋体" w:eastAsia="宋体" w:cs="宋体"/>
          <w:b/>
          <w:bCs/>
          <w:color w:val="auto"/>
          <w:highlight w:val="none"/>
        </w:rPr>
        <w:t xml:space="preserve">    </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1）</w:t>
      </w:r>
      <w:r>
        <w:rPr>
          <w:rFonts w:hint="eastAsia" w:ascii="宋体" w:hAnsi="宋体" w:eastAsia="宋体" w:cs="宋体"/>
          <w:color w:val="auto"/>
          <w:kern w:val="0"/>
          <w:highlight w:val="none"/>
        </w:rPr>
        <w:t>对资格性和符合性检查合格的竞争性谈判响应文件，采用</w:t>
      </w:r>
      <w:r>
        <w:rPr>
          <w:rFonts w:hint="eastAsia" w:ascii="宋体" w:hAnsi="宋体" w:eastAsia="宋体" w:cs="宋体"/>
          <w:b/>
          <w:color w:val="auto"/>
          <w:kern w:val="0"/>
          <w:highlight w:val="none"/>
        </w:rPr>
        <w:t>最低评标价法</w:t>
      </w:r>
      <w:r>
        <w:rPr>
          <w:rFonts w:hint="eastAsia" w:ascii="宋体" w:hAnsi="宋体" w:eastAsia="宋体" w:cs="宋体"/>
          <w:color w:val="auto"/>
          <w:kern w:val="0"/>
          <w:highlight w:val="none"/>
        </w:rPr>
        <w:t>进行评审。</w:t>
      </w:r>
    </w:p>
    <w:p w14:paraId="558EAEFB">
      <w:pPr>
        <w:pStyle w:val="21"/>
        <w:shd w:val="clear"/>
        <w:spacing w:line="38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谈判小组将以</w:t>
      </w:r>
      <w:r>
        <w:rPr>
          <w:rFonts w:hint="eastAsia" w:ascii="宋体" w:hAnsi="宋体" w:eastAsia="宋体" w:cs="宋体"/>
          <w:color w:val="auto"/>
          <w:highlight w:val="none"/>
        </w:rPr>
        <w:t>竞争性</w:t>
      </w:r>
      <w:r>
        <w:rPr>
          <w:rFonts w:hint="eastAsia" w:ascii="宋体" w:hAnsi="宋体" w:eastAsia="宋体" w:cs="宋体"/>
          <w:color w:val="auto"/>
          <w:kern w:val="0"/>
          <w:highlight w:val="none"/>
        </w:rPr>
        <w:t>谈判文件、竞争性谈判响应文件为评审依据，在质量和服务均能满足</w:t>
      </w:r>
      <w:r>
        <w:rPr>
          <w:rFonts w:hint="eastAsia" w:ascii="宋体" w:hAnsi="宋体" w:eastAsia="宋体" w:cs="宋体"/>
          <w:color w:val="auto"/>
          <w:highlight w:val="none"/>
        </w:rPr>
        <w:t>竞争性</w:t>
      </w:r>
      <w:r>
        <w:rPr>
          <w:rFonts w:hint="eastAsia" w:ascii="宋体" w:hAnsi="宋体" w:eastAsia="宋体" w:cs="宋体"/>
          <w:color w:val="auto"/>
          <w:kern w:val="0"/>
          <w:highlight w:val="none"/>
        </w:rPr>
        <w:t>谈判文件实质性响应要求的供应商中，以提出最后报价（价格扣除后）最低的供应商作为成交供应商。该价格扣除后的报价仅用于评审排序，不作为合同签订价，合同按谈判供应商实际提出的最后报价签订。</w:t>
      </w:r>
    </w:p>
    <w:p w14:paraId="0B85A0BE">
      <w:pPr>
        <w:pStyle w:val="21"/>
        <w:shd w:val="clear"/>
        <w:spacing w:line="380" w:lineRule="exact"/>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    </w:t>
      </w:r>
      <w:r>
        <w:rPr>
          <w:rFonts w:hint="eastAsia" w:ascii="宋体" w:hAnsi="宋体" w:eastAsia="宋体" w:cs="宋体"/>
          <w:color w:val="auto"/>
          <w:kern w:val="0"/>
          <w:highlight w:val="none"/>
          <w:lang w:eastAsia="zh-CN"/>
        </w:rPr>
        <w:t>（3）</w:t>
      </w:r>
      <w:r>
        <w:rPr>
          <w:rFonts w:hint="eastAsia" w:ascii="宋体" w:hAnsi="宋体" w:eastAsia="宋体" w:cs="宋体"/>
          <w:color w:val="auto"/>
          <w:highlight w:val="none"/>
        </w:rPr>
        <w:t>符合《政府采购促进中小企业发展管理办法》（财库﹝2020﹞46 号）规定情形且</w:t>
      </w:r>
      <w:r>
        <w:rPr>
          <w:rFonts w:hint="eastAsia" w:ascii="宋体" w:hAnsi="宋体" w:eastAsia="宋体" w:cs="宋体"/>
          <w:bCs/>
          <w:color w:val="auto"/>
          <w:highlight w:val="none"/>
        </w:rPr>
        <w:t>按该办法中规定的格式提供了《中小企业声明函》的小型和微型企业</w:t>
      </w:r>
      <w:r>
        <w:rPr>
          <w:rFonts w:hint="eastAsia" w:ascii="宋体" w:hAnsi="宋体" w:eastAsia="宋体" w:cs="宋体"/>
          <w:color w:val="auto"/>
          <w:highlight w:val="none"/>
        </w:rPr>
        <w:t>，对其</w:t>
      </w:r>
      <w:r>
        <w:rPr>
          <w:rFonts w:hint="eastAsia" w:ascii="宋体" w:hAnsi="宋体" w:eastAsia="宋体" w:cs="宋体"/>
          <w:b/>
          <w:color w:val="auto"/>
          <w:highlight w:val="none"/>
        </w:rPr>
        <w:t>最后报价</w:t>
      </w:r>
      <w:r>
        <w:rPr>
          <w:rFonts w:hint="eastAsia" w:ascii="宋体" w:hAnsi="宋体" w:eastAsia="宋体" w:cs="宋体"/>
          <w:color w:val="auto"/>
          <w:highlight w:val="none"/>
        </w:rPr>
        <w:t>给予10%的扣除。</w:t>
      </w:r>
    </w:p>
    <w:p w14:paraId="6BC22A7D">
      <w:pPr>
        <w:pStyle w:val="21"/>
        <w:shd w:val="clear"/>
        <w:spacing w:line="3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按照《关于政府采购支持监狱企业发展有关问题的通知》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财库〔2014〕68号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认定为监狱企业的，在政府采购活动中，监狱企业视同小型、微型企业。监狱企业参加政府采购活动时，应当提供由省级以上监狱管理局、戒毒管理局</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含新疆生产建设兵团</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出具的属于监狱企业的证明文件。</w:t>
      </w:r>
    </w:p>
    <w:p w14:paraId="467B9373">
      <w:pPr>
        <w:pStyle w:val="21"/>
        <w:shd w:val="clear"/>
        <w:spacing w:line="3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符合《关于促进残疾人就业政府采购政策的通知》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财库〔2017〕141号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43C4729A">
      <w:pPr>
        <w:keepNext w:val="0"/>
        <w:keepLines w:val="0"/>
        <w:pageBreakBefore w:val="0"/>
        <w:shd w:val="clear"/>
        <w:kinsoku/>
        <w:wordWrap/>
        <w:overflowPunct/>
        <w:topLinePunct w:val="0"/>
        <w:autoSpaceDE/>
        <w:autoSpaceDN/>
        <w:bidi w:val="0"/>
        <w:snapToGrid w:val="0"/>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lang w:val="en-US" w:eastAsia="zh-CN"/>
        </w:rPr>
        <w:t>（6）</w:t>
      </w:r>
      <w:r>
        <w:rPr>
          <w:rFonts w:hint="eastAsia" w:ascii="宋体" w:hAnsi="宋体" w:eastAsia="宋体" w:cs="宋体"/>
          <w:b w:val="0"/>
          <w:bCs w:val="0"/>
          <w:color w:val="auto"/>
          <w:sz w:val="21"/>
          <w:szCs w:val="21"/>
          <w:highlight w:val="none"/>
        </w:rPr>
        <w:t>根据《国务院办公厅关于在政府采购中实施本国产品标准及相关政策的通知》（国办发〔2025〕34号）的规定，供应商对其提供的产品出具符合要求的《关于符合本国产品标准的声明函》</w:t>
      </w:r>
      <w:r>
        <w:rPr>
          <w:rFonts w:hint="eastAsia" w:ascii="宋体" w:hAnsi="宋体" w:eastAsia="宋体" w:cs="宋体"/>
          <w:b w:val="0"/>
          <w:bCs w:val="0"/>
          <w:color w:val="auto"/>
          <w:sz w:val="21"/>
          <w:szCs w:val="21"/>
          <w:highlight w:val="none"/>
          <w:lang w:eastAsia="zh-CN"/>
        </w:rPr>
        <w:t>，该产品视为本国产品。</w:t>
      </w:r>
      <w:r>
        <w:rPr>
          <w:rFonts w:hint="eastAsia" w:ascii="宋体" w:hAnsi="宋体" w:eastAsia="宋体" w:cs="宋体"/>
          <w:b w:val="0"/>
          <w:bCs w:val="0"/>
          <w:color w:val="auto"/>
          <w:sz w:val="21"/>
          <w:szCs w:val="21"/>
          <w:highlight w:val="no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BA65A46">
      <w:pPr>
        <w:keepNext w:val="0"/>
        <w:keepLines w:val="0"/>
        <w:pageBreakBefore w:val="0"/>
        <w:shd w:val="clear"/>
        <w:kinsoku/>
        <w:wordWrap/>
        <w:overflowPunct/>
        <w:topLinePunct w:val="0"/>
        <w:autoSpaceDE/>
        <w:autoSpaceDN/>
        <w:bidi w:val="0"/>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注：本国产品价格扣除政策与中小企业、监狱企业、残疾人福利性单位价格扣除政策可重复享受。</w:t>
      </w:r>
    </w:p>
    <w:p w14:paraId="2E0002AF">
      <w:pPr>
        <w:pStyle w:val="31"/>
        <w:keepNext w:val="0"/>
        <w:keepLines w:val="0"/>
        <w:pageBreakBefore w:val="0"/>
        <w:shd w:val="clear"/>
        <w:kinsoku/>
        <w:wordWrap/>
        <w:overflowPunct/>
        <w:topLinePunct w:val="0"/>
        <w:autoSpaceDE/>
        <w:autoSpaceDN/>
        <w:bidi w:val="0"/>
        <w:spacing w:line="400" w:lineRule="exact"/>
        <w:ind w:left="0"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异常低价审查</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 w:val="21"/>
          <w:szCs w:val="21"/>
          <w:highlight w:val="none"/>
          <w:lang w:val="en-US" w:eastAsia="zh-CN"/>
        </w:rPr>
        <w:t>具体详见第二章《谈判供应商须知》内容</w:t>
      </w:r>
      <w:r>
        <w:rPr>
          <w:rFonts w:hint="eastAsia" w:ascii="宋体" w:hAnsi="宋体" w:eastAsia="宋体" w:cs="宋体"/>
          <w:bCs/>
          <w:color w:val="auto"/>
          <w:sz w:val="21"/>
          <w:szCs w:val="21"/>
          <w:highlight w:val="none"/>
          <w:lang w:eastAsia="zh-CN"/>
        </w:rPr>
        <w:t>。</w:t>
      </w:r>
    </w:p>
    <w:p w14:paraId="0A3A073F">
      <w:pPr>
        <w:pStyle w:val="21"/>
        <w:shd w:val="clear"/>
        <w:spacing w:line="380" w:lineRule="exact"/>
        <w:rPr>
          <w:rFonts w:hint="eastAsia"/>
          <w:b/>
          <w:color w:val="auto"/>
          <w:highlight w:val="none"/>
        </w:rPr>
      </w:pPr>
      <w:r>
        <w:rPr>
          <w:rFonts w:hint="eastAsia"/>
          <w:b/>
          <w:color w:val="auto"/>
          <w:highlight w:val="none"/>
        </w:rPr>
        <w:t>三、成交候选人推荐原则</w:t>
      </w:r>
    </w:p>
    <w:p w14:paraId="4E224BC1">
      <w:pPr>
        <w:pStyle w:val="21"/>
        <w:shd w:val="clear"/>
        <w:spacing w:line="380" w:lineRule="exact"/>
        <w:rPr>
          <w:rFonts w:hint="eastAsia" w:ascii="宋体" w:hAnsi="宋体" w:eastAsia="宋体" w:cs="宋体"/>
          <w:bCs/>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（一）竞争性谈判响应文件在</w:t>
      </w:r>
      <w:r>
        <w:rPr>
          <w:rFonts w:hint="eastAsia" w:ascii="宋体" w:hAnsi="宋体" w:eastAsia="宋体" w:cs="宋体"/>
          <w:color w:val="auto"/>
          <w:kern w:val="0"/>
          <w:highlight w:val="none"/>
        </w:rPr>
        <w:t>质量和服务均能满足</w:t>
      </w:r>
      <w:r>
        <w:rPr>
          <w:rFonts w:hint="eastAsia" w:ascii="宋体" w:hAnsi="宋体" w:eastAsia="宋体" w:cs="宋体"/>
          <w:color w:val="auto"/>
          <w:highlight w:val="none"/>
        </w:rPr>
        <w:t>竞争性</w:t>
      </w:r>
      <w:r>
        <w:rPr>
          <w:rFonts w:hint="eastAsia" w:ascii="宋体" w:hAnsi="宋体" w:eastAsia="宋体" w:cs="宋体"/>
          <w:color w:val="auto"/>
          <w:kern w:val="0"/>
          <w:highlight w:val="none"/>
        </w:rPr>
        <w:t>谈判文件实质性响应要求时</w:t>
      </w:r>
      <w:r>
        <w:rPr>
          <w:rFonts w:hint="eastAsia" w:ascii="宋体" w:hAnsi="宋体" w:eastAsia="宋体" w:cs="宋体"/>
          <w:bCs/>
          <w:color w:val="auto"/>
          <w:highlight w:val="none"/>
        </w:rPr>
        <w:t>，谈判小组将按最后报价（价格扣除后）由低到高顺序推荐3名以上成交候选人（最后报价相同时，</w:t>
      </w:r>
      <w:r>
        <w:rPr>
          <w:rFonts w:hint="eastAsia" w:ascii="宋体" w:hAnsi="宋体" w:eastAsia="宋体" w:cs="宋体"/>
          <w:color w:val="auto"/>
          <w:highlight w:val="none"/>
        </w:rPr>
        <w:t>依次按节能环保和自主创新产品优先、技术指标高优先、质量保证期长优先、交货时间短优先、故障响应时间短优先的顺序排列</w:t>
      </w:r>
      <w:r>
        <w:rPr>
          <w:rFonts w:hint="eastAsia" w:ascii="宋体" w:hAnsi="宋体" w:eastAsia="宋体" w:cs="宋体"/>
          <w:bCs/>
          <w:color w:val="auto"/>
          <w:highlight w:val="none"/>
        </w:rPr>
        <w:t>确定排序，并按确定排序由低到高的原则推荐成交候选人）。采购人应当确定谈判小组推荐排名第一的成交候选人为成交供应商。排名第一的成交候选人</w:t>
      </w:r>
      <w:r>
        <w:rPr>
          <w:rFonts w:hint="eastAsia" w:ascii="宋体" w:hAnsi="宋体" w:eastAsia="宋体" w:cs="宋体"/>
          <w:color w:val="auto"/>
          <w:kern w:val="0"/>
          <w:highlight w:val="none"/>
        </w:rPr>
        <w:t>拒绝签订政府采购合同的</w:t>
      </w:r>
      <w:r>
        <w:rPr>
          <w:rFonts w:hint="eastAsia" w:ascii="宋体" w:hAnsi="宋体" w:eastAsia="宋体" w:cs="宋体"/>
          <w:bCs/>
          <w:color w:val="auto"/>
          <w:highlight w:val="none"/>
        </w:rPr>
        <w:t>，采购人可以确定排名第二的成交候选人为成交供应商。排名第二的成交候选人因前款规定的同样原因不能签订合同的，采购人可以确定排名第三的成交候选人为成交供应商。采购人也可以决定重新采购。</w:t>
      </w:r>
      <w:r>
        <w:rPr>
          <w:rFonts w:hint="eastAsia" w:ascii="宋体" w:hAnsi="宋体" w:eastAsia="宋体" w:cs="宋体"/>
          <w:color w:val="auto"/>
          <w:highlight w:val="none"/>
        </w:rPr>
        <w:t>对采购过程、成交结果提出的质疑成立后取消成交资格，合格供应商符合法定数量时，可以从合格的成交候选人中另行确定成交供应商的，应当依法另行确定成交供应商，否则应当重新开展采购活动。</w:t>
      </w:r>
    </w:p>
    <w:p w14:paraId="77712B48">
      <w:pPr>
        <w:pStyle w:val="21"/>
        <w:shd w:val="clear"/>
        <w:spacing w:line="380" w:lineRule="exact"/>
        <w:rPr>
          <w:rFonts w:hint="eastAsia" w:ascii="宋体" w:hAnsi="宋体" w:eastAsia="宋体" w:cs="宋体"/>
          <w:color w:val="auto"/>
          <w:highlight w:val="none"/>
        </w:rPr>
      </w:pPr>
      <w:r>
        <w:rPr>
          <w:rFonts w:hint="eastAsia" w:ascii="宋体" w:hAnsi="宋体" w:eastAsia="宋体" w:cs="宋体"/>
          <w:bCs/>
          <w:color w:val="auto"/>
          <w:highlight w:val="none"/>
        </w:rPr>
        <w:t xml:space="preserve">    </w:t>
      </w:r>
      <w:r>
        <w:rPr>
          <w:rFonts w:hint="eastAsia" w:ascii="宋体" w:hAnsi="宋体" w:eastAsia="宋体" w:cs="宋体"/>
          <w:color w:val="auto"/>
          <w:highlight w:val="none"/>
        </w:rPr>
        <w:t>（二）异常低价审查：具体详见第</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谈判供应商</w:t>
      </w:r>
      <w:r>
        <w:rPr>
          <w:rFonts w:hint="eastAsia" w:ascii="宋体" w:hAnsi="宋体" w:eastAsia="宋体" w:cs="宋体"/>
          <w:color w:val="auto"/>
          <w:highlight w:val="none"/>
        </w:rPr>
        <w:t>须知》</w:t>
      </w:r>
      <w:r>
        <w:rPr>
          <w:rFonts w:hint="eastAsia" w:ascii="宋体" w:hAnsi="宋体" w:eastAsia="宋体" w:cs="宋体"/>
          <w:color w:val="auto"/>
          <w:highlight w:val="none"/>
          <w:lang w:val="en-US" w:eastAsia="zh-CN"/>
        </w:rPr>
        <w:t>内容</w:t>
      </w:r>
      <w:r>
        <w:rPr>
          <w:rFonts w:hint="eastAsia" w:ascii="宋体" w:hAnsi="宋体" w:eastAsia="宋体" w:cs="宋体"/>
          <w:color w:val="auto"/>
          <w:highlight w:val="none"/>
        </w:rPr>
        <w:t>。</w:t>
      </w:r>
    </w:p>
    <w:sectPr>
      <w:footerReference r:id="rId6" w:type="first"/>
      <w:headerReference r:id="rId3" w:type="default"/>
      <w:footerReference r:id="rId4" w:type="default"/>
      <w:footerReference r:id="rId5" w:type="even"/>
      <w:pgSz w:w="11906" w:h="16838"/>
      <w:pgMar w:top="1134" w:right="1134" w:bottom="1134" w:left="1134" w:header="851" w:footer="992" w:gutter="0"/>
      <w:pgBorders>
        <w:top w:val="none" w:sz="0" w:space="0"/>
        <w:left w:val="none" w:sz="0" w:space="0"/>
        <w:bottom w:val="none" w:sz="0" w:space="0"/>
        <w:right w:val="none" w:sz="0" w:space="0"/>
      </w:pgBorders>
      <w:pgNumType w:start="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E3646-88A7-4BD1-94D7-9B7E78CAC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embedRegular r:id="rId2" w:fontKey="{A8223FF3-8E9B-4B23-9E49-AB770AA6CB3D}"/>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embedRegular r:id="rId3" w:fontKey="{C1FD6B79-6F5A-4646-8D2E-3CB1D694A9B4}"/>
  </w:font>
  <w:font w:name="楷体">
    <w:panose1 w:val="02010609060101010101"/>
    <w:charset w:val="86"/>
    <w:family w:val="modern"/>
    <w:pitch w:val="default"/>
    <w:sig w:usb0="800002BF" w:usb1="38CF7CFA" w:usb2="00000016" w:usb3="00000000" w:csb0="00040001" w:csb1="00000000"/>
    <w:embedRegular r:id="rId4" w:fontKey="{106D6672-FC0C-47FE-BDD6-331F900E1320}"/>
  </w:font>
  <w:font w:name="Arial Unicode MS">
    <w:panose1 w:val="020B0604020202020204"/>
    <w:charset w:val="86"/>
    <w:family w:val="swiss"/>
    <w:pitch w:val="default"/>
    <w:sig w:usb0="F7FFAEFF" w:usb1="F9DFFFFF" w:usb2="0000007F" w:usb3="00000000" w:csb0="203F01FF" w:csb1="DFFF0000"/>
    <w:embedRegular r:id="rId5" w:fontKey="{83F78FB4-B3FD-4D2A-ADE8-9E5E81E166A2}"/>
  </w:font>
  <w:font w:name="微软雅黑">
    <w:panose1 w:val="020B0503020204020204"/>
    <w:charset w:val="86"/>
    <w:family w:val="swiss"/>
    <w:pitch w:val="default"/>
    <w:sig w:usb0="80000287" w:usb1="2ACF3C50" w:usb2="00000016" w:usb3="00000000" w:csb0="0004001F" w:csb1="00000000"/>
    <w:embedRegular r:id="rId6" w:fontKey="{0FFB37DD-25C3-4D84-81DC-A33522EDD481}"/>
  </w:font>
  <w:font w:name="WPSEMBED1">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E0797">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1</w:t>
    </w:r>
    <w:r>
      <w:fldChar w:fldCharType="end"/>
    </w:r>
  </w:p>
  <w:p w14:paraId="2E66324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F670B">
    <w:pPr>
      <w:pStyle w:val="25"/>
      <w:framePr w:wrap="around" w:vAnchor="text" w:hAnchor="margin" w:xAlign="center" w:y="1"/>
      <w:rPr>
        <w:rStyle w:val="43"/>
      </w:rPr>
    </w:pPr>
    <w:r>
      <w:fldChar w:fldCharType="begin"/>
    </w:r>
    <w:r>
      <w:rPr>
        <w:rStyle w:val="43"/>
      </w:rPr>
      <w:instrText xml:space="preserve">PAGE  </w:instrText>
    </w:r>
    <w:r>
      <w:fldChar w:fldCharType="end"/>
    </w:r>
  </w:p>
  <w:p w14:paraId="5615994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D6222">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A4A0">
    <w:pPr>
      <w:pStyle w:val="26"/>
      <w:wordWrap w:val="0"/>
      <w:jc w:val="right"/>
      <w:rPr>
        <w:rFonts w:hint="eastAsia"/>
      </w:rPr>
    </w:pPr>
    <w:r>
      <w:rPr>
        <w:rFonts w:hint="eastAsia" w:ascii="宋体" w:hAnsi="宋体" w:eastAsia="宋体" w:cs="宋体"/>
      </w:rPr>
      <w:t>广西医科大学校本部智慧消防采购项目（</w:t>
    </w:r>
    <w:r>
      <w:rPr>
        <w:rFonts w:hint="eastAsia" w:ascii="宋体" w:hAnsi="宋体" w:cs="宋体"/>
        <w:lang w:eastAsia="zh-CN"/>
      </w:rPr>
      <w:t>GXZC2026-J1-002129-GLZB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2C5AC027"/>
    <w:multiLevelType w:val="singleLevel"/>
    <w:tmpl w:val="2C5AC027"/>
    <w:lvl w:ilvl="0" w:tentative="0">
      <w:start w:val="2"/>
      <w:numFmt w:val="decimal"/>
      <w:suff w:val="space"/>
      <w:lvlText w:val="%1."/>
      <w:lvlJc w:val="left"/>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385B"/>
    <w:rsid w:val="00014856"/>
    <w:rsid w:val="00014FEF"/>
    <w:rsid w:val="00015746"/>
    <w:rsid w:val="00015A4E"/>
    <w:rsid w:val="000160FF"/>
    <w:rsid w:val="00016893"/>
    <w:rsid w:val="00017BF6"/>
    <w:rsid w:val="000200BD"/>
    <w:rsid w:val="000205AA"/>
    <w:rsid w:val="00020873"/>
    <w:rsid w:val="00020E60"/>
    <w:rsid w:val="00021435"/>
    <w:rsid w:val="0002159D"/>
    <w:rsid w:val="00021888"/>
    <w:rsid w:val="00021947"/>
    <w:rsid w:val="00022BE4"/>
    <w:rsid w:val="000245C3"/>
    <w:rsid w:val="00024695"/>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2B4C"/>
    <w:rsid w:val="000330F1"/>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06"/>
    <w:rsid w:val="00053947"/>
    <w:rsid w:val="00053C58"/>
    <w:rsid w:val="00054F12"/>
    <w:rsid w:val="00055508"/>
    <w:rsid w:val="00056055"/>
    <w:rsid w:val="00056178"/>
    <w:rsid w:val="000565D0"/>
    <w:rsid w:val="00056641"/>
    <w:rsid w:val="00056DD2"/>
    <w:rsid w:val="0005780E"/>
    <w:rsid w:val="00057E84"/>
    <w:rsid w:val="000608DA"/>
    <w:rsid w:val="00060DD3"/>
    <w:rsid w:val="00060EDC"/>
    <w:rsid w:val="00061482"/>
    <w:rsid w:val="00061489"/>
    <w:rsid w:val="00061B13"/>
    <w:rsid w:val="0006240E"/>
    <w:rsid w:val="00062F3A"/>
    <w:rsid w:val="00062FE7"/>
    <w:rsid w:val="00063349"/>
    <w:rsid w:val="000638D4"/>
    <w:rsid w:val="00063F74"/>
    <w:rsid w:val="0006479D"/>
    <w:rsid w:val="00065247"/>
    <w:rsid w:val="00065383"/>
    <w:rsid w:val="000657DF"/>
    <w:rsid w:val="000666F4"/>
    <w:rsid w:val="00066C48"/>
    <w:rsid w:val="00066D1C"/>
    <w:rsid w:val="00066FD9"/>
    <w:rsid w:val="00067654"/>
    <w:rsid w:val="000678DC"/>
    <w:rsid w:val="00067F3D"/>
    <w:rsid w:val="00070214"/>
    <w:rsid w:val="000707B4"/>
    <w:rsid w:val="000712AE"/>
    <w:rsid w:val="00071709"/>
    <w:rsid w:val="00071863"/>
    <w:rsid w:val="00072539"/>
    <w:rsid w:val="00072B56"/>
    <w:rsid w:val="00073509"/>
    <w:rsid w:val="000738C8"/>
    <w:rsid w:val="00073D1C"/>
    <w:rsid w:val="000746C2"/>
    <w:rsid w:val="00074988"/>
    <w:rsid w:val="00074A43"/>
    <w:rsid w:val="0007588B"/>
    <w:rsid w:val="00075C9F"/>
    <w:rsid w:val="00076629"/>
    <w:rsid w:val="00076A0A"/>
    <w:rsid w:val="00076B77"/>
    <w:rsid w:val="00080075"/>
    <w:rsid w:val="00080194"/>
    <w:rsid w:val="00080517"/>
    <w:rsid w:val="00080AF6"/>
    <w:rsid w:val="00080F8E"/>
    <w:rsid w:val="00081D56"/>
    <w:rsid w:val="00082B45"/>
    <w:rsid w:val="00082F1C"/>
    <w:rsid w:val="000830AC"/>
    <w:rsid w:val="000830C5"/>
    <w:rsid w:val="0008312B"/>
    <w:rsid w:val="0008345A"/>
    <w:rsid w:val="000839E1"/>
    <w:rsid w:val="00083C68"/>
    <w:rsid w:val="000846C0"/>
    <w:rsid w:val="000847C5"/>
    <w:rsid w:val="00084EB7"/>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235"/>
    <w:rsid w:val="0009254B"/>
    <w:rsid w:val="000926BC"/>
    <w:rsid w:val="0009299B"/>
    <w:rsid w:val="000930CC"/>
    <w:rsid w:val="0009362D"/>
    <w:rsid w:val="00093DEB"/>
    <w:rsid w:val="00093F68"/>
    <w:rsid w:val="00094000"/>
    <w:rsid w:val="0009404A"/>
    <w:rsid w:val="000945FD"/>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6F8A"/>
    <w:rsid w:val="000B78B2"/>
    <w:rsid w:val="000B79A9"/>
    <w:rsid w:val="000C02BE"/>
    <w:rsid w:val="000C09E5"/>
    <w:rsid w:val="000C0CD5"/>
    <w:rsid w:val="000C0D5F"/>
    <w:rsid w:val="000C0D87"/>
    <w:rsid w:val="000C15D6"/>
    <w:rsid w:val="000C19AE"/>
    <w:rsid w:val="000C19B4"/>
    <w:rsid w:val="000C1FA9"/>
    <w:rsid w:val="000C21E8"/>
    <w:rsid w:val="000C3373"/>
    <w:rsid w:val="000C3478"/>
    <w:rsid w:val="000C34F8"/>
    <w:rsid w:val="000C4455"/>
    <w:rsid w:val="000C4561"/>
    <w:rsid w:val="000C4571"/>
    <w:rsid w:val="000C6841"/>
    <w:rsid w:val="000C6906"/>
    <w:rsid w:val="000C6B70"/>
    <w:rsid w:val="000C7A56"/>
    <w:rsid w:val="000C7B5B"/>
    <w:rsid w:val="000C7B87"/>
    <w:rsid w:val="000D05B5"/>
    <w:rsid w:val="000D08B3"/>
    <w:rsid w:val="000D1211"/>
    <w:rsid w:val="000D158F"/>
    <w:rsid w:val="000D1A97"/>
    <w:rsid w:val="000D1D68"/>
    <w:rsid w:val="000D1F4C"/>
    <w:rsid w:val="000D2385"/>
    <w:rsid w:val="000D2B57"/>
    <w:rsid w:val="000D2F62"/>
    <w:rsid w:val="000D3012"/>
    <w:rsid w:val="000D35E0"/>
    <w:rsid w:val="000D416B"/>
    <w:rsid w:val="000D4524"/>
    <w:rsid w:val="000D50F9"/>
    <w:rsid w:val="000D52E9"/>
    <w:rsid w:val="000D5A92"/>
    <w:rsid w:val="000D5CDF"/>
    <w:rsid w:val="000D6544"/>
    <w:rsid w:val="000D6561"/>
    <w:rsid w:val="000D6610"/>
    <w:rsid w:val="000D6891"/>
    <w:rsid w:val="000D6ED6"/>
    <w:rsid w:val="000D74E3"/>
    <w:rsid w:val="000D7716"/>
    <w:rsid w:val="000D79F7"/>
    <w:rsid w:val="000D7D1C"/>
    <w:rsid w:val="000E0910"/>
    <w:rsid w:val="000E0D4C"/>
    <w:rsid w:val="000E138A"/>
    <w:rsid w:val="000E14C3"/>
    <w:rsid w:val="000E1DE2"/>
    <w:rsid w:val="000E20BB"/>
    <w:rsid w:val="000E4182"/>
    <w:rsid w:val="000E454A"/>
    <w:rsid w:val="000E4773"/>
    <w:rsid w:val="000E5630"/>
    <w:rsid w:val="000E591B"/>
    <w:rsid w:val="000E5C71"/>
    <w:rsid w:val="000E61C3"/>
    <w:rsid w:val="000E66B9"/>
    <w:rsid w:val="000E6808"/>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5780"/>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014"/>
    <w:rsid w:val="00104116"/>
    <w:rsid w:val="00104362"/>
    <w:rsid w:val="00104906"/>
    <w:rsid w:val="001049F6"/>
    <w:rsid w:val="00104E0E"/>
    <w:rsid w:val="00104F01"/>
    <w:rsid w:val="0010712D"/>
    <w:rsid w:val="00107A38"/>
    <w:rsid w:val="00107ADD"/>
    <w:rsid w:val="00107B80"/>
    <w:rsid w:val="00107E04"/>
    <w:rsid w:val="00110414"/>
    <w:rsid w:val="001112FB"/>
    <w:rsid w:val="001122BF"/>
    <w:rsid w:val="00112346"/>
    <w:rsid w:val="001128BC"/>
    <w:rsid w:val="001135CF"/>
    <w:rsid w:val="00113889"/>
    <w:rsid w:val="00113DDA"/>
    <w:rsid w:val="00114812"/>
    <w:rsid w:val="00114CA2"/>
    <w:rsid w:val="001150E0"/>
    <w:rsid w:val="00115A80"/>
    <w:rsid w:val="00115DC9"/>
    <w:rsid w:val="0011643A"/>
    <w:rsid w:val="00116A16"/>
    <w:rsid w:val="00116E65"/>
    <w:rsid w:val="00117898"/>
    <w:rsid w:val="0011796E"/>
    <w:rsid w:val="00120B3E"/>
    <w:rsid w:val="00120C16"/>
    <w:rsid w:val="00120F73"/>
    <w:rsid w:val="001211FC"/>
    <w:rsid w:val="00121251"/>
    <w:rsid w:val="001212A6"/>
    <w:rsid w:val="001212CE"/>
    <w:rsid w:val="00121DCE"/>
    <w:rsid w:val="00121F1A"/>
    <w:rsid w:val="001230C7"/>
    <w:rsid w:val="00123733"/>
    <w:rsid w:val="0012389A"/>
    <w:rsid w:val="001242A7"/>
    <w:rsid w:val="00124508"/>
    <w:rsid w:val="001247FF"/>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6E"/>
    <w:rsid w:val="001326D6"/>
    <w:rsid w:val="0013299B"/>
    <w:rsid w:val="001337A8"/>
    <w:rsid w:val="00133AE4"/>
    <w:rsid w:val="00134265"/>
    <w:rsid w:val="0013446A"/>
    <w:rsid w:val="00134601"/>
    <w:rsid w:val="00134B87"/>
    <w:rsid w:val="00134D71"/>
    <w:rsid w:val="0013634C"/>
    <w:rsid w:val="001364E7"/>
    <w:rsid w:val="00136B4B"/>
    <w:rsid w:val="00136F32"/>
    <w:rsid w:val="001373F4"/>
    <w:rsid w:val="00137ABA"/>
    <w:rsid w:val="0014059C"/>
    <w:rsid w:val="00140770"/>
    <w:rsid w:val="00141225"/>
    <w:rsid w:val="00141721"/>
    <w:rsid w:val="00141F7B"/>
    <w:rsid w:val="0014209C"/>
    <w:rsid w:val="001427B6"/>
    <w:rsid w:val="001433B7"/>
    <w:rsid w:val="00143798"/>
    <w:rsid w:val="00143EB3"/>
    <w:rsid w:val="001440F1"/>
    <w:rsid w:val="0014412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AA6"/>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58"/>
    <w:rsid w:val="001752C8"/>
    <w:rsid w:val="00175D9E"/>
    <w:rsid w:val="001764BD"/>
    <w:rsid w:val="00176943"/>
    <w:rsid w:val="00176FD9"/>
    <w:rsid w:val="00177738"/>
    <w:rsid w:val="0018034E"/>
    <w:rsid w:val="00182640"/>
    <w:rsid w:val="00182F4F"/>
    <w:rsid w:val="0018302A"/>
    <w:rsid w:val="00183287"/>
    <w:rsid w:val="00183288"/>
    <w:rsid w:val="00183588"/>
    <w:rsid w:val="00183F96"/>
    <w:rsid w:val="00184282"/>
    <w:rsid w:val="00185AD1"/>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5F1"/>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2B8C"/>
    <w:rsid w:val="001A3267"/>
    <w:rsid w:val="001A3486"/>
    <w:rsid w:val="001A3B5A"/>
    <w:rsid w:val="001A3DD7"/>
    <w:rsid w:val="001A49A2"/>
    <w:rsid w:val="001A5631"/>
    <w:rsid w:val="001A5765"/>
    <w:rsid w:val="001A5DEA"/>
    <w:rsid w:val="001A5F9E"/>
    <w:rsid w:val="001A60A1"/>
    <w:rsid w:val="001A6233"/>
    <w:rsid w:val="001A6A14"/>
    <w:rsid w:val="001A790B"/>
    <w:rsid w:val="001A7949"/>
    <w:rsid w:val="001A7A2D"/>
    <w:rsid w:val="001A7B8F"/>
    <w:rsid w:val="001B0508"/>
    <w:rsid w:val="001B080F"/>
    <w:rsid w:val="001B145C"/>
    <w:rsid w:val="001B198C"/>
    <w:rsid w:val="001B1CD2"/>
    <w:rsid w:val="001B2FE2"/>
    <w:rsid w:val="001B3B89"/>
    <w:rsid w:val="001B42FF"/>
    <w:rsid w:val="001B4A4F"/>
    <w:rsid w:val="001B4BCC"/>
    <w:rsid w:val="001B5E64"/>
    <w:rsid w:val="001B66D5"/>
    <w:rsid w:val="001B68A7"/>
    <w:rsid w:val="001B7ADE"/>
    <w:rsid w:val="001B7FD1"/>
    <w:rsid w:val="001C00F2"/>
    <w:rsid w:val="001C0186"/>
    <w:rsid w:val="001C1DBF"/>
    <w:rsid w:val="001C203B"/>
    <w:rsid w:val="001C23D3"/>
    <w:rsid w:val="001C294A"/>
    <w:rsid w:val="001C2AAA"/>
    <w:rsid w:val="001C32D4"/>
    <w:rsid w:val="001C3305"/>
    <w:rsid w:val="001C3451"/>
    <w:rsid w:val="001C3CCF"/>
    <w:rsid w:val="001C42C1"/>
    <w:rsid w:val="001C4785"/>
    <w:rsid w:val="001C489E"/>
    <w:rsid w:val="001C51F2"/>
    <w:rsid w:val="001C52D0"/>
    <w:rsid w:val="001C55BB"/>
    <w:rsid w:val="001C58BE"/>
    <w:rsid w:val="001C5C57"/>
    <w:rsid w:val="001C68A9"/>
    <w:rsid w:val="001C7158"/>
    <w:rsid w:val="001D055D"/>
    <w:rsid w:val="001D0D67"/>
    <w:rsid w:val="001D18F7"/>
    <w:rsid w:val="001D1AC7"/>
    <w:rsid w:val="001D1B65"/>
    <w:rsid w:val="001D1C59"/>
    <w:rsid w:val="001D1EE4"/>
    <w:rsid w:val="001D2055"/>
    <w:rsid w:val="001D3198"/>
    <w:rsid w:val="001D3B0A"/>
    <w:rsid w:val="001D467F"/>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0BF"/>
    <w:rsid w:val="001E5932"/>
    <w:rsid w:val="001E5B73"/>
    <w:rsid w:val="001E64E4"/>
    <w:rsid w:val="001E6905"/>
    <w:rsid w:val="001E6F56"/>
    <w:rsid w:val="001E78AA"/>
    <w:rsid w:val="001F05F9"/>
    <w:rsid w:val="001F09C4"/>
    <w:rsid w:val="001F0D9A"/>
    <w:rsid w:val="001F124C"/>
    <w:rsid w:val="001F17C5"/>
    <w:rsid w:val="001F2A99"/>
    <w:rsid w:val="001F2D5B"/>
    <w:rsid w:val="001F316D"/>
    <w:rsid w:val="001F3DAE"/>
    <w:rsid w:val="001F4695"/>
    <w:rsid w:val="001F46A6"/>
    <w:rsid w:val="001F556E"/>
    <w:rsid w:val="001F5A2E"/>
    <w:rsid w:val="001F6542"/>
    <w:rsid w:val="001F66B7"/>
    <w:rsid w:val="001F67F4"/>
    <w:rsid w:val="001F6894"/>
    <w:rsid w:val="001F6927"/>
    <w:rsid w:val="001F7113"/>
    <w:rsid w:val="001F7435"/>
    <w:rsid w:val="001F7993"/>
    <w:rsid w:val="001F7C3F"/>
    <w:rsid w:val="002012B3"/>
    <w:rsid w:val="002017D7"/>
    <w:rsid w:val="002018D0"/>
    <w:rsid w:val="00203715"/>
    <w:rsid w:val="0020396D"/>
    <w:rsid w:val="00203A07"/>
    <w:rsid w:val="00203F79"/>
    <w:rsid w:val="0020434F"/>
    <w:rsid w:val="00204C58"/>
    <w:rsid w:val="00204EBB"/>
    <w:rsid w:val="00204FF5"/>
    <w:rsid w:val="0020551C"/>
    <w:rsid w:val="00205CC8"/>
    <w:rsid w:val="002069D4"/>
    <w:rsid w:val="00206B35"/>
    <w:rsid w:val="002070A1"/>
    <w:rsid w:val="00207113"/>
    <w:rsid w:val="00207A83"/>
    <w:rsid w:val="00207DBE"/>
    <w:rsid w:val="00210477"/>
    <w:rsid w:val="00210B7D"/>
    <w:rsid w:val="002110E4"/>
    <w:rsid w:val="0021167A"/>
    <w:rsid w:val="002120CA"/>
    <w:rsid w:val="002121A4"/>
    <w:rsid w:val="0021238F"/>
    <w:rsid w:val="00214A5D"/>
    <w:rsid w:val="002158D2"/>
    <w:rsid w:val="00215DF0"/>
    <w:rsid w:val="00215F4D"/>
    <w:rsid w:val="00216477"/>
    <w:rsid w:val="00216CDE"/>
    <w:rsid w:val="002176DC"/>
    <w:rsid w:val="0022020F"/>
    <w:rsid w:val="0022081A"/>
    <w:rsid w:val="002215C5"/>
    <w:rsid w:val="00221F12"/>
    <w:rsid w:val="002224E1"/>
    <w:rsid w:val="0022256E"/>
    <w:rsid w:val="00223430"/>
    <w:rsid w:val="002235F9"/>
    <w:rsid w:val="002237C1"/>
    <w:rsid w:val="00224699"/>
    <w:rsid w:val="002248E7"/>
    <w:rsid w:val="00224DA3"/>
    <w:rsid w:val="002251CA"/>
    <w:rsid w:val="0022571B"/>
    <w:rsid w:val="002259B6"/>
    <w:rsid w:val="00225F7F"/>
    <w:rsid w:val="00226942"/>
    <w:rsid w:val="00226DDF"/>
    <w:rsid w:val="00226FCB"/>
    <w:rsid w:val="00227343"/>
    <w:rsid w:val="00227881"/>
    <w:rsid w:val="00227D01"/>
    <w:rsid w:val="00230395"/>
    <w:rsid w:val="002312B0"/>
    <w:rsid w:val="00231BB7"/>
    <w:rsid w:val="002320BF"/>
    <w:rsid w:val="00232190"/>
    <w:rsid w:val="00232298"/>
    <w:rsid w:val="00232501"/>
    <w:rsid w:val="002329C0"/>
    <w:rsid w:val="002329E2"/>
    <w:rsid w:val="00233D32"/>
    <w:rsid w:val="00234961"/>
    <w:rsid w:val="00234997"/>
    <w:rsid w:val="00234CCD"/>
    <w:rsid w:val="00234D51"/>
    <w:rsid w:val="002359D6"/>
    <w:rsid w:val="00236C44"/>
    <w:rsid w:val="00236EC2"/>
    <w:rsid w:val="00237357"/>
    <w:rsid w:val="0023739F"/>
    <w:rsid w:val="00237663"/>
    <w:rsid w:val="00237953"/>
    <w:rsid w:val="00237F29"/>
    <w:rsid w:val="0024050B"/>
    <w:rsid w:val="002409AD"/>
    <w:rsid w:val="00240BD4"/>
    <w:rsid w:val="00241A1C"/>
    <w:rsid w:val="00241A8F"/>
    <w:rsid w:val="00241B97"/>
    <w:rsid w:val="00241EFC"/>
    <w:rsid w:val="002424F8"/>
    <w:rsid w:val="002427B4"/>
    <w:rsid w:val="00244014"/>
    <w:rsid w:val="00244260"/>
    <w:rsid w:val="0024453E"/>
    <w:rsid w:val="0024483F"/>
    <w:rsid w:val="00244E49"/>
    <w:rsid w:val="002456CF"/>
    <w:rsid w:val="0024596F"/>
    <w:rsid w:val="00245981"/>
    <w:rsid w:val="00245DB9"/>
    <w:rsid w:val="00245FA9"/>
    <w:rsid w:val="00246193"/>
    <w:rsid w:val="002468E6"/>
    <w:rsid w:val="00246906"/>
    <w:rsid w:val="00246F2F"/>
    <w:rsid w:val="00246FBB"/>
    <w:rsid w:val="0024707A"/>
    <w:rsid w:val="002470C7"/>
    <w:rsid w:val="0024721D"/>
    <w:rsid w:val="0024772C"/>
    <w:rsid w:val="00247CBA"/>
    <w:rsid w:val="00247FA7"/>
    <w:rsid w:val="0025008E"/>
    <w:rsid w:val="00250397"/>
    <w:rsid w:val="002511F1"/>
    <w:rsid w:val="002514C2"/>
    <w:rsid w:val="0025161D"/>
    <w:rsid w:val="00251AB8"/>
    <w:rsid w:val="002521D4"/>
    <w:rsid w:val="002524F8"/>
    <w:rsid w:val="00252632"/>
    <w:rsid w:val="00252C29"/>
    <w:rsid w:val="002532FF"/>
    <w:rsid w:val="002547C6"/>
    <w:rsid w:val="0025532F"/>
    <w:rsid w:val="00255699"/>
    <w:rsid w:val="002559BB"/>
    <w:rsid w:val="00255CDE"/>
    <w:rsid w:val="00256597"/>
    <w:rsid w:val="0025681A"/>
    <w:rsid w:val="00256908"/>
    <w:rsid w:val="00256E7E"/>
    <w:rsid w:val="00256EE0"/>
    <w:rsid w:val="00257D43"/>
    <w:rsid w:val="00260278"/>
    <w:rsid w:val="00260B05"/>
    <w:rsid w:val="00260E29"/>
    <w:rsid w:val="0026111F"/>
    <w:rsid w:val="0026178F"/>
    <w:rsid w:val="00261D59"/>
    <w:rsid w:val="00261EE6"/>
    <w:rsid w:val="00261F15"/>
    <w:rsid w:val="002620BB"/>
    <w:rsid w:val="002625A4"/>
    <w:rsid w:val="00262A9F"/>
    <w:rsid w:val="00262D32"/>
    <w:rsid w:val="00262FAA"/>
    <w:rsid w:val="0026346A"/>
    <w:rsid w:val="00263832"/>
    <w:rsid w:val="00263EDF"/>
    <w:rsid w:val="002647D4"/>
    <w:rsid w:val="00264A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415"/>
    <w:rsid w:val="002739F2"/>
    <w:rsid w:val="00274B42"/>
    <w:rsid w:val="00274C88"/>
    <w:rsid w:val="0027510C"/>
    <w:rsid w:val="002766F1"/>
    <w:rsid w:val="00276B6B"/>
    <w:rsid w:val="0027723D"/>
    <w:rsid w:val="00277C97"/>
    <w:rsid w:val="00280022"/>
    <w:rsid w:val="00281303"/>
    <w:rsid w:val="00282946"/>
    <w:rsid w:val="00282D9F"/>
    <w:rsid w:val="00283A53"/>
    <w:rsid w:val="00283C52"/>
    <w:rsid w:val="00283CEA"/>
    <w:rsid w:val="00284703"/>
    <w:rsid w:val="00284C5D"/>
    <w:rsid w:val="00284EC1"/>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586"/>
    <w:rsid w:val="00297A8D"/>
    <w:rsid w:val="00297B8F"/>
    <w:rsid w:val="00297EA5"/>
    <w:rsid w:val="002A0063"/>
    <w:rsid w:val="002A0F67"/>
    <w:rsid w:val="002A1778"/>
    <w:rsid w:val="002A1F1C"/>
    <w:rsid w:val="002A1FC0"/>
    <w:rsid w:val="002A298F"/>
    <w:rsid w:val="002A29AB"/>
    <w:rsid w:val="002A38D0"/>
    <w:rsid w:val="002A3A3C"/>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BBB"/>
    <w:rsid w:val="002C30E3"/>
    <w:rsid w:val="002C325E"/>
    <w:rsid w:val="002C3C77"/>
    <w:rsid w:val="002C3D37"/>
    <w:rsid w:val="002C43BC"/>
    <w:rsid w:val="002C4410"/>
    <w:rsid w:val="002C488A"/>
    <w:rsid w:val="002C4E17"/>
    <w:rsid w:val="002C52C2"/>
    <w:rsid w:val="002C5654"/>
    <w:rsid w:val="002C58D6"/>
    <w:rsid w:val="002C5924"/>
    <w:rsid w:val="002C5952"/>
    <w:rsid w:val="002C5C94"/>
    <w:rsid w:val="002C5DC1"/>
    <w:rsid w:val="002C6200"/>
    <w:rsid w:val="002C6327"/>
    <w:rsid w:val="002C6864"/>
    <w:rsid w:val="002C6BF3"/>
    <w:rsid w:val="002C6D31"/>
    <w:rsid w:val="002C71F7"/>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913"/>
    <w:rsid w:val="002D3B87"/>
    <w:rsid w:val="002D4FAC"/>
    <w:rsid w:val="002D504B"/>
    <w:rsid w:val="002D596C"/>
    <w:rsid w:val="002D66F6"/>
    <w:rsid w:val="002D6DDA"/>
    <w:rsid w:val="002D747A"/>
    <w:rsid w:val="002D76FC"/>
    <w:rsid w:val="002E131E"/>
    <w:rsid w:val="002E1623"/>
    <w:rsid w:val="002E179F"/>
    <w:rsid w:val="002E1A47"/>
    <w:rsid w:val="002E1FEF"/>
    <w:rsid w:val="002E2F9C"/>
    <w:rsid w:val="002E34AA"/>
    <w:rsid w:val="002E3974"/>
    <w:rsid w:val="002E4029"/>
    <w:rsid w:val="002E5C1E"/>
    <w:rsid w:val="002E5E0C"/>
    <w:rsid w:val="002E6166"/>
    <w:rsid w:val="002E6F9C"/>
    <w:rsid w:val="002E70BC"/>
    <w:rsid w:val="002E7122"/>
    <w:rsid w:val="002E730D"/>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3EE"/>
    <w:rsid w:val="002F6E83"/>
    <w:rsid w:val="002F7122"/>
    <w:rsid w:val="002F73CE"/>
    <w:rsid w:val="002F7A53"/>
    <w:rsid w:val="002F7B3B"/>
    <w:rsid w:val="002F7C4B"/>
    <w:rsid w:val="00300348"/>
    <w:rsid w:val="003006EB"/>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CCE"/>
    <w:rsid w:val="003171EB"/>
    <w:rsid w:val="00320BD7"/>
    <w:rsid w:val="00320DA6"/>
    <w:rsid w:val="0032130F"/>
    <w:rsid w:val="00321C2C"/>
    <w:rsid w:val="003228AA"/>
    <w:rsid w:val="00322AB8"/>
    <w:rsid w:val="00323892"/>
    <w:rsid w:val="00324012"/>
    <w:rsid w:val="00324A05"/>
    <w:rsid w:val="00325B99"/>
    <w:rsid w:val="003265FA"/>
    <w:rsid w:val="00326AB4"/>
    <w:rsid w:val="00326EDE"/>
    <w:rsid w:val="00327163"/>
    <w:rsid w:val="00327199"/>
    <w:rsid w:val="00330466"/>
    <w:rsid w:val="0033053E"/>
    <w:rsid w:val="00330691"/>
    <w:rsid w:val="00330D0E"/>
    <w:rsid w:val="00330DA6"/>
    <w:rsid w:val="00330E44"/>
    <w:rsid w:val="00331240"/>
    <w:rsid w:val="003319D1"/>
    <w:rsid w:val="00331DEE"/>
    <w:rsid w:val="00332D27"/>
    <w:rsid w:val="00333959"/>
    <w:rsid w:val="00333988"/>
    <w:rsid w:val="003339ED"/>
    <w:rsid w:val="00333E50"/>
    <w:rsid w:val="00334C73"/>
    <w:rsid w:val="00334D5D"/>
    <w:rsid w:val="00336079"/>
    <w:rsid w:val="003366C3"/>
    <w:rsid w:val="00336815"/>
    <w:rsid w:val="00336DA8"/>
    <w:rsid w:val="00336F7B"/>
    <w:rsid w:val="00337764"/>
    <w:rsid w:val="00340054"/>
    <w:rsid w:val="00340701"/>
    <w:rsid w:val="00340AFD"/>
    <w:rsid w:val="00341522"/>
    <w:rsid w:val="003415DF"/>
    <w:rsid w:val="0034185C"/>
    <w:rsid w:val="00341DF8"/>
    <w:rsid w:val="0034278F"/>
    <w:rsid w:val="003428FF"/>
    <w:rsid w:val="00343243"/>
    <w:rsid w:val="003435C5"/>
    <w:rsid w:val="0034376D"/>
    <w:rsid w:val="00344064"/>
    <w:rsid w:val="00344B8D"/>
    <w:rsid w:val="003452D3"/>
    <w:rsid w:val="003453DE"/>
    <w:rsid w:val="003459EC"/>
    <w:rsid w:val="00345D4F"/>
    <w:rsid w:val="0034660A"/>
    <w:rsid w:val="00347799"/>
    <w:rsid w:val="00350099"/>
    <w:rsid w:val="00350B7D"/>
    <w:rsid w:val="0035297E"/>
    <w:rsid w:val="003529F3"/>
    <w:rsid w:val="00352BA4"/>
    <w:rsid w:val="0035302E"/>
    <w:rsid w:val="0035318C"/>
    <w:rsid w:val="0035342D"/>
    <w:rsid w:val="0035375F"/>
    <w:rsid w:val="00353F51"/>
    <w:rsid w:val="003544E8"/>
    <w:rsid w:val="0035454D"/>
    <w:rsid w:val="003547DA"/>
    <w:rsid w:val="0035485A"/>
    <w:rsid w:val="00354E15"/>
    <w:rsid w:val="0035527F"/>
    <w:rsid w:val="00355972"/>
    <w:rsid w:val="003564E3"/>
    <w:rsid w:val="003564FE"/>
    <w:rsid w:val="0035684E"/>
    <w:rsid w:val="00356DAA"/>
    <w:rsid w:val="00357010"/>
    <w:rsid w:val="0035753B"/>
    <w:rsid w:val="00357C6C"/>
    <w:rsid w:val="00360453"/>
    <w:rsid w:val="003606BC"/>
    <w:rsid w:val="00360BC8"/>
    <w:rsid w:val="00361403"/>
    <w:rsid w:val="003626A2"/>
    <w:rsid w:val="00362C62"/>
    <w:rsid w:val="003633C3"/>
    <w:rsid w:val="0036397E"/>
    <w:rsid w:val="00364291"/>
    <w:rsid w:val="00364505"/>
    <w:rsid w:val="00365CA4"/>
    <w:rsid w:val="00365E55"/>
    <w:rsid w:val="00366037"/>
    <w:rsid w:val="0036636A"/>
    <w:rsid w:val="003665E0"/>
    <w:rsid w:val="0036739B"/>
    <w:rsid w:val="003674A6"/>
    <w:rsid w:val="003674D0"/>
    <w:rsid w:val="00367C30"/>
    <w:rsid w:val="003700B9"/>
    <w:rsid w:val="00370456"/>
    <w:rsid w:val="00370605"/>
    <w:rsid w:val="00370E01"/>
    <w:rsid w:val="00370FD9"/>
    <w:rsid w:val="00371161"/>
    <w:rsid w:val="003711CD"/>
    <w:rsid w:val="003713EB"/>
    <w:rsid w:val="00371676"/>
    <w:rsid w:val="00371808"/>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85D"/>
    <w:rsid w:val="00381FEA"/>
    <w:rsid w:val="00382013"/>
    <w:rsid w:val="0038209C"/>
    <w:rsid w:val="00382EBA"/>
    <w:rsid w:val="003833E7"/>
    <w:rsid w:val="00383520"/>
    <w:rsid w:val="003838AD"/>
    <w:rsid w:val="00383BB7"/>
    <w:rsid w:val="00384628"/>
    <w:rsid w:val="00384ED1"/>
    <w:rsid w:val="003851C4"/>
    <w:rsid w:val="00385884"/>
    <w:rsid w:val="00385A65"/>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35E"/>
    <w:rsid w:val="00394D34"/>
    <w:rsid w:val="003954AB"/>
    <w:rsid w:val="00395687"/>
    <w:rsid w:val="00396755"/>
    <w:rsid w:val="003967D2"/>
    <w:rsid w:val="00396E57"/>
    <w:rsid w:val="003A00DC"/>
    <w:rsid w:val="003A03EA"/>
    <w:rsid w:val="003A05FC"/>
    <w:rsid w:val="003A0DC4"/>
    <w:rsid w:val="003A10B9"/>
    <w:rsid w:val="003A14C6"/>
    <w:rsid w:val="003A16A8"/>
    <w:rsid w:val="003A23F1"/>
    <w:rsid w:val="003A258C"/>
    <w:rsid w:val="003A260E"/>
    <w:rsid w:val="003A3905"/>
    <w:rsid w:val="003A3B7F"/>
    <w:rsid w:val="003A4073"/>
    <w:rsid w:val="003A4D28"/>
    <w:rsid w:val="003A501B"/>
    <w:rsid w:val="003A51B6"/>
    <w:rsid w:val="003A5D3B"/>
    <w:rsid w:val="003A5DC5"/>
    <w:rsid w:val="003A63E4"/>
    <w:rsid w:val="003A6520"/>
    <w:rsid w:val="003A65A0"/>
    <w:rsid w:val="003A6804"/>
    <w:rsid w:val="003A6B3E"/>
    <w:rsid w:val="003A6D17"/>
    <w:rsid w:val="003A7B72"/>
    <w:rsid w:val="003B0B17"/>
    <w:rsid w:val="003B0CE7"/>
    <w:rsid w:val="003B192E"/>
    <w:rsid w:val="003B1A8B"/>
    <w:rsid w:val="003B2071"/>
    <w:rsid w:val="003B21E8"/>
    <w:rsid w:val="003B2322"/>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9C2"/>
    <w:rsid w:val="003B5BED"/>
    <w:rsid w:val="003B5EAD"/>
    <w:rsid w:val="003B60C0"/>
    <w:rsid w:val="003B6164"/>
    <w:rsid w:val="003B61CA"/>
    <w:rsid w:val="003B6752"/>
    <w:rsid w:val="003B6BB8"/>
    <w:rsid w:val="003B6F42"/>
    <w:rsid w:val="003B74DD"/>
    <w:rsid w:val="003C12BC"/>
    <w:rsid w:val="003C1314"/>
    <w:rsid w:val="003C163F"/>
    <w:rsid w:val="003C2B62"/>
    <w:rsid w:val="003C2BFD"/>
    <w:rsid w:val="003C2FE5"/>
    <w:rsid w:val="003C3B51"/>
    <w:rsid w:val="003C3C7B"/>
    <w:rsid w:val="003C3E21"/>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8B7"/>
    <w:rsid w:val="003D2A9B"/>
    <w:rsid w:val="003D2CE7"/>
    <w:rsid w:val="003D357B"/>
    <w:rsid w:val="003D3788"/>
    <w:rsid w:val="003D3F13"/>
    <w:rsid w:val="003D4521"/>
    <w:rsid w:val="003D4EFC"/>
    <w:rsid w:val="003D5B2E"/>
    <w:rsid w:val="003D67F2"/>
    <w:rsid w:val="003D6BA9"/>
    <w:rsid w:val="003D6DE8"/>
    <w:rsid w:val="003D7724"/>
    <w:rsid w:val="003D773E"/>
    <w:rsid w:val="003D7B46"/>
    <w:rsid w:val="003E005B"/>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6B42"/>
    <w:rsid w:val="003E7594"/>
    <w:rsid w:val="003E766C"/>
    <w:rsid w:val="003E7BB1"/>
    <w:rsid w:val="003F0684"/>
    <w:rsid w:val="003F0EB5"/>
    <w:rsid w:val="003F1BCE"/>
    <w:rsid w:val="003F1C7B"/>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0DD4"/>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664"/>
    <w:rsid w:val="00405890"/>
    <w:rsid w:val="00406634"/>
    <w:rsid w:val="00407666"/>
    <w:rsid w:val="004076BD"/>
    <w:rsid w:val="004077C8"/>
    <w:rsid w:val="00407B9F"/>
    <w:rsid w:val="0041017D"/>
    <w:rsid w:val="00410D4F"/>
    <w:rsid w:val="004117D3"/>
    <w:rsid w:val="0041186A"/>
    <w:rsid w:val="00412318"/>
    <w:rsid w:val="0041292E"/>
    <w:rsid w:val="0041294C"/>
    <w:rsid w:val="004131F4"/>
    <w:rsid w:val="00413F66"/>
    <w:rsid w:val="004147E9"/>
    <w:rsid w:val="004159ED"/>
    <w:rsid w:val="00415CE3"/>
    <w:rsid w:val="0041632B"/>
    <w:rsid w:val="004168DE"/>
    <w:rsid w:val="00416A64"/>
    <w:rsid w:val="00416D35"/>
    <w:rsid w:val="00417E61"/>
    <w:rsid w:val="004203CE"/>
    <w:rsid w:val="004204FF"/>
    <w:rsid w:val="00420607"/>
    <w:rsid w:val="0042068E"/>
    <w:rsid w:val="004209F4"/>
    <w:rsid w:val="00420D81"/>
    <w:rsid w:val="004210CC"/>
    <w:rsid w:val="004210FF"/>
    <w:rsid w:val="00421505"/>
    <w:rsid w:val="004219FD"/>
    <w:rsid w:val="004222AC"/>
    <w:rsid w:val="004223CA"/>
    <w:rsid w:val="00422727"/>
    <w:rsid w:val="004227F3"/>
    <w:rsid w:val="00423373"/>
    <w:rsid w:val="00423393"/>
    <w:rsid w:val="00423B10"/>
    <w:rsid w:val="00423BE3"/>
    <w:rsid w:val="00423CE2"/>
    <w:rsid w:val="00423D4A"/>
    <w:rsid w:val="00423FF2"/>
    <w:rsid w:val="004248B4"/>
    <w:rsid w:val="00424961"/>
    <w:rsid w:val="004256CA"/>
    <w:rsid w:val="00425774"/>
    <w:rsid w:val="00425BD0"/>
    <w:rsid w:val="00426121"/>
    <w:rsid w:val="00426809"/>
    <w:rsid w:val="00427E15"/>
    <w:rsid w:val="00427F50"/>
    <w:rsid w:val="00430110"/>
    <w:rsid w:val="0043089B"/>
    <w:rsid w:val="00430B77"/>
    <w:rsid w:val="00430CB8"/>
    <w:rsid w:val="0043105E"/>
    <w:rsid w:val="004317F0"/>
    <w:rsid w:val="00431BD1"/>
    <w:rsid w:val="004325DF"/>
    <w:rsid w:val="00433025"/>
    <w:rsid w:val="00433074"/>
    <w:rsid w:val="0043359C"/>
    <w:rsid w:val="004335DA"/>
    <w:rsid w:val="00433F4A"/>
    <w:rsid w:val="00434485"/>
    <w:rsid w:val="00434CD8"/>
    <w:rsid w:val="004350C9"/>
    <w:rsid w:val="00435168"/>
    <w:rsid w:val="004356A3"/>
    <w:rsid w:val="00436379"/>
    <w:rsid w:val="00436D15"/>
    <w:rsid w:val="00437325"/>
    <w:rsid w:val="004402C0"/>
    <w:rsid w:val="0044090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1ED4"/>
    <w:rsid w:val="0045207F"/>
    <w:rsid w:val="004522CC"/>
    <w:rsid w:val="0045241F"/>
    <w:rsid w:val="00452558"/>
    <w:rsid w:val="00452F0E"/>
    <w:rsid w:val="004535A9"/>
    <w:rsid w:val="00453D49"/>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4DF"/>
    <w:rsid w:val="00466E0A"/>
    <w:rsid w:val="00466E10"/>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558F"/>
    <w:rsid w:val="004758B7"/>
    <w:rsid w:val="00476ABD"/>
    <w:rsid w:val="00476E90"/>
    <w:rsid w:val="004776A8"/>
    <w:rsid w:val="0047770D"/>
    <w:rsid w:val="0047788D"/>
    <w:rsid w:val="00477E95"/>
    <w:rsid w:val="004801FE"/>
    <w:rsid w:val="00480266"/>
    <w:rsid w:val="0048073E"/>
    <w:rsid w:val="0048099E"/>
    <w:rsid w:val="00480AA6"/>
    <w:rsid w:val="004812EA"/>
    <w:rsid w:val="00481585"/>
    <w:rsid w:val="0048193F"/>
    <w:rsid w:val="00481CB7"/>
    <w:rsid w:val="00481D3F"/>
    <w:rsid w:val="00481DD9"/>
    <w:rsid w:val="0048229A"/>
    <w:rsid w:val="0048261F"/>
    <w:rsid w:val="00482BBE"/>
    <w:rsid w:val="00482CFF"/>
    <w:rsid w:val="00482DF7"/>
    <w:rsid w:val="00482F58"/>
    <w:rsid w:val="00483109"/>
    <w:rsid w:val="0048328C"/>
    <w:rsid w:val="00483450"/>
    <w:rsid w:val="004836C4"/>
    <w:rsid w:val="0048373F"/>
    <w:rsid w:val="00483CE6"/>
    <w:rsid w:val="004840BE"/>
    <w:rsid w:val="00484616"/>
    <w:rsid w:val="004848D8"/>
    <w:rsid w:val="00484BDE"/>
    <w:rsid w:val="00484EE8"/>
    <w:rsid w:val="00485F6B"/>
    <w:rsid w:val="00486E6A"/>
    <w:rsid w:val="00487CA2"/>
    <w:rsid w:val="00490415"/>
    <w:rsid w:val="0049064A"/>
    <w:rsid w:val="004912D5"/>
    <w:rsid w:val="0049136C"/>
    <w:rsid w:val="0049160E"/>
    <w:rsid w:val="004917B7"/>
    <w:rsid w:val="00491A52"/>
    <w:rsid w:val="00491AF6"/>
    <w:rsid w:val="00492280"/>
    <w:rsid w:val="00492BD6"/>
    <w:rsid w:val="00493D86"/>
    <w:rsid w:val="00494B2B"/>
    <w:rsid w:val="00495639"/>
    <w:rsid w:val="00495DCE"/>
    <w:rsid w:val="00496042"/>
    <w:rsid w:val="00497228"/>
    <w:rsid w:val="00497459"/>
    <w:rsid w:val="00497769"/>
    <w:rsid w:val="00497B5A"/>
    <w:rsid w:val="00497EEC"/>
    <w:rsid w:val="004A09B2"/>
    <w:rsid w:val="004A0C91"/>
    <w:rsid w:val="004A1098"/>
    <w:rsid w:val="004A1783"/>
    <w:rsid w:val="004A1FA6"/>
    <w:rsid w:val="004A23DC"/>
    <w:rsid w:val="004A3B3B"/>
    <w:rsid w:val="004A44A2"/>
    <w:rsid w:val="004A4599"/>
    <w:rsid w:val="004A50B6"/>
    <w:rsid w:val="004A55EF"/>
    <w:rsid w:val="004A564D"/>
    <w:rsid w:val="004A5890"/>
    <w:rsid w:val="004A5EBA"/>
    <w:rsid w:val="004A604D"/>
    <w:rsid w:val="004A62F6"/>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ADE"/>
    <w:rsid w:val="004B3B7D"/>
    <w:rsid w:val="004B40F5"/>
    <w:rsid w:val="004B46D3"/>
    <w:rsid w:val="004B4A0E"/>
    <w:rsid w:val="004B4A25"/>
    <w:rsid w:val="004B4CE8"/>
    <w:rsid w:val="004B50B2"/>
    <w:rsid w:val="004B5246"/>
    <w:rsid w:val="004B5544"/>
    <w:rsid w:val="004B5BF8"/>
    <w:rsid w:val="004B5F18"/>
    <w:rsid w:val="004B6472"/>
    <w:rsid w:val="004B6A7A"/>
    <w:rsid w:val="004B76E2"/>
    <w:rsid w:val="004B7AAB"/>
    <w:rsid w:val="004B7B93"/>
    <w:rsid w:val="004B7FA4"/>
    <w:rsid w:val="004C098E"/>
    <w:rsid w:val="004C0B43"/>
    <w:rsid w:val="004C0E4E"/>
    <w:rsid w:val="004C10E5"/>
    <w:rsid w:val="004C1191"/>
    <w:rsid w:val="004C1885"/>
    <w:rsid w:val="004C1941"/>
    <w:rsid w:val="004C1B0A"/>
    <w:rsid w:val="004C1E79"/>
    <w:rsid w:val="004C20D5"/>
    <w:rsid w:val="004C28D0"/>
    <w:rsid w:val="004C2CCA"/>
    <w:rsid w:val="004C2D60"/>
    <w:rsid w:val="004C3882"/>
    <w:rsid w:val="004C3C3B"/>
    <w:rsid w:val="004C4051"/>
    <w:rsid w:val="004C49B0"/>
    <w:rsid w:val="004C4B7B"/>
    <w:rsid w:val="004C516C"/>
    <w:rsid w:val="004C537A"/>
    <w:rsid w:val="004C5AFD"/>
    <w:rsid w:val="004C5C8F"/>
    <w:rsid w:val="004C658C"/>
    <w:rsid w:val="004C72F7"/>
    <w:rsid w:val="004C7614"/>
    <w:rsid w:val="004C77A1"/>
    <w:rsid w:val="004C7E11"/>
    <w:rsid w:val="004D036B"/>
    <w:rsid w:val="004D0EF8"/>
    <w:rsid w:val="004D1050"/>
    <w:rsid w:val="004D1417"/>
    <w:rsid w:val="004D1573"/>
    <w:rsid w:val="004D1857"/>
    <w:rsid w:val="004D2A1F"/>
    <w:rsid w:val="004D2C34"/>
    <w:rsid w:val="004D3636"/>
    <w:rsid w:val="004D3880"/>
    <w:rsid w:val="004D3986"/>
    <w:rsid w:val="004D3CA4"/>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7153"/>
    <w:rsid w:val="004E71D4"/>
    <w:rsid w:val="004F0258"/>
    <w:rsid w:val="004F02A1"/>
    <w:rsid w:val="004F0493"/>
    <w:rsid w:val="004F05DC"/>
    <w:rsid w:val="004F0D1A"/>
    <w:rsid w:val="004F0F3A"/>
    <w:rsid w:val="004F1147"/>
    <w:rsid w:val="004F1C6C"/>
    <w:rsid w:val="004F1EE1"/>
    <w:rsid w:val="004F26B4"/>
    <w:rsid w:val="004F2E08"/>
    <w:rsid w:val="004F38A0"/>
    <w:rsid w:val="004F3E5B"/>
    <w:rsid w:val="004F40C1"/>
    <w:rsid w:val="004F48C8"/>
    <w:rsid w:val="004F506D"/>
    <w:rsid w:val="004F64BE"/>
    <w:rsid w:val="004F69F6"/>
    <w:rsid w:val="004F7307"/>
    <w:rsid w:val="004F7583"/>
    <w:rsid w:val="004F75D9"/>
    <w:rsid w:val="0050044D"/>
    <w:rsid w:val="00502AFA"/>
    <w:rsid w:val="005034AA"/>
    <w:rsid w:val="005034E5"/>
    <w:rsid w:val="00503B61"/>
    <w:rsid w:val="00503B94"/>
    <w:rsid w:val="00504258"/>
    <w:rsid w:val="00505C8C"/>
    <w:rsid w:val="00506677"/>
    <w:rsid w:val="00506968"/>
    <w:rsid w:val="00506B41"/>
    <w:rsid w:val="00506CF8"/>
    <w:rsid w:val="00506FA5"/>
    <w:rsid w:val="00506FA7"/>
    <w:rsid w:val="005079ED"/>
    <w:rsid w:val="00507BE8"/>
    <w:rsid w:val="00507C26"/>
    <w:rsid w:val="005100FA"/>
    <w:rsid w:val="005104A9"/>
    <w:rsid w:val="00510544"/>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4147"/>
    <w:rsid w:val="0052510A"/>
    <w:rsid w:val="005257C7"/>
    <w:rsid w:val="00525EFD"/>
    <w:rsid w:val="00526555"/>
    <w:rsid w:val="00527466"/>
    <w:rsid w:val="005274D8"/>
    <w:rsid w:val="00527574"/>
    <w:rsid w:val="00527777"/>
    <w:rsid w:val="00527910"/>
    <w:rsid w:val="00527D7A"/>
    <w:rsid w:val="00530550"/>
    <w:rsid w:val="005307BF"/>
    <w:rsid w:val="00530EA0"/>
    <w:rsid w:val="00530F8B"/>
    <w:rsid w:val="00531B3D"/>
    <w:rsid w:val="00531DEF"/>
    <w:rsid w:val="005323B8"/>
    <w:rsid w:val="005323D1"/>
    <w:rsid w:val="00532940"/>
    <w:rsid w:val="00532A84"/>
    <w:rsid w:val="00532B4F"/>
    <w:rsid w:val="00532EE4"/>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7D7"/>
    <w:rsid w:val="0053787E"/>
    <w:rsid w:val="0053792C"/>
    <w:rsid w:val="00537A07"/>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1F6A"/>
    <w:rsid w:val="00552177"/>
    <w:rsid w:val="0055218E"/>
    <w:rsid w:val="005521A2"/>
    <w:rsid w:val="005523DB"/>
    <w:rsid w:val="0055267B"/>
    <w:rsid w:val="00552AFC"/>
    <w:rsid w:val="00553373"/>
    <w:rsid w:val="00553EDC"/>
    <w:rsid w:val="00554602"/>
    <w:rsid w:val="00554775"/>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3BF0"/>
    <w:rsid w:val="0056434F"/>
    <w:rsid w:val="005646E7"/>
    <w:rsid w:val="005647BB"/>
    <w:rsid w:val="00564970"/>
    <w:rsid w:val="00564CB2"/>
    <w:rsid w:val="00565906"/>
    <w:rsid w:val="00565DF2"/>
    <w:rsid w:val="00566D25"/>
    <w:rsid w:val="00567126"/>
    <w:rsid w:val="005672BF"/>
    <w:rsid w:val="005675B0"/>
    <w:rsid w:val="005679A2"/>
    <w:rsid w:val="00567D39"/>
    <w:rsid w:val="00567FC9"/>
    <w:rsid w:val="0057153A"/>
    <w:rsid w:val="00571B87"/>
    <w:rsid w:val="005723FE"/>
    <w:rsid w:val="00572654"/>
    <w:rsid w:val="00572B1D"/>
    <w:rsid w:val="0057306C"/>
    <w:rsid w:val="0057319C"/>
    <w:rsid w:val="00573326"/>
    <w:rsid w:val="00574BB8"/>
    <w:rsid w:val="00575016"/>
    <w:rsid w:val="005753FE"/>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EF0"/>
    <w:rsid w:val="005901C6"/>
    <w:rsid w:val="005903B8"/>
    <w:rsid w:val="00590AB4"/>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1075"/>
    <w:rsid w:val="005A1376"/>
    <w:rsid w:val="005A1C5B"/>
    <w:rsid w:val="005A2299"/>
    <w:rsid w:val="005A2B71"/>
    <w:rsid w:val="005A35F5"/>
    <w:rsid w:val="005A4130"/>
    <w:rsid w:val="005A4DCD"/>
    <w:rsid w:val="005A54EF"/>
    <w:rsid w:val="005A5B90"/>
    <w:rsid w:val="005A5C15"/>
    <w:rsid w:val="005A5D2C"/>
    <w:rsid w:val="005A6286"/>
    <w:rsid w:val="005A6F57"/>
    <w:rsid w:val="005A73EE"/>
    <w:rsid w:val="005A776C"/>
    <w:rsid w:val="005A7997"/>
    <w:rsid w:val="005B021E"/>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45E4"/>
    <w:rsid w:val="005B5626"/>
    <w:rsid w:val="005B5A17"/>
    <w:rsid w:val="005B5BAC"/>
    <w:rsid w:val="005B5F94"/>
    <w:rsid w:val="005B5FE9"/>
    <w:rsid w:val="005B63FE"/>
    <w:rsid w:val="005B6E5C"/>
    <w:rsid w:val="005B77C9"/>
    <w:rsid w:val="005C0014"/>
    <w:rsid w:val="005C002A"/>
    <w:rsid w:val="005C0A8B"/>
    <w:rsid w:val="005C0A90"/>
    <w:rsid w:val="005C0AFC"/>
    <w:rsid w:val="005C0C3B"/>
    <w:rsid w:val="005C0D75"/>
    <w:rsid w:val="005C1AB2"/>
    <w:rsid w:val="005C1EF2"/>
    <w:rsid w:val="005C20D4"/>
    <w:rsid w:val="005C2338"/>
    <w:rsid w:val="005C2676"/>
    <w:rsid w:val="005C29FA"/>
    <w:rsid w:val="005C4F9E"/>
    <w:rsid w:val="005C59AA"/>
    <w:rsid w:val="005C5B93"/>
    <w:rsid w:val="005C5BB2"/>
    <w:rsid w:val="005C6473"/>
    <w:rsid w:val="005C6584"/>
    <w:rsid w:val="005C663B"/>
    <w:rsid w:val="005C6713"/>
    <w:rsid w:val="005C6AD7"/>
    <w:rsid w:val="005C6CCE"/>
    <w:rsid w:val="005C6DC0"/>
    <w:rsid w:val="005C7B9A"/>
    <w:rsid w:val="005D0197"/>
    <w:rsid w:val="005D08D8"/>
    <w:rsid w:val="005D0F2C"/>
    <w:rsid w:val="005D1179"/>
    <w:rsid w:val="005D129A"/>
    <w:rsid w:val="005D12EB"/>
    <w:rsid w:val="005D1490"/>
    <w:rsid w:val="005D16E4"/>
    <w:rsid w:val="005D17E5"/>
    <w:rsid w:val="005D1B42"/>
    <w:rsid w:val="005D1DC7"/>
    <w:rsid w:val="005D2A41"/>
    <w:rsid w:val="005D2FB0"/>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CF6"/>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4C34"/>
    <w:rsid w:val="005F5001"/>
    <w:rsid w:val="005F56AE"/>
    <w:rsid w:val="005F5C4C"/>
    <w:rsid w:val="005F5D1C"/>
    <w:rsid w:val="005F5F8F"/>
    <w:rsid w:val="005F6D48"/>
    <w:rsid w:val="005F6FFE"/>
    <w:rsid w:val="005F781A"/>
    <w:rsid w:val="006003BA"/>
    <w:rsid w:val="00600A0C"/>
    <w:rsid w:val="00600B25"/>
    <w:rsid w:val="006018F8"/>
    <w:rsid w:val="0060216E"/>
    <w:rsid w:val="00602E43"/>
    <w:rsid w:val="00603B2A"/>
    <w:rsid w:val="00604B22"/>
    <w:rsid w:val="00604B43"/>
    <w:rsid w:val="00605496"/>
    <w:rsid w:val="00606D5C"/>
    <w:rsid w:val="00606EE6"/>
    <w:rsid w:val="00606FF4"/>
    <w:rsid w:val="0061101A"/>
    <w:rsid w:val="006115FD"/>
    <w:rsid w:val="00611B6E"/>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915"/>
    <w:rsid w:val="00624D88"/>
    <w:rsid w:val="0062542B"/>
    <w:rsid w:val="00625B8E"/>
    <w:rsid w:val="00625DAA"/>
    <w:rsid w:val="00625E48"/>
    <w:rsid w:val="00626818"/>
    <w:rsid w:val="006271AA"/>
    <w:rsid w:val="00627424"/>
    <w:rsid w:val="00627761"/>
    <w:rsid w:val="006278AF"/>
    <w:rsid w:val="0062790C"/>
    <w:rsid w:val="006279EB"/>
    <w:rsid w:val="00627EBA"/>
    <w:rsid w:val="00630141"/>
    <w:rsid w:val="00630175"/>
    <w:rsid w:val="00630767"/>
    <w:rsid w:val="0063099E"/>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4"/>
    <w:rsid w:val="006430AC"/>
    <w:rsid w:val="006439C0"/>
    <w:rsid w:val="0064453D"/>
    <w:rsid w:val="00644FD3"/>
    <w:rsid w:val="00645453"/>
    <w:rsid w:val="00645A33"/>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6055C"/>
    <w:rsid w:val="00660CD4"/>
    <w:rsid w:val="006618E2"/>
    <w:rsid w:val="006619E4"/>
    <w:rsid w:val="00661CB3"/>
    <w:rsid w:val="006623C8"/>
    <w:rsid w:val="006626CC"/>
    <w:rsid w:val="00662B0F"/>
    <w:rsid w:val="00662D4A"/>
    <w:rsid w:val="00663C92"/>
    <w:rsid w:val="00663CD6"/>
    <w:rsid w:val="00664D82"/>
    <w:rsid w:val="00664FAA"/>
    <w:rsid w:val="006653B0"/>
    <w:rsid w:val="00665E8C"/>
    <w:rsid w:val="00665F3C"/>
    <w:rsid w:val="0066611E"/>
    <w:rsid w:val="00666E74"/>
    <w:rsid w:val="0067033F"/>
    <w:rsid w:val="0067140F"/>
    <w:rsid w:val="00672649"/>
    <w:rsid w:val="00672B20"/>
    <w:rsid w:val="00672CDF"/>
    <w:rsid w:val="00672F0E"/>
    <w:rsid w:val="00673873"/>
    <w:rsid w:val="00673A27"/>
    <w:rsid w:val="00673B8F"/>
    <w:rsid w:val="0067419B"/>
    <w:rsid w:val="00674F29"/>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13C0"/>
    <w:rsid w:val="006923D4"/>
    <w:rsid w:val="00692633"/>
    <w:rsid w:val="00692C22"/>
    <w:rsid w:val="00693613"/>
    <w:rsid w:val="00693634"/>
    <w:rsid w:val="006936F4"/>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1CD"/>
    <w:rsid w:val="006A32C3"/>
    <w:rsid w:val="006A37E7"/>
    <w:rsid w:val="006A40DE"/>
    <w:rsid w:val="006A4AE8"/>
    <w:rsid w:val="006A4EA7"/>
    <w:rsid w:val="006A4FFF"/>
    <w:rsid w:val="006A516F"/>
    <w:rsid w:val="006A5B17"/>
    <w:rsid w:val="006A5FD4"/>
    <w:rsid w:val="006A633E"/>
    <w:rsid w:val="006A6448"/>
    <w:rsid w:val="006A6B81"/>
    <w:rsid w:val="006A7087"/>
    <w:rsid w:val="006A7231"/>
    <w:rsid w:val="006A7251"/>
    <w:rsid w:val="006A7754"/>
    <w:rsid w:val="006A7AC5"/>
    <w:rsid w:val="006B078C"/>
    <w:rsid w:val="006B111C"/>
    <w:rsid w:val="006B124D"/>
    <w:rsid w:val="006B145E"/>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10E2"/>
    <w:rsid w:val="006C137A"/>
    <w:rsid w:val="006C25C4"/>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3E1"/>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3398"/>
    <w:rsid w:val="006E4229"/>
    <w:rsid w:val="006E5456"/>
    <w:rsid w:val="006E5589"/>
    <w:rsid w:val="006E5A5E"/>
    <w:rsid w:val="006E5D02"/>
    <w:rsid w:val="006E6037"/>
    <w:rsid w:val="006E667B"/>
    <w:rsid w:val="006E692D"/>
    <w:rsid w:val="006E7038"/>
    <w:rsid w:val="006E7961"/>
    <w:rsid w:val="006E7CFB"/>
    <w:rsid w:val="006E7DEB"/>
    <w:rsid w:val="006F0E09"/>
    <w:rsid w:val="006F15B8"/>
    <w:rsid w:val="006F27A4"/>
    <w:rsid w:val="006F3FAA"/>
    <w:rsid w:val="006F4292"/>
    <w:rsid w:val="006F4489"/>
    <w:rsid w:val="006F4832"/>
    <w:rsid w:val="006F4856"/>
    <w:rsid w:val="006F4958"/>
    <w:rsid w:val="006F5337"/>
    <w:rsid w:val="006F5746"/>
    <w:rsid w:val="006F62F1"/>
    <w:rsid w:val="006F66AE"/>
    <w:rsid w:val="006F674B"/>
    <w:rsid w:val="006F6985"/>
    <w:rsid w:val="006F69ED"/>
    <w:rsid w:val="006F7190"/>
    <w:rsid w:val="00700135"/>
    <w:rsid w:val="007005B6"/>
    <w:rsid w:val="00700A09"/>
    <w:rsid w:val="00700F06"/>
    <w:rsid w:val="00701050"/>
    <w:rsid w:val="00701611"/>
    <w:rsid w:val="00701AE8"/>
    <w:rsid w:val="00701B9A"/>
    <w:rsid w:val="00701FFC"/>
    <w:rsid w:val="00702F23"/>
    <w:rsid w:val="00703E9A"/>
    <w:rsid w:val="00704FFE"/>
    <w:rsid w:val="00705070"/>
    <w:rsid w:val="007050E6"/>
    <w:rsid w:val="00705D19"/>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305A"/>
    <w:rsid w:val="00713D30"/>
    <w:rsid w:val="00714521"/>
    <w:rsid w:val="00714C6B"/>
    <w:rsid w:val="0071501A"/>
    <w:rsid w:val="00715597"/>
    <w:rsid w:val="007165B6"/>
    <w:rsid w:val="00716C40"/>
    <w:rsid w:val="00716DCF"/>
    <w:rsid w:val="00717250"/>
    <w:rsid w:val="00717BF0"/>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B86"/>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CE4"/>
    <w:rsid w:val="00743DE5"/>
    <w:rsid w:val="00743F6E"/>
    <w:rsid w:val="00744888"/>
    <w:rsid w:val="00744E38"/>
    <w:rsid w:val="007458EE"/>
    <w:rsid w:val="00745A2C"/>
    <w:rsid w:val="00745BC4"/>
    <w:rsid w:val="00745BD7"/>
    <w:rsid w:val="0074642E"/>
    <w:rsid w:val="0074647F"/>
    <w:rsid w:val="00746A07"/>
    <w:rsid w:val="00746FB0"/>
    <w:rsid w:val="007475F5"/>
    <w:rsid w:val="007478CE"/>
    <w:rsid w:val="00747B60"/>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069"/>
    <w:rsid w:val="00757B40"/>
    <w:rsid w:val="00757C47"/>
    <w:rsid w:val="00757EB3"/>
    <w:rsid w:val="00760589"/>
    <w:rsid w:val="00760EAE"/>
    <w:rsid w:val="00761B8E"/>
    <w:rsid w:val="00761CDF"/>
    <w:rsid w:val="00762431"/>
    <w:rsid w:val="00762691"/>
    <w:rsid w:val="0076285E"/>
    <w:rsid w:val="00762AA2"/>
    <w:rsid w:val="00762AD5"/>
    <w:rsid w:val="00762D65"/>
    <w:rsid w:val="00762FA6"/>
    <w:rsid w:val="00763462"/>
    <w:rsid w:val="00763A47"/>
    <w:rsid w:val="00763CFD"/>
    <w:rsid w:val="00764784"/>
    <w:rsid w:val="00764E01"/>
    <w:rsid w:val="007651F5"/>
    <w:rsid w:val="00765424"/>
    <w:rsid w:val="0076567B"/>
    <w:rsid w:val="0076569A"/>
    <w:rsid w:val="00765BFA"/>
    <w:rsid w:val="00765EAC"/>
    <w:rsid w:val="00766054"/>
    <w:rsid w:val="007667F1"/>
    <w:rsid w:val="00766937"/>
    <w:rsid w:val="0076748C"/>
    <w:rsid w:val="00767C0A"/>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956"/>
    <w:rsid w:val="00772B15"/>
    <w:rsid w:val="0077325B"/>
    <w:rsid w:val="0077346C"/>
    <w:rsid w:val="007734A0"/>
    <w:rsid w:val="00773CD5"/>
    <w:rsid w:val="00773ED4"/>
    <w:rsid w:val="007746C6"/>
    <w:rsid w:val="00774B61"/>
    <w:rsid w:val="00775795"/>
    <w:rsid w:val="007765AF"/>
    <w:rsid w:val="0077795C"/>
    <w:rsid w:val="00780A92"/>
    <w:rsid w:val="00781584"/>
    <w:rsid w:val="0078210E"/>
    <w:rsid w:val="0078223E"/>
    <w:rsid w:val="007825C7"/>
    <w:rsid w:val="00782D5A"/>
    <w:rsid w:val="00783A91"/>
    <w:rsid w:val="007841EE"/>
    <w:rsid w:val="007846D2"/>
    <w:rsid w:val="00784AE2"/>
    <w:rsid w:val="00784BE1"/>
    <w:rsid w:val="007859B0"/>
    <w:rsid w:val="00785B9F"/>
    <w:rsid w:val="0078624D"/>
    <w:rsid w:val="0078667C"/>
    <w:rsid w:val="007866C8"/>
    <w:rsid w:val="007871DC"/>
    <w:rsid w:val="00787310"/>
    <w:rsid w:val="00787327"/>
    <w:rsid w:val="007905F9"/>
    <w:rsid w:val="00790A5D"/>
    <w:rsid w:val="00790CAC"/>
    <w:rsid w:val="00790E2F"/>
    <w:rsid w:val="0079109C"/>
    <w:rsid w:val="007910F2"/>
    <w:rsid w:val="007915DA"/>
    <w:rsid w:val="007918EB"/>
    <w:rsid w:val="00791944"/>
    <w:rsid w:val="0079268E"/>
    <w:rsid w:val="007928B4"/>
    <w:rsid w:val="00792E10"/>
    <w:rsid w:val="007933D8"/>
    <w:rsid w:val="0079414E"/>
    <w:rsid w:val="00794ABA"/>
    <w:rsid w:val="00794B20"/>
    <w:rsid w:val="007957BA"/>
    <w:rsid w:val="00795B48"/>
    <w:rsid w:val="00795BD0"/>
    <w:rsid w:val="00795E9F"/>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982"/>
    <w:rsid w:val="007A3FC3"/>
    <w:rsid w:val="007A4C68"/>
    <w:rsid w:val="007A4DB6"/>
    <w:rsid w:val="007A4FDF"/>
    <w:rsid w:val="007A50AC"/>
    <w:rsid w:val="007A5D90"/>
    <w:rsid w:val="007A6186"/>
    <w:rsid w:val="007A6318"/>
    <w:rsid w:val="007A66A9"/>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719"/>
    <w:rsid w:val="007B4CF0"/>
    <w:rsid w:val="007B4F86"/>
    <w:rsid w:val="007B5E8D"/>
    <w:rsid w:val="007B5FAD"/>
    <w:rsid w:val="007B6008"/>
    <w:rsid w:val="007B6277"/>
    <w:rsid w:val="007B64E8"/>
    <w:rsid w:val="007B6A79"/>
    <w:rsid w:val="007B6F47"/>
    <w:rsid w:val="007B7011"/>
    <w:rsid w:val="007B73EE"/>
    <w:rsid w:val="007B76FC"/>
    <w:rsid w:val="007B7724"/>
    <w:rsid w:val="007B7FAB"/>
    <w:rsid w:val="007C010B"/>
    <w:rsid w:val="007C026A"/>
    <w:rsid w:val="007C0DC1"/>
    <w:rsid w:val="007C107C"/>
    <w:rsid w:val="007C1255"/>
    <w:rsid w:val="007C18CD"/>
    <w:rsid w:val="007C1BD4"/>
    <w:rsid w:val="007C1EA8"/>
    <w:rsid w:val="007C2003"/>
    <w:rsid w:val="007C2C40"/>
    <w:rsid w:val="007C2F11"/>
    <w:rsid w:val="007C3309"/>
    <w:rsid w:val="007C3A5A"/>
    <w:rsid w:val="007C3A87"/>
    <w:rsid w:val="007C3AAC"/>
    <w:rsid w:val="007C440E"/>
    <w:rsid w:val="007C49C5"/>
    <w:rsid w:val="007C4F6D"/>
    <w:rsid w:val="007C59D6"/>
    <w:rsid w:val="007C5DD3"/>
    <w:rsid w:val="007C6BD6"/>
    <w:rsid w:val="007C6F22"/>
    <w:rsid w:val="007C744E"/>
    <w:rsid w:val="007C7515"/>
    <w:rsid w:val="007C7D68"/>
    <w:rsid w:val="007C7EBF"/>
    <w:rsid w:val="007D1295"/>
    <w:rsid w:val="007D1D44"/>
    <w:rsid w:val="007D1EF0"/>
    <w:rsid w:val="007D2460"/>
    <w:rsid w:val="007D24DC"/>
    <w:rsid w:val="007D26A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4A3C"/>
    <w:rsid w:val="007E508C"/>
    <w:rsid w:val="007E5100"/>
    <w:rsid w:val="007E52EE"/>
    <w:rsid w:val="007E5987"/>
    <w:rsid w:val="007E62FC"/>
    <w:rsid w:val="007E728A"/>
    <w:rsid w:val="007F0504"/>
    <w:rsid w:val="007F080C"/>
    <w:rsid w:val="007F13BC"/>
    <w:rsid w:val="007F14B7"/>
    <w:rsid w:val="007F15C2"/>
    <w:rsid w:val="007F1969"/>
    <w:rsid w:val="007F1CD1"/>
    <w:rsid w:val="007F25A8"/>
    <w:rsid w:val="007F2709"/>
    <w:rsid w:val="007F2CEC"/>
    <w:rsid w:val="007F3776"/>
    <w:rsid w:val="007F3E78"/>
    <w:rsid w:val="007F5244"/>
    <w:rsid w:val="007F6713"/>
    <w:rsid w:val="007F7386"/>
    <w:rsid w:val="007F78F7"/>
    <w:rsid w:val="007F7BB4"/>
    <w:rsid w:val="00800D9E"/>
    <w:rsid w:val="00801142"/>
    <w:rsid w:val="00802121"/>
    <w:rsid w:val="00802155"/>
    <w:rsid w:val="008022EB"/>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D3D"/>
    <w:rsid w:val="00820EA8"/>
    <w:rsid w:val="00821018"/>
    <w:rsid w:val="008213A6"/>
    <w:rsid w:val="0082161F"/>
    <w:rsid w:val="00821BC6"/>
    <w:rsid w:val="00822572"/>
    <w:rsid w:val="00822615"/>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53E"/>
    <w:rsid w:val="00835C0A"/>
    <w:rsid w:val="0083685F"/>
    <w:rsid w:val="00836E6F"/>
    <w:rsid w:val="00837350"/>
    <w:rsid w:val="00837514"/>
    <w:rsid w:val="00837759"/>
    <w:rsid w:val="00837831"/>
    <w:rsid w:val="0084068A"/>
    <w:rsid w:val="008407DB"/>
    <w:rsid w:val="00840C41"/>
    <w:rsid w:val="00840D8A"/>
    <w:rsid w:val="008419E1"/>
    <w:rsid w:val="00841B61"/>
    <w:rsid w:val="008428BB"/>
    <w:rsid w:val="00842F37"/>
    <w:rsid w:val="00843C2E"/>
    <w:rsid w:val="00843CFF"/>
    <w:rsid w:val="00844820"/>
    <w:rsid w:val="00844E76"/>
    <w:rsid w:val="00845742"/>
    <w:rsid w:val="00845BF0"/>
    <w:rsid w:val="00845BF3"/>
    <w:rsid w:val="0084660A"/>
    <w:rsid w:val="00846DB2"/>
    <w:rsid w:val="00846E81"/>
    <w:rsid w:val="00847138"/>
    <w:rsid w:val="0084720D"/>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15A"/>
    <w:rsid w:val="00860460"/>
    <w:rsid w:val="0086054C"/>
    <w:rsid w:val="00860B6C"/>
    <w:rsid w:val="00860FDA"/>
    <w:rsid w:val="008612A0"/>
    <w:rsid w:val="00861820"/>
    <w:rsid w:val="00861BB3"/>
    <w:rsid w:val="00861C40"/>
    <w:rsid w:val="00862022"/>
    <w:rsid w:val="008623AD"/>
    <w:rsid w:val="00862610"/>
    <w:rsid w:val="00862654"/>
    <w:rsid w:val="008629D5"/>
    <w:rsid w:val="00862A17"/>
    <w:rsid w:val="008631DB"/>
    <w:rsid w:val="008633DA"/>
    <w:rsid w:val="00863CCE"/>
    <w:rsid w:val="00864C01"/>
    <w:rsid w:val="00864C0F"/>
    <w:rsid w:val="00864D9E"/>
    <w:rsid w:val="00864E12"/>
    <w:rsid w:val="00866286"/>
    <w:rsid w:val="00866D27"/>
    <w:rsid w:val="00866ECD"/>
    <w:rsid w:val="00866F5E"/>
    <w:rsid w:val="00867225"/>
    <w:rsid w:val="00867240"/>
    <w:rsid w:val="00867387"/>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57F1"/>
    <w:rsid w:val="00875DD6"/>
    <w:rsid w:val="008764C4"/>
    <w:rsid w:val="00876576"/>
    <w:rsid w:val="008765A9"/>
    <w:rsid w:val="008769AC"/>
    <w:rsid w:val="00876C05"/>
    <w:rsid w:val="00876CEE"/>
    <w:rsid w:val="00876EFF"/>
    <w:rsid w:val="008773DD"/>
    <w:rsid w:val="008775FD"/>
    <w:rsid w:val="008776FF"/>
    <w:rsid w:val="00877E5B"/>
    <w:rsid w:val="0088014A"/>
    <w:rsid w:val="00880592"/>
    <w:rsid w:val="008813E4"/>
    <w:rsid w:val="00881974"/>
    <w:rsid w:val="00881BE1"/>
    <w:rsid w:val="008823D0"/>
    <w:rsid w:val="00882D7C"/>
    <w:rsid w:val="008838DA"/>
    <w:rsid w:val="008845DE"/>
    <w:rsid w:val="008847B1"/>
    <w:rsid w:val="00884E47"/>
    <w:rsid w:val="00884F18"/>
    <w:rsid w:val="00885503"/>
    <w:rsid w:val="00885AC2"/>
    <w:rsid w:val="0088664D"/>
    <w:rsid w:val="008866E2"/>
    <w:rsid w:val="00886DED"/>
    <w:rsid w:val="00886E16"/>
    <w:rsid w:val="00887372"/>
    <w:rsid w:val="00887383"/>
    <w:rsid w:val="00887714"/>
    <w:rsid w:val="00887AA9"/>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85E"/>
    <w:rsid w:val="008939F1"/>
    <w:rsid w:val="00895313"/>
    <w:rsid w:val="00896D36"/>
    <w:rsid w:val="0089718E"/>
    <w:rsid w:val="008978EA"/>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2B63"/>
    <w:rsid w:val="008B3809"/>
    <w:rsid w:val="008B3AA1"/>
    <w:rsid w:val="008B3B73"/>
    <w:rsid w:val="008B3FBB"/>
    <w:rsid w:val="008B4B5B"/>
    <w:rsid w:val="008B5321"/>
    <w:rsid w:val="008B5AE2"/>
    <w:rsid w:val="008B5CA9"/>
    <w:rsid w:val="008B5F88"/>
    <w:rsid w:val="008B6217"/>
    <w:rsid w:val="008B7E6C"/>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BC6"/>
    <w:rsid w:val="008C4D49"/>
    <w:rsid w:val="008C501A"/>
    <w:rsid w:val="008C50BB"/>
    <w:rsid w:val="008C535F"/>
    <w:rsid w:val="008C5CBC"/>
    <w:rsid w:val="008C66D3"/>
    <w:rsid w:val="008C674F"/>
    <w:rsid w:val="008C76F4"/>
    <w:rsid w:val="008C7ACE"/>
    <w:rsid w:val="008D027D"/>
    <w:rsid w:val="008D06AD"/>
    <w:rsid w:val="008D0C39"/>
    <w:rsid w:val="008D1311"/>
    <w:rsid w:val="008D1A6A"/>
    <w:rsid w:val="008D2729"/>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0828"/>
    <w:rsid w:val="008E123E"/>
    <w:rsid w:val="008E16AD"/>
    <w:rsid w:val="008E1DFD"/>
    <w:rsid w:val="008E256D"/>
    <w:rsid w:val="008E2774"/>
    <w:rsid w:val="008E2B72"/>
    <w:rsid w:val="008E2F39"/>
    <w:rsid w:val="008E3609"/>
    <w:rsid w:val="008E3B41"/>
    <w:rsid w:val="008E40BA"/>
    <w:rsid w:val="008E4B87"/>
    <w:rsid w:val="008E616B"/>
    <w:rsid w:val="008E648C"/>
    <w:rsid w:val="008E7783"/>
    <w:rsid w:val="008E7FCE"/>
    <w:rsid w:val="008F0118"/>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8F7D81"/>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1C1"/>
    <w:rsid w:val="009141FF"/>
    <w:rsid w:val="00914227"/>
    <w:rsid w:val="0091427B"/>
    <w:rsid w:val="00914409"/>
    <w:rsid w:val="00914EA8"/>
    <w:rsid w:val="00915065"/>
    <w:rsid w:val="0091536C"/>
    <w:rsid w:val="00915757"/>
    <w:rsid w:val="00917F2D"/>
    <w:rsid w:val="009207CD"/>
    <w:rsid w:val="00920A06"/>
    <w:rsid w:val="00920B58"/>
    <w:rsid w:val="009211EF"/>
    <w:rsid w:val="0092136C"/>
    <w:rsid w:val="009222B9"/>
    <w:rsid w:val="00922D3B"/>
    <w:rsid w:val="00923129"/>
    <w:rsid w:val="009237DD"/>
    <w:rsid w:val="00923AB6"/>
    <w:rsid w:val="00924B20"/>
    <w:rsid w:val="00924BF6"/>
    <w:rsid w:val="00925177"/>
    <w:rsid w:val="00925F29"/>
    <w:rsid w:val="00926068"/>
    <w:rsid w:val="00926FA6"/>
    <w:rsid w:val="00930327"/>
    <w:rsid w:val="00930360"/>
    <w:rsid w:val="00930D11"/>
    <w:rsid w:val="00931035"/>
    <w:rsid w:val="00932246"/>
    <w:rsid w:val="009323FF"/>
    <w:rsid w:val="00932711"/>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172D"/>
    <w:rsid w:val="009617C1"/>
    <w:rsid w:val="00961DF4"/>
    <w:rsid w:val="00962746"/>
    <w:rsid w:val="0096306A"/>
    <w:rsid w:val="009634EE"/>
    <w:rsid w:val="009636AA"/>
    <w:rsid w:val="009637B1"/>
    <w:rsid w:val="00964082"/>
    <w:rsid w:val="009658FD"/>
    <w:rsid w:val="00965EBA"/>
    <w:rsid w:val="00965F4D"/>
    <w:rsid w:val="00966346"/>
    <w:rsid w:val="00966408"/>
    <w:rsid w:val="00967037"/>
    <w:rsid w:val="0096735B"/>
    <w:rsid w:val="009702FC"/>
    <w:rsid w:val="00970D5F"/>
    <w:rsid w:val="00970FA1"/>
    <w:rsid w:val="0097192A"/>
    <w:rsid w:val="00971B29"/>
    <w:rsid w:val="009734C8"/>
    <w:rsid w:val="009735F3"/>
    <w:rsid w:val="00973641"/>
    <w:rsid w:val="00973705"/>
    <w:rsid w:val="0097379F"/>
    <w:rsid w:val="0097420D"/>
    <w:rsid w:val="00974BE3"/>
    <w:rsid w:val="009753C7"/>
    <w:rsid w:val="009755AB"/>
    <w:rsid w:val="009758E7"/>
    <w:rsid w:val="00976038"/>
    <w:rsid w:val="009766C3"/>
    <w:rsid w:val="009769A3"/>
    <w:rsid w:val="009773DD"/>
    <w:rsid w:val="009774A1"/>
    <w:rsid w:val="0097750C"/>
    <w:rsid w:val="009778D0"/>
    <w:rsid w:val="00977A64"/>
    <w:rsid w:val="00980C72"/>
    <w:rsid w:val="00980E3A"/>
    <w:rsid w:val="009819B2"/>
    <w:rsid w:val="00981AEF"/>
    <w:rsid w:val="00982475"/>
    <w:rsid w:val="009824AA"/>
    <w:rsid w:val="00982817"/>
    <w:rsid w:val="00983A5D"/>
    <w:rsid w:val="009843B2"/>
    <w:rsid w:val="00984580"/>
    <w:rsid w:val="00984D5E"/>
    <w:rsid w:val="00984FC4"/>
    <w:rsid w:val="00984FFC"/>
    <w:rsid w:val="00985567"/>
    <w:rsid w:val="00985897"/>
    <w:rsid w:val="00985ED3"/>
    <w:rsid w:val="009875B8"/>
    <w:rsid w:val="0098763D"/>
    <w:rsid w:val="00987CB7"/>
    <w:rsid w:val="009901DB"/>
    <w:rsid w:val="0099048A"/>
    <w:rsid w:val="009905FC"/>
    <w:rsid w:val="00990811"/>
    <w:rsid w:val="00990B6F"/>
    <w:rsid w:val="00990F24"/>
    <w:rsid w:val="00991234"/>
    <w:rsid w:val="00991828"/>
    <w:rsid w:val="0099200A"/>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57B8"/>
    <w:rsid w:val="009A5BC9"/>
    <w:rsid w:val="009A6292"/>
    <w:rsid w:val="009A62D0"/>
    <w:rsid w:val="009A646B"/>
    <w:rsid w:val="009A6528"/>
    <w:rsid w:val="009A7783"/>
    <w:rsid w:val="009A78E8"/>
    <w:rsid w:val="009A7FD5"/>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4947"/>
    <w:rsid w:val="009D5597"/>
    <w:rsid w:val="009D57B6"/>
    <w:rsid w:val="009D5CCC"/>
    <w:rsid w:val="009D5EB2"/>
    <w:rsid w:val="009D60D3"/>
    <w:rsid w:val="009D693E"/>
    <w:rsid w:val="009D723D"/>
    <w:rsid w:val="009D7A62"/>
    <w:rsid w:val="009D7C21"/>
    <w:rsid w:val="009D7FEF"/>
    <w:rsid w:val="009E02CC"/>
    <w:rsid w:val="009E0328"/>
    <w:rsid w:val="009E065E"/>
    <w:rsid w:val="009E084F"/>
    <w:rsid w:val="009E1368"/>
    <w:rsid w:val="009E1373"/>
    <w:rsid w:val="009E1466"/>
    <w:rsid w:val="009E1649"/>
    <w:rsid w:val="009E21CC"/>
    <w:rsid w:val="009E2653"/>
    <w:rsid w:val="009E3271"/>
    <w:rsid w:val="009E38D3"/>
    <w:rsid w:val="009E3907"/>
    <w:rsid w:val="009E3BE0"/>
    <w:rsid w:val="009E47B7"/>
    <w:rsid w:val="009E48A6"/>
    <w:rsid w:val="009E4A74"/>
    <w:rsid w:val="009E55A9"/>
    <w:rsid w:val="009E5FD3"/>
    <w:rsid w:val="009E5FE5"/>
    <w:rsid w:val="009E604C"/>
    <w:rsid w:val="009E6934"/>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ACA"/>
    <w:rsid w:val="009F2AEB"/>
    <w:rsid w:val="009F2B85"/>
    <w:rsid w:val="009F2CDB"/>
    <w:rsid w:val="009F2E61"/>
    <w:rsid w:val="009F4009"/>
    <w:rsid w:val="009F41B9"/>
    <w:rsid w:val="009F4791"/>
    <w:rsid w:val="009F4E4E"/>
    <w:rsid w:val="009F5239"/>
    <w:rsid w:val="009F5B39"/>
    <w:rsid w:val="009F5DD0"/>
    <w:rsid w:val="009F665F"/>
    <w:rsid w:val="009F7307"/>
    <w:rsid w:val="009F7710"/>
    <w:rsid w:val="00A0077E"/>
    <w:rsid w:val="00A008B2"/>
    <w:rsid w:val="00A00BED"/>
    <w:rsid w:val="00A01465"/>
    <w:rsid w:val="00A023D7"/>
    <w:rsid w:val="00A0243F"/>
    <w:rsid w:val="00A02844"/>
    <w:rsid w:val="00A038AC"/>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073C"/>
    <w:rsid w:val="00A1114D"/>
    <w:rsid w:val="00A1123A"/>
    <w:rsid w:val="00A115BA"/>
    <w:rsid w:val="00A1211D"/>
    <w:rsid w:val="00A12260"/>
    <w:rsid w:val="00A12D3A"/>
    <w:rsid w:val="00A12F20"/>
    <w:rsid w:val="00A13095"/>
    <w:rsid w:val="00A1314F"/>
    <w:rsid w:val="00A13BF0"/>
    <w:rsid w:val="00A13E9D"/>
    <w:rsid w:val="00A155CD"/>
    <w:rsid w:val="00A156CE"/>
    <w:rsid w:val="00A1593C"/>
    <w:rsid w:val="00A15A2F"/>
    <w:rsid w:val="00A16528"/>
    <w:rsid w:val="00A16CEB"/>
    <w:rsid w:val="00A175EA"/>
    <w:rsid w:val="00A20592"/>
    <w:rsid w:val="00A213EE"/>
    <w:rsid w:val="00A2150D"/>
    <w:rsid w:val="00A21987"/>
    <w:rsid w:val="00A21DA8"/>
    <w:rsid w:val="00A22602"/>
    <w:rsid w:val="00A2292A"/>
    <w:rsid w:val="00A22C27"/>
    <w:rsid w:val="00A22DA8"/>
    <w:rsid w:val="00A23642"/>
    <w:rsid w:val="00A238E4"/>
    <w:rsid w:val="00A23913"/>
    <w:rsid w:val="00A23A96"/>
    <w:rsid w:val="00A2435E"/>
    <w:rsid w:val="00A25055"/>
    <w:rsid w:val="00A258CA"/>
    <w:rsid w:val="00A26448"/>
    <w:rsid w:val="00A268AE"/>
    <w:rsid w:val="00A2697E"/>
    <w:rsid w:val="00A27A14"/>
    <w:rsid w:val="00A27D75"/>
    <w:rsid w:val="00A27F6E"/>
    <w:rsid w:val="00A301D7"/>
    <w:rsid w:val="00A305A8"/>
    <w:rsid w:val="00A3147F"/>
    <w:rsid w:val="00A31C14"/>
    <w:rsid w:val="00A31E84"/>
    <w:rsid w:val="00A322B3"/>
    <w:rsid w:val="00A32AC9"/>
    <w:rsid w:val="00A3332F"/>
    <w:rsid w:val="00A33872"/>
    <w:rsid w:val="00A34DA5"/>
    <w:rsid w:val="00A35713"/>
    <w:rsid w:val="00A357EA"/>
    <w:rsid w:val="00A37000"/>
    <w:rsid w:val="00A378A4"/>
    <w:rsid w:val="00A37FB1"/>
    <w:rsid w:val="00A4049C"/>
    <w:rsid w:val="00A41411"/>
    <w:rsid w:val="00A4174A"/>
    <w:rsid w:val="00A42039"/>
    <w:rsid w:val="00A42801"/>
    <w:rsid w:val="00A42944"/>
    <w:rsid w:val="00A431F9"/>
    <w:rsid w:val="00A43749"/>
    <w:rsid w:val="00A43832"/>
    <w:rsid w:val="00A439AF"/>
    <w:rsid w:val="00A45024"/>
    <w:rsid w:val="00A4522B"/>
    <w:rsid w:val="00A455E3"/>
    <w:rsid w:val="00A4578A"/>
    <w:rsid w:val="00A46913"/>
    <w:rsid w:val="00A46A53"/>
    <w:rsid w:val="00A47763"/>
    <w:rsid w:val="00A47891"/>
    <w:rsid w:val="00A47985"/>
    <w:rsid w:val="00A47A3D"/>
    <w:rsid w:val="00A503B6"/>
    <w:rsid w:val="00A5158C"/>
    <w:rsid w:val="00A51971"/>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4A6"/>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17F"/>
    <w:rsid w:val="00A6625C"/>
    <w:rsid w:val="00A6629F"/>
    <w:rsid w:val="00A666B8"/>
    <w:rsid w:val="00A67399"/>
    <w:rsid w:val="00A709F6"/>
    <w:rsid w:val="00A7117A"/>
    <w:rsid w:val="00A717D7"/>
    <w:rsid w:val="00A718E3"/>
    <w:rsid w:val="00A71C19"/>
    <w:rsid w:val="00A728CC"/>
    <w:rsid w:val="00A72A86"/>
    <w:rsid w:val="00A72AAA"/>
    <w:rsid w:val="00A72B3C"/>
    <w:rsid w:val="00A734C1"/>
    <w:rsid w:val="00A73E75"/>
    <w:rsid w:val="00A73FA2"/>
    <w:rsid w:val="00A74483"/>
    <w:rsid w:val="00A747B4"/>
    <w:rsid w:val="00A7499E"/>
    <w:rsid w:val="00A74A70"/>
    <w:rsid w:val="00A74B24"/>
    <w:rsid w:val="00A74ED0"/>
    <w:rsid w:val="00A75095"/>
    <w:rsid w:val="00A75780"/>
    <w:rsid w:val="00A75929"/>
    <w:rsid w:val="00A76467"/>
    <w:rsid w:val="00A76AA6"/>
    <w:rsid w:val="00A76F2F"/>
    <w:rsid w:val="00A778E5"/>
    <w:rsid w:val="00A7793C"/>
    <w:rsid w:val="00A77C29"/>
    <w:rsid w:val="00A77C72"/>
    <w:rsid w:val="00A77DD5"/>
    <w:rsid w:val="00A8025F"/>
    <w:rsid w:val="00A8034E"/>
    <w:rsid w:val="00A8134F"/>
    <w:rsid w:val="00A81555"/>
    <w:rsid w:val="00A8158D"/>
    <w:rsid w:val="00A81E32"/>
    <w:rsid w:val="00A822F3"/>
    <w:rsid w:val="00A82363"/>
    <w:rsid w:val="00A83454"/>
    <w:rsid w:val="00A8364E"/>
    <w:rsid w:val="00A83953"/>
    <w:rsid w:val="00A839E1"/>
    <w:rsid w:val="00A83D5F"/>
    <w:rsid w:val="00A83FE6"/>
    <w:rsid w:val="00A84893"/>
    <w:rsid w:val="00A84B08"/>
    <w:rsid w:val="00A851AF"/>
    <w:rsid w:val="00A85474"/>
    <w:rsid w:val="00A85E23"/>
    <w:rsid w:val="00A86063"/>
    <w:rsid w:val="00A86199"/>
    <w:rsid w:val="00A8644F"/>
    <w:rsid w:val="00A865A2"/>
    <w:rsid w:val="00A86B8A"/>
    <w:rsid w:val="00A86E47"/>
    <w:rsid w:val="00A86EB5"/>
    <w:rsid w:val="00A86F26"/>
    <w:rsid w:val="00A874C5"/>
    <w:rsid w:val="00A876FA"/>
    <w:rsid w:val="00A908A8"/>
    <w:rsid w:val="00A90F5E"/>
    <w:rsid w:val="00A915F0"/>
    <w:rsid w:val="00A9176A"/>
    <w:rsid w:val="00A91BF7"/>
    <w:rsid w:val="00A91EF4"/>
    <w:rsid w:val="00A934EB"/>
    <w:rsid w:val="00A93704"/>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4C"/>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1665"/>
    <w:rsid w:val="00AB2338"/>
    <w:rsid w:val="00AB4133"/>
    <w:rsid w:val="00AB421D"/>
    <w:rsid w:val="00AB42D2"/>
    <w:rsid w:val="00AB4971"/>
    <w:rsid w:val="00AB4B6B"/>
    <w:rsid w:val="00AB55C7"/>
    <w:rsid w:val="00AB57A2"/>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A6C"/>
    <w:rsid w:val="00AC3D94"/>
    <w:rsid w:val="00AC3FDF"/>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2034"/>
    <w:rsid w:val="00AE23EE"/>
    <w:rsid w:val="00AE2768"/>
    <w:rsid w:val="00AE2893"/>
    <w:rsid w:val="00AE2ABE"/>
    <w:rsid w:val="00AE2E62"/>
    <w:rsid w:val="00AE3505"/>
    <w:rsid w:val="00AE3D60"/>
    <w:rsid w:val="00AE4286"/>
    <w:rsid w:val="00AE4803"/>
    <w:rsid w:val="00AE4D38"/>
    <w:rsid w:val="00AE4D50"/>
    <w:rsid w:val="00AE4DF1"/>
    <w:rsid w:val="00AE4E6D"/>
    <w:rsid w:val="00AE5278"/>
    <w:rsid w:val="00AE542A"/>
    <w:rsid w:val="00AE589D"/>
    <w:rsid w:val="00AE5B02"/>
    <w:rsid w:val="00AE6096"/>
    <w:rsid w:val="00AE661A"/>
    <w:rsid w:val="00AF0493"/>
    <w:rsid w:val="00AF04F3"/>
    <w:rsid w:val="00AF0EFC"/>
    <w:rsid w:val="00AF0FC5"/>
    <w:rsid w:val="00AF1C02"/>
    <w:rsid w:val="00AF1E0A"/>
    <w:rsid w:val="00AF31D7"/>
    <w:rsid w:val="00AF3CFD"/>
    <w:rsid w:val="00AF3E1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2881"/>
    <w:rsid w:val="00B035CC"/>
    <w:rsid w:val="00B039DD"/>
    <w:rsid w:val="00B0421D"/>
    <w:rsid w:val="00B0462E"/>
    <w:rsid w:val="00B04ED9"/>
    <w:rsid w:val="00B064F7"/>
    <w:rsid w:val="00B070CF"/>
    <w:rsid w:val="00B07FC8"/>
    <w:rsid w:val="00B10023"/>
    <w:rsid w:val="00B10153"/>
    <w:rsid w:val="00B10184"/>
    <w:rsid w:val="00B10229"/>
    <w:rsid w:val="00B1088E"/>
    <w:rsid w:val="00B10BE2"/>
    <w:rsid w:val="00B10C94"/>
    <w:rsid w:val="00B10D08"/>
    <w:rsid w:val="00B10D1A"/>
    <w:rsid w:val="00B10EF8"/>
    <w:rsid w:val="00B1179C"/>
    <w:rsid w:val="00B117F8"/>
    <w:rsid w:val="00B11A73"/>
    <w:rsid w:val="00B11E2A"/>
    <w:rsid w:val="00B12174"/>
    <w:rsid w:val="00B12713"/>
    <w:rsid w:val="00B12840"/>
    <w:rsid w:val="00B12941"/>
    <w:rsid w:val="00B13721"/>
    <w:rsid w:val="00B1396C"/>
    <w:rsid w:val="00B13A6E"/>
    <w:rsid w:val="00B13DF6"/>
    <w:rsid w:val="00B1425F"/>
    <w:rsid w:val="00B146CC"/>
    <w:rsid w:val="00B14B61"/>
    <w:rsid w:val="00B153A9"/>
    <w:rsid w:val="00B15EE1"/>
    <w:rsid w:val="00B1652F"/>
    <w:rsid w:val="00B165E3"/>
    <w:rsid w:val="00B16AE9"/>
    <w:rsid w:val="00B16B96"/>
    <w:rsid w:val="00B16F68"/>
    <w:rsid w:val="00B16F6F"/>
    <w:rsid w:val="00B170CA"/>
    <w:rsid w:val="00B1743E"/>
    <w:rsid w:val="00B1745D"/>
    <w:rsid w:val="00B17780"/>
    <w:rsid w:val="00B178A8"/>
    <w:rsid w:val="00B17A11"/>
    <w:rsid w:val="00B20109"/>
    <w:rsid w:val="00B203E3"/>
    <w:rsid w:val="00B2127E"/>
    <w:rsid w:val="00B21F56"/>
    <w:rsid w:val="00B21FBB"/>
    <w:rsid w:val="00B220F9"/>
    <w:rsid w:val="00B228FB"/>
    <w:rsid w:val="00B22CB7"/>
    <w:rsid w:val="00B22D99"/>
    <w:rsid w:val="00B238F0"/>
    <w:rsid w:val="00B23907"/>
    <w:rsid w:val="00B23CD2"/>
    <w:rsid w:val="00B23F97"/>
    <w:rsid w:val="00B24D5A"/>
    <w:rsid w:val="00B24DCB"/>
    <w:rsid w:val="00B256F6"/>
    <w:rsid w:val="00B25915"/>
    <w:rsid w:val="00B25B40"/>
    <w:rsid w:val="00B25C45"/>
    <w:rsid w:val="00B25CD7"/>
    <w:rsid w:val="00B25D35"/>
    <w:rsid w:val="00B275D7"/>
    <w:rsid w:val="00B275FF"/>
    <w:rsid w:val="00B27C77"/>
    <w:rsid w:val="00B27E92"/>
    <w:rsid w:val="00B27E97"/>
    <w:rsid w:val="00B27FC8"/>
    <w:rsid w:val="00B301AD"/>
    <w:rsid w:val="00B30366"/>
    <w:rsid w:val="00B3160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B51"/>
    <w:rsid w:val="00B37D46"/>
    <w:rsid w:val="00B37EC0"/>
    <w:rsid w:val="00B40176"/>
    <w:rsid w:val="00B4033B"/>
    <w:rsid w:val="00B40605"/>
    <w:rsid w:val="00B408F4"/>
    <w:rsid w:val="00B40C61"/>
    <w:rsid w:val="00B4119A"/>
    <w:rsid w:val="00B41248"/>
    <w:rsid w:val="00B41943"/>
    <w:rsid w:val="00B419F1"/>
    <w:rsid w:val="00B41A46"/>
    <w:rsid w:val="00B41FA6"/>
    <w:rsid w:val="00B42544"/>
    <w:rsid w:val="00B429E8"/>
    <w:rsid w:val="00B42A87"/>
    <w:rsid w:val="00B42DB1"/>
    <w:rsid w:val="00B4301F"/>
    <w:rsid w:val="00B431E8"/>
    <w:rsid w:val="00B439D9"/>
    <w:rsid w:val="00B439FD"/>
    <w:rsid w:val="00B43CF7"/>
    <w:rsid w:val="00B444C5"/>
    <w:rsid w:val="00B44E86"/>
    <w:rsid w:val="00B451D9"/>
    <w:rsid w:val="00B4544D"/>
    <w:rsid w:val="00B4545D"/>
    <w:rsid w:val="00B456C8"/>
    <w:rsid w:val="00B45AAE"/>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0E58"/>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BB9"/>
    <w:rsid w:val="00B55920"/>
    <w:rsid w:val="00B55943"/>
    <w:rsid w:val="00B5597B"/>
    <w:rsid w:val="00B55C60"/>
    <w:rsid w:val="00B56CA6"/>
    <w:rsid w:val="00B573BA"/>
    <w:rsid w:val="00B573C2"/>
    <w:rsid w:val="00B57BEE"/>
    <w:rsid w:val="00B57D7A"/>
    <w:rsid w:val="00B605B5"/>
    <w:rsid w:val="00B60756"/>
    <w:rsid w:val="00B60B65"/>
    <w:rsid w:val="00B612A6"/>
    <w:rsid w:val="00B6138F"/>
    <w:rsid w:val="00B6139F"/>
    <w:rsid w:val="00B62214"/>
    <w:rsid w:val="00B62DA9"/>
    <w:rsid w:val="00B62E84"/>
    <w:rsid w:val="00B62F60"/>
    <w:rsid w:val="00B6366B"/>
    <w:rsid w:val="00B638F5"/>
    <w:rsid w:val="00B6404C"/>
    <w:rsid w:val="00B64205"/>
    <w:rsid w:val="00B6436F"/>
    <w:rsid w:val="00B646B2"/>
    <w:rsid w:val="00B64710"/>
    <w:rsid w:val="00B65E9C"/>
    <w:rsid w:val="00B65EDD"/>
    <w:rsid w:val="00B6667F"/>
    <w:rsid w:val="00B666B9"/>
    <w:rsid w:val="00B6732E"/>
    <w:rsid w:val="00B674E9"/>
    <w:rsid w:val="00B70433"/>
    <w:rsid w:val="00B70956"/>
    <w:rsid w:val="00B70A96"/>
    <w:rsid w:val="00B70DCB"/>
    <w:rsid w:val="00B7146A"/>
    <w:rsid w:val="00B71B55"/>
    <w:rsid w:val="00B71E4B"/>
    <w:rsid w:val="00B71FBF"/>
    <w:rsid w:val="00B721A5"/>
    <w:rsid w:val="00B72208"/>
    <w:rsid w:val="00B7283B"/>
    <w:rsid w:val="00B72943"/>
    <w:rsid w:val="00B72D16"/>
    <w:rsid w:val="00B72F5A"/>
    <w:rsid w:val="00B734EC"/>
    <w:rsid w:val="00B73698"/>
    <w:rsid w:val="00B742E9"/>
    <w:rsid w:val="00B746B7"/>
    <w:rsid w:val="00B74839"/>
    <w:rsid w:val="00B74CC0"/>
    <w:rsid w:val="00B75124"/>
    <w:rsid w:val="00B7552E"/>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2FA6"/>
    <w:rsid w:val="00B8315C"/>
    <w:rsid w:val="00B83178"/>
    <w:rsid w:val="00B83227"/>
    <w:rsid w:val="00B833AF"/>
    <w:rsid w:val="00B836C7"/>
    <w:rsid w:val="00B837CC"/>
    <w:rsid w:val="00B84D64"/>
    <w:rsid w:val="00B84E7B"/>
    <w:rsid w:val="00B84FD8"/>
    <w:rsid w:val="00B850D8"/>
    <w:rsid w:val="00B85A33"/>
    <w:rsid w:val="00B85A6A"/>
    <w:rsid w:val="00B86612"/>
    <w:rsid w:val="00B86F40"/>
    <w:rsid w:val="00B86FD5"/>
    <w:rsid w:val="00B875EF"/>
    <w:rsid w:val="00B878DF"/>
    <w:rsid w:val="00B900CD"/>
    <w:rsid w:val="00B913B5"/>
    <w:rsid w:val="00B91D9C"/>
    <w:rsid w:val="00B92339"/>
    <w:rsid w:val="00B92D81"/>
    <w:rsid w:val="00B93BFF"/>
    <w:rsid w:val="00B940B6"/>
    <w:rsid w:val="00B9522B"/>
    <w:rsid w:val="00B9578C"/>
    <w:rsid w:val="00B9590C"/>
    <w:rsid w:val="00B95A93"/>
    <w:rsid w:val="00B95F51"/>
    <w:rsid w:val="00B964FF"/>
    <w:rsid w:val="00B97A15"/>
    <w:rsid w:val="00B97BD4"/>
    <w:rsid w:val="00B97EDA"/>
    <w:rsid w:val="00BA02AB"/>
    <w:rsid w:val="00BA06B6"/>
    <w:rsid w:val="00BA0B63"/>
    <w:rsid w:val="00BA0F57"/>
    <w:rsid w:val="00BA0F7A"/>
    <w:rsid w:val="00BA12EE"/>
    <w:rsid w:val="00BA2088"/>
    <w:rsid w:val="00BA4074"/>
    <w:rsid w:val="00BA479E"/>
    <w:rsid w:val="00BA4E7D"/>
    <w:rsid w:val="00BA4F11"/>
    <w:rsid w:val="00BA50DF"/>
    <w:rsid w:val="00BA539B"/>
    <w:rsid w:val="00BA5DB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4AD"/>
    <w:rsid w:val="00BB6A31"/>
    <w:rsid w:val="00BB6F2A"/>
    <w:rsid w:val="00BB70C2"/>
    <w:rsid w:val="00BB7D3C"/>
    <w:rsid w:val="00BC0829"/>
    <w:rsid w:val="00BC10BB"/>
    <w:rsid w:val="00BC1194"/>
    <w:rsid w:val="00BC11C6"/>
    <w:rsid w:val="00BC1BD1"/>
    <w:rsid w:val="00BC1F66"/>
    <w:rsid w:val="00BC21CA"/>
    <w:rsid w:val="00BC2490"/>
    <w:rsid w:val="00BC2CB6"/>
    <w:rsid w:val="00BC2DB0"/>
    <w:rsid w:val="00BC4542"/>
    <w:rsid w:val="00BC4CA3"/>
    <w:rsid w:val="00BC50C6"/>
    <w:rsid w:val="00BC5B58"/>
    <w:rsid w:val="00BC5C7F"/>
    <w:rsid w:val="00BC6038"/>
    <w:rsid w:val="00BC7611"/>
    <w:rsid w:val="00BC7A89"/>
    <w:rsid w:val="00BD0417"/>
    <w:rsid w:val="00BD055A"/>
    <w:rsid w:val="00BD063D"/>
    <w:rsid w:val="00BD0F1C"/>
    <w:rsid w:val="00BD169C"/>
    <w:rsid w:val="00BD1851"/>
    <w:rsid w:val="00BD1C34"/>
    <w:rsid w:val="00BD1F1E"/>
    <w:rsid w:val="00BD2D0B"/>
    <w:rsid w:val="00BD413C"/>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77A"/>
    <w:rsid w:val="00BE52C2"/>
    <w:rsid w:val="00BE5424"/>
    <w:rsid w:val="00BE6217"/>
    <w:rsid w:val="00BE689E"/>
    <w:rsid w:val="00BE6AD5"/>
    <w:rsid w:val="00BE6BA1"/>
    <w:rsid w:val="00BE7214"/>
    <w:rsid w:val="00BE76A9"/>
    <w:rsid w:val="00BE7E84"/>
    <w:rsid w:val="00BF00D7"/>
    <w:rsid w:val="00BF0685"/>
    <w:rsid w:val="00BF0855"/>
    <w:rsid w:val="00BF1557"/>
    <w:rsid w:val="00BF2B63"/>
    <w:rsid w:val="00BF2EC9"/>
    <w:rsid w:val="00BF3E1E"/>
    <w:rsid w:val="00BF49FE"/>
    <w:rsid w:val="00BF4D3C"/>
    <w:rsid w:val="00BF4E51"/>
    <w:rsid w:val="00BF4E82"/>
    <w:rsid w:val="00BF524A"/>
    <w:rsid w:val="00BF52BA"/>
    <w:rsid w:val="00BF56A0"/>
    <w:rsid w:val="00BF640C"/>
    <w:rsid w:val="00BF6705"/>
    <w:rsid w:val="00BF6928"/>
    <w:rsid w:val="00BF6BE9"/>
    <w:rsid w:val="00BF74D1"/>
    <w:rsid w:val="00BF771B"/>
    <w:rsid w:val="00BF77F7"/>
    <w:rsid w:val="00C007F5"/>
    <w:rsid w:val="00C00A28"/>
    <w:rsid w:val="00C00C0B"/>
    <w:rsid w:val="00C00EA4"/>
    <w:rsid w:val="00C01791"/>
    <w:rsid w:val="00C018F8"/>
    <w:rsid w:val="00C0267C"/>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71B"/>
    <w:rsid w:val="00C23A94"/>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3CF"/>
    <w:rsid w:val="00C32809"/>
    <w:rsid w:val="00C32835"/>
    <w:rsid w:val="00C32AF9"/>
    <w:rsid w:val="00C32CFA"/>
    <w:rsid w:val="00C32FF5"/>
    <w:rsid w:val="00C3309E"/>
    <w:rsid w:val="00C3325D"/>
    <w:rsid w:val="00C337D8"/>
    <w:rsid w:val="00C33B3D"/>
    <w:rsid w:val="00C34597"/>
    <w:rsid w:val="00C346B6"/>
    <w:rsid w:val="00C34AB3"/>
    <w:rsid w:val="00C35020"/>
    <w:rsid w:val="00C35215"/>
    <w:rsid w:val="00C35A6C"/>
    <w:rsid w:val="00C3612A"/>
    <w:rsid w:val="00C3647B"/>
    <w:rsid w:val="00C37301"/>
    <w:rsid w:val="00C3793E"/>
    <w:rsid w:val="00C37A1E"/>
    <w:rsid w:val="00C37D06"/>
    <w:rsid w:val="00C37FEF"/>
    <w:rsid w:val="00C4154C"/>
    <w:rsid w:val="00C41A16"/>
    <w:rsid w:val="00C41ED6"/>
    <w:rsid w:val="00C42208"/>
    <w:rsid w:val="00C42521"/>
    <w:rsid w:val="00C42742"/>
    <w:rsid w:val="00C42B17"/>
    <w:rsid w:val="00C42D01"/>
    <w:rsid w:val="00C43291"/>
    <w:rsid w:val="00C43889"/>
    <w:rsid w:val="00C43B40"/>
    <w:rsid w:val="00C44455"/>
    <w:rsid w:val="00C44543"/>
    <w:rsid w:val="00C4466C"/>
    <w:rsid w:val="00C448D4"/>
    <w:rsid w:val="00C44A78"/>
    <w:rsid w:val="00C45A18"/>
    <w:rsid w:val="00C46572"/>
    <w:rsid w:val="00C46851"/>
    <w:rsid w:val="00C46A70"/>
    <w:rsid w:val="00C46BA5"/>
    <w:rsid w:val="00C4735A"/>
    <w:rsid w:val="00C47438"/>
    <w:rsid w:val="00C4774F"/>
    <w:rsid w:val="00C47C03"/>
    <w:rsid w:val="00C47DF0"/>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A8D"/>
    <w:rsid w:val="00C52BB3"/>
    <w:rsid w:val="00C52FD0"/>
    <w:rsid w:val="00C536BE"/>
    <w:rsid w:val="00C5377D"/>
    <w:rsid w:val="00C53895"/>
    <w:rsid w:val="00C53F3F"/>
    <w:rsid w:val="00C543FE"/>
    <w:rsid w:val="00C54A5B"/>
    <w:rsid w:val="00C55823"/>
    <w:rsid w:val="00C5637A"/>
    <w:rsid w:val="00C565F5"/>
    <w:rsid w:val="00C60746"/>
    <w:rsid w:val="00C608A7"/>
    <w:rsid w:val="00C60D93"/>
    <w:rsid w:val="00C621B3"/>
    <w:rsid w:val="00C625B3"/>
    <w:rsid w:val="00C6319D"/>
    <w:rsid w:val="00C6329A"/>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1D0D"/>
    <w:rsid w:val="00C81FF5"/>
    <w:rsid w:val="00C82281"/>
    <w:rsid w:val="00C83340"/>
    <w:rsid w:val="00C834A3"/>
    <w:rsid w:val="00C835AF"/>
    <w:rsid w:val="00C838B5"/>
    <w:rsid w:val="00C838F3"/>
    <w:rsid w:val="00C83B86"/>
    <w:rsid w:val="00C83D8B"/>
    <w:rsid w:val="00C84DA0"/>
    <w:rsid w:val="00C84E1A"/>
    <w:rsid w:val="00C85459"/>
    <w:rsid w:val="00C85B84"/>
    <w:rsid w:val="00C85BD4"/>
    <w:rsid w:val="00C8640B"/>
    <w:rsid w:val="00C86F11"/>
    <w:rsid w:val="00C86F62"/>
    <w:rsid w:val="00C8707A"/>
    <w:rsid w:val="00C87325"/>
    <w:rsid w:val="00C8776F"/>
    <w:rsid w:val="00C87A11"/>
    <w:rsid w:val="00C901B0"/>
    <w:rsid w:val="00C90810"/>
    <w:rsid w:val="00C91039"/>
    <w:rsid w:val="00C91FE9"/>
    <w:rsid w:val="00C9203A"/>
    <w:rsid w:val="00C92159"/>
    <w:rsid w:val="00C9221F"/>
    <w:rsid w:val="00C92A51"/>
    <w:rsid w:val="00C92A6B"/>
    <w:rsid w:val="00C930EA"/>
    <w:rsid w:val="00C9328C"/>
    <w:rsid w:val="00C932F2"/>
    <w:rsid w:val="00C94578"/>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4F0A"/>
    <w:rsid w:val="00CA62B4"/>
    <w:rsid w:val="00CA635E"/>
    <w:rsid w:val="00CA6C1B"/>
    <w:rsid w:val="00CA6CA4"/>
    <w:rsid w:val="00CA7786"/>
    <w:rsid w:val="00CB084E"/>
    <w:rsid w:val="00CB09A2"/>
    <w:rsid w:val="00CB0A5B"/>
    <w:rsid w:val="00CB0F2F"/>
    <w:rsid w:val="00CB1C79"/>
    <w:rsid w:val="00CB1D83"/>
    <w:rsid w:val="00CB1F12"/>
    <w:rsid w:val="00CB26FE"/>
    <w:rsid w:val="00CB2A95"/>
    <w:rsid w:val="00CB2E16"/>
    <w:rsid w:val="00CB35C6"/>
    <w:rsid w:val="00CB3775"/>
    <w:rsid w:val="00CB3A68"/>
    <w:rsid w:val="00CB3DA7"/>
    <w:rsid w:val="00CB42E1"/>
    <w:rsid w:val="00CB56BF"/>
    <w:rsid w:val="00CB60A8"/>
    <w:rsid w:val="00CB6459"/>
    <w:rsid w:val="00CB6EB1"/>
    <w:rsid w:val="00CB7108"/>
    <w:rsid w:val="00CB7149"/>
    <w:rsid w:val="00CC0867"/>
    <w:rsid w:val="00CC0992"/>
    <w:rsid w:val="00CC0C0B"/>
    <w:rsid w:val="00CC114C"/>
    <w:rsid w:val="00CC153A"/>
    <w:rsid w:val="00CC1CC5"/>
    <w:rsid w:val="00CC1DE9"/>
    <w:rsid w:val="00CC21F5"/>
    <w:rsid w:val="00CC305A"/>
    <w:rsid w:val="00CC3E0F"/>
    <w:rsid w:val="00CC48F6"/>
    <w:rsid w:val="00CC4B77"/>
    <w:rsid w:val="00CC5351"/>
    <w:rsid w:val="00CC5AFC"/>
    <w:rsid w:val="00CC5FB2"/>
    <w:rsid w:val="00CC615E"/>
    <w:rsid w:val="00CC61A2"/>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CA"/>
    <w:rsid w:val="00CD7BE1"/>
    <w:rsid w:val="00CE286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089"/>
    <w:rsid w:val="00CE7357"/>
    <w:rsid w:val="00CE743E"/>
    <w:rsid w:val="00CE76E7"/>
    <w:rsid w:val="00CE783A"/>
    <w:rsid w:val="00CF0687"/>
    <w:rsid w:val="00CF07F2"/>
    <w:rsid w:val="00CF2B23"/>
    <w:rsid w:val="00CF338B"/>
    <w:rsid w:val="00CF349F"/>
    <w:rsid w:val="00CF3D6F"/>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898"/>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5B"/>
    <w:rsid w:val="00D12CD8"/>
    <w:rsid w:val="00D12CF6"/>
    <w:rsid w:val="00D13F2A"/>
    <w:rsid w:val="00D14264"/>
    <w:rsid w:val="00D14578"/>
    <w:rsid w:val="00D146D2"/>
    <w:rsid w:val="00D14FDE"/>
    <w:rsid w:val="00D15A77"/>
    <w:rsid w:val="00D15EE7"/>
    <w:rsid w:val="00D172C8"/>
    <w:rsid w:val="00D20626"/>
    <w:rsid w:val="00D20FCA"/>
    <w:rsid w:val="00D2167B"/>
    <w:rsid w:val="00D21A19"/>
    <w:rsid w:val="00D21BE7"/>
    <w:rsid w:val="00D21F1B"/>
    <w:rsid w:val="00D22A8C"/>
    <w:rsid w:val="00D25061"/>
    <w:rsid w:val="00D25990"/>
    <w:rsid w:val="00D2696F"/>
    <w:rsid w:val="00D26FF6"/>
    <w:rsid w:val="00D27227"/>
    <w:rsid w:val="00D27BC5"/>
    <w:rsid w:val="00D308FF"/>
    <w:rsid w:val="00D31235"/>
    <w:rsid w:val="00D316B6"/>
    <w:rsid w:val="00D329FE"/>
    <w:rsid w:val="00D3330A"/>
    <w:rsid w:val="00D337CE"/>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10DD"/>
    <w:rsid w:val="00D413A7"/>
    <w:rsid w:val="00D41D8D"/>
    <w:rsid w:val="00D41FFB"/>
    <w:rsid w:val="00D4210E"/>
    <w:rsid w:val="00D43E2D"/>
    <w:rsid w:val="00D43F3D"/>
    <w:rsid w:val="00D446EA"/>
    <w:rsid w:val="00D447FF"/>
    <w:rsid w:val="00D4492B"/>
    <w:rsid w:val="00D44C6C"/>
    <w:rsid w:val="00D4521F"/>
    <w:rsid w:val="00D4533C"/>
    <w:rsid w:val="00D46314"/>
    <w:rsid w:val="00D4657A"/>
    <w:rsid w:val="00D4689F"/>
    <w:rsid w:val="00D47377"/>
    <w:rsid w:val="00D47415"/>
    <w:rsid w:val="00D47950"/>
    <w:rsid w:val="00D507AE"/>
    <w:rsid w:val="00D5080F"/>
    <w:rsid w:val="00D51132"/>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5849"/>
    <w:rsid w:val="00D560B9"/>
    <w:rsid w:val="00D56418"/>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F7E"/>
    <w:rsid w:val="00D650BB"/>
    <w:rsid w:val="00D6761C"/>
    <w:rsid w:val="00D70CA0"/>
    <w:rsid w:val="00D71143"/>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778F5"/>
    <w:rsid w:val="00D8016E"/>
    <w:rsid w:val="00D80321"/>
    <w:rsid w:val="00D81347"/>
    <w:rsid w:val="00D81386"/>
    <w:rsid w:val="00D81C8D"/>
    <w:rsid w:val="00D82103"/>
    <w:rsid w:val="00D82157"/>
    <w:rsid w:val="00D831FD"/>
    <w:rsid w:val="00D8351C"/>
    <w:rsid w:val="00D8390A"/>
    <w:rsid w:val="00D846D6"/>
    <w:rsid w:val="00D84ACA"/>
    <w:rsid w:val="00D85453"/>
    <w:rsid w:val="00D857E7"/>
    <w:rsid w:val="00D859EF"/>
    <w:rsid w:val="00D85DCE"/>
    <w:rsid w:val="00D8713D"/>
    <w:rsid w:val="00D90975"/>
    <w:rsid w:val="00D90BBE"/>
    <w:rsid w:val="00D90CE5"/>
    <w:rsid w:val="00D912CF"/>
    <w:rsid w:val="00D91525"/>
    <w:rsid w:val="00D91528"/>
    <w:rsid w:val="00D92215"/>
    <w:rsid w:val="00D9226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310"/>
    <w:rsid w:val="00DA462C"/>
    <w:rsid w:val="00DA4A0D"/>
    <w:rsid w:val="00DA4D02"/>
    <w:rsid w:val="00DA52EC"/>
    <w:rsid w:val="00DA5C82"/>
    <w:rsid w:val="00DA60C2"/>
    <w:rsid w:val="00DA6F20"/>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480"/>
    <w:rsid w:val="00DC7A7D"/>
    <w:rsid w:val="00DD0942"/>
    <w:rsid w:val="00DD0A32"/>
    <w:rsid w:val="00DD1471"/>
    <w:rsid w:val="00DD288A"/>
    <w:rsid w:val="00DD2D1D"/>
    <w:rsid w:val="00DD3245"/>
    <w:rsid w:val="00DD35BB"/>
    <w:rsid w:val="00DD3B89"/>
    <w:rsid w:val="00DD3D7A"/>
    <w:rsid w:val="00DD402D"/>
    <w:rsid w:val="00DD4FE0"/>
    <w:rsid w:val="00DD5272"/>
    <w:rsid w:val="00DD63CB"/>
    <w:rsid w:val="00DD641C"/>
    <w:rsid w:val="00DD6895"/>
    <w:rsid w:val="00DD692D"/>
    <w:rsid w:val="00DD70F3"/>
    <w:rsid w:val="00DD72A7"/>
    <w:rsid w:val="00DD7B91"/>
    <w:rsid w:val="00DE04C9"/>
    <w:rsid w:val="00DE05C5"/>
    <w:rsid w:val="00DE066B"/>
    <w:rsid w:val="00DE0951"/>
    <w:rsid w:val="00DE0B76"/>
    <w:rsid w:val="00DE1769"/>
    <w:rsid w:val="00DE2124"/>
    <w:rsid w:val="00DE2301"/>
    <w:rsid w:val="00DE2B80"/>
    <w:rsid w:val="00DE33D5"/>
    <w:rsid w:val="00DE3FE5"/>
    <w:rsid w:val="00DE4A60"/>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EA2"/>
    <w:rsid w:val="00DF5F72"/>
    <w:rsid w:val="00DF64EF"/>
    <w:rsid w:val="00DF6890"/>
    <w:rsid w:val="00DF6D18"/>
    <w:rsid w:val="00DF6FC2"/>
    <w:rsid w:val="00DF725B"/>
    <w:rsid w:val="00DF77FE"/>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293D"/>
    <w:rsid w:val="00E1321B"/>
    <w:rsid w:val="00E14966"/>
    <w:rsid w:val="00E14CCB"/>
    <w:rsid w:val="00E15173"/>
    <w:rsid w:val="00E153FA"/>
    <w:rsid w:val="00E15A51"/>
    <w:rsid w:val="00E15B2B"/>
    <w:rsid w:val="00E16D9F"/>
    <w:rsid w:val="00E17424"/>
    <w:rsid w:val="00E207D6"/>
    <w:rsid w:val="00E20B88"/>
    <w:rsid w:val="00E210AF"/>
    <w:rsid w:val="00E211CC"/>
    <w:rsid w:val="00E22697"/>
    <w:rsid w:val="00E24070"/>
    <w:rsid w:val="00E24801"/>
    <w:rsid w:val="00E2499F"/>
    <w:rsid w:val="00E24B95"/>
    <w:rsid w:val="00E24E29"/>
    <w:rsid w:val="00E24FE0"/>
    <w:rsid w:val="00E25888"/>
    <w:rsid w:val="00E25E91"/>
    <w:rsid w:val="00E25FAC"/>
    <w:rsid w:val="00E26D01"/>
    <w:rsid w:val="00E26F69"/>
    <w:rsid w:val="00E2723D"/>
    <w:rsid w:val="00E27829"/>
    <w:rsid w:val="00E30673"/>
    <w:rsid w:val="00E31B8C"/>
    <w:rsid w:val="00E324C7"/>
    <w:rsid w:val="00E324E6"/>
    <w:rsid w:val="00E32DD8"/>
    <w:rsid w:val="00E33844"/>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A53"/>
    <w:rsid w:val="00E45BD9"/>
    <w:rsid w:val="00E4686E"/>
    <w:rsid w:val="00E46F66"/>
    <w:rsid w:val="00E470E3"/>
    <w:rsid w:val="00E47B6C"/>
    <w:rsid w:val="00E47F49"/>
    <w:rsid w:val="00E5097F"/>
    <w:rsid w:val="00E51286"/>
    <w:rsid w:val="00E51A87"/>
    <w:rsid w:val="00E5209D"/>
    <w:rsid w:val="00E524A4"/>
    <w:rsid w:val="00E52EB5"/>
    <w:rsid w:val="00E5320D"/>
    <w:rsid w:val="00E541EA"/>
    <w:rsid w:val="00E54787"/>
    <w:rsid w:val="00E549ED"/>
    <w:rsid w:val="00E55283"/>
    <w:rsid w:val="00E56472"/>
    <w:rsid w:val="00E569EC"/>
    <w:rsid w:val="00E56A26"/>
    <w:rsid w:val="00E56DB7"/>
    <w:rsid w:val="00E56DCA"/>
    <w:rsid w:val="00E56FA0"/>
    <w:rsid w:val="00E57750"/>
    <w:rsid w:val="00E57A60"/>
    <w:rsid w:val="00E60756"/>
    <w:rsid w:val="00E60860"/>
    <w:rsid w:val="00E609BA"/>
    <w:rsid w:val="00E60C14"/>
    <w:rsid w:val="00E61049"/>
    <w:rsid w:val="00E611BF"/>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2F47"/>
    <w:rsid w:val="00E72FB0"/>
    <w:rsid w:val="00E73AD0"/>
    <w:rsid w:val="00E74354"/>
    <w:rsid w:val="00E7440A"/>
    <w:rsid w:val="00E74B6B"/>
    <w:rsid w:val="00E74DEE"/>
    <w:rsid w:val="00E75E21"/>
    <w:rsid w:val="00E76282"/>
    <w:rsid w:val="00E763CB"/>
    <w:rsid w:val="00E768AF"/>
    <w:rsid w:val="00E772C4"/>
    <w:rsid w:val="00E7764E"/>
    <w:rsid w:val="00E778FE"/>
    <w:rsid w:val="00E77BE3"/>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7E1"/>
    <w:rsid w:val="00E91D2F"/>
    <w:rsid w:val="00E929B8"/>
    <w:rsid w:val="00E93380"/>
    <w:rsid w:val="00E935DC"/>
    <w:rsid w:val="00E93783"/>
    <w:rsid w:val="00E94DFD"/>
    <w:rsid w:val="00E95001"/>
    <w:rsid w:val="00E952A1"/>
    <w:rsid w:val="00E95603"/>
    <w:rsid w:val="00E95613"/>
    <w:rsid w:val="00E9671D"/>
    <w:rsid w:val="00E968E0"/>
    <w:rsid w:val="00E97167"/>
    <w:rsid w:val="00E977E8"/>
    <w:rsid w:val="00E97813"/>
    <w:rsid w:val="00E97AA4"/>
    <w:rsid w:val="00EA0587"/>
    <w:rsid w:val="00EA0603"/>
    <w:rsid w:val="00EA0D51"/>
    <w:rsid w:val="00EA1302"/>
    <w:rsid w:val="00EA1526"/>
    <w:rsid w:val="00EA17DE"/>
    <w:rsid w:val="00EA24F3"/>
    <w:rsid w:val="00EA266B"/>
    <w:rsid w:val="00EA33E1"/>
    <w:rsid w:val="00EA3595"/>
    <w:rsid w:val="00EA3EC5"/>
    <w:rsid w:val="00EA3F09"/>
    <w:rsid w:val="00EA434F"/>
    <w:rsid w:val="00EA4CF1"/>
    <w:rsid w:val="00EA57DA"/>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206"/>
    <w:rsid w:val="00EB4335"/>
    <w:rsid w:val="00EB43EB"/>
    <w:rsid w:val="00EB49C2"/>
    <w:rsid w:val="00EB4C85"/>
    <w:rsid w:val="00EB568C"/>
    <w:rsid w:val="00EB573D"/>
    <w:rsid w:val="00EB5F23"/>
    <w:rsid w:val="00EB626E"/>
    <w:rsid w:val="00EB69CC"/>
    <w:rsid w:val="00EB6A94"/>
    <w:rsid w:val="00EB6CEF"/>
    <w:rsid w:val="00EB7725"/>
    <w:rsid w:val="00EC1358"/>
    <w:rsid w:val="00EC1E89"/>
    <w:rsid w:val="00EC203B"/>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15D"/>
    <w:rsid w:val="00EE042D"/>
    <w:rsid w:val="00EE042E"/>
    <w:rsid w:val="00EE1412"/>
    <w:rsid w:val="00EE1716"/>
    <w:rsid w:val="00EE181F"/>
    <w:rsid w:val="00EE1FD1"/>
    <w:rsid w:val="00EE26AC"/>
    <w:rsid w:val="00EE301F"/>
    <w:rsid w:val="00EE43DF"/>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366"/>
    <w:rsid w:val="00EF5A4D"/>
    <w:rsid w:val="00EF5A9B"/>
    <w:rsid w:val="00EF5D63"/>
    <w:rsid w:val="00EF6CD7"/>
    <w:rsid w:val="00EF6DDE"/>
    <w:rsid w:val="00EF7242"/>
    <w:rsid w:val="00EF75D3"/>
    <w:rsid w:val="00EF77DF"/>
    <w:rsid w:val="00EF7805"/>
    <w:rsid w:val="00EF7D8A"/>
    <w:rsid w:val="00F00092"/>
    <w:rsid w:val="00F00140"/>
    <w:rsid w:val="00F00161"/>
    <w:rsid w:val="00F01570"/>
    <w:rsid w:val="00F01791"/>
    <w:rsid w:val="00F01B64"/>
    <w:rsid w:val="00F02C11"/>
    <w:rsid w:val="00F02F5F"/>
    <w:rsid w:val="00F0325A"/>
    <w:rsid w:val="00F0359B"/>
    <w:rsid w:val="00F0424C"/>
    <w:rsid w:val="00F04CED"/>
    <w:rsid w:val="00F04D4A"/>
    <w:rsid w:val="00F0564E"/>
    <w:rsid w:val="00F06085"/>
    <w:rsid w:val="00F06148"/>
    <w:rsid w:val="00F06CBB"/>
    <w:rsid w:val="00F06EA4"/>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304A"/>
    <w:rsid w:val="00F134CA"/>
    <w:rsid w:val="00F139A1"/>
    <w:rsid w:val="00F14A19"/>
    <w:rsid w:val="00F151F9"/>
    <w:rsid w:val="00F15857"/>
    <w:rsid w:val="00F159F1"/>
    <w:rsid w:val="00F15AE0"/>
    <w:rsid w:val="00F15C6E"/>
    <w:rsid w:val="00F16529"/>
    <w:rsid w:val="00F166BD"/>
    <w:rsid w:val="00F16A39"/>
    <w:rsid w:val="00F1720A"/>
    <w:rsid w:val="00F172C0"/>
    <w:rsid w:val="00F17D12"/>
    <w:rsid w:val="00F17D35"/>
    <w:rsid w:val="00F17F0B"/>
    <w:rsid w:val="00F205EC"/>
    <w:rsid w:val="00F221AE"/>
    <w:rsid w:val="00F22A37"/>
    <w:rsid w:val="00F23338"/>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2B0"/>
    <w:rsid w:val="00F35C25"/>
    <w:rsid w:val="00F3640B"/>
    <w:rsid w:val="00F36C3C"/>
    <w:rsid w:val="00F3754C"/>
    <w:rsid w:val="00F3772F"/>
    <w:rsid w:val="00F400C0"/>
    <w:rsid w:val="00F4011C"/>
    <w:rsid w:val="00F40A92"/>
    <w:rsid w:val="00F40C5C"/>
    <w:rsid w:val="00F41118"/>
    <w:rsid w:val="00F411DE"/>
    <w:rsid w:val="00F419AD"/>
    <w:rsid w:val="00F428F2"/>
    <w:rsid w:val="00F42A20"/>
    <w:rsid w:val="00F42D51"/>
    <w:rsid w:val="00F43225"/>
    <w:rsid w:val="00F43E4E"/>
    <w:rsid w:val="00F44477"/>
    <w:rsid w:val="00F444E8"/>
    <w:rsid w:val="00F44701"/>
    <w:rsid w:val="00F44723"/>
    <w:rsid w:val="00F45093"/>
    <w:rsid w:val="00F45448"/>
    <w:rsid w:val="00F45487"/>
    <w:rsid w:val="00F47393"/>
    <w:rsid w:val="00F479BC"/>
    <w:rsid w:val="00F5070F"/>
    <w:rsid w:val="00F51004"/>
    <w:rsid w:val="00F51134"/>
    <w:rsid w:val="00F5133C"/>
    <w:rsid w:val="00F513AE"/>
    <w:rsid w:val="00F5168C"/>
    <w:rsid w:val="00F519F6"/>
    <w:rsid w:val="00F52604"/>
    <w:rsid w:val="00F526E1"/>
    <w:rsid w:val="00F53802"/>
    <w:rsid w:val="00F53ADE"/>
    <w:rsid w:val="00F54325"/>
    <w:rsid w:val="00F54494"/>
    <w:rsid w:val="00F54FD2"/>
    <w:rsid w:val="00F556D9"/>
    <w:rsid w:val="00F5577A"/>
    <w:rsid w:val="00F559E2"/>
    <w:rsid w:val="00F559E3"/>
    <w:rsid w:val="00F55B37"/>
    <w:rsid w:val="00F55CAA"/>
    <w:rsid w:val="00F55E6F"/>
    <w:rsid w:val="00F56C9D"/>
    <w:rsid w:val="00F5719F"/>
    <w:rsid w:val="00F57483"/>
    <w:rsid w:val="00F60C6F"/>
    <w:rsid w:val="00F60E4C"/>
    <w:rsid w:val="00F6143D"/>
    <w:rsid w:val="00F6154B"/>
    <w:rsid w:val="00F62093"/>
    <w:rsid w:val="00F62648"/>
    <w:rsid w:val="00F627DA"/>
    <w:rsid w:val="00F64682"/>
    <w:rsid w:val="00F654F6"/>
    <w:rsid w:val="00F657B1"/>
    <w:rsid w:val="00F6604C"/>
    <w:rsid w:val="00F6635B"/>
    <w:rsid w:val="00F664FC"/>
    <w:rsid w:val="00F6690A"/>
    <w:rsid w:val="00F66990"/>
    <w:rsid w:val="00F67320"/>
    <w:rsid w:val="00F67E19"/>
    <w:rsid w:val="00F709B2"/>
    <w:rsid w:val="00F70B6B"/>
    <w:rsid w:val="00F70D4F"/>
    <w:rsid w:val="00F72517"/>
    <w:rsid w:val="00F73109"/>
    <w:rsid w:val="00F73894"/>
    <w:rsid w:val="00F738A2"/>
    <w:rsid w:val="00F73A5E"/>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592"/>
    <w:rsid w:val="00F84600"/>
    <w:rsid w:val="00F8473C"/>
    <w:rsid w:val="00F85385"/>
    <w:rsid w:val="00F85782"/>
    <w:rsid w:val="00F858E7"/>
    <w:rsid w:val="00F8590F"/>
    <w:rsid w:val="00F85DAA"/>
    <w:rsid w:val="00F86048"/>
    <w:rsid w:val="00F86ACA"/>
    <w:rsid w:val="00F86B1C"/>
    <w:rsid w:val="00F8753F"/>
    <w:rsid w:val="00F87563"/>
    <w:rsid w:val="00F90121"/>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B44"/>
    <w:rsid w:val="00F95C12"/>
    <w:rsid w:val="00F964F4"/>
    <w:rsid w:val="00F96A8B"/>
    <w:rsid w:val="00F96B01"/>
    <w:rsid w:val="00F96D79"/>
    <w:rsid w:val="00F96F03"/>
    <w:rsid w:val="00F9707E"/>
    <w:rsid w:val="00F97A3A"/>
    <w:rsid w:val="00F97E67"/>
    <w:rsid w:val="00F97F26"/>
    <w:rsid w:val="00FA1A49"/>
    <w:rsid w:val="00FA1AAC"/>
    <w:rsid w:val="00FA2238"/>
    <w:rsid w:val="00FA266E"/>
    <w:rsid w:val="00FA29D5"/>
    <w:rsid w:val="00FA2A95"/>
    <w:rsid w:val="00FA3167"/>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B6DC7"/>
    <w:rsid w:val="00FC02AD"/>
    <w:rsid w:val="00FC0D90"/>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5EB"/>
    <w:rsid w:val="00FE0A36"/>
    <w:rsid w:val="00FE1694"/>
    <w:rsid w:val="00FE1D00"/>
    <w:rsid w:val="00FE204C"/>
    <w:rsid w:val="00FE25EE"/>
    <w:rsid w:val="00FE31EB"/>
    <w:rsid w:val="00FE34F3"/>
    <w:rsid w:val="00FE3E97"/>
    <w:rsid w:val="00FE41D6"/>
    <w:rsid w:val="00FE4CE0"/>
    <w:rsid w:val="00FE4EDD"/>
    <w:rsid w:val="00FE53A2"/>
    <w:rsid w:val="00FE5A4F"/>
    <w:rsid w:val="00FE5F87"/>
    <w:rsid w:val="00FE6332"/>
    <w:rsid w:val="00FE640C"/>
    <w:rsid w:val="00FE6798"/>
    <w:rsid w:val="00FE6CE1"/>
    <w:rsid w:val="00FE77B8"/>
    <w:rsid w:val="00FE79D5"/>
    <w:rsid w:val="00FE7EB3"/>
    <w:rsid w:val="00FF01FB"/>
    <w:rsid w:val="00FF0BEC"/>
    <w:rsid w:val="00FF116B"/>
    <w:rsid w:val="00FF1AB8"/>
    <w:rsid w:val="00FF251E"/>
    <w:rsid w:val="00FF2D6D"/>
    <w:rsid w:val="00FF2E3D"/>
    <w:rsid w:val="00FF37C3"/>
    <w:rsid w:val="00FF37DE"/>
    <w:rsid w:val="00FF3BA8"/>
    <w:rsid w:val="00FF434E"/>
    <w:rsid w:val="00FF44A5"/>
    <w:rsid w:val="00FF4681"/>
    <w:rsid w:val="00FF504D"/>
    <w:rsid w:val="00FF50DF"/>
    <w:rsid w:val="00FF5154"/>
    <w:rsid w:val="00FF5686"/>
    <w:rsid w:val="00FF60FF"/>
    <w:rsid w:val="00FF6515"/>
    <w:rsid w:val="00FF6921"/>
    <w:rsid w:val="00FF76EB"/>
    <w:rsid w:val="00FF7ACC"/>
    <w:rsid w:val="00FF7B91"/>
    <w:rsid w:val="02994018"/>
    <w:rsid w:val="03C926DB"/>
    <w:rsid w:val="07C531B9"/>
    <w:rsid w:val="091F0B7D"/>
    <w:rsid w:val="09532A47"/>
    <w:rsid w:val="0AAC136A"/>
    <w:rsid w:val="0B2A34DD"/>
    <w:rsid w:val="0DD4221A"/>
    <w:rsid w:val="1247373D"/>
    <w:rsid w:val="12BE2B70"/>
    <w:rsid w:val="156E2AB7"/>
    <w:rsid w:val="157011DD"/>
    <w:rsid w:val="178B2E86"/>
    <w:rsid w:val="19C34FAE"/>
    <w:rsid w:val="19E91EC4"/>
    <w:rsid w:val="1C0D4CD7"/>
    <w:rsid w:val="1CA87B05"/>
    <w:rsid w:val="1D9D55EB"/>
    <w:rsid w:val="1DFB3993"/>
    <w:rsid w:val="200712A7"/>
    <w:rsid w:val="2272587D"/>
    <w:rsid w:val="23655851"/>
    <w:rsid w:val="24001CBB"/>
    <w:rsid w:val="243E6F78"/>
    <w:rsid w:val="250826D0"/>
    <w:rsid w:val="253B28B5"/>
    <w:rsid w:val="26341DF0"/>
    <w:rsid w:val="28BE1833"/>
    <w:rsid w:val="2B3758CC"/>
    <w:rsid w:val="2F117A4E"/>
    <w:rsid w:val="30E17192"/>
    <w:rsid w:val="36D11750"/>
    <w:rsid w:val="38D66725"/>
    <w:rsid w:val="39135A26"/>
    <w:rsid w:val="3DF92D0A"/>
    <w:rsid w:val="3EC80BA3"/>
    <w:rsid w:val="3FA46CA4"/>
    <w:rsid w:val="422624CB"/>
    <w:rsid w:val="43880F63"/>
    <w:rsid w:val="45572E66"/>
    <w:rsid w:val="45A375E0"/>
    <w:rsid w:val="4B045373"/>
    <w:rsid w:val="50175CD2"/>
    <w:rsid w:val="510962B4"/>
    <w:rsid w:val="514B1DEB"/>
    <w:rsid w:val="55216B22"/>
    <w:rsid w:val="5650745D"/>
    <w:rsid w:val="575E27AC"/>
    <w:rsid w:val="57995095"/>
    <w:rsid w:val="59B461B6"/>
    <w:rsid w:val="5A1A61B8"/>
    <w:rsid w:val="5CA97838"/>
    <w:rsid w:val="5DFE53D6"/>
    <w:rsid w:val="60AD04DE"/>
    <w:rsid w:val="62107275"/>
    <w:rsid w:val="63F62FDB"/>
    <w:rsid w:val="6AD02E9D"/>
    <w:rsid w:val="6DDA78DA"/>
    <w:rsid w:val="6EA2087C"/>
    <w:rsid w:val="6F0B6947"/>
    <w:rsid w:val="6FFD47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9"/>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5"/>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0">
    <w:name w:val="Body Text Indent 3"/>
    <w:basedOn w:val="1"/>
    <w:qFormat/>
    <w:uiPriority w:val="0"/>
    <w:pPr>
      <w:spacing w:after="120"/>
      <w:ind w:left="420" w:leftChars="200"/>
    </w:pPr>
    <w:rPr>
      <w:sz w:val="16"/>
      <w:szCs w:val="16"/>
    </w:rPr>
  </w:style>
  <w:style w:type="paragraph" w:styleId="3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link w:val="52"/>
    <w:qFormat/>
    <w:uiPriority w:val="0"/>
    <w:pPr>
      <w:spacing w:before="240" w:after="60"/>
      <w:jc w:val="center"/>
      <w:outlineLvl w:val="0"/>
    </w:pPr>
    <w:rPr>
      <w:rFonts w:ascii="Cambria" w:hAnsi="Cambria"/>
      <w:b/>
      <w:bCs/>
      <w:sz w:val="32"/>
      <w:szCs w:val="32"/>
    </w:rPr>
  </w:style>
  <w:style w:type="paragraph" w:styleId="36">
    <w:name w:val="annotation subject"/>
    <w:basedOn w:val="15"/>
    <w:next w:val="15"/>
    <w:link w:val="53"/>
    <w:qFormat/>
    <w:uiPriority w:val="0"/>
    <w:rPr>
      <w:b/>
      <w:bCs/>
    </w:rPr>
  </w:style>
  <w:style w:type="paragraph" w:styleId="37">
    <w:name w:val="Body Text First Indent"/>
    <w:basedOn w:val="17"/>
    <w:next w:val="29"/>
    <w:unhideWhenUsed/>
    <w:qFormat/>
    <w:uiPriority w:val="99"/>
    <w:pPr>
      <w:spacing w:beforeLines="0" w:afterLines="0"/>
      <w:ind w:firstLine="420" w:firstLineChars="100"/>
    </w:pPr>
    <w:rPr>
      <w:rFonts w:hint="default"/>
      <w:sz w:val="24"/>
    </w:rPr>
  </w:style>
  <w:style w:type="paragraph" w:styleId="38">
    <w:name w:val="Body Text First Indent 2"/>
    <w:basedOn w:val="18"/>
    <w:semiHidden/>
    <w:unhideWhenUsed/>
    <w:qFormat/>
    <w:uiPriority w:val="99"/>
    <w:pPr>
      <w:spacing w:after="120" w:line="240" w:lineRule="auto"/>
      <w:ind w:left="420" w:leftChars="200" w:firstLine="420" w:firstLineChars="200"/>
    </w:pPr>
    <w:rPr>
      <w:rFonts w:ascii="Times New Roman" w:hAnsi="Times New Roman"/>
      <w:spacing w:val="0"/>
      <w:sz w:val="21"/>
      <w:szCs w:val="24"/>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basedOn w:val="41"/>
    <w:qFormat/>
    <w:uiPriority w:val="0"/>
  </w:style>
  <w:style w:type="character" w:styleId="44">
    <w:name w:val="Emphasis"/>
    <w:qFormat/>
    <w:uiPriority w:val="0"/>
    <w:rPr>
      <w:i/>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customStyle="1" w:styleId="47">
    <w:name w:val="标题 2 Char"/>
    <w:basedOn w:val="41"/>
    <w:link w:val="3"/>
    <w:semiHidden/>
    <w:qFormat/>
    <w:uiPriority w:val="0"/>
    <w:rPr>
      <w:rFonts w:ascii="Cambria" w:hAnsi="Cambria" w:eastAsia="宋体" w:cs="Times New Roman"/>
      <w:b/>
      <w:bCs/>
      <w:kern w:val="2"/>
      <w:sz w:val="32"/>
      <w:szCs w:val="32"/>
    </w:rPr>
  </w:style>
  <w:style w:type="character" w:customStyle="1" w:styleId="48">
    <w:name w:val="标题 1 Char"/>
    <w:link w:val="2"/>
    <w:qFormat/>
    <w:uiPriority w:val="0"/>
    <w:rPr>
      <w:rFonts w:eastAsia="宋体"/>
      <w:b/>
      <w:bCs/>
      <w:kern w:val="44"/>
      <w:sz w:val="44"/>
      <w:szCs w:val="44"/>
      <w:lang w:val="en-US" w:eastAsia="zh-CN" w:bidi="ar-SA"/>
    </w:rPr>
  </w:style>
  <w:style w:type="character" w:customStyle="1" w:styleId="49">
    <w:name w:val="批注文字 Char"/>
    <w:link w:val="15"/>
    <w:qFormat/>
    <w:uiPriority w:val="0"/>
    <w:rPr>
      <w:kern w:val="2"/>
      <w:sz w:val="21"/>
      <w:szCs w:val="24"/>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标题 Char"/>
    <w:link w:val="35"/>
    <w:qFormat/>
    <w:uiPriority w:val="0"/>
    <w:rPr>
      <w:rFonts w:ascii="Cambria" w:hAnsi="Cambria" w:cs="Times New Roman"/>
      <w:b/>
      <w:bCs/>
      <w:kern w:val="2"/>
      <w:sz w:val="32"/>
      <w:szCs w:val="32"/>
    </w:rPr>
  </w:style>
  <w:style w:type="character" w:customStyle="1" w:styleId="53">
    <w:name w:val="批注主题 Char"/>
    <w:link w:val="36"/>
    <w:qFormat/>
    <w:uiPriority w:val="0"/>
    <w:rPr>
      <w:b/>
      <w:bCs/>
      <w:kern w:val="2"/>
      <w:sz w:val="21"/>
      <w:szCs w:val="24"/>
    </w:rPr>
  </w:style>
  <w:style w:type="character" w:customStyle="1" w:styleId="54">
    <w:name w:val="font21"/>
    <w:qFormat/>
    <w:uiPriority w:val="0"/>
    <w:rPr>
      <w:rFonts w:hint="default" w:ascii="Times New Roman" w:hAnsi="Times New Roman" w:cs="Times New Roman"/>
      <w:color w:val="000000"/>
      <w:sz w:val="21"/>
      <w:szCs w:val="21"/>
      <w:u w:val="none"/>
    </w:rPr>
  </w:style>
  <w:style w:type="character" w:customStyle="1" w:styleId="55">
    <w:name w:val="Comment Text Char"/>
    <w:qFormat/>
    <w:locked/>
    <w:uiPriority w:val="0"/>
    <w:rPr>
      <w:rFonts w:cs="Times New Roman"/>
      <w:kern w:val="2"/>
      <w:sz w:val="24"/>
      <w:szCs w:val="24"/>
    </w:rPr>
  </w:style>
  <w:style w:type="character" w:customStyle="1" w:styleId="56">
    <w:name w:val="普通文字 Char Char3"/>
    <w:qFormat/>
    <w:uiPriority w:val="0"/>
    <w:rPr>
      <w:rFonts w:ascii="宋体" w:hAnsi="Courier New" w:eastAsia="宋体" w:cs="Courier New"/>
      <w:kern w:val="2"/>
      <w:sz w:val="21"/>
      <w:szCs w:val="21"/>
      <w:lang w:val="en-US" w:eastAsia="zh-CN" w:bidi="ar-SA"/>
    </w:rPr>
  </w:style>
  <w:style w:type="character" w:customStyle="1" w:styleId="57">
    <w:name w:val="普通文字 Char Char2"/>
    <w:qFormat/>
    <w:uiPriority w:val="0"/>
    <w:rPr>
      <w:rFonts w:ascii="宋体" w:hAnsi="Courier New" w:eastAsia="宋体"/>
      <w:kern w:val="2"/>
      <w:sz w:val="21"/>
      <w:lang w:val="en-US" w:eastAsia="zh-CN" w:bidi="ar-SA"/>
    </w:rPr>
  </w:style>
  <w:style w:type="character" w:customStyle="1" w:styleId="58">
    <w:name w:val="1ji Char"/>
    <w:link w:val="59"/>
    <w:qFormat/>
    <w:uiPriority w:val="0"/>
    <w:rPr>
      <w:rFonts w:ascii="宋体" w:hAnsi="宋体" w:eastAsia="宋体"/>
      <w:b/>
      <w:bCs/>
      <w:kern w:val="44"/>
      <w:sz w:val="36"/>
      <w:szCs w:val="44"/>
      <w:lang w:val="en-US" w:eastAsia="zh-CN" w:bidi="ar-SA"/>
    </w:rPr>
  </w:style>
  <w:style w:type="paragraph" w:customStyle="1" w:styleId="59">
    <w:name w:val="1ji"/>
    <w:basedOn w:val="2"/>
    <w:link w:val="58"/>
    <w:qFormat/>
    <w:uiPriority w:val="0"/>
    <w:pPr>
      <w:keepLines w:val="0"/>
      <w:widowControl/>
      <w:spacing w:before="0" w:after="0" w:line="240" w:lineRule="auto"/>
      <w:jc w:val="center"/>
    </w:pPr>
    <w:rPr>
      <w:rFonts w:ascii="宋体" w:hAnsi="宋体"/>
      <w:sz w:val="36"/>
    </w:rPr>
  </w:style>
  <w:style w:type="paragraph" w:customStyle="1" w:styleId="60">
    <w:name w:val="1"/>
    <w:basedOn w:val="1"/>
    <w:next w:val="21"/>
    <w:qFormat/>
    <w:uiPriority w:val="0"/>
    <w:rPr>
      <w:rFonts w:ascii="宋体" w:hAnsi="Courier New"/>
      <w:szCs w:val="20"/>
    </w:rPr>
  </w:style>
  <w:style w:type="paragraph" w:customStyle="1" w:styleId="61">
    <w:name w:val="List Paragraph"/>
    <w:basedOn w:val="1"/>
    <w:qFormat/>
    <w:uiPriority w:val="34"/>
    <w:pPr>
      <w:widowControl/>
      <w:ind w:firstLine="420" w:firstLineChars="200"/>
      <w:jc w:val="left"/>
    </w:pPr>
    <w:rPr>
      <w:rFonts w:ascii="宋体" w:hAnsi="宋体" w:cs="宋体"/>
      <w:kern w:val="0"/>
    </w:rPr>
  </w:style>
  <w:style w:type="paragraph" w:customStyle="1" w:styleId="62">
    <w:name w:val="Char"/>
    <w:basedOn w:val="14"/>
    <w:qFormat/>
    <w:uiPriority w:val="0"/>
    <w:pPr>
      <w:widowControl/>
      <w:ind w:firstLine="454"/>
      <w:jc w:val="left"/>
    </w:pPr>
    <w:rPr>
      <w:rFonts w:ascii="Tahoma" w:hAnsi="Tahoma" w:cs="宋体"/>
      <w:kern w:val="0"/>
      <w:sz w:val="24"/>
      <w:szCs w:val="20"/>
    </w:rPr>
  </w:style>
  <w:style w:type="paragraph" w:customStyle="1" w:styleId="63">
    <w:name w:val="正文段"/>
    <w:basedOn w:val="1"/>
    <w:qFormat/>
    <w:uiPriority w:val="0"/>
    <w:pPr>
      <w:widowControl/>
      <w:snapToGrid w:val="0"/>
      <w:spacing w:after="50" w:afterLines="50"/>
      <w:ind w:firstLine="200" w:firstLineChars="200"/>
    </w:pPr>
    <w:rPr>
      <w:kern w:val="0"/>
      <w:sz w:val="24"/>
      <w:szCs w:val="20"/>
    </w:rPr>
  </w:style>
  <w:style w:type="paragraph" w:customStyle="1" w:styleId="6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5">
    <w:name w:val=" Char"/>
    <w:basedOn w:val="14"/>
    <w:qFormat/>
    <w:uiPriority w:val="0"/>
    <w:pPr>
      <w:widowControl/>
      <w:ind w:firstLine="454"/>
      <w:jc w:val="left"/>
    </w:pPr>
    <w:rPr>
      <w:rFonts w:ascii="Tahoma" w:hAnsi="Tahoma" w:cs="宋体"/>
      <w:kern w:val="0"/>
      <w:sz w:val="24"/>
      <w:szCs w:val="20"/>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_Style 6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8">
    <w:name w:val="_Style 35"/>
    <w:basedOn w:val="14"/>
    <w:qFormat/>
    <w:uiPriority w:val="0"/>
    <w:pPr>
      <w:widowControl/>
      <w:ind w:firstLine="454"/>
      <w:jc w:val="left"/>
    </w:pPr>
  </w:style>
  <w:style w:type="paragraph" w:customStyle="1" w:styleId="69">
    <w:name w:val="列出段落1"/>
    <w:basedOn w:val="1"/>
    <w:qFormat/>
    <w:uiPriority w:val="34"/>
    <w:pPr>
      <w:spacing w:line="312" w:lineRule="auto"/>
      <w:ind w:firstLine="420" w:firstLineChars="200"/>
    </w:pPr>
  </w:style>
  <w:style w:type="character" w:customStyle="1" w:styleId="70">
    <w:name w:val="正文文本缩进 Char1"/>
    <w:qFormat/>
    <w:uiPriority w:val="0"/>
    <w:rPr>
      <w:kern w:val="2"/>
      <w:sz w:val="21"/>
      <w:szCs w:val="22"/>
    </w:rPr>
  </w:style>
  <w:style w:type="character" w:customStyle="1" w:styleId="71">
    <w:name w:val="llyf92"/>
    <w:qFormat/>
    <w:uiPriority w:val="0"/>
    <w:rPr>
      <w:sz w:val="18"/>
      <w:szCs w:val="18"/>
    </w:rPr>
  </w:style>
  <w:style w:type="character" w:customStyle="1" w:styleId="72">
    <w:name w:val="纯文本 Char2"/>
    <w:qFormat/>
    <w:uiPriority w:val="0"/>
    <w:rPr>
      <w:rFonts w:ascii="宋体" w:hAnsi="宋体" w:eastAsia="宋体" w:cs="Courier New"/>
      <w:color w:val="000000"/>
      <w:kern w:val="1"/>
      <w:sz w:val="21"/>
      <w:szCs w:val="21"/>
      <w:lang w:val="en-US" w:eastAsia="zh-CN" w:bidi="ar-SA"/>
    </w:rPr>
  </w:style>
  <w:style w:type="character" w:customStyle="1" w:styleId="73">
    <w:name w:val="p1"/>
    <w:basedOn w:val="41"/>
    <w:qFormat/>
    <w:uiPriority w:val="0"/>
  </w:style>
  <w:style w:type="paragraph" w:customStyle="1" w:styleId="74">
    <w:name w:val="_Style 70"/>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51349961-a86b-48f5-a6b0-3bb7e8a47734</errorID>
      <errorWord>日至2026年</errorWord>
      <group>L1_Word</group>
      <groupName>字词问题</groupName>
      <ability>L2_Typo</ability>
      <abilityName>字词错误</abilityName>
      <candidateList>
        <item>日起至2026年</item>
      </candidateList>
      <explain/>
      <paraID>476FB566</paraID>
      <start>12</start>
      <end>20</end>
      <status>modified</status>
      <modifiedWord>日起至2026年</modifiedWord>
      <trackRevisions>false</trackRevisions>
    </reviewItem>
    <reviewItem>
      <errorID>c1903801-c49c-4dc1-9d89-a5f722894590</errorID>
      <errorWord>交纳</errorWord>
      <group>L1_Word</group>
      <groupName>字词问题</groupName>
      <ability>L2_Typo</ability>
      <abilityName>字词错误</abilityName>
      <candidateList>
        <item>缴纳</item>
      </candidateList>
      <explain>〈动〉交纳：～税款。</explain>
      <paraID>199A49A3</paraID>
      <start>25</start>
      <end>27</end>
      <status>ignored</status>
      <modifiedWord/>
      <trackRevisions>false</trackRevisions>
    </reviewItem>
    <reviewItem>
      <errorID>8af5f4c5-6894-43f4-9efe-e81f1d4967c1</errorID>
      <errorWord>需盖</errorWord>
      <group>L1_Word</group>
      <groupName>字词问题</groupName>
      <ability>L2_Typo</ability>
      <abilityName>字词错误</abilityName>
      <candidateList>
        <item>须盖</item>
      </candidateList>
      <explain/>
      <paraID>5B8A26C5</paraID>
      <start>37</start>
      <end>39</end>
      <status>ignored</status>
      <modifiedWord/>
      <trackRevisions>false</trackRevisions>
    </reviewItem>
    <reviewItem>
      <errorID>6f9930b9-f9e6-46b7-83fd-b7c4e45c74a5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5899E10E</paraID>
      <start>25</start>
      <end>26</end>
      <status>ignored</status>
      <modifiedWord/>
      <trackRevisions>false</trackRevisions>
    </reviewItem>
    <reviewItem>
      <errorID>20d51b01-fdf6-4fd7-9ddb-333c0fb3e5eb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5F0F4938</paraID>
      <start>8</start>
      <end>9</end>
      <status>ignored</status>
      <modifiedWord/>
      <trackRevisions>false</trackRevisions>
    </reviewItem>
    <reviewItem>
      <errorID>4728f21a-d7bb-4bfa-b6cd-475a121f4945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 6924F96</paraID>
      <start>71</start>
      <end>72</end>
      <status>ignored</status>
      <modifiedWord/>
      <trackRevisions>false</trackRevisions>
    </reviewItem>
    <reviewItem>
      <errorID>abb368ca-5eee-4b59-834a-d5e135717260</errorID>
      <errorWord>作</errorWord>
      <group>L1_Word</group>
      <groupName>字词问题</groupName>
      <ability>L2_Typo</ability>
      <abilityName>字词错误</abilityName>
      <candidateList>
        <item>做</item>
      </candidateList>
      <explain>存在发音相同字词的误用。</explain>
      <paraID>29EE5984</paraID>
      <start>12</start>
      <end>13</end>
      <status>ignored</status>
      <modifiedWord/>
      <trackRevisions>false</trackRevisions>
    </reviewItem>
    <reviewItem>
      <errorID>6a0fe3ec-11a2-4b66-97ef-c8285820a486</errorID>
      <errorWord>人</errorWord>
      <group>L1_Word</group>
      <groupName>字词问题</groupName>
      <ability>L2_Typo</ability>
      <abilityName>字词错误</abilityName>
      <candidateList>
        <item>人员</item>
      </candidateList>
      <explain>〈名〉担任某种职务的人：机关工作～｜值班～｜～配备。</explain>
      <paraID>13C99C9E</paraID>
      <start>38</start>
      <end>39</end>
      <status>ignored</status>
      <modifiedWord/>
      <trackRevisions>false</trackRevisions>
    </reviewItem>
    <reviewItem>
      <errorID>7e6b127c-8ed6-41dc-ad2f-8313ebbaaa26</errorID>
      <errorWord>维</errorWord>
      <group>L1_Word</group>
      <groupName>字词问题</groupName>
      <ability>L2_Typo</ability>
      <abilityName>字词错误</abilityName>
      <candidateList>
        <item>维地</item>
      </candidateList>
      <explain/>
      <paraID>1528FB95</paraID>
      <start>55</start>
      <end>56</end>
      <status>ignored</status>
      <modifiedWord/>
      <trackRevisions>false</trackRevisions>
    </reviewItem>
    <reviewItem>
      <errorID>624b3278-9318-44bc-b699-2192e1dc2b90</errorID>
      <errorWord>hygon</errorWord>
      <group>L1_English</group>
      <groupName>英文问题</groupName>
      <ability>L2_Case</ability>
      <abilityName>大小写问题</abilityName>
      <candidateList>
        <item>Hygon</item>
      </candidateList>
      <explain>疑似单词大小写错误，建议将hygon修改为Hygon</explain>
      <paraID>2F0F8D17</paraID>
      <start>38</start>
      <end>43</end>
      <status>modified</status>
      <modifiedWord>Hygon</modifiedWord>
      <trackRevisions>false</trackRevisions>
    </reviewItem>
    <reviewItem>
      <errorID>3a854a34-5864-48c4-baf6-88951c9b2b56</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43CF87CA</paraID>
      <start>55</start>
      <end>57</end>
      <status>modified</status>
      <modifiedWord>涉及</modifiedWord>
      <trackRevisions>false</trackRevisions>
    </reviewItem>
    <reviewItem>
      <errorID>37db4512-c21a-4525-a7bc-2b88acdb1a24</errorID>
      <errorWord>物业管理条例</errorWord>
      <group>L1_Knowledge</group>
      <groupName>知识性问题</groupName>
      <ability>L2_Knowledge</ability>
      <abilityName>其他知识</abilityName>
      <candidateList>
        <item>《物业管理条例》</item>
      </candidateList>
      <explain>完整法律法规名称需要加书名号，请注意检查。</explain>
      <paraID>5C9AB332</paraID>
      <start>84</start>
      <end>90</end>
      <status>ignored</status>
      <modifiedWord/>
      <trackRevisions>false</trackRevisions>
    </reviewItem>
    <reviewItem>
      <errorID>d313002f-e742-4129-a001-8feee6c12947</errorID>
      <errorWord>股东大会</errorWord>
      <group>L1_Word</group>
      <groupName>字词问题</groupName>
      <ability>L2_Typo</ability>
      <abilityName>字词错误</abilityName>
      <candidateList>
        <item>股东会</item>
      </candidateList>
      <explain/>
      <paraID>142F9173</paraID>
      <start>113</start>
      <end>117</end>
      <status>ignored</status>
      <modifiedWord/>
      <trackRevisions>false</trackRevisions>
    </reviewItem>
    <reviewItem>
      <errorID>078e32ce-8be7-46b2-86c0-2bcdf34e765d</errorID>
      <errorWord>其它</errorWord>
      <group>L1_Word</group>
      <groupName>字词问题</groupName>
      <ability>L2_Alias</ability>
      <abilityName>也作/曾用词</abilityName>
      <candidateList>
        <item>其他</item>
      </candidateList>
      <explain>词汇[其它]为不规范表述或旧称，其规范书面表述为[其他]。</explain>
      <paraID>3DA9E09F</paraID>
      <start>25</start>
      <end>27</end>
      <status>modified</status>
      <modifiedWord>其他</modifiedWord>
      <trackRevisions>false</trackRevisions>
    </reviewItem>
    <reviewItem>
      <errorID>19abfebd-496b-48b0-8240-71e23e050296</errorID>
      <errorWord>因为</errorWord>
      <group>L1_Word</group>
      <groupName>字词问题</groupName>
      <ability>L2_Typo</ability>
      <abilityName>字词错误</abilityName>
      <candidateList>
        <item>因</item>
      </candidateList>
      <explain/>
      <paraID>6F8AC1E4</paraID>
      <start>186</start>
      <end>187</end>
      <status>modified</status>
      <modifiedWord>因</modifiedWord>
      <trackRevisions>false</trackRevisions>
    </reviewItem>
    <reviewItem>
      <errorID>134fbbd9-b30a-41e5-ac28-ae251a62bc31</errorID>
      <errorWord>因为</errorWord>
      <group>L1_Word</group>
      <groupName>字词问题</groupName>
      <ability>L2_Typo</ability>
      <abilityName>字词错误</abilityName>
      <candidateList>
        <item>因</item>
      </candidateList>
      <explain/>
      <paraID>6F8AC1E4</paraID>
      <start>303</start>
      <end>304</end>
      <status>modified</status>
      <modifiedWord>因</modifiedWord>
      <trackRevisions>false</trackRevisions>
    </reviewItem>
    <reviewItem>
      <errorID>f2d9e7d2-93f9-495e-90e6-997c5bbe7764</errorID>
      <errorWord>其它</errorWord>
      <group>L1_Word</group>
      <groupName>字词问题</groupName>
      <ability>L2_Alias</ability>
      <abilityName>也作/曾用词</abilityName>
      <candidateList>
        <item>其他</item>
      </candidateList>
      <explain>词汇[其它]为不规范表述或旧称，其规范书面表述为[其他]。</explain>
      <paraID>377E1FAA</paraID>
      <start>30</start>
      <end>32</end>
      <status>modified</status>
      <modifiedWord>其他</modifiedWord>
      <trackRevisions>false</trackRevisions>
    </reviewItem>
    <reviewItem>
      <errorID>d4c70e85-fe05-4fde-960f-9c3549ef3ed4</errorID>
      <errorWord>其它</errorWord>
      <group>L1_Word</group>
      <groupName>字词问题</groupName>
      <ability>L2_Alias</ability>
      <abilityName>也作/曾用词</abilityName>
      <candidateList>
        <item>其他</item>
      </candidateList>
      <explain>词汇[其它]为不规范表述或旧称，其规范书面表述为[其他]。</explain>
      <paraID>27F69DE6</paraID>
      <start>2</start>
      <end>4</end>
      <status>modified</status>
      <modifiedWord>其他</modifiedWord>
      <trackRevisions>false</trackRevisions>
    </reviewItem>
    <reviewItem>
      <errorID>e27733de-0d38-4b73-81ef-cd79edf89f84</errorID>
      <errorWord>同</errorWord>
      <group>L1_Word</group>
      <groupName>字词问题</groupName>
      <ability>L2_Typo</ability>
      <abilityName>字词错误</abilityName>
      <candidateList>
        <item>同在</item>
      </candidateList>
      <explain/>
      <paraID>6C2C9054</paraID>
      <start>45</start>
      <end>47</end>
      <status>modified</status>
      <modifiedWord>同在</modifiedWord>
      <trackRevisions>false</trackRevisions>
    </reviewItem>
  </reviewItems>
  <config/>
</contractReview>
</file>

<file path=customXml/itemProps1.xml><?xml version="1.0" encoding="utf-8"?>
<ds:datastoreItem xmlns:ds="http://schemas.openxmlformats.org/officeDocument/2006/customXml" ds:itemID="{3a364362-9608-49ce-8c72-a812fb1200d9}">
  <ds:schemaRefs/>
</ds:datastoreItem>
</file>

<file path=docProps/app.xml><?xml version="1.0" encoding="utf-8"?>
<Properties xmlns="http://schemas.openxmlformats.org/officeDocument/2006/extended-properties" xmlns:vt="http://schemas.openxmlformats.org/officeDocument/2006/docPropsVTypes">
  <Template>Normal</Template>
  <Pages>72</Pages>
  <Words>156</Words>
  <Characters>202</Characters>
  <Lines>225</Lines>
  <Paragraphs>63</Paragraphs>
  <TotalTime>40</TotalTime>
  <ScaleCrop>false</ScaleCrop>
  <LinksUpToDate>false</LinksUpToDate>
  <CharactersWithSpaces>231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2021-01-05T09:48:00Z</dcterms:created>
  <dc:creator>聂泉源</dc:creator>
  <cp:lastModifiedBy>招标代理机构</cp:lastModifiedBy>
  <cp:lastPrinted>2018-09-20T01:31:00Z</cp:lastPrinted>
  <dcterms:modified xsi:type="dcterms:W3CDTF">2026-07-14T08:22:30Z</dcterms:modified>
  <dc:title>3</dc:title>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BD020E13106646C89FA9D1577B12B3BC_13</vt:lpwstr>
  </property>
</Properties>
</file>