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5C9A4D">
      <w:pPr>
        <w:tabs>
          <w:tab w:val="left" w:pos="7931"/>
        </w:tabs>
        <w:jc w:val="both"/>
        <w:rPr>
          <w:rFonts w:ascii="微软雅黑" w:hAnsi="微软雅黑"/>
          <w:b/>
          <w:color w:val="auto"/>
          <w:sz w:val="84"/>
          <w:szCs w:val="84"/>
          <w:highlight w:val="none"/>
        </w:rPr>
      </w:pPr>
    </w:p>
    <w:p w14:paraId="7CB436B1">
      <w:pPr>
        <w:spacing w:line="360" w:lineRule="auto"/>
        <w:jc w:val="center"/>
        <w:rPr>
          <w:rFonts w:hint="eastAsia" w:ascii="华文新魏" w:hAnsi="宋体" w:eastAsia="华文新魏"/>
          <w:color w:val="auto"/>
          <w:sz w:val="84"/>
          <w:szCs w:val="84"/>
          <w:highlight w:val="none"/>
          <w:lang w:eastAsia="zh-CN"/>
        </w:rPr>
      </w:pPr>
      <w:r>
        <w:rPr>
          <w:rFonts w:hint="eastAsia" w:ascii="方正美黑简体" w:eastAsia="方正美黑简体"/>
          <w:color w:val="auto"/>
          <w:sz w:val="52"/>
          <w:highlight w:val="none"/>
          <w:lang w:eastAsia="zh-CN"/>
        </w:rPr>
        <w:t>广西众联建设工程监理有限公司</w:t>
      </w:r>
    </w:p>
    <w:p w14:paraId="1765B0ED">
      <w:pPr>
        <w:spacing w:before="156" w:beforeLines="50"/>
        <w:jc w:val="center"/>
        <w:rPr>
          <w:rFonts w:hint="eastAsia" w:ascii="楷体" w:hAnsi="楷体" w:eastAsia="楷体"/>
          <w:color w:val="auto"/>
          <w:sz w:val="48"/>
          <w:szCs w:val="48"/>
          <w:highlight w:val="none"/>
        </w:rPr>
      </w:pPr>
    </w:p>
    <w:p w14:paraId="6B750C4A">
      <w:pPr>
        <w:spacing w:before="156" w:beforeLines="50"/>
        <w:jc w:val="center"/>
        <w:rPr>
          <w:rFonts w:hint="eastAsia" w:ascii="楷体" w:hAnsi="楷体" w:eastAsia="楷体"/>
          <w:b/>
          <w:bCs/>
          <w:color w:val="auto"/>
          <w:sz w:val="84"/>
          <w:szCs w:val="84"/>
          <w:highlight w:val="none"/>
        </w:rPr>
      </w:pPr>
      <w:r>
        <w:rPr>
          <w:rFonts w:hint="eastAsia" w:ascii="楷体" w:hAnsi="楷体" w:eastAsia="楷体"/>
          <w:b/>
          <w:bCs/>
          <w:color w:val="auto"/>
          <w:sz w:val="84"/>
          <w:szCs w:val="84"/>
          <w:highlight w:val="none"/>
        </w:rPr>
        <w:t>竞争性谈判文件</w:t>
      </w:r>
    </w:p>
    <w:p w14:paraId="73AE8B10">
      <w:pPr>
        <w:pStyle w:val="20"/>
        <w:snapToGrid w:val="0"/>
        <w:spacing w:before="120" w:after="120" w:line="360" w:lineRule="auto"/>
        <w:jc w:val="center"/>
        <w:rPr>
          <w:rFonts w:hint="eastAsia" w:hAnsi="宋体"/>
          <w:b/>
          <w:bCs/>
          <w:color w:val="auto"/>
          <w:sz w:val="36"/>
          <w:szCs w:val="36"/>
          <w:highlight w:val="none"/>
        </w:rPr>
      </w:pPr>
    </w:p>
    <w:p w14:paraId="521CE986">
      <w:pPr>
        <w:rPr>
          <w:rFonts w:hint="eastAsia"/>
          <w:color w:val="auto"/>
          <w:highlight w:val="none"/>
        </w:rPr>
      </w:pPr>
    </w:p>
    <w:p w14:paraId="56D78514">
      <w:pPr>
        <w:pStyle w:val="20"/>
        <w:snapToGrid w:val="0"/>
        <w:spacing w:before="120" w:after="120" w:line="800" w:lineRule="exact"/>
        <w:ind w:firstLine="1446" w:firstLineChars="400"/>
        <w:jc w:val="left"/>
        <w:rPr>
          <w:rFonts w:hint="eastAsia" w:ascii="宋体" w:hAnsi="宋体" w:eastAsia="宋体"/>
          <w:b/>
          <w:bCs/>
          <w:color w:val="auto"/>
          <w:sz w:val="36"/>
          <w:szCs w:val="36"/>
          <w:highlight w:val="none"/>
          <w:lang w:eastAsia="zh-CN"/>
        </w:rPr>
      </w:pPr>
      <w:r>
        <w:rPr>
          <w:rFonts w:hint="eastAsia" w:ascii="宋体" w:hAnsi="宋体" w:eastAsia="宋体"/>
          <w:b/>
          <w:bCs/>
          <w:color w:val="auto"/>
          <w:sz w:val="36"/>
          <w:szCs w:val="36"/>
          <w:highlight w:val="none"/>
        </w:rPr>
        <w:t>项目名称：</w:t>
      </w:r>
      <w:r>
        <w:rPr>
          <w:rFonts w:hint="eastAsia" w:hAnsi="宋体"/>
          <w:b/>
          <w:bCs/>
          <w:color w:val="auto"/>
          <w:sz w:val="36"/>
          <w:szCs w:val="36"/>
          <w:highlight w:val="none"/>
          <w:lang w:eastAsia="zh-CN"/>
        </w:rPr>
        <w:t>智能制造装备实训室</w:t>
      </w:r>
    </w:p>
    <w:p w14:paraId="78AF368F">
      <w:pPr>
        <w:pStyle w:val="20"/>
        <w:snapToGrid w:val="0"/>
        <w:spacing w:before="120" w:after="120" w:line="800" w:lineRule="exact"/>
        <w:ind w:firstLine="1446" w:firstLineChars="400"/>
        <w:jc w:val="left"/>
        <w:rPr>
          <w:rFonts w:hint="eastAsia" w:hAnsi="宋体" w:eastAsia="宋体"/>
          <w:b/>
          <w:bCs/>
          <w:color w:val="auto"/>
          <w:sz w:val="36"/>
          <w:szCs w:val="36"/>
          <w:highlight w:val="none"/>
          <w:lang w:eastAsia="zh-CN"/>
        </w:rPr>
      </w:pPr>
      <w:r>
        <w:rPr>
          <w:rFonts w:hint="eastAsia" w:hAnsi="宋体"/>
          <w:b/>
          <w:bCs/>
          <w:color w:val="auto"/>
          <w:sz w:val="36"/>
          <w:szCs w:val="36"/>
          <w:highlight w:val="none"/>
        </w:rPr>
        <w:t>项目编号：</w:t>
      </w:r>
      <w:r>
        <w:rPr>
          <w:rFonts w:hint="eastAsia" w:hAnsi="宋体"/>
          <w:b/>
          <w:bCs/>
          <w:color w:val="auto"/>
          <w:sz w:val="36"/>
          <w:szCs w:val="36"/>
          <w:highlight w:val="none"/>
          <w:lang w:eastAsia="zh-CN"/>
        </w:rPr>
        <w:t>GXZC2026-J1-001992-ZLJL</w:t>
      </w:r>
    </w:p>
    <w:p w14:paraId="478C89D6">
      <w:pPr>
        <w:pStyle w:val="20"/>
        <w:snapToGrid w:val="0"/>
        <w:spacing w:before="120" w:after="120" w:line="800" w:lineRule="exact"/>
        <w:ind w:firstLine="1446" w:firstLineChars="400"/>
        <w:jc w:val="left"/>
        <w:rPr>
          <w:rFonts w:hint="eastAsia" w:ascii="宋体" w:hAnsi="宋体" w:eastAsia="宋体"/>
          <w:b/>
          <w:bCs/>
          <w:color w:val="auto"/>
          <w:sz w:val="36"/>
          <w:szCs w:val="36"/>
          <w:highlight w:val="none"/>
        </w:rPr>
      </w:pPr>
    </w:p>
    <w:p w14:paraId="4390CF68">
      <w:pPr>
        <w:rPr>
          <w:rFonts w:hint="eastAsia"/>
          <w:color w:val="auto"/>
          <w:highlight w:val="none"/>
        </w:rPr>
      </w:pPr>
    </w:p>
    <w:p w14:paraId="55926568">
      <w:pPr>
        <w:pStyle w:val="20"/>
        <w:snapToGrid w:val="0"/>
        <w:spacing w:before="120" w:after="120" w:line="800" w:lineRule="exact"/>
        <w:ind w:firstLine="1446" w:firstLineChars="400"/>
        <w:jc w:val="left"/>
        <w:rPr>
          <w:rFonts w:hint="eastAsia" w:ascii="宋体" w:hAnsi="宋体" w:eastAsia="宋体"/>
          <w:b/>
          <w:bCs/>
          <w:color w:val="auto"/>
          <w:sz w:val="36"/>
          <w:szCs w:val="36"/>
          <w:highlight w:val="none"/>
          <w:lang w:eastAsia="zh-CN"/>
        </w:rPr>
      </w:pPr>
      <w:r>
        <w:rPr>
          <w:rFonts w:hint="eastAsia" w:ascii="宋体" w:hAnsi="宋体" w:eastAsia="宋体"/>
          <w:b/>
          <w:bCs/>
          <w:color w:val="auto"/>
          <w:sz w:val="36"/>
          <w:szCs w:val="36"/>
          <w:highlight w:val="none"/>
        </w:rPr>
        <w:t>采   购   人：</w:t>
      </w:r>
      <w:r>
        <w:rPr>
          <w:rFonts w:hint="eastAsia" w:ascii="宋体" w:hAnsi="宋体" w:eastAsia="宋体"/>
          <w:b/>
          <w:bCs/>
          <w:color w:val="auto"/>
          <w:sz w:val="36"/>
          <w:szCs w:val="36"/>
          <w:highlight w:val="none"/>
          <w:lang w:eastAsia="zh-CN"/>
        </w:rPr>
        <w:t>广西生态工程职业技术学院</w:t>
      </w:r>
    </w:p>
    <w:p w14:paraId="27DE74AF">
      <w:pPr>
        <w:pStyle w:val="20"/>
        <w:snapToGrid w:val="0"/>
        <w:spacing w:before="120" w:after="120" w:line="800" w:lineRule="exact"/>
        <w:ind w:firstLine="1446" w:firstLineChars="400"/>
        <w:jc w:val="left"/>
        <w:rPr>
          <w:rFonts w:hint="eastAsia" w:ascii="宋体" w:hAnsi="宋体" w:eastAsia="宋体"/>
          <w:b/>
          <w:bCs/>
          <w:color w:val="auto"/>
          <w:sz w:val="36"/>
          <w:szCs w:val="36"/>
          <w:highlight w:val="none"/>
          <w:lang w:eastAsia="zh-CN"/>
        </w:rPr>
      </w:pPr>
      <w:r>
        <w:rPr>
          <w:rFonts w:hint="eastAsia" w:ascii="宋体" w:hAnsi="宋体" w:eastAsia="宋体"/>
          <w:b/>
          <w:bCs/>
          <w:color w:val="auto"/>
          <w:sz w:val="36"/>
          <w:szCs w:val="36"/>
          <w:highlight w:val="none"/>
        </w:rPr>
        <w:t>采购代理机构：</w:t>
      </w:r>
      <w:r>
        <w:rPr>
          <w:rFonts w:hint="eastAsia" w:ascii="宋体" w:hAnsi="宋体" w:eastAsia="宋体"/>
          <w:b/>
          <w:bCs/>
          <w:color w:val="auto"/>
          <w:sz w:val="36"/>
          <w:szCs w:val="36"/>
          <w:highlight w:val="none"/>
          <w:lang w:eastAsia="zh-CN"/>
        </w:rPr>
        <w:t>广西众联建设工程监理有限公司</w:t>
      </w:r>
    </w:p>
    <w:p w14:paraId="6597C666">
      <w:pPr>
        <w:snapToGrid w:val="0"/>
        <w:spacing w:before="156" w:beforeLines="50" w:line="560" w:lineRule="exact"/>
        <w:jc w:val="center"/>
        <w:rPr>
          <w:rFonts w:hint="eastAsia" w:ascii="宋体" w:hAnsi="宋体"/>
          <w:b/>
          <w:color w:val="auto"/>
          <w:sz w:val="30"/>
          <w:szCs w:val="72"/>
          <w:highlight w:val="none"/>
        </w:rPr>
      </w:pPr>
      <w:r>
        <w:rPr>
          <w:rFonts w:hint="eastAsia" w:ascii="宋体" w:hAnsi="宋体"/>
          <w:b/>
          <w:color w:val="auto"/>
          <w:sz w:val="30"/>
          <w:szCs w:val="72"/>
          <w:highlight w:val="none"/>
        </w:rPr>
        <w:t>202</w:t>
      </w:r>
      <w:r>
        <w:rPr>
          <w:rFonts w:hint="eastAsia" w:ascii="宋体" w:hAnsi="宋体"/>
          <w:b/>
          <w:color w:val="auto"/>
          <w:sz w:val="30"/>
          <w:szCs w:val="72"/>
          <w:highlight w:val="none"/>
          <w:lang w:val="en-US" w:eastAsia="zh-CN"/>
        </w:rPr>
        <w:t>6</w:t>
      </w:r>
      <w:r>
        <w:rPr>
          <w:rFonts w:hint="eastAsia" w:ascii="宋体" w:hAnsi="宋体"/>
          <w:b/>
          <w:color w:val="auto"/>
          <w:sz w:val="30"/>
          <w:szCs w:val="72"/>
          <w:highlight w:val="none"/>
        </w:rPr>
        <w:t>年</w:t>
      </w:r>
      <w:r>
        <w:rPr>
          <w:rFonts w:hint="eastAsia" w:ascii="宋体" w:hAnsi="宋体"/>
          <w:b/>
          <w:color w:val="auto"/>
          <w:sz w:val="30"/>
          <w:szCs w:val="72"/>
          <w:highlight w:val="none"/>
          <w:lang w:val="en-US" w:eastAsia="zh-CN"/>
        </w:rPr>
        <w:t>6</w:t>
      </w:r>
      <w:r>
        <w:rPr>
          <w:rFonts w:hint="eastAsia" w:ascii="宋体" w:hAnsi="宋体"/>
          <w:b/>
          <w:color w:val="auto"/>
          <w:sz w:val="30"/>
          <w:szCs w:val="72"/>
          <w:highlight w:val="none"/>
        </w:rPr>
        <w:t>月</w:t>
      </w:r>
    </w:p>
    <w:p w14:paraId="6DBE8E0E">
      <w:pPr>
        <w:jc w:val="center"/>
        <w:rPr>
          <w:rFonts w:ascii="仿宋_GB2312" w:hAnsi="宋体" w:eastAsia="仿宋_GB2312"/>
          <w:b/>
          <w:color w:val="auto"/>
          <w:sz w:val="32"/>
          <w:szCs w:val="32"/>
          <w:highlight w:val="none"/>
        </w:rPr>
        <w:sectPr>
          <w:headerReference r:id="rId4" w:type="first"/>
          <w:footerReference r:id="rId6" w:type="first"/>
          <w:headerReference r:id="rId3" w:type="default"/>
          <w:footerReference r:id="rId5" w:type="even"/>
          <w:pgSz w:w="11906" w:h="16838"/>
          <w:pgMar w:top="1134" w:right="1134" w:bottom="1134" w:left="1134" w:header="851" w:footer="992" w:gutter="0"/>
          <w:pgNumType w:start="0"/>
          <w:cols w:space="720" w:num="1"/>
          <w:titlePg/>
          <w:docGrid w:type="lines" w:linePitch="312" w:charSpace="0"/>
        </w:sectPr>
      </w:pPr>
    </w:p>
    <w:p w14:paraId="310B0413">
      <w:pPr>
        <w:jc w:val="center"/>
        <w:rPr>
          <w:rFonts w:hint="eastAsia" w:ascii="宋体" w:hAnsi="宋体"/>
          <w:b/>
          <w:color w:val="auto"/>
          <w:sz w:val="52"/>
          <w:szCs w:val="52"/>
          <w:highlight w:val="none"/>
        </w:rPr>
      </w:pPr>
      <w:r>
        <w:rPr>
          <w:rFonts w:hint="eastAsia" w:ascii="宋体" w:hAnsi="宋体"/>
          <w:b/>
          <w:color w:val="auto"/>
          <w:sz w:val="52"/>
          <w:szCs w:val="52"/>
          <w:highlight w:val="none"/>
        </w:rPr>
        <w:t>目  录</w:t>
      </w:r>
    </w:p>
    <w:p w14:paraId="3ED1DE25">
      <w:pPr>
        <w:jc w:val="center"/>
        <w:rPr>
          <w:rFonts w:hint="eastAsia" w:ascii="宋体" w:hAnsi="宋体"/>
          <w:b/>
          <w:color w:val="auto"/>
          <w:sz w:val="44"/>
          <w:szCs w:val="44"/>
          <w:highlight w:val="none"/>
        </w:rPr>
      </w:pPr>
    </w:p>
    <w:p w14:paraId="6BA36DB0">
      <w:pPr>
        <w:pStyle w:val="26"/>
        <w:tabs>
          <w:tab w:val="right" w:leader="dot" w:pos="8722"/>
        </w:tabs>
        <w:spacing w:line="360" w:lineRule="auto"/>
        <w:rPr>
          <w:b/>
          <w:bCs/>
          <w:color w:val="auto"/>
          <w:sz w:val="32"/>
          <w:szCs w:val="32"/>
          <w:highlight w:val="none"/>
        </w:rPr>
      </w:pPr>
      <w:r>
        <w:rPr>
          <w:rFonts w:ascii="仿宋_GB2312" w:hAnsi="宋体" w:eastAsia="仿宋_GB2312"/>
          <w:b/>
          <w:bCs/>
          <w:color w:val="auto"/>
          <w:sz w:val="32"/>
          <w:szCs w:val="32"/>
          <w:highlight w:val="none"/>
        </w:rPr>
        <w:fldChar w:fldCharType="begin"/>
      </w:r>
      <w:r>
        <w:rPr>
          <w:rFonts w:ascii="仿宋_GB2312" w:hAnsi="宋体" w:eastAsia="仿宋_GB2312"/>
          <w:b/>
          <w:bCs/>
          <w:color w:val="auto"/>
          <w:sz w:val="32"/>
          <w:szCs w:val="32"/>
          <w:highlight w:val="none"/>
        </w:rPr>
        <w:instrText xml:space="preserve"> TOC \o "1-1" \h \z \u </w:instrText>
      </w:r>
      <w:r>
        <w:rPr>
          <w:rFonts w:ascii="仿宋_GB2312" w:hAnsi="宋体" w:eastAsia="仿宋_GB2312"/>
          <w:b/>
          <w:bCs/>
          <w:color w:val="auto"/>
          <w:sz w:val="32"/>
          <w:szCs w:val="32"/>
          <w:highlight w:val="none"/>
        </w:rPr>
        <w:fldChar w:fldCharType="separate"/>
      </w:r>
      <w:r>
        <w:rPr>
          <w:rFonts w:ascii="仿宋_GB2312" w:hAnsi="宋体" w:eastAsia="仿宋_GB2312"/>
          <w:b/>
          <w:bCs/>
          <w:color w:val="auto"/>
          <w:sz w:val="32"/>
          <w:szCs w:val="32"/>
          <w:highlight w:val="none"/>
        </w:rPr>
        <w:fldChar w:fldCharType="begin"/>
      </w:r>
      <w:r>
        <w:rPr>
          <w:rFonts w:ascii="仿宋_GB2312" w:hAnsi="宋体" w:eastAsia="仿宋_GB2312"/>
          <w:b/>
          <w:bCs/>
          <w:color w:val="auto"/>
          <w:sz w:val="32"/>
          <w:szCs w:val="32"/>
          <w:highlight w:val="none"/>
        </w:rPr>
        <w:instrText xml:space="preserve"> HYPERLINK \l _Toc19940 </w:instrText>
      </w:r>
      <w:r>
        <w:rPr>
          <w:rFonts w:ascii="仿宋_GB2312" w:hAnsi="宋体" w:eastAsia="仿宋_GB2312"/>
          <w:b/>
          <w:bCs/>
          <w:color w:val="auto"/>
          <w:sz w:val="32"/>
          <w:szCs w:val="32"/>
          <w:highlight w:val="none"/>
        </w:rPr>
        <w:fldChar w:fldCharType="separate"/>
      </w:r>
      <w:r>
        <w:rPr>
          <w:rFonts w:hint="eastAsia" w:eastAsia="宋体"/>
          <w:b/>
          <w:bCs/>
          <w:color w:val="auto"/>
          <w:sz w:val="32"/>
          <w:szCs w:val="32"/>
          <w:highlight w:val="none"/>
        </w:rPr>
        <w:t>第一章  竞争性谈判公告</w:t>
      </w:r>
      <w:r>
        <w:rPr>
          <w:b/>
          <w:bCs/>
          <w:color w:val="auto"/>
          <w:sz w:val="32"/>
          <w:szCs w:val="32"/>
          <w:highlight w:val="none"/>
        </w:rPr>
        <w:tab/>
      </w:r>
      <w:r>
        <w:rPr>
          <w:b/>
          <w:bCs/>
          <w:color w:val="auto"/>
          <w:sz w:val="32"/>
          <w:szCs w:val="32"/>
          <w:highlight w:val="none"/>
        </w:rPr>
        <w:fldChar w:fldCharType="begin"/>
      </w:r>
      <w:r>
        <w:rPr>
          <w:b/>
          <w:bCs/>
          <w:color w:val="auto"/>
          <w:sz w:val="32"/>
          <w:szCs w:val="32"/>
          <w:highlight w:val="none"/>
        </w:rPr>
        <w:instrText xml:space="preserve"> PAGEREF _Toc19940 \h </w:instrText>
      </w:r>
      <w:r>
        <w:rPr>
          <w:b/>
          <w:bCs/>
          <w:color w:val="auto"/>
          <w:sz w:val="32"/>
          <w:szCs w:val="32"/>
          <w:highlight w:val="none"/>
        </w:rPr>
        <w:fldChar w:fldCharType="separate"/>
      </w:r>
      <w:r>
        <w:rPr>
          <w:b/>
          <w:bCs/>
          <w:color w:val="auto"/>
          <w:sz w:val="32"/>
          <w:szCs w:val="32"/>
          <w:highlight w:val="none"/>
        </w:rPr>
        <w:t>2</w:t>
      </w:r>
      <w:r>
        <w:rPr>
          <w:b/>
          <w:bCs/>
          <w:color w:val="auto"/>
          <w:sz w:val="32"/>
          <w:szCs w:val="32"/>
          <w:highlight w:val="none"/>
        </w:rPr>
        <w:fldChar w:fldCharType="end"/>
      </w:r>
      <w:r>
        <w:rPr>
          <w:rFonts w:ascii="仿宋_GB2312" w:hAnsi="宋体" w:eastAsia="仿宋_GB2312"/>
          <w:b/>
          <w:bCs/>
          <w:color w:val="auto"/>
          <w:sz w:val="32"/>
          <w:szCs w:val="32"/>
          <w:highlight w:val="none"/>
        </w:rPr>
        <w:fldChar w:fldCharType="end"/>
      </w:r>
    </w:p>
    <w:p w14:paraId="6120CA21">
      <w:pPr>
        <w:pStyle w:val="26"/>
        <w:tabs>
          <w:tab w:val="right" w:leader="dot" w:pos="8722"/>
        </w:tabs>
        <w:spacing w:line="360" w:lineRule="auto"/>
        <w:rPr>
          <w:b/>
          <w:bCs/>
          <w:color w:val="auto"/>
          <w:sz w:val="32"/>
          <w:szCs w:val="32"/>
          <w:highlight w:val="none"/>
        </w:rPr>
      </w:pPr>
      <w:r>
        <w:rPr>
          <w:rFonts w:ascii="仿宋_GB2312" w:hAnsi="宋体" w:eastAsia="仿宋_GB2312"/>
          <w:b/>
          <w:bCs/>
          <w:color w:val="auto"/>
          <w:sz w:val="32"/>
          <w:szCs w:val="32"/>
          <w:highlight w:val="none"/>
        </w:rPr>
        <w:fldChar w:fldCharType="begin"/>
      </w:r>
      <w:r>
        <w:rPr>
          <w:rFonts w:ascii="仿宋_GB2312" w:hAnsi="宋体" w:eastAsia="仿宋_GB2312"/>
          <w:b/>
          <w:bCs/>
          <w:color w:val="auto"/>
          <w:sz w:val="32"/>
          <w:szCs w:val="32"/>
          <w:highlight w:val="none"/>
        </w:rPr>
        <w:instrText xml:space="preserve"> HYPERLINK \l _Toc22384 </w:instrText>
      </w:r>
      <w:r>
        <w:rPr>
          <w:rFonts w:ascii="仿宋_GB2312" w:hAnsi="宋体" w:eastAsia="仿宋_GB2312"/>
          <w:b/>
          <w:bCs/>
          <w:color w:val="auto"/>
          <w:sz w:val="32"/>
          <w:szCs w:val="32"/>
          <w:highlight w:val="none"/>
        </w:rPr>
        <w:fldChar w:fldCharType="separate"/>
      </w:r>
      <w:r>
        <w:rPr>
          <w:rFonts w:hint="eastAsia" w:eastAsia="宋体"/>
          <w:b/>
          <w:bCs/>
          <w:color w:val="auto"/>
          <w:sz w:val="32"/>
          <w:szCs w:val="32"/>
          <w:highlight w:val="none"/>
        </w:rPr>
        <w:t>第二章  供应商须知</w:t>
      </w:r>
      <w:r>
        <w:rPr>
          <w:b/>
          <w:bCs/>
          <w:color w:val="auto"/>
          <w:sz w:val="32"/>
          <w:szCs w:val="32"/>
          <w:highlight w:val="none"/>
        </w:rPr>
        <w:tab/>
      </w:r>
      <w:r>
        <w:rPr>
          <w:b/>
          <w:bCs/>
          <w:color w:val="auto"/>
          <w:sz w:val="32"/>
          <w:szCs w:val="32"/>
          <w:highlight w:val="none"/>
        </w:rPr>
        <w:fldChar w:fldCharType="begin"/>
      </w:r>
      <w:r>
        <w:rPr>
          <w:b/>
          <w:bCs/>
          <w:color w:val="auto"/>
          <w:sz w:val="32"/>
          <w:szCs w:val="32"/>
          <w:highlight w:val="none"/>
        </w:rPr>
        <w:instrText xml:space="preserve"> PAGEREF _Toc22384 \h </w:instrText>
      </w:r>
      <w:r>
        <w:rPr>
          <w:b/>
          <w:bCs/>
          <w:color w:val="auto"/>
          <w:sz w:val="32"/>
          <w:szCs w:val="32"/>
          <w:highlight w:val="none"/>
        </w:rPr>
        <w:fldChar w:fldCharType="separate"/>
      </w:r>
      <w:r>
        <w:rPr>
          <w:b/>
          <w:bCs/>
          <w:color w:val="auto"/>
          <w:sz w:val="32"/>
          <w:szCs w:val="32"/>
          <w:highlight w:val="none"/>
        </w:rPr>
        <w:t>5</w:t>
      </w:r>
      <w:r>
        <w:rPr>
          <w:b/>
          <w:bCs/>
          <w:color w:val="auto"/>
          <w:sz w:val="32"/>
          <w:szCs w:val="32"/>
          <w:highlight w:val="none"/>
        </w:rPr>
        <w:fldChar w:fldCharType="end"/>
      </w:r>
      <w:r>
        <w:rPr>
          <w:rFonts w:ascii="仿宋_GB2312" w:hAnsi="宋体" w:eastAsia="仿宋_GB2312"/>
          <w:b/>
          <w:bCs/>
          <w:color w:val="auto"/>
          <w:sz w:val="32"/>
          <w:szCs w:val="32"/>
          <w:highlight w:val="none"/>
        </w:rPr>
        <w:fldChar w:fldCharType="end"/>
      </w:r>
    </w:p>
    <w:p w14:paraId="16B474AE">
      <w:pPr>
        <w:pStyle w:val="26"/>
        <w:tabs>
          <w:tab w:val="right" w:leader="dot" w:pos="8722"/>
        </w:tabs>
        <w:spacing w:line="360" w:lineRule="auto"/>
        <w:rPr>
          <w:b/>
          <w:bCs/>
          <w:color w:val="auto"/>
          <w:sz w:val="32"/>
          <w:szCs w:val="32"/>
          <w:highlight w:val="none"/>
        </w:rPr>
      </w:pPr>
      <w:r>
        <w:rPr>
          <w:rFonts w:ascii="仿宋_GB2312" w:hAnsi="宋体" w:eastAsia="仿宋_GB2312"/>
          <w:b/>
          <w:bCs/>
          <w:color w:val="auto"/>
          <w:sz w:val="32"/>
          <w:szCs w:val="32"/>
          <w:highlight w:val="none"/>
        </w:rPr>
        <w:fldChar w:fldCharType="begin"/>
      </w:r>
      <w:r>
        <w:rPr>
          <w:rFonts w:ascii="仿宋_GB2312" w:hAnsi="宋体" w:eastAsia="仿宋_GB2312"/>
          <w:b/>
          <w:bCs/>
          <w:color w:val="auto"/>
          <w:sz w:val="32"/>
          <w:szCs w:val="32"/>
          <w:highlight w:val="none"/>
        </w:rPr>
        <w:instrText xml:space="preserve"> HYPERLINK \l _Toc2304 </w:instrText>
      </w:r>
      <w:r>
        <w:rPr>
          <w:rFonts w:ascii="仿宋_GB2312" w:hAnsi="宋体" w:eastAsia="仿宋_GB2312"/>
          <w:b/>
          <w:bCs/>
          <w:color w:val="auto"/>
          <w:sz w:val="32"/>
          <w:szCs w:val="32"/>
          <w:highlight w:val="none"/>
        </w:rPr>
        <w:fldChar w:fldCharType="separate"/>
      </w:r>
      <w:r>
        <w:rPr>
          <w:rFonts w:hint="eastAsia"/>
          <w:b/>
          <w:bCs/>
          <w:color w:val="auto"/>
          <w:sz w:val="32"/>
          <w:szCs w:val="32"/>
          <w:highlight w:val="none"/>
        </w:rPr>
        <w:t>第三章  采购需求</w:t>
      </w:r>
      <w:r>
        <w:rPr>
          <w:b/>
          <w:bCs/>
          <w:color w:val="auto"/>
          <w:sz w:val="32"/>
          <w:szCs w:val="32"/>
          <w:highlight w:val="none"/>
        </w:rPr>
        <w:tab/>
      </w:r>
      <w:r>
        <w:rPr>
          <w:b/>
          <w:bCs/>
          <w:color w:val="auto"/>
          <w:sz w:val="32"/>
          <w:szCs w:val="32"/>
          <w:highlight w:val="none"/>
        </w:rPr>
        <w:fldChar w:fldCharType="begin"/>
      </w:r>
      <w:r>
        <w:rPr>
          <w:b/>
          <w:bCs/>
          <w:color w:val="auto"/>
          <w:sz w:val="32"/>
          <w:szCs w:val="32"/>
          <w:highlight w:val="none"/>
        </w:rPr>
        <w:instrText xml:space="preserve"> PAGEREF _Toc2304 \h </w:instrText>
      </w:r>
      <w:r>
        <w:rPr>
          <w:b/>
          <w:bCs/>
          <w:color w:val="auto"/>
          <w:sz w:val="32"/>
          <w:szCs w:val="32"/>
          <w:highlight w:val="none"/>
        </w:rPr>
        <w:fldChar w:fldCharType="separate"/>
      </w:r>
      <w:r>
        <w:rPr>
          <w:b/>
          <w:bCs/>
          <w:color w:val="auto"/>
          <w:sz w:val="32"/>
          <w:szCs w:val="32"/>
          <w:highlight w:val="none"/>
        </w:rPr>
        <w:t>23</w:t>
      </w:r>
      <w:r>
        <w:rPr>
          <w:b/>
          <w:bCs/>
          <w:color w:val="auto"/>
          <w:sz w:val="32"/>
          <w:szCs w:val="32"/>
          <w:highlight w:val="none"/>
        </w:rPr>
        <w:fldChar w:fldCharType="end"/>
      </w:r>
      <w:r>
        <w:rPr>
          <w:rFonts w:ascii="仿宋_GB2312" w:hAnsi="宋体" w:eastAsia="仿宋_GB2312"/>
          <w:b/>
          <w:bCs/>
          <w:color w:val="auto"/>
          <w:sz w:val="32"/>
          <w:szCs w:val="32"/>
          <w:highlight w:val="none"/>
        </w:rPr>
        <w:fldChar w:fldCharType="end"/>
      </w:r>
    </w:p>
    <w:p w14:paraId="6E8062EF">
      <w:pPr>
        <w:pStyle w:val="26"/>
        <w:tabs>
          <w:tab w:val="right" w:leader="dot" w:pos="8722"/>
        </w:tabs>
        <w:spacing w:line="360" w:lineRule="auto"/>
        <w:rPr>
          <w:b/>
          <w:bCs/>
          <w:color w:val="auto"/>
          <w:sz w:val="32"/>
          <w:szCs w:val="32"/>
          <w:highlight w:val="none"/>
        </w:rPr>
      </w:pPr>
      <w:r>
        <w:rPr>
          <w:rFonts w:ascii="仿宋_GB2312" w:hAnsi="宋体" w:eastAsia="仿宋_GB2312"/>
          <w:b/>
          <w:bCs/>
          <w:color w:val="auto"/>
          <w:sz w:val="32"/>
          <w:szCs w:val="32"/>
          <w:highlight w:val="none"/>
        </w:rPr>
        <w:fldChar w:fldCharType="begin"/>
      </w:r>
      <w:r>
        <w:rPr>
          <w:rFonts w:ascii="仿宋_GB2312" w:hAnsi="宋体" w:eastAsia="仿宋_GB2312"/>
          <w:b/>
          <w:bCs/>
          <w:color w:val="auto"/>
          <w:sz w:val="32"/>
          <w:szCs w:val="32"/>
          <w:highlight w:val="none"/>
        </w:rPr>
        <w:instrText xml:space="preserve"> HYPERLINK \l _Toc9575 </w:instrText>
      </w:r>
      <w:r>
        <w:rPr>
          <w:rFonts w:ascii="仿宋_GB2312" w:hAnsi="宋体" w:eastAsia="仿宋_GB2312"/>
          <w:b/>
          <w:bCs/>
          <w:color w:val="auto"/>
          <w:sz w:val="32"/>
          <w:szCs w:val="32"/>
          <w:highlight w:val="none"/>
        </w:rPr>
        <w:fldChar w:fldCharType="separate"/>
      </w:r>
      <w:r>
        <w:rPr>
          <w:rFonts w:hint="eastAsia"/>
          <w:b/>
          <w:bCs/>
          <w:color w:val="auto"/>
          <w:sz w:val="32"/>
          <w:szCs w:val="32"/>
          <w:highlight w:val="none"/>
        </w:rPr>
        <w:t>第四章  评审程序和评定成交的标准</w:t>
      </w:r>
      <w:r>
        <w:rPr>
          <w:b/>
          <w:bCs/>
          <w:color w:val="auto"/>
          <w:sz w:val="32"/>
          <w:szCs w:val="32"/>
          <w:highlight w:val="none"/>
        </w:rPr>
        <w:tab/>
      </w:r>
      <w:r>
        <w:rPr>
          <w:b/>
          <w:bCs/>
          <w:color w:val="auto"/>
          <w:sz w:val="32"/>
          <w:szCs w:val="32"/>
          <w:highlight w:val="none"/>
        </w:rPr>
        <w:fldChar w:fldCharType="begin"/>
      </w:r>
      <w:r>
        <w:rPr>
          <w:b/>
          <w:bCs/>
          <w:color w:val="auto"/>
          <w:sz w:val="32"/>
          <w:szCs w:val="32"/>
          <w:highlight w:val="none"/>
        </w:rPr>
        <w:instrText xml:space="preserve"> PAGEREF _Toc9575 \h </w:instrText>
      </w:r>
      <w:r>
        <w:rPr>
          <w:b/>
          <w:bCs/>
          <w:color w:val="auto"/>
          <w:sz w:val="32"/>
          <w:szCs w:val="32"/>
          <w:highlight w:val="none"/>
        </w:rPr>
        <w:fldChar w:fldCharType="separate"/>
      </w:r>
      <w:r>
        <w:rPr>
          <w:b/>
          <w:bCs/>
          <w:color w:val="auto"/>
          <w:sz w:val="32"/>
          <w:szCs w:val="32"/>
          <w:highlight w:val="none"/>
        </w:rPr>
        <w:t>57</w:t>
      </w:r>
      <w:r>
        <w:rPr>
          <w:b/>
          <w:bCs/>
          <w:color w:val="auto"/>
          <w:sz w:val="32"/>
          <w:szCs w:val="32"/>
          <w:highlight w:val="none"/>
        </w:rPr>
        <w:fldChar w:fldCharType="end"/>
      </w:r>
      <w:r>
        <w:rPr>
          <w:rFonts w:ascii="仿宋_GB2312" w:hAnsi="宋体" w:eastAsia="仿宋_GB2312"/>
          <w:b/>
          <w:bCs/>
          <w:color w:val="auto"/>
          <w:sz w:val="32"/>
          <w:szCs w:val="32"/>
          <w:highlight w:val="none"/>
        </w:rPr>
        <w:fldChar w:fldCharType="end"/>
      </w:r>
    </w:p>
    <w:p w14:paraId="77F1906F">
      <w:pPr>
        <w:pStyle w:val="26"/>
        <w:tabs>
          <w:tab w:val="right" w:leader="dot" w:pos="8722"/>
        </w:tabs>
        <w:spacing w:line="360" w:lineRule="auto"/>
        <w:rPr>
          <w:b/>
          <w:bCs/>
          <w:color w:val="auto"/>
          <w:sz w:val="32"/>
          <w:szCs w:val="32"/>
          <w:highlight w:val="none"/>
        </w:rPr>
      </w:pPr>
      <w:r>
        <w:rPr>
          <w:rFonts w:ascii="仿宋_GB2312" w:hAnsi="宋体" w:eastAsia="仿宋_GB2312"/>
          <w:b/>
          <w:bCs/>
          <w:color w:val="auto"/>
          <w:sz w:val="32"/>
          <w:szCs w:val="32"/>
          <w:highlight w:val="none"/>
        </w:rPr>
        <w:fldChar w:fldCharType="begin"/>
      </w:r>
      <w:r>
        <w:rPr>
          <w:rFonts w:ascii="仿宋_GB2312" w:hAnsi="宋体" w:eastAsia="仿宋_GB2312"/>
          <w:b/>
          <w:bCs/>
          <w:color w:val="auto"/>
          <w:sz w:val="32"/>
          <w:szCs w:val="32"/>
          <w:highlight w:val="none"/>
        </w:rPr>
        <w:instrText xml:space="preserve"> HYPERLINK \l _Toc10720 </w:instrText>
      </w:r>
      <w:r>
        <w:rPr>
          <w:rFonts w:ascii="仿宋_GB2312" w:hAnsi="宋体" w:eastAsia="仿宋_GB2312"/>
          <w:b/>
          <w:bCs/>
          <w:color w:val="auto"/>
          <w:sz w:val="32"/>
          <w:szCs w:val="32"/>
          <w:highlight w:val="none"/>
        </w:rPr>
        <w:fldChar w:fldCharType="separate"/>
      </w:r>
      <w:r>
        <w:rPr>
          <w:rFonts w:hint="eastAsia"/>
          <w:b/>
          <w:bCs/>
          <w:color w:val="auto"/>
          <w:sz w:val="32"/>
          <w:szCs w:val="32"/>
          <w:highlight w:val="none"/>
        </w:rPr>
        <w:t xml:space="preserve">第五章 </w:t>
      </w:r>
      <w:r>
        <w:rPr>
          <w:rFonts w:hint="eastAsia"/>
          <w:b/>
          <w:bCs/>
          <w:color w:val="auto"/>
          <w:sz w:val="32"/>
          <w:szCs w:val="32"/>
          <w:highlight w:val="none"/>
          <w:lang w:val="en-US" w:eastAsia="zh-CN"/>
        </w:rPr>
        <w:t xml:space="preserve"> </w:t>
      </w:r>
      <w:r>
        <w:rPr>
          <w:rFonts w:hint="eastAsia"/>
          <w:b/>
          <w:bCs/>
          <w:color w:val="auto"/>
          <w:sz w:val="32"/>
          <w:szCs w:val="32"/>
          <w:highlight w:val="none"/>
        </w:rPr>
        <w:t>响应文件格</w:t>
      </w:r>
      <w:r>
        <w:rPr>
          <w:rFonts w:hint="eastAsia"/>
          <w:b/>
          <w:bCs/>
          <w:color w:val="auto"/>
          <w:sz w:val="32"/>
          <w:szCs w:val="32"/>
          <w:highlight w:val="none"/>
          <w:lang w:val="en-US" w:eastAsia="zh-CN"/>
        </w:rPr>
        <w:t>式</w:t>
      </w:r>
      <w:r>
        <w:rPr>
          <w:b/>
          <w:bCs/>
          <w:color w:val="auto"/>
          <w:sz w:val="32"/>
          <w:szCs w:val="32"/>
          <w:highlight w:val="none"/>
        </w:rPr>
        <w:tab/>
      </w:r>
      <w:r>
        <w:rPr>
          <w:b/>
          <w:bCs/>
          <w:color w:val="auto"/>
          <w:sz w:val="32"/>
          <w:szCs w:val="32"/>
          <w:highlight w:val="none"/>
        </w:rPr>
        <w:fldChar w:fldCharType="begin"/>
      </w:r>
      <w:r>
        <w:rPr>
          <w:b/>
          <w:bCs/>
          <w:color w:val="auto"/>
          <w:sz w:val="32"/>
          <w:szCs w:val="32"/>
          <w:highlight w:val="none"/>
        </w:rPr>
        <w:instrText xml:space="preserve"> PAGEREF _Toc10720 \h </w:instrText>
      </w:r>
      <w:r>
        <w:rPr>
          <w:b/>
          <w:bCs/>
          <w:color w:val="auto"/>
          <w:sz w:val="32"/>
          <w:szCs w:val="32"/>
          <w:highlight w:val="none"/>
        </w:rPr>
        <w:fldChar w:fldCharType="separate"/>
      </w:r>
      <w:r>
        <w:rPr>
          <w:b/>
          <w:bCs/>
          <w:color w:val="auto"/>
          <w:sz w:val="32"/>
          <w:szCs w:val="32"/>
          <w:highlight w:val="none"/>
        </w:rPr>
        <w:t>64</w:t>
      </w:r>
      <w:r>
        <w:rPr>
          <w:b/>
          <w:bCs/>
          <w:color w:val="auto"/>
          <w:sz w:val="32"/>
          <w:szCs w:val="32"/>
          <w:highlight w:val="none"/>
        </w:rPr>
        <w:fldChar w:fldCharType="end"/>
      </w:r>
      <w:r>
        <w:rPr>
          <w:rFonts w:ascii="仿宋_GB2312" w:hAnsi="宋体" w:eastAsia="仿宋_GB2312"/>
          <w:b/>
          <w:bCs/>
          <w:color w:val="auto"/>
          <w:sz w:val="32"/>
          <w:szCs w:val="32"/>
          <w:highlight w:val="none"/>
        </w:rPr>
        <w:fldChar w:fldCharType="end"/>
      </w:r>
    </w:p>
    <w:p w14:paraId="2D085487">
      <w:pPr>
        <w:pStyle w:val="26"/>
        <w:tabs>
          <w:tab w:val="right" w:leader="dot" w:pos="8722"/>
        </w:tabs>
        <w:spacing w:line="360" w:lineRule="auto"/>
        <w:rPr>
          <w:b/>
          <w:bCs/>
          <w:color w:val="auto"/>
          <w:sz w:val="32"/>
          <w:szCs w:val="32"/>
          <w:highlight w:val="none"/>
        </w:rPr>
      </w:pPr>
      <w:r>
        <w:rPr>
          <w:rFonts w:ascii="仿宋_GB2312" w:hAnsi="宋体" w:eastAsia="仿宋_GB2312"/>
          <w:b/>
          <w:bCs/>
          <w:color w:val="auto"/>
          <w:sz w:val="32"/>
          <w:szCs w:val="32"/>
          <w:highlight w:val="none"/>
        </w:rPr>
        <w:fldChar w:fldCharType="begin"/>
      </w:r>
      <w:r>
        <w:rPr>
          <w:rFonts w:ascii="仿宋_GB2312" w:hAnsi="宋体" w:eastAsia="仿宋_GB2312"/>
          <w:b/>
          <w:bCs/>
          <w:color w:val="auto"/>
          <w:sz w:val="32"/>
          <w:szCs w:val="32"/>
          <w:highlight w:val="none"/>
        </w:rPr>
        <w:instrText xml:space="preserve"> HYPERLINK \l _Toc2207 </w:instrText>
      </w:r>
      <w:r>
        <w:rPr>
          <w:rFonts w:ascii="仿宋_GB2312" w:hAnsi="宋体" w:eastAsia="仿宋_GB2312"/>
          <w:b/>
          <w:bCs/>
          <w:color w:val="auto"/>
          <w:sz w:val="32"/>
          <w:szCs w:val="32"/>
          <w:highlight w:val="none"/>
        </w:rPr>
        <w:fldChar w:fldCharType="separate"/>
      </w:r>
      <w:r>
        <w:rPr>
          <w:rFonts w:hint="eastAsia"/>
          <w:b/>
          <w:bCs/>
          <w:color w:val="auto"/>
          <w:kern w:val="0"/>
          <w:sz w:val="32"/>
          <w:szCs w:val="32"/>
          <w:highlight w:val="none"/>
        </w:rPr>
        <w:t>第</w:t>
      </w:r>
      <w:r>
        <w:rPr>
          <w:rFonts w:hint="eastAsia"/>
          <w:b/>
          <w:bCs/>
          <w:color w:val="auto"/>
          <w:kern w:val="0"/>
          <w:sz w:val="32"/>
          <w:szCs w:val="32"/>
          <w:highlight w:val="none"/>
          <w:lang w:val="en-US" w:eastAsia="zh-CN"/>
        </w:rPr>
        <w:t>六</w:t>
      </w:r>
      <w:r>
        <w:rPr>
          <w:rFonts w:hint="eastAsia"/>
          <w:b/>
          <w:bCs/>
          <w:color w:val="auto"/>
          <w:kern w:val="0"/>
          <w:sz w:val="32"/>
          <w:szCs w:val="32"/>
          <w:highlight w:val="none"/>
        </w:rPr>
        <w:t>章  合同文本</w:t>
      </w:r>
      <w:r>
        <w:rPr>
          <w:b/>
          <w:bCs/>
          <w:color w:val="auto"/>
          <w:sz w:val="32"/>
          <w:szCs w:val="32"/>
          <w:highlight w:val="none"/>
        </w:rPr>
        <w:tab/>
      </w:r>
      <w:r>
        <w:rPr>
          <w:b/>
          <w:bCs/>
          <w:color w:val="auto"/>
          <w:sz w:val="32"/>
          <w:szCs w:val="32"/>
          <w:highlight w:val="none"/>
        </w:rPr>
        <w:fldChar w:fldCharType="begin"/>
      </w:r>
      <w:r>
        <w:rPr>
          <w:b/>
          <w:bCs/>
          <w:color w:val="auto"/>
          <w:sz w:val="32"/>
          <w:szCs w:val="32"/>
          <w:highlight w:val="none"/>
        </w:rPr>
        <w:instrText xml:space="preserve"> PAGEREF _Toc2207 \h </w:instrText>
      </w:r>
      <w:r>
        <w:rPr>
          <w:b/>
          <w:bCs/>
          <w:color w:val="auto"/>
          <w:sz w:val="32"/>
          <w:szCs w:val="32"/>
          <w:highlight w:val="none"/>
        </w:rPr>
        <w:fldChar w:fldCharType="separate"/>
      </w:r>
      <w:r>
        <w:rPr>
          <w:b/>
          <w:bCs/>
          <w:color w:val="auto"/>
          <w:sz w:val="32"/>
          <w:szCs w:val="32"/>
          <w:highlight w:val="none"/>
        </w:rPr>
        <w:t>90</w:t>
      </w:r>
      <w:r>
        <w:rPr>
          <w:b/>
          <w:bCs/>
          <w:color w:val="auto"/>
          <w:sz w:val="32"/>
          <w:szCs w:val="32"/>
          <w:highlight w:val="none"/>
        </w:rPr>
        <w:fldChar w:fldCharType="end"/>
      </w:r>
      <w:r>
        <w:rPr>
          <w:rFonts w:ascii="仿宋_GB2312" w:hAnsi="宋体" w:eastAsia="仿宋_GB2312"/>
          <w:b/>
          <w:bCs/>
          <w:color w:val="auto"/>
          <w:sz w:val="32"/>
          <w:szCs w:val="32"/>
          <w:highlight w:val="none"/>
        </w:rPr>
        <w:fldChar w:fldCharType="end"/>
      </w:r>
    </w:p>
    <w:p w14:paraId="5636D9A0">
      <w:pPr>
        <w:spacing w:line="360" w:lineRule="auto"/>
        <w:jc w:val="center"/>
        <w:rPr>
          <w:rFonts w:hint="eastAsia" w:ascii="仿宋_GB2312" w:hAnsi="宋体" w:eastAsia="仿宋_GB2312"/>
          <w:b/>
          <w:color w:val="auto"/>
          <w:sz w:val="32"/>
          <w:szCs w:val="32"/>
          <w:highlight w:val="none"/>
        </w:rPr>
      </w:pPr>
      <w:r>
        <w:rPr>
          <w:rFonts w:ascii="仿宋_GB2312" w:hAnsi="宋体" w:eastAsia="仿宋_GB2312"/>
          <w:b/>
          <w:bCs/>
          <w:color w:val="auto"/>
          <w:sz w:val="32"/>
          <w:szCs w:val="32"/>
          <w:highlight w:val="none"/>
        </w:rPr>
        <w:fldChar w:fldCharType="end"/>
      </w:r>
    </w:p>
    <w:p w14:paraId="2E167E15">
      <w:pPr>
        <w:spacing w:line="400" w:lineRule="exact"/>
        <w:jc w:val="center"/>
        <w:rPr>
          <w:rFonts w:hint="eastAsia" w:ascii="仿宋_GB2312" w:hAnsi="宋体" w:eastAsia="仿宋_GB2312"/>
          <w:b/>
          <w:color w:val="auto"/>
          <w:sz w:val="32"/>
          <w:szCs w:val="32"/>
          <w:highlight w:val="none"/>
        </w:rPr>
      </w:pPr>
    </w:p>
    <w:p w14:paraId="4020F77C">
      <w:pPr>
        <w:tabs>
          <w:tab w:val="left" w:pos="6285"/>
        </w:tabs>
        <w:spacing w:line="400" w:lineRule="exact"/>
        <w:jc w:val="left"/>
        <w:rPr>
          <w:rFonts w:hint="eastAsia" w:ascii="仿宋_GB2312" w:hAnsi="宋体" w:eastAsia="仿宋_GB2312"/>
          <w:b/>
          <w:color w:val="auto"/>
          <w:sz w:val="32"/>
          <w:szCs w:val="32"/>
          <w:highlight w:val="none"/>
          <w:lang w:eastAsia="zh-CN"/>
        </w:rPr>
      </w:pPr>
      <w:r>
        <w:rPr>
          <w:rFonts w:hint="eastAsia" w:ascii="仿宋_GB2312" w:hAnsi="宋体" w:eastAsia="仿宋_GB2312"/>
          <w:b/>
          <w:color w:val="auto"/>
          <w:sz w:val="32"/>
          <w:szCs w:val="32"/>
          <w:highlight w:val="none"/>
          <w:lang w:eastAsia="zh-CN"/>
        </w:rPr>
        <w:tab/>
      </w:r>
    </w:p>
    <w:p w14:paraId="4A38D1B3">
      <w:pPr>
        <w:spacing w:line="400" w:lineRule="exact"/>
        <w:jc w:val="center"/>
        <w:rPr>
          <w:rFonts w:hint="eastAsia" w:ascii="仿宋_GB2312" w:hAnsi="宋体" w:eastAsia="仿宋_GB2312"/>
          <w:b/>
          <w:color w:val="auto"/>
          <w:sz w:val="32"/>
          <w:szCs w:val="32"/>
          <w:highlight w:val="none"/>
        </w:rPr>
      </w:pPr>
      <w:bookmarkStart w:id="44" w:name="_GoBack"/>
      <w:bookmarkEnd w:id="44"/>
    </w:p>
    <w:p w14:paraId="10CF7E05">
      <w:pPr>
        <w:spacing w:line="400" w:lineRule="exact"/>
        <w:jc w:val="center"/>
        <w:rPr>
          <w:rFonts w:hint="eastAsia" w:ascii="仿宋_GB2312" w:hAnsi="宋体" w:eastAsia="仿宋_GB2312"/>
          <w:b/>
          <w:color w:val="auto"/>
          <w:sz w:val="32"/>
          <w:szCs w:val="32"/>
          <w:highlight w:val="none"/>
        </w:rPr>
      </w:pPr>
    </w:p>
    <w:p w14:paraId="41AD5333">
      <w:pPr>
        <w:spacing w:line="400" w:lineRule="exact"/>
        <w:jc w:val="center"/>
        <w:rPr>
          <w:rFonts w:hint="eastAsia" w:ascii="仿宋_GB2312" w:hAnsi="宋体" w:eastAsia="仿宋_GB2312"/>
          <w:b/>
          <w:color w:val="auto"/>
          <w:sz w:val="32"/>
          <w:szCs w:val="32"/>
          <w:highlight w:val="none"/>
        </w:rPr>
      </w:pPr>
    </w:p>
    <w:p w14:paraId="59524B01">
      <w:pPr>
        <w:spacing w:line="400" w:lineRule="exact"/>
        <w:jc w:val="center"/>
        <w:rPr>
          <w:rFonts w:hint="eastAsia" w:ascii="仿宋_GB2312" w:hAnsi="宋体" w:eastAsia="仿宋_GB2312"/>
          <w:b/>
          <w:color w:val="auto"/>
          <w:sz w:val="32"/>
          <w:szCs w:val="32"/>
          <w:highlight w:val="none"/>
        </w:rPr>
      </w:pPr>
    </w:p>
    <w:p w14:paraId="190014CA">
      <w:pPr>
        <w:spacing w:line="400" w:lineRule="exact"/>
        <w:jc w:val="center"/>
        <w:rPr>
          <w:rFonts w:hint="eastAsia" w:ascii="仿宋_GB2312" w:hAnsi="宋体" w:eastAsia="仿宋_GB2312"/>
          <w:b/>
          <w:color w:val="auto"/>
          <w:sz w:val="32"/>
          <w:szCs w:val="32"/>
          <w:highlight w:val="none"/>
        </w:rPr>
      </w:pPr>
    </w:p>
    <w:p w14:paraId="21AFF318">
      <w:pPr>
        <w:spacing w:line="400" w:lineRule="exact"/>
        <w:jc w:val="center"/>
        <w:rPr>
          <w:rFonts w:hint="eastAsia" w:ascii="仿宋_GB2312" w:hAnsi="宋体" w:eastAsia="仿宋_GB2312"/>
          <w:b/>
          <w:color w:val="auto"/>
          <w:sz w:val="32"/>
          <w:szCs w:val="32"/>
          <w:highlight w:val="none"/>
        </w:rPr>
      </w:pPr>
    </w:p>
    <w:p w14:paraId="5F40B5AE">
      <w:pPr>
        <w:spacing w:line="400" w:lineRule="exact"/>
        <w:jc w:val="center"/>
        <w:rPr>
          <w:rFonts w:hint="eastAsia" w:ascii="仿宋_GB2312" w:hAnsi="宋体" w:eastAsia="仿宋_GB2312"/>
          <w:b/>
          <w:color w:val="auto"/>
          <w:sz w:val="32"/>
          <w:szCs w:val="32"/>
          <w:highlight w:val="none"/>
        </w:rPr>
      </w:pPr>
    </w:p>
    <w:p w14:paraId="6FB8EAC4">
      <w:pPr>
        <w:spacing w:line="400" w:lineRule="exact"/>
        <w:jc w:val="center"/>
        <w:rPr>
          <w:rFonts w:hint="eastAsia" w:ascii="仿宋_GB2312" w:hAnsi="宋体" w:eastAsia="仿宋_GB2312"/>
          <w:b/>
          <w:color w:val="auto"/>
          <w:sz w:val="32"/>
          <w:szCs w:val="32"/>
          <w:highlight w:val="none"/>
        </w:rPr>
      </w:pPr>
    </w:p>
    <w:p w14:paraId="33534991">
      <w:pPr>
        <w:spacing w:line="400" w:lineRule="exact"/>
        <w:jc w:val="center"/>
        <w:rPr>
          <w:rFonts w:hint="eastAsia" w:ascii="仿宋_GB2312" w:hAnsi="宋体" w:eastAsia="仿宋_GB2312"/>
          <w:b/>
          <w:color w:val="auto"/>
          <w:sz w:val="32"/>
          <w:szCs w:val="32"/>
          <w:highlight w:val="none"/>
        </w:rPr>
      </w:pPr>
    </w:p>
    <w:p w14:paraId="45A0D7C3">
      <w:pPr>
        <w:spacing w:line="400" w:lineRule="exact"/>
        <w:jc w:val="center"/>
        <w:rPr>
          <w:rFonts w:hint="eastAsia" w:ascii="黑体" w:hAnsi="宋体" w:eastAsia="黑体"/>
          <w:b/>
          <w:color w:val="auto"/>
          <w:sz w:val="32"/>
          <w:szCs w:val="32"/>
          <w:highlight w:val="none"/>
        </w:rPr>
      </w:pPr>
    </w:p>
    <w:p w14:paraId="03121097">
      <w:pPr>
        <w:spacing w:line="400" w:lineRule="exact"/>
        <w:jc w:val="center"/>
        <w:rPr>
          <w:rFonts w:hint="eastAsia" w:ascii="黑体" w:hAnsi="宋体" w:eastAsia="黑体"/>
          <w:b/>
          <w:color w:val="auto"/>
          <w:sz w:val="32"/>
          <w:szCs w:val="32"/>
          <w:highlight w:val="none"/>
        </w:rPr>
      </w:pPr>
    </w:p>
    <w:p w14:paraId="3974DF30">
      <w:pPr>
        <w:spacing w:line="400" w:lineRule="exact"/>
        <w:jc w:val="center"/>
        <w:rPr>
          <w:rFonts w:hint="eastAsia" w:ascii="黑体" w:hAnsi="宋体" w:eastAsia="黑体"/>
          <w:b/>
          <w:color w:val="auto"/>
          <w:sz w:val="32"/>
          <w:szCs w:val="32"/>
          <w:highlight w:val="none"/>
        </w:rPr>
      </w:pPr>
    </w:p>
    <w:p w14:paraId="66848F27">
      <w:pPr>
        <w:spacing w:line="400" w:lineRule="exact"/>
        <w:jc w:val="center"/>
        <w:rPr>
          <w:rFonts w:hint="eastAsia" w:ascii="黑体" w:hAnsi="宋体" w:eastAsia="黑体"/>
          <w:b/>
          <w:color w:val="auto"/>
          <w:sz w:val="32"/>
          <w:szCs w:val="32"/>
          <w:highlight w:val="none"/>
        </w:rPr>
      </w:pPr>
    </w:p>
    <w:p w14:paraId="5B55EA63">
      <w:pPr>
        <w:spacing w:line="400" w:lineRule="exact"/>
        <w:jc w:val="center"/>
        <w:rPr>
          <w:rFonts w:hint="eastAsia" w:ascii="黑体" w:hAnsi="宋体" w:eastAsia="黑体"/>
          <w:b/>
          <w:color w:val="auto"/>
          <w:sz w:val="32"/>
          <w:szCs w:val="32"/>
          <w:highlight w:val="none"/>
        </w:rPr>
      </w:pPr>
    </w:p>
    <w:p w14:paraId="54AF8712">
      <w:pPr>
        <w:spacing w:line="400" w:lineRule="exact"/>
        <w:jc w:val="center"/>
        <w:rPr>
          <w:rFonts w:hint="eastAsia" w:ascii="黑体" w:hAnsi="宋体" w:eastAsia="黑体"/>
          <w:b/>
          <w:color w:val="auto"/>
          <w:sz w:val="32"/>
          <w:szCs w:val="32"/>
          <w:highlight w:val="none"/>
        </w:rPr>
      </w:pPr>
    </w:p>
    <w:p w14:paraId="1F918406">
      <w:pPr>
        <w:spacing w:line="400" w:lineRule="exact"/>
        <w:jc w:val="center"/>
        <w:rPr>
          <w:rFonts w:hint="eastAsia" w:ascii="黑体" w:hAnsi="宋体" w:eastAsia="黑体"/>
          <w:b/>
          <w:color w:val="auto"/>
          <w:sz w:val="32"/>
          <w:szCs w:val="32"/>
          <w:highlight w:val="none"/>
        </w:rPr>
      </w:pPr>
    </w:p>
    <w:p w14:paraId="39148DEC">
      <w:pPr>
        <w:spacing w:line="400" w:lineRule="exact"/>
        <w:jc w:val="center"/>
        <w:rPr>
          <w:rFonts w:hint="eastAsia" w:ascii="黑体" w:hAnsi="宋体" w:eastAsia="黑体"/>
          <w:b/>
          <w:color w:val="auto"/>
          <w:sz w:val="32"/>
          <w:szCs w:val="32"/>
          <w:highlight w:val="none"/>
        </w:rPr>
      </w:pPr>
    </w:p>
    <w:p w14:paraId="06C727C7">
      <w:pPr>
        <w:spacing w:line="400" w:lineRule="exact"/>
        <w:jc w:val="center"/>
        <w:rPr>
          <w:rFonts w:hint="eastAsia" w:ascii="黑体" w:hAnsi="宋体" w:eastAsia="黑体"/>
          <w:b/>
          <w:color w:val="auto"/>
          <w:sz w:val="32"/>
          <w:szCs w:val="32"/>
          <w:highlight w:val="none"/>
        </w:rPr>
      </w:pPr>
    </w:p>
    <w:p w14:paraId="6B69DA39">
      <w:pPr>
        <w:spacing w:line="400" w:lineRule="exact"/>
        <w:jc w:val="center"/>
        <w:rPr>
          <w:rFonts w:hint="eastAsia" w:ascii="宋体" w:hAnsi="宋体"/>
          <w:b/>
          <w:color w:val="auto"/>
          <w:sz w:val="32"/>
          <w:szCs w:val="32"/>
          <w:highlight w:val="none"/>
        </w:rPr>
      </w:pPr>
    </w:p>
    <w:p w14:paraId="10B39006">
      <w:pPr>
        <w:rPr>
          <w:rFonts w:hint="eastAsia" w:ascii="华文新魏" w:hAnsi="宋体" w:eastAsia="华文新魏"/>
          <w:color w:val="auto"/>
          <w:sz w:val="44"/>
          <w:szCs w:val="44"/>
          <w:highlight w:val="none"/>
        </w:rPr>
      </w:pPr>
      <w:bookmarkStart w:id="0" w:name="_Toc476258662"/>
      <w:r>
        <w:rPr>
          <w:rFonts w:hint="eastAsia" w:ascii="华文新魏" w:hAnsi="宋体" w:eastAsia="华文新魏"/>
          <w:color w:val="auto"/>
          <w:sz w:val="44"/>
          <w:szCs w:val="44"/>
          <w:highlight w:val="none"/>
        </w:rPr>
        <w:br w:type="page"/>
      </w:r>
    </w:p>
    <w:p w14:paraId="5E94B26B">
      <w:pPr>
        <w:pStyle w:val="33"/>
        <w:rPr>
          <w:rFonts w:hint="eastAsia" w:eastAsia="宋体"/>
          <w:color w:val="auto"/>
          <w:sz w:val="44"/>
          <w:szCs w:val="44"/>
          <w:highlight w:val="none"/>
        </w:rPr>
      </w:pPr>
      <w:bookmarkStart w:id="1" w:name="_Toc19940"/>
      <w:r>
        <w:rPr>
          <w:rFonts w:hint="eastAsia" w:eastAsia="宋体"/>
          <w:color w:val="auto"/>
          <w:sz w:val="44"/>
          <w:szCs w:val="44"/>
          <w:highlight w:val="none"/>
        </w:rPr>
        <w:t>第一章  竞争性谈判公告</w:t>
      </w:r>
      <w:bookmarkEnd w:id="0"/>
      <w:bookmarkEnd w:id="1"/>
    </w:p>
    <w:p w14:paraId="663D8663">
      <w:pPr>
        <w:spacing w:line="600" w:lineRule="exact"/>
        <w:jc w:val="center"/>
        <w:rPr>
          <w:rFonts w:hint="eastAsia" w:ascii="华文新魏" w:hAnsi="宋体" w:eastAsia="华文新魏"/>
          <w:color w:val="auto"/>
          <w:sz w:val="44"/>
          <w:szCs w:val="44"/>
          <w:highlight w:val="none"/>
        </w:rPr>
      </w:pPr>
      <w:r>
        <w:rPr>
          <w:rFonts w:hint="eastAsia" w:ascii="华文新魏" w:hAnsi="宋体" w:eastAsia="华文新魏"/>
          <w:color w:val="auto"/>
          <w:sz w:val="44"/>
          <w:szCs w:val="44"/>
          <w:highlight w:val="none"/>
        </w:rPr>
        <w:t>竞争性谈判公告</w:t>
      </w:r>
    </w:p>
    <w:p w14:paraId="0AC845D7">
      <w:pPr>
        <w:spacing w:line="380" w:lineRule="exact"/>
        <w:rPr>
          <w:rFonts w:ascii="宋体" w:hAnsi="宋体"/>
          <w:color w:val="auto"/>
          <w:szCs w:val="21"/>
          <w:highlight w:val="none"/>
        </w:rPr>
      </w:pPr>
    </w:p>
    <w:p w14:paraId="323FE69F">
      <w:pPr>
        <w:pBdr>
          <w:top w:val="single" w:color="auto" w:sz="4" w:space="1"/>
          <w:left w:val="single" w:color="auto" w:sz="4" w:space="4"/>
          <w:bottom w:val="single" w:color="auto" w:sz="4" w:space="1"/>
          <w:right w:val="single" w:color="auto" w:sz="4" w:space="4"/>
        </w:pBdr>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项目概况</w:t>
      </w:r>
    </w:p>
    <w:p w14:paraId="19FE1762">
      <w:pPr>
        <w:pBdr>
          <w:top w:val="single" w:color="auto" w:sz="4" w:space="1"/>
          <w:left w:val="single" w:color="auto" w:sz="4" w:space="4"/>
          <w:bottom w:val="single" w:color="auto" w:sz="4" w:space="1"/>
          <w:right w:val="single" w:color="auto" w:sz="4" w:space="4"/>
        </w:pBdr>
        <w:wordWrap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u w:val="single"/>
          <w:lang w:eastAsia="zh-CN"/>
        </w:rPr>
        <w:t>智能制造装备实训室</w:t>
      </w:r>
      <w:r>
        <w:rPr>
          <w:rFonts w:hint="eastAsia" w:ascii="宋体" w:hAnsi="宋体"/>
          <w:color w:val="auto"/>
          <w:szCs w:val="21"/>
          <w:highlight w:val="none"/>
        </w:rPr>
        <w:t>项目的潜在供应商应在</w:t>
      </w:r>
      <w:r>
        <w:rPr>
          <w:rFonts w:hint="eastAsia" w:ascii="宋体" w:hAnsi="宋体"/>
          <w:color w:val="auto"/>
          <w:szCs w:val="21"/>
          <w:highlight w:val="none"/>
          <w:u w:val="single"/>
        </w:rPr>
        <w:t>广西政府采购云平台（https</w:t>
      </w:r>
      <w:r>
        <w:rPr>
          <w:rFonts w:hint="eastAsia" w:ascii="宋体" w:hAnsi="宋体"/>
          <w:color w:val="auto"/>
          <w:szCs w:val="21"/>
          <w:highlight w:val="none"/>
          <w:u w:val="single"/>
          <w:lang w:eastAsia="zh-CN"/>
        </w:rPr>
        <w:t>：</w:t>
      </w:r>
      <w:r>
        <w:rPr>
          <w:rFonts w:hint="eastAsia" w:ascii="宋体" w:hAnsi="宋体"/>
          <w:color w:val="auto"/>
          <w:szCs w:val="21"/>
          <w:highlight w:val="none"/>
          <w:u w:val="single"/>
        </w:rPr>
        <w:t>//www.gcy.zfcg.gxzf.gov.cn/）</w:t>
      </w:r>
      <w:r>
        <w:rPr>
          <w:rFonts w:hint="eastAsia" w:ascii="宋体" w:hAnsi="宋体"/>
          <w:color w:val="auto"/>
          <w:szCs w:val="21"/>
          <w:highlight w:val="none"/>
        </w:rPr>
        <w:t>获取采购文件，并于</w:t>
      </w:r>
      <w:r>
        <w:rPr>
          <w:rFonts w:hint="eastAsia" w:ascii="宋体" w:hAnsi="宋体"/>
          <w:color w:val="auto"/>
          <w:szCs w:val="21"/>
          <w:highlight w:val="none"/>
          <w:u w:val="single"/>
          <w:lang w:eastAsia="zh-CN"/>
        </w:rPr>
        <w:t>202</w:t>
      </w:r>
      <w:r>
        <w:rPr>
          <w:rFonts w:hint="eastAsia" w:ascii="宋体" w:hAnsi="宋体"/>
          <w:color w:val="auto"/>
          <w:szCs w:val="21"/>
          <w:highlight w:val="none"/>
          <w:u w:val="single"/>
          <w:lang w:val="en-US" w:eastAsia="zh-CN"/>
        </w:rPr>
        <w:t>6</w:t>
      </w:r>
      <w:r>
        <w:rPr>
          <w:rFonts w:hint="eastAsia" w:ascii="宋体" w:hAnsi="宋体"/>
          <w:color w:val="auto"/>
          <w:szCs w:val="21"/>
          <w:highlight w:val="none"/>
          <w:u w:val="single"/>
          <w:lang w:eastAsia="zh-CN"/>
        </w:rPr>
        <w:t>年</w:t>
      </w:r>
      <w:r>
        <w:rPr>
          <w:rFonts w:hint="eastAsia" w:ascii="宋体" w:hAnsi="宋体"/>
          <w:color w:val="auto"/>
          <w:szCs w:val="21"/>
          <w:highlight w:val="none"/>
          <w:u w:val="single"/>
          <w:lang w:val="en-US" w:eastAsia="zh-CN"/>
        </w:rPr>
        <w:t>7</w:t>
      </w:r>
      <w:r>
        <w:rPr>
          <w:rFonts w:hint="eastAsia" w:ascii="宋体" w:hAnsi="宋体"/>
          <w:color w:val="auto"/>
          <w:szCs w:val="21"/>
          <w:highlight w:val="none"/>
          <w:u w:val="single"/>
          <w:lang w:eastAsia="zh-CN"/>
        </w:rPr>
        <w:t>月</w:t>
      </w:r>
      <w:r>
        <w:rPr>
          <w:rFonts w:hint="eastAsia" w:ascii="宋体" w:hAnsi="宋体"/>
          <w:color w:val="auto"/>
          <w:szCs w:val="21"/>
          <w:highlight w:val="none"/>
          <w:u w:val="single"/>
          <w:lang w:val="en-US" w:eastAsia="zh-CN"/>
        </w:rPr>
        <w:t xml:space="preserve">1 </w:t>
      </w:r>
      <w:r>
        <w:rPr>
          <w:rFonts w:hint="eastAsia" w:ascii="宋体" w:hAnsi="宋体"/>
          <w:color w:val="auto"/>
          <w:szCs w:val="21"/>
          <w:highlight w:val="none"/>
          <w:u w:val="single"/>
          <w:lang w:eastAsia="zh-CN"/>
        </w:rPr>
        <w:t>日</w:t>
      </w:r>
      <w:r>
        <w:rPr>
          <w:rFonts w:hint="eastAsia" w:ascii="宋体" w:hAnsi="宋体"/>
          <w:bCs/>
          <w:color w:val="auto"/>
          <w:szCs w:val="21"/>
          <w:highlight w:val="none"/>
          <w:u w:val="single"/>
          <w:lang w:val="en-US" w:eastAsia="zh-CN"/>
        </w:rPr>
        <w:t>9</w:t>
      </w:r>
      <w:r>
        <w:rPr>
          <w:rFonts w:hint="eastAsia" w:ascii="宋体" w:hAnsi="宋体"/>
          <w:bCs/>
          <w:color w:val="auto"/>
          <w:szCs w:val="21"/>
          <w:highlight w:val="none"/>
          <w:u w:val="single"/>
        </w:rPr>
        <w:t>点</w:t>
      </w:r>
      <w:r>
        <w:rPr>
          <w:rFonts w:hint="eastAsia" w:ascii="宋体" w:hAnsi="宋体"/>
          <w:bCs/>
          <w:color w:val="auto"/>
          <w:szCs w:val="21"/>
          <w:highlight w:val="none"/>
          <w:u w:val="single"/>
          <w:lang w:val="en-US" w:eastAsia="zh-CN"/>
        </w:rPr>
        <w:t>30</w:t>
      </w:r>
      <w:r>
        <w:rPr>
          <w:rFonts w:hint="eastAsia" w:ascii="宋体" w:hAnsi="宋体"/>
          <w:bCs/>
          <w:color w:val="auto"/>
          <w:szCs w:val="21"/>
          <w:highlight w:val="none"/>
          <w:u w:val="single"/>
        </w:rPr>
        <w:t>分</w:t>
      </w:r>
      <w:r>
        <w:rPr>
          <w:rFonts w:hint="eastAsia" w:ascii="宋体" w:hAnsi="宋体"/>
          <w:bCs/>
          <w:color w:val="auto"/>
          <w:szCs w:val="21"/>
          <w:highlight w:val="none"/>
        </w:rPr>
        <w:t>（北京时间）前提交（上传）响应</w:t>
      </w:r>
      <w:r>
        <w:rPr>
          <w:rFonts w:ascii="宋体" w:hAnsi="宋体"/>
          <w:bCs/>
          <w:color w:val="auto"/>
          <w:szCs w:val="21"/>
          <w:highlight w:val="none"/>
        </w:rPr>
        <w:t>文件</w:t>
      </w:r>
      <w:r>
        <w:rPr>
          <w:rFonts w:hint="eastAsia" w:ascii="宋体" w:hAnsi="宋体"/>
          <w:color w:val="auto"/>
          <w:szCs w:val="21"/>
          <w:highlight w:val="none"/>
        </w:rPr>
        <w:t>。</w:t>
      </w:r>
    </w:p>
    <w:p w14:paraId="6D82E3F4">
      <w:pPr>
        <w:numPr>
          <w:ilvl w:val="0"/>
          <w:numId w:val="0"/>
        </w:numPr>
        <w:spacing w:line="380" w:lineRule="exact"/>
        <w:rPr>
          <w:rFonts w:hint="eastAsia" w:ascii="宋体" w:hAnsi="宋体"/>
          <w:b/>
          <w:color w:val="auto"/>
          <w:highlight w:val="none"/>
        </w:rPr>
      </w:pPr>
      <w:bookmarkStart w:id="2" w:name="_Toc28359089"/>
      <w:bookmarkStart w:id="3" w:name="_Toc35393798"/>
      <w:bookmarkStart w:id="4" w:name="_Toc35393629"/>
      <w:bookmarkStart w:id="5" w:name="_Toc28359012"/>
      <w:r>
        <w:rPr>
          <w:rFonts w:hint="eastAsia" w:ascii="宋体" w:hAnsi="宋体" w:eastAsia="宋体" w:cs="Times New Roman"/>
          <w:b/>
          <w:color w:val="auto"/>
          <w:kern w:val="2"/>
          <w:sz w:val="21"/>
          <w:szCs w:val="24"/>
          <w:highlight w:val="none"/>
          <w:lang w:val="en-US" w:eastAsia="zh-CN" w:bidi="ar-SA"/>
        </w:rPr>
        <w:t>一、</w:t>
      </w:r>
      <w:r>
        <w:rPr>
          <w:rFonts w:hint="eastAsia" w:ascii="宋体" w:hAnsi="宋体"/>
          <w:b/>
          <w:color w:val="auto"/>
          <w:highlight w:val="none"/>
        </w:rPr>
        <w:t>项目基本情况</w:t>
      </w:r>
      <w:bookmarkEnd w:id="2"/>
      <w:bookmarkEnd w:id="3"/>
      <w:bookmarkEnd w:id="4"/>
      <w:bookmarkEnd w:id="5"/>
    </w:p>
    <w:p w14:paraId="101501BC">
      <w:pPr>
        <w:numPr>
          <w:ilvl w:val="0"/>
          <w:numId w:val="0"/>
        </w:numPr>
        <w:spacing w:line="380" w:lineRule="exact"/>
        <w:ind w:firstLine="420" w:firstLineChars="200"/>
        <w:rPr>
          <w:rFonts w:hint="eastAsia" w:ascii="宋体" w:hAnsi="宋体" w:cs="宋体"/>
          <w:color w:val="auto"/>
          <w:kern w:val="0"/>
          <w:szCs w:val="21"/>
          <w:highlight w:val="none"/>
          <w:lang w:eastAsia="zh-CN"/>
        </w:rPr>
      </w:pPr>
      <w:r>
        <w:rPr>
          <w:rFonts w:ascii="宋体" w:hAnsi="宋体" w:cs="宋体"/>
          <w:color w:val="auto"/>
          <w:kern w:val="0"/>
          <w:szCs w:val="21"/>
          <w:highlight w:val="none"/>
        </w:rPr>
        <w:t>项目编号：</w:t>
      </w:r>
      <w:r>
        <w:rPr>
          <w:rFonts w:hint="eastAsia" w:ascii="宋体" w:hAnsi="宋体" w:cs="宋体"/>
          <w:color w:val="auto"/>
          <w:kern w:val="0"/>
          <w:szCs w:val="21"/>
          <w:highlight w:val="none"/>
          <w:lang w:eastAsia="zh-CN"/>
        </w:rPr>
        <w:t>GXZC2026-J1-001992-ZLJL</w:t>
      </w:r>
    </w:p>
    <w:p w14:paraId="4F4B321D">
      <w:pPr>
        <w:widowControl/>
        <w:adjustRightInd w:val="0"/>
        <w:snapToGrid w:val="0"/>
        <w:spacing w:line="400" w:lineRule="exact"/>
        <w:ind w:firstLine="420" w:firstLineChars="200"/>
        <w:jc w:val="left"/>
        <w:rPr>
          <w:rFonts w:hint="eastAsia" w:ascii="宋体" w:hAnsi="宋体" w:cs="宋体"/>
          <w:color w:val="auto"/>
          <w:kern w:val="0"/>
          <w:szCs w:val="21"/>
          <w:highlight w:val="none"/>
          <w:lang w:eastAsia="zh-CN"/>
        </w:rPr>
      </w:pPr>
      <w:r>
        <w:rPr>
          <w:rFonts w:ascii="宋体" w:hAnsi="宋体" w:cs="宋体"/>
          <w:color w:val="auto"/>
          <w:kern w:val="0"/>
          <w:szCs w:val="21"/>
          <w:highlight w:val="none"/>
        </w:rPr>
        <w:t>项目名称：</w:t>
      </w:r>
      <w:r>
        <w:rPr>
          <w:rFonts w:hint="eastAsia" w:ascii="宋体" w:hAnsi="宋体" w:cs="宋体"/>
          <w:color w:val="auto"/>
          <w:kern w:val="0"/>
          <w:szCs w:val="21"/>
          <w:highlight w:val="none"/>
          <w:lang w:eastAsia="zh-CN"/>
        </w:rPr>
        <w:t>智能制造装备实训室</w:t>
      </w:r>
    </w:p>
    <w:p w14:paraId="29AD653C">
      <w:pPr>
        <w:widowControl/>
        <w:adjustRightInd w:val="0"/>
        <w:snapToGrid w:val="0"/>
        <w:spacing w:line="400" w:lineRule="exact"/>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采购方式：竞争性谈判</w:t>
      </w:r>
    </w:p>
    <w:p w14:paraId="1C83C9B0">
      <w:pPr>
        <w:widowControl/>
        <w:adjustRightInd w:val="0"/>
        <w:snapToGrid w:val="0"/>
        <w:spacing w:line="400" w:lineRule="exact"/>
        <w:ind w:firstLine="420" w:firstLineChars="200"/>
        <w:jc w:val="left"/>
        <w:rPr>
          <w:rFonts w:hint="default" w:ascii="宋体" w:hAnsi="宋体" w:cs="宋体"/>
          <w:color w:val="auto"/>
          <w:kern w:val="0"/>
          <w:szCs w:val="21"/>
          <w:highlight w:val="none"/>
          <w:lang w:val="en-US"/>
        </w:rPr>
      </w:pPr>
      <w:r>
        <w:rPr>
          <w:rFonts w:ascii="宋体" w:hAnsi="宋体" w:cs="宋体"/>
          <w:color w:val="auto"/>
          <w:kern w:val="0"/>
          <w:szCs w:val="21"/>
          <w:highlight w:val="none"/>
        </w:rPr>
        <w:t>预算金额：</w:t>
      </w:r>
      <w:r>
        <w:rPr>
          <w:rFonts w:hint="eastAsia" w:ascii="宋体" w:hAnsi="宋体" w:cs="宋体"/>
          <w:color w:val="auto"/>
          <w:kern w:val="0"/>
          <w:szCs w:val="21"/>
          <w:highlight w:val="none"/>
          <w:lang w:val="en-US" w:eastAsia="zh-CN"/>
        </w:rPr>
        <w:t>1114500.00元</w:t>
      </w:r>
    </w:p>
    <w:p w14:paraId="602E4BDB">
      <w:pPr>
        <w:widowControl/>
        <w:adjustRightInd w:val="0"/>
        <w:snapToGrid w:val="0"/>
        <w:spacing w:line="400" w:lineRule="exact"/>
        <w:ind w:firstLine="420" w:firstLineChars="200"/>
        <w:jc w:val="left"/>
        <w:rPr>
          <w:rFonts w:hint="eastAsia" w:ascii="宋体" w:hAnsi="宋体" w:cs="宋体"/>
          <w:color w:val="auto"/>
          <w:kern w:val="0"/>
          <w:szCs w:val="21"/>
          <w:highlight w:val="none"/>
          <w:lang w:val="en-US" w:eastAsia="zh-CN"/>
        </w:rPr>
      </w:pPr>
      <w:r>
        <w:rPr>
          <w:rFonts w:ascii="宋体" w:hAnsi="宋体" w:cs="宋体"/>
          <w:color w:val="auto"/>
          <w:kern w:val="0"/>
          <w:szCs w:val="21"/>
          <w:highlight w:val="none"/>
        </w:rPr>
        <w:t>最高限价（如有）：</w:t>
      </w:r>
      <w:r>
        <w:rPr>
          <w:rFonts w:hint="eastAsia" w:ascii="宋体" w:hAnsi="宋体" w:cs="宋体"/>
          <w:color w:val="auto"/>
          <w:kern w:val="0"/>
          <w:szCs w:val="21"/>
          <w:highlight w:val="none"/>
          <w:lang w:eastAsia="zh-CN"/>
        </w:rPr>
        <w:t>1114500.00</w:t>
      </w:r>
      <w:r>
        <w:rPr>
          <w:rFonts w:hint="eastAsia" w:ascii="宋体" w:hAnsi="宋体" w:cs="宋体"/>
          <w:color w:val="auto"/>
          <w:kern w:val="0"/>
          <w:szCs w:val="21"/>
          <w:highlight w:val="none"/>
          <w:lang w:val="en-US" w:eastAsia="zh-CN"/>
        </w:rPr>
        <w:t>元</w:t>
      </w:r>
    </w:p>
    <w:p w14:paraId="73DD8AAE">
      <w:pPr>
        <w:widowControl/>
        <w:adjustRightInd w:val="0"/>
        <w:snapToGrid w:val="0"/>
        <w:spacing w:line="400" w:lineRule="exact"/>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采购需求：</w:t>
      </w:r>
    </w:p>
    <w:tbl>
      <w:tblPr>
        <w:tblStyle w:val="78"/>
        <w:tblW w:w="91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5"/>
        <w:gridCol w:w="2192"/>
        <w:gridCol w:w="715"/>
        <w:gridCol w:w="4257"/>
        <w:gridCol w:w="1269"/>
      </w:tblGrid>
      <w:tr w14:paraId="072F5C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0" w:hRule="atLeast"/>
        </w:trPr>
        <w:tc>
          <w:tcPr>
            <w:tcW w:w="725" w:type="dxa"/>
            <w:vAlign w:val="center"/>
          </w:tcPr>
          <w:p w14:paraId="011BFC3B">
            <w:pPr>
              <w:widowControl/>
              <w:adjustRightInd w:val="0"/>
              <w:snapToGrid w:val="0"/>
              <w:spacing w:line="400" w:lineRule="exact"/>
              <w:jc w:val="center"/>
              <w:rPr>
                <w:rFonts w:ascii="宋体" w:hAnsi="宋体" w:cs="宋体"/>
                <w:color w:val="auto"/>
                <w:kern w:val="0"/>
                <w:szCs w:val="21"/>
                <w:highlight w:val="none"/>
              </w:rPr>
            </w:pPr>
            <w:r>
              <w:rPr>
                <w:rFonts w:ascii="宋体" w:hAnsi="宋体" w:cs="宋体"/>
                <w:color w:val="auto"/>
                <w:kern w:val="0"/>
                <w:szCs w:val="21"/>
                <w:highlight w:val="none"/>
              </w:rPr>
              <w:t>序号</w:t>
            </w:r>
          </w:p>
        </w:tc>
        <w:tc>
          <w:tcPr>
            <w:tcW w:w="2192" w:type="dxa"/>
            <w:vAlign w:val="center"/>
          </w:tcPr>
          <w:p w14:paraId="228B7E26">
            <w:pPr>
              <w:widowControl/>
              <w:adjustRightInd w:val="0"/>
              <w:snapToGrid w:val="0"/>
              <w:spacing w:line="400" w:lineRule="exact"/>
              <w:jc w:val="center"/>
              <w:rPr>
                <w:rFonts w:ascii="宋体" w:hAnsi="宋体" w:cs="宋体"/>
                <w:color w:val="auto"/>
                <w:kern w:val="0"/>
                <w:szCs w:val="21"/>
                <w:highlight w:val="none"/>
              </w:rPr>
            </w:pPr>
            <w:r>
              <w:rPr>
                <w:rFonts w:ascii="宋体" w:hAnsi="宋体" w:cs="宋体"/>
                <w:color w:val="auto"/>
                <w:kern w:val="0"/>
                <w:szCs w:val="21"/>
                <w:highlight w:val="none"/>
              </w:rPr>
              <w:t>标的的名称</w:t>
            </w:r>
          </w:p>
        </w:tc>
        <w:tc>
          <w:tcPr>
            <w:tcW w:w="715" w:type="dxa"/>
            <w:vAlign w:val="center"/>
          </w:tcPr>
          <w:p w14:paraId="4C65FB10">
            <w:pPr>
              <w:widowControl/>
              <w:adjustRightInd w:val="0"/>
              <w:snapToGrid w:val="0"/>
              <w:spacing w:line="400" w:lineRule="exact"/>
              <w:jc w:val="center"/>
              <w:rPr>
                <w:rFonts w:ascii="宋体" w:hAnsi="宋体" w:cs="宋体"/>
                <w:color w:val="auto"/>
                <w:kern w:val="0"/>
                <w:szCs w:val="21"/>
                <w:highlight w:val="none"/>
              </w:rPr>
            </w:pPr>
            <w:r>
              <w:rPr>
                <w:rFonts w:ascii="宋体" w:hAnsi="宋体" w:cs="宋体"/>
                <w:color w:val="auto"/>
                <w:kern w:val="0"/>
                <w:szCs w:val="21"/>
                <w:highlight w:val="none"/>
              </w:rPr>
              <w:t>数量及单位</w:t>
            </w:r>
          </w:p>
        </w:tc>
        <w:tc>
          <w:tcPr>
            <w:tcW w:w="4257" w:type="dxa"/>
            <w:vAlign w:val="center"/>
          </w:tcPr>
          <w:p w14:paraId="76D631D3">
            <w:pPr>
              <w:widowControl/>
              <w:adjustRightInd w:val="0"/>
              <w:snapToGrid w:val="0"/>
              <w:spacing w:line="400" w:lineRule="exact"/>
              <w:jc w:val="center"/>
              <w:rPr>
                <w:rFonts w:ascii="宋体" w:hAnsi="宋体" w:cs="宋体"/>
                <w:color w:val="auto"/>
                <w:kern w:val="0"/>
                <w:szCs w:val="21"/>
                <w:highlight w:val="none"/>
              </w:rPr>
            </w:pPr>
            <w:r>
              <w:rPr>
                <w:rFonts w:ascii="宋体" w:hAnsi="宋体" w:cs="宋体"/>
                <w:color w:val="auto"/>
                <w:kern w:val="0"/>
                <w:szCs w:val="21"/>
                <w:highlight w:val="none"/>
              </w:rPr>
              <w:t>简要技术需求或者</w:t>
            </w:r>
            <w:r>
              <w:rPr>
                <w:rFonts w:hint="eastAsia" w:ascii="宋体" w:hAnsi="宋体" w:cs="宋体"/>
                <w:color w:val="auto"/>
                <w:kern w:val="0"/>
                <w:szCs w:val="21"/>
                <w:highlight w:val="none"/>
                <w:lang w:val="en-US" w:eastAsia="zh-CN"/>
              </w:rPr>
              <w:t>技术</w:t>
            </w:r>
            <w:r>
              <w:rPr>
                <w:rFonts w:ascii="宋体" w:hAnsi="宋体" w:cs="宋体"/>
                <w:color w:val="auto"/>
                <w:kern w:val="0"/>
                <w:szCs w:val="21"/>
                <w:highlight w:val="none"/>
              </w:rPr>
              <w:t>要求</w:t>
            </w:r>
          </w:p>
        </w:tc>
        <w:tc>
          <w:tcPr>
            <w:tcW w:w="1269" w:type="dxa"/>
            <w:vAlign w:val="center"/>
          </w:tcPr>
          <w:p w14:paraId="6648A75A">
            <w:pPr>
              <w:widowControl/>
              <w:adjustRightInd w:val="0"/>
              <w:snapToGri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预算总金额  （万元）</w:t>
            </w:r>
          </w:p>
        </w:tc>
      </w:tr>
      <w:tr w14:paraId="024820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5" w:hRule="atLeast"/>
        </w:trPr>
        <w:tc>
          <w:tcPr>
            <w:tcW w:w="725" w:type="dxa"/>
            <w:vAlign w:val="center"/>
          </w:tcPr>
          <w:p w14:paraId="5DEC3590">
            <w:pPr>
              <w:widowControl/>
              <w:adjustRightInd w:val="0"/>
              <w:snapToGrid w:val="0"/>
              <w:spacing w:line="400" w:lineRule="exact"/>
              <w:jc w:val="center"/>
              <w:rPr>
                <w:rFonts w:ascii="宋体" w:hAnsi="宋体" w:cs="宋体"/>
                <w:color w:val="auto"/>
                <w:kern w:val="0"/>
                <w:szCs w:val="21"/>
                <w:highlight w:val="none"/>
              </w:rPr>
            </w:pPr>
            <w:r>
              <w:rPr>
                <w:rFonts w:ascii="宋体" w:hAnsi="宋体" w:cs="宋体"/>
                <w:color w:val="auto"/>
                <w:kern w:val="0"/>
                <w:szCs w:val="21"/>
                <w:highlight w:val="none"/>
              </w:rPr>
              <w:t>01</w:t>
            </w:r>
          </w:p>
        </w:tc>
        <w:tc>
          <w:tcPr>
            <w:tcW w:w="2192" w:type="dxa"/>
            <w:vAlign w:val="center"/>
          </w:tcPr>
          <w:p w14:paraId="50063F09">
            <w:pPr>
              <w:widowControl/>
              <w:adjustRightInd w:val="0"/>
              <w:snapToGrid w:val="0"/>
              <w:spacing w:line="240" w:lineRule="auto"/>
              <w:jc w:val="center"/>
              <w:rPr>
                <w:rFonts w:hint="default" w:ascii="Arial" w:hAnsi="Arial" w:eastAsia="宋体" w:cs="Arial"/>
                <w:color w:val="auto"/>
                <w:kern w:val="0"/>
                <w:szCs w:val="21"/>
                <w:highlight w:val="none"/>
              </w:rPr>
            </w:pPr>
            <w:r>
              <w:rPr>
                <w:rFonts w:hint="eastAsia" w:ascii="Arial" w:hAnsi="Arial" w:eastAsia="宋体" w:cs="Arial"/>
                <w:color w:val="auto"/>
                <w:kern w:val="0"/>
                <w:szCs w:val="21"/>
                <w:highlight w:val="none"/>
                <w:lang w:val="en-US" w:eastAsia="zh-CN"/>
              </w:rPr>
              <w:t>高速高精三轴加工中心</w:t>
            </w:r>
          </w:p>
        </w:tc>
        <w:tc>
          <w:tcPr>
            <w:tcW w:w="715" w:type="dxa"/>
            <w:vAlign w:val="center"/>
          </w:tcPr>
          <w:p w14:paraId="0D0F1A02">
            <w:pPr>
              <w:widowControl/>
              <w:adjustRightInd w:val="0"/>
              <w:snapToGri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2台</w:t>
            </w:r>
          </w:p>
        </w:tc>
        <w:tc>
          <w:tcPr>
            <w:tcW w:w="4257" w:type="dxa"/>
            <w:vAlign w:val="center"/>
          </w:tcPr>
          <w:p w14:paraId="2CD319B9">
            <w:pPr>
              <w:widowControl/>
              <w:adjustRightInd w:val="0"/>
              <w:snapToGrid w:val="0"/>
              <w:spacing w:line="240" w:lineRule="auto"/>
              <w:jc w:val="left"/>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一、</w:t>
            </w:r>
            <w:r>
              <w:rPr>
                <w:rFonts w:hint="default" w:ascii="宋体" w:hAnsi="宋体" w:eastAsia="宋体" w:cs="宋体"/>
                <w:color w:val="auto"/>
                <w:kern w:val="0"/>
                <w:szCs w:val="21"/>
                <w:highlight w:val="none"/>
              </w:rPr>
              <w:t>机床配置</w:t>
            </w:r>
            <w:r>
              <w:rPr>
                <w:rFonts w:hint="default" w:ascii="宋体" w:hAnsi="宋体" w:eastAsia="宋体" w:cs="宋体"/>
                <w:color w:val="auto"/>
                <w:kern w:val="0"/>
                <w:szCs w:val="21"/>
                <w:highlight w:val="none"/>
              </w:rPr>
              <w:br w:type="textWrapping"/>
            </w:r>
            <w:r>
              <w:rPr>
                <w:rFonts w:hint="default" w:ascii="宋体" w:hAnsi="宋体" w:eastAsia="宋体" w:cs="宋体"/>
                <w:color w:val="auto"/>
                <w:kern w:val="0"/>
                <w:szCs w:val="21"/>
                <w:highlight w:val="none"/>
              </w:rPr>
              <w:t>（一）机床技术参数：</w:t>
            </w:r>
            <w:r>
              <w:rPr>
                <w:rFonts w:hint="default" w:ascii="宋体" w:hAnsi="宋体" w:eastAsia="宋体" w:cs="宋体"/>
                <w:color w:val="auto"/>
                <w:kern w:val="0"/>
                <w:szCs w:val="21"/>
                <w:highlight w:val="none"/>
              </w:rPr>
              <w:br w:type="textWrapping"/>
            </w:r>
            <w:r>
              <w:rPr>
                <w:rFonts w:hint="default" w:ascii="宋体" w:hAnsi="宋体" w:eastAsia="宋体" w:cs="宋体"/>
                <w:color w:val="auto"/>
                <w:kern w:val="0"/>
                <w:szCs w:val="21"/>
                <w:highlight w:val="none"/>
              </w:rPr>
              <w:t>1.工作台面尺寸mm：≥1000×</w:t>
            </w:r>
            <w:r>
              <w:rPr>
                <w:rFonts w:hint="default" w:ascii="宋体" w:hAnsi="宋体" w:eastAsia="宋体" w:cs="宋体"/>
                <w:color w:val="auto"/>
                <w:kern w:val="0"/>
                <w:szCs w:val="21"/>
                <w:highlight w:val="none"/>
                <w:lang w:val="en-US" w:eastAsia="zh-CN"/>
              </w:rPr>
              <w:t>5</w:t>
            </w:r>
            <w:r>
              <w:rPr>
                <w:rFonts w:hint="default" w:ascii="宋体" w:hAnsi="宋体" w:eastAsia="宋体" w:cs="宋体"/>
                <w:color w:val="auto"/>
                <w:kern w:val="0"/>
                <w:szCs w:val="21"/>
                <w:highlight w:val="none"/>
              </w:rPr>
              <w:t>40；</w:t>
            </w:r>
          </w:p>
          <w:p w14:paraId="1A681678">
            <w:pPr>
              <w:widowControl/>
              <w:adjustRightInd w:val="0"/>
              <w:snapToGrid w:val="0"/>
              <w:spacing w:line="240" w:lineRule="auto"/>
              <w:jc w:val="left"/>
              <w:rPr>
                <w:rFonts w:hint="eastAsia" w:ascii="宋体" w:hAnsi="宋体" w:eastAsia="宋体" w:cs="宋体"/>
                <w:color w:val="auto"/>
                <w:kern w:val="0"/>
                <w:szCs w:val="21"/>
                <w:highlight w:val="none"/>
                <w:lang w:val="en-US" w:eastAsia="zh-CN"/>
              </w:rPr>
            </w:pPr>
            <w:r>
              <w:rPr>
                <w:rFonts w:hint="default" w:ascii="宋体" w:hAnsi="宋体" w:eastAsia="宋体" w:cs="宋体"/>
                <w:color w:val="auto"/>
                <w:kern w:val="0"/>
                <w:szCs w:val="21"/>
                <w:highlight w:val="none"/>
              </w:rPr>
              <w:t>………</w:t>
            </w:r>
            <w:r>
              <w:rPr>
                <w:rFonts w:ascii="宋体" w:hAnsi="宋体" w:eastAsia="宋体" w:cs="宋体"/>
                <w:color w:val="auto"/>
                <w:kern w:val="0"/>
                <w:szCs w:val="21"/>
                <w:highlight w:val="none"/>
              </w:rPr>
              <w:t>具体详见《采购需求》</w:t>
            </w:r>
          </w:p>
        </w:tc>
        <w:tc>
          <w:tcPr>
            <w:tcW w:w="1269" w:type="dxa"/>
            <w:vAlign w:val="center"/>
          </w:tcPr>
          <w:p w14:paraId="77CFCD32">
            <w:pPr>
              <w:widowControl/>
              <w:adjustRightInd w:val="0"/>
              <w:snapToGri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68.00</w:t>
            </w:r>
          </w:p>
        </w:tc>
      </w:tr>
      <w:tr w14:paraId="432D52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725" w:type="dxa"/>
            <w:vAlign w:val="center"/>
          </w:tcPr>
          <w:p w14:paraId="3D169645">
            <w:pPr>
              <w:widowControl/>
              <w:adjustRightInd w:val="0"/>
              <w:snapToGri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02</w:t>
            </w:r>
          </w:p>
        </w:tc>
        <w:tc>
          <w:tcPr>
            <w:tcW w:w="2192" w:type="dxa"/>
            <w:vAlign w:val="center"/>
          </w:tcPr>
          <w:p w14:paraId="7A38BFF5">
            <w:pPr>
              <w:widowControl/>
              <w:adjustRightInd w:val="0"/>
              <w:snapToGrid w:val="0"/>
              <w:spacing w:line="240" w:lineRule="auto"/>
              <w:jc w:val="center"/>
              <w:rPr>
                <w:rFonts w:hint="eastAsia" w:ascii="Arial" w:hAnsi="Arial" w:eastAsia="宋体" w:cs="Arial"/>
                <w:color w:val="auto"/>
                <w:kern w:val="0"/>
                <w:szCs w:val="21"/>
                <w:highlight w:val="none"/>
                <w:lang w:val="en-US" w:eastAsia="zh-CN"/>
              </w:rPr>
            </w:pPr>
            <w:r>
              <w:rPr>
                <w:rFonts w:hint="eastAsia" w:ascii="Arial" w:hAnsi="Arial" w:eastAsia="宋体" w:cs="Arial"/>
                <w:color w:val="auto"/>
                <w:kern w:val="0"/>
                <w:szCs w:val="21"/>
                <w:highlight w:val="none"/>
                <w:lang w:val="en-US" w:eastAsia="zh-CN"/>
              </w:rPr>
              <w:t>数控车床</w:t>
            </w:r>
          </w:p>
        </w:tc>
        <w:tc>
          <w:tcPr>
            <w:tcW w:w="715" w:type="dxa"/>
            <w:vAlign w:val="center"/>
          </w:tcPr>
          <w:p w14:paraId="71B0C494">
            <w:pPr>
              <w:widowControl/>
              <w:adjustRightInd w:val="0"/>
              <w:snapToGrid w:val="0"/>
              <w:spacing w:line="400" w:lineRule="exact"/>
              <w:jc w:val="center"/>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2台</w:t>
            </w:r>
          </w:p>
        </w:tc>
        <w:tc>
          <w:tcPr>
            <w:tcW w:w="4257" w:type="dxa"/>
            <w:vAlign w:val="center"/>
          </w:tcPr>
          <w:p w14:paraId="31C8F1B5">
            <w:pPr>
              <w:widowControl/>
              <w:adjustRightInd w:val="0"/>
              <w:snapToGrid w:val="0"/>
              <w:spacing w:line="240" w:lineRule="auto"/>
              <w:jc w:val="left"/>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一、</w:t>
            </w:r>
            <w:r>
              <w:rPr>
                <w:rFonts w:hint="default" w:ascii="宋体" w:hAnsi="宋体" w:eastAsia="宋体" w:cs="宋体"/>
                <w:color w:val="auto"/>
                <w:kern w:val="0"/>
                <w:szCs w:val="21"/>
                <w:highlight w:val="none"/>
              </w:rPr>
              <w:t>技术参数：</w:t>
            </w:r>
            <w:r>
              <w:rPr>
                <w:rFonts w:hint="default" w:ascii="宋体" w:hAnsi="宋体" w:eastAsia="宋体" w:cs="宋体"/>
                <w:color w:val="auto"/>
                <w:kern w:val="0"/>
                <w:szCs w:val="21"/>
                <w:highlight w:val="none"/>
              </w:rPr>
              <w:br w:type="textWrapping"/>
            </w:r>
            <w:r>
              <w:rPr>
                <w:rFonts w:hint="default" w:ascii="宋体" w:hAnsi="宋体" w:eastAsia="宋体" w:cs="宋体"/>
                <w:color w:val="auto"/>
                <w:kern w:val="0"/>
                <w:szCs w:val="21"/>
                <w:highlight w:val="none"/>
              </w:rPr>
              <w:t>（一）加工范围</w:t>
            </w:r>
            <w:r>
              <w:rPr>
                <w:rFonts w:hint="default" w:ascii="宋体" w:hAnsi="宋体" w:eastAsia="宋体" w:cs="宋体"/>
                <w:color w:val="auto"/>
                <w:kern w:val="0"/>
                <w:szCs w:val="21"/>
                <w:highlight w:val="none"/>
              </w:rPr>
              <w:br w:type="textWrapping"/>
            </w:r>
            <w:r>
              <w:rPr>
                <w:rFonts w:hint="default" w:ascii="宋体" w:hAnsi="宋体" w:eastAsia="宋体" w:cs="宋体"/>
                <w:color w:val="auto"/>
                <w:kern w:val="0"/>
                <w:szCs w:val="21"/>
                <w:highlight w:val="none"/>
              </w:rPr>
              <w:t>1.床身上最大回转直径mm：≥ф410；</w:t>
            </w:r>
          </w:p>
          <w:p w14:paraId="7859FDF3">
            <w:pPr>
              <w:widowControl/>
              <w:adjustRightInd w:val="0"/>
              <w:snapToGrid w:val="0"/>
              <w:spacing w:line="240" w:lineRule="auto"/>
              <w:jc w:val="left"/>
              <w:rPr>
                <w:rFonts w:hint="eastAsia" w:ascii="宋体" w:hAnsi="宋体" w:eastAsia="宋体" w:cs="宋体"/>
                <w:color w:val="auto"/>
                <w:kern w:val="0"/>
                <w:szCs w:val="21"/>
                <w:highlight w:val="none"/>
                <w:lang w:val="en-US" w:eastAsia="zh-CN"/>
              </w:rPr>
            </w:pPr>
            <w:r>
              <w:rPr>
                <w:rFonts w:hint="default" w:ascii="宋体" w:hAnsi="宋体" w:eastAsia="宋体" w:cs="宋体"/>
                <w:color w:val="auto"/>
                <w:kern w:val="0"/>
                <w:szCs w:val="21"/>
                <w:highlight w:val="none"/>
              </w:rPr>
              <w:t>………具体详见《采购需求》</w:t>
            </w:r>
          </w:p>
        </w:tc>
        <w:tc>
          <w:tcPr>
            <w:tcW w:w="1269" w:type="dxa"/>
            <w:vAlign w:val="center"/>
          </w:tcPr>
          <w:p w14:paraId="5D7EDDBC">
            <w:pPr>
              <w:widowControl/>
              <w:adjustRightInd w:val="0"/>
              <w:snapToGrid w:val="0"/>
              <w:spacing w:line="400" w:lineRule="exact"/>
              <w:jc w:val="center"/>
              <w:rPr>
                <w:rFonts w:hint="default" w:ascii="Arial" w:hAnsi="Arial" w:eastAsia="宋体" w:cs="Arial"/>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30.00</w:t>
            </w:r>
          </w:p>
        </w:tc>
      </w:tr>
      <w:tr w14:paraId="3DFAD9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725" w:type="dxa"/>
            <w:vAlign w:val="center"/>
          </w:tcPr>
          <w:p w14:paraId="533D36D8">
            <w:pPr>
              <w:widowControl/>
              <w:adjustRightInd w:val="0"/>
              <w:snapToGrid w:val="0"/>
              <w:spacing w:line="400" w:lineRule="exact"/>
              <w:jc w:val="center"/>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03</w:t>
            </w:r>
          </w:p>
        </w:tc>
        <w:tc>
          <w:tcPr>
            <w:tcW w:w="2192" w:type="dxa"/>
            <w:vAlign w:val="center"/>
          </w:tcPr>
          <w:p w14:paraId="5B1E4862">
            <w:pPr>
              <w:widowControl/>
              <w:adjustRightInd w:val="0"/>
              <w:snapToGrid w:val="0"/>
              <w:spacing w:line="240" w:lineRule="auto"/>
              <w:jc w:val="center"/>
              <w:rPr>
                <w:rFonts w:hint="eastAsia" w:ascii="Arial" w:hAnsi="Arial" w:eastAsia="宋体" w:cs="Arial"/>
                <w:color w:val="auto"/>
                <w:kern w:val="0"/>
                <w:szCs w:val="21"/>
                <w:highlight w:val="none"/>
                <w:lang w:val="en-US" w:eastAsia="zh-CN"/>
              </w:rPr>
            </w:pPr>
            <w:r>
              <w:rPr>
                <w:rFonts w:hint="eastAsia" w:ascii="Arial" w:hAnsi="Arial" w:eastAsia="宋体" w:cs="Arial"/>
                <w:color w:val="auto"/>
                <w:kern w:val="0"/>
                <w:szCs w:val="21"/>
                <w:highlight w:val="none"/>
                <w:lang w:val="en-US" w:eastAsia="zh-CN"/>
              </w:rPr>
              <w:t>仿真工作站</w:t>
            </w:r>
          </w:p>
        </w:tc>
        <w:tc>
          <w:tcPr>
            <w:tcW w:w="715" w:type="dxa"/>
            <w:vAlign w:val="center"/>
          </w:tcPr>
          <w:p w14:paraId="39C0E78C">
            <w:pPr>
              <w:widowControl/>
              <w:adjustRightInd w:val="0"/>
              <w:snapToGrid w:val="0"/>
              <w:spacing w:line="400" w:lineRule="exact"/>
              <w:jc w:val="center"/>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5台</w:t>
            </w:r>
          </w:p>
        </w:tc>
        <w:tc>
          <w:tcPr>
            <w:tcW w:w="4257" w:type="dxa"/>
            <w:vAlign w:val="center"/>
          </w:tcPr>
          <w:p w14:paraId="6490DE51">
            <w:pPr>
              <w:widowControl/>
              <w:adjustRightInd w:val="0"/>
              <w:snapToGrid w:val="0"/>
              <w:spacing w:line="240" w:lineRule="auto"/>
              <w:jc w:val="left"/>
              <w:rPr>
                <w:rFonts w:hint="default" w:ascii="宋体" w:hAnsi="宋体" w:eastAsia="宋体" w:cs="宋体"/>
                <w:color w:val="auto"/>
                <w:kern w:val="0"/>
                <w:szCs w:val="21"/>
                <w:highlight w:val="none"/>
              </w:rPr>
            </w:pPr>
            <w:r>
              <w:rPr>
                <w:rFonts w:hint="default" w:ascii="宋体" w:hAnsi="宋体" w:eastAsia="宋体" w:cs="宋体"/>
                <w:color w:val="auto"/>
                <w:kern w:val="0"/>
                <w:szCs w:val="21"/>
                <w:highlight w:val="none"/>
                <w:lang w:val="en-US" w:eastAsia="zh-CN"/>
              </w:rPr>
              <w:t>1.</w:t>
            </w:r>
            <w:r>
              <w:rPr>
                <w:rFonts w:hint="default" w:ascii="宋体" w:hAnsi="宋体" w:eastAsia="宋体" w:cs="宋体"/>
                <w:color w:val="auto"/>
                <w:kern w:val="0"/>
                <w:szCs w:val="21"/>
                <w:highlight w:val="none"/>
              </w:rPr>
              <w:t>显示器：</w:t>
            </w:r>
            <w:r>
              <w:rPr>
                <w:rFonts w:hint="default" w:ascii="宋体" w:hAnsi="宋体" w:eastAsia="宋体" w:cs="宋体"/>
                <w:color w:val="auto"/>
                <w:kern w:val="0"/>
                <w:szCs w:val="21"/>
                <w:highlight w:val="none"/>
                <w:lang w:val="en-US" w:eastAsia="zh-CN"/>
              </w:rPr>
              <w:t>≥</w:t>
            </w:r>
            <w:r>
              <w:rPr>
                <w:rFonts w:hint="default" w:ascii="宋体" w:hAnsi="宋体" w:eastAsia="宋体" w:cs="宋体"/>
                <w:color w:val="auto"/>
                <w:kern w:val="0"/>
                <w:szCs w:val="21"/>
                <w:highlight w:val="none"/>
              </w:rPr>
              <w:t>23英寸，分辨率</w:t>
            </w:r>
            <w:r>
              <w:rPr>
                <w:rFonts w:hint="default" w:ascii="宋体" w:hAnsi="宋体" w:eastAsia="宋体" w:cs="宋体"/>
                <w:color w:val="auto"/>
                <w:kern w:val="0"/>
                <w:szCs w:val="21"/>
                <w:highlight w:val="none"/>
                <w:lang w:val="en-US" w:eastAsia="zh-CN"/>
              </w:rPr>
              <w:t>≥</w:t>
            </w:r>
            <w:r>
              <w:rPr>
                <w:rFonts w:hint="default" w:ascii="宋体" w:hAnsi="宋体" w:eastAsia="宋体" w:cs="宋体"/>
                <w:color w:val="auto"/>
                <w:kern w:val="0"/>
                <w:szCs w:val="21"/>
                <w:highlight w:val="none"/>
              </w:rPr>
              <w:t>1920</w:t>
            </w:r>
            <w:r>
              <w:rPr>
                <w:rFonts w:hint="eastAsia" w:ascii="宋体" w:hAnsi="宋体" w:eastAsia="宋体" w:cs="宋体"/>
                <w:color w:val="auto"/>
                <w:kern w:val="0"/>
                <w:szCs w:val="21"/>
                <w:highlight w:val="none"/>
                <w:lang w:eastAsia="zh-CN"/>
              </w:rPr>
              <w:t>×</w:t>
            </w:r>
            <w:r>
              <w:rPr>
                <w:rFonts w:hint="default" w:ascii="宋体" w:hAnsi="宋体" w:eastAsia="宋体" w:cs="宋体"/>
                <w:color w:val="auto"/>
                <w:kern w:val="0"/>
                <w:szCs w:val="21"/>
                <w:highlight w:val="none"/>
              </w:rPr>
              <w:t>1080；</w:t>
            </w:r>
          </w:p>
          <w:p w14:paraId="3E4752D4">
            <w:pPr>
              <w:widowControl/>
              <w:adjustRightInd w:val="0"/>
              <w:snapToGrid w:val="0"/>
              <w:spacing w:line="240" w:lineRule="auto"/>
              <w:jc w:val="left"/>
              <w:rPr>
                <w:rFonts w:hint="eastAsia" w:ascii="宋体" w:hAnsi="宋体" w:eastAsia="宋体" w:cs="宋体"/>
                <w:color w:val="auto"/>
                <w:kern w:val="0"/>
                <w:szCs w:val="21"/>
                <w:highlight w:val="none"/>
                <w:lang w:val="en-US" w:eastAsia="zh-CN"/>
              </w:rPr>
            </w:pPr>
            <w:r>
              <w:rPr>
                <w:rFonts w:hint="default" w:ascii="宋体" w:hAnsi="宋体" w:eastAsia="宋体" w:cs="宋体"/>
                <w:color w:val="auto"/>
                <w:kern w:val="0"/>
                <w:szCs w:val="21"/>
                <w:highlight w:val="none"/>
              </w:rPr>
              <w:t>………具体详见《采购需求》</w:t>
            </w:r>
          </w:p>
        </w:tc>
        <w:tc>
          <w:tcPr>
            <w:tcW w:w="1269" w:type="dxa"/>
            <w:vAlign w:val="center"/>
          </w:tcPr>
          <w:p w14:paraId="76F25DA9">
            <w:pPr>
              <w:widowControl/>
              <w:adjustRightInd w:val="0"/>
              <w:snapToGrid w:val="0"/>
              <w:spacing w:line="400" w:lineRule="exact"/>
              <w:jc w:val="center"/>
              <w:rPr>
                <w:rFonts w:hint="default" w:ascii="Arial" w:hAnsi="Arial" w:eastAsia="宋体" w:cs="Arial"/>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3.00</w:t>
            </w:r>
          </w:p>
        </w:tc>
      </w:tr>
      <w:tr w14:paraId="2AE8E5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725" w:type="dxa"/>
            <w:vAlign w:val="center"/>
          </w:tcPr>
          <w:p w14:paraId="2CC8D5A0">
            <w:pPr>
              <w:widowControl/>
              <w:adjustRightInd w:val="0"/>
              <w:snapToGrid w:val="0"/>
              <w:spacing w:line="400" w:lineRule="exact"/>
              <w:jc w:val="center"/>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04</w:t>
            </w:r>
          </w:p>
        </w:tc>
        <w:tc>
          <w:tcPr>
            <w:tcW w:w="2192" w:type="dxa"/>
            <w:vAlign w:val="center"/>
          </w:tcPr>
          <w:p w14:paraId="1375CA9D">
            <w:pPr>
              <w:widowControl/>
              <w:adjustRightInd w:val="0"/>
              <w:snapToGrid w:val="0"/>
              <w:spacing w:line="240" w:lineRule="auto"/>
              <w:jc w:val="center"/>
              <w:rPr>
                <w:rFonts w:hint="eastAsia" w:ascii="Arial" w:hAnsi="Arial" w:eastAsia="宋体" w:cs="Arial"/>
                <w:color w:val="auto"/>
                <w:kern w:val="0"/>
                <w:szCs w:val="21"/>
                <w:highlight w:val="none"/>
                <w:lang w:val="en-US" w:eastAsia="zh-CN"/>
              </w:rPr>
            </w:pPr>
            <w:r>
              <w:rPr>
                <w:rFonts w:hint="eastAsia" w:ascii="Arial" w:hAnsi="Arial" w:eastAsia="宋体" w:cs="Arial"/>
                <w:color w:val="auto"/>
                <w:kern w:val="0"/>
                <w:szCs w:val="21"/>
                <w:highlight w:val="none"/>
                <w:lang w:val="en-US" w:eastAsia="zh-CN"/>
              </w:rPr>
              <w:t>激光打标机</w:t>
            </w:r>
          </w:p>
        </w:tc>
        <w:tc>
          <w:tcPr>
            <w:tcW w:w="715" w:type="dxa"/>
            <w:vAlign w:val="center"/>
          </w:tcPr>
          <w:p w14:paraId="21726C0C">
            <w:pPr>
              <w:widowControl/>
              <w:adjustRightInd w:val="0"/>
              <w:snapToGrid w:val="0"/>
              <w:spacing w:line="400" w:lineRule="exact"/>
              <w:jc w:val="center"/>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1台</w:t>
            </w:r>
          </w:p>
        </w:tc>
        <w:tc>
          <w:tcPr>
            <w:tcW w:w="4257" w:type="dxa"/>
            <w:vAlign w:val="center"/>
          </w:tcPr>
          <w:p w14:paraId="7197EE6C">
            <w:pPr>
              <w:widowControl/>
              <w:adjustRightInd w:val="0"/>
              <w:snapToGrid w:val="0"/>
              <w:spacing w:line="240" w:lineRule="auto"/>
              <w:jc w:val="left"/>
              <w:rPr>
                <w:rFonts w:hint="default" w:ascii="宋体" w:hAnsi="宋体" w:eastAsia="宋体" w:cs="宋体"/>
                <w:color w:val="auto"/>
                <w:kern w:val="0"/>
                <w:szCs w:val="21"/>
                <w:highlight w:val="none"/>
              </w:rPr>
            </w:pPr>
            <w:r>
              <w:rPr>
                <w:rFonts w:hint="default" w:ascii="宋体" w:hAnsi="宋体" w:eastAsia="宋体" w:cs="宋体"/>
                <w:color w:val="auto"/>
                <w:kern w:val="0"/>
                <w:szCs w:val="21"/>
                <w:highlight w:val="none"/>
              </w:rPr>
              <w:t>(1)激光功率：≥100W；</w:t>
            </w:r>
          </w:p>
          <w:p w14:paraId="7099AA2F">
            <w:pPr>
              <w:widowControl/>
              <w:adjustRightInd w:val="0"/>
              <w:snapToGrid w:val="0"/>
              <w:spacing w:line="240" w:lineRule="auto"/>
              <w:jc w:val="left"/>
              <w:rPr>
                <w:rFonts w:hint="eastAsia" w:ascii="宋体" w:hAnsi="宋体" w:eastAsia="宋体" w:cs="宋体"/>
                <w:color w:val="auto"/>
                <w:kern w:val="0"/>
                <w:szCs w:val="21"/>
                <w:highlight w:val="none"/>
                <w:lang w:val="en-US" w:eastAsia="zh-CN"/>
              </w:rPr>
            </w:pPr>
            <w:r>
              <w:rPr>
                <w:rFonts w:hint="default" w:ascii="宋体" w:hAnsi="宋体" w:eastAsia="宋体" w:cs="宋体"/>
                <w:color w:val="auto"/>
                <w:kern w:val="0"/>
                <w:szCs w:val="21"/>
                <w:highlight w:val="none"/>
              </w:rPr>
              <w:t>………具体详见《采购需求》</w:t>
            </w:r>
          </w:p>
        </w:tc>
        <w:tc>
          <w:tcPr>
            <w:tcW w:w="1269" w:type="dxa"/>
            <w:vAlign w:val="center"/>
          </w:tcPr>
          <w:p w14:paraId="795C89A1">
            <w:pPr>
              <w:widowControl/>
              <w:adjustRightInd w:val="0"/>
              <w:snapToGri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4.50</w:t>
            </w:r>
          </w:p>
        </w:tc>
      </w:tr>
      <w:tr w14:paraId="05BA56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725" w:type="dxa"/>
            <w:vAlign w:val="center"/>
          </w:tcPr>
          <w:p w14:paraId="6B62D669">
            <w:pPr>
              <w:widowControl/>
              <w:adjustRightInd w:val="0"/>
              <w:snapToGrid w:val="0"/>
              <w:spacing w:line="400" w:lineRule="exact"/>
              <w:jc w:val="center"/>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05</w:t>
            </w:r>
          </w:p>
        </w:tc>
        <w:tc>
          <w:tcPr>
            <w:tcW w:w="2192" w:type="dxa"/>
            <w:vAlign w:val="center"/>
          </w:tcPr>
          <w:p w14:paraId="0DB4EA86">
            <w:pPr>
              <w:widowControl/>
              <w:adjustRightInd w:val="0"/>
              <w:snapToGrid w:val="0"/>
              <w:spacing w:line="240" w:lineRule="auto"/>
              <w:jc w:val="center"/>
              <w:rPr>
                <w:rFonts w:hint="eastAsia" w:ascii="Arial" w:hAnsi="Arial" w:eastAsia="宋体" w:cs="Arial"/>
                <w:color w:val="auto"/>
                <w:kern w:val="0"/>
                <w:szCs w:val="21"/>
                <w:highlight w:val="none"/>
                <w:lang w:val="en-US" w:eastAsia="zh-CN"/>
              </w:rPr>
            </w:pPr>
            <w:r>
              <w:rPr>
                <w:rFonts w:hint="eastAsia" w:ascii="Arial" w:hAnsi="Arial" w:eastAsia="宋体" w:cs="Arial"/>
                <w:color w:val="auto"/>
                <w:kern w:val="0"/>
                <w:szCs w:val="21"/>
                <w:highlight w:val="none"/>
                <w:lang w:val="en-US" w:eastAsia="zh-CN"/>
              </w:rPr>
              <w:t>紫光打标机</w:t>
            </w:r>
          </w:p>
        </w:tc>
        <w:tc>
          <w:tcPr>
            <w:tcW w:w="715" w:type="dxa"/>
            <w:vAlign w:val="center"/>
          </w:tcPr>
          <w:p w14:paraId="5F53803E">
            <w:pPr>
              <w:widowControl/>
              <w:adjustRightInd w:val="0"/>
              <w:snapToGrid w:val="0"/>
              <w:spacing w:line="400" w:lineRule="exact"/>
              <w:jc w:val="center"/>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1台</w:t>
            </w:r>
          </w:p>
        </w:tc>
        <w:tc>
          <w:tcPr>
            <w:tcW w:w="4257" w:type="dxa"/>
            <w:vAlign w:val="center"/>
          </w:tcPr>
          <w:p w14:paraId="5BE14E94">
            <w:pPr>
              <w:widowControl/>
              <w:adjustRightInd w:val="0"/>
              <w:snapToGrid w:val="0"/>
              <w:spacing w:line="240" w:lineRule="auto"/>
              <w:jc w:val="left"/>
              <w:rPr>
                <w:rFonts w:hint="default" w:ascii="宋体" w:hAnsi="宋体" w:eastAsia="宋体" w:cs="宋体"/>
                <w:color w:val="auto"/>
                <w:kern w:val="0"/>
                <w:szCs w:val="21"/>
                <w:highlight w:val="none"/>
              </w:rPr>
            </w:pPr>
            <w:r>
              <w:rPr>
                <w:rFonts w:hint="default" w:ascii="宋体" w:hAnsi="宋体" w:eastAsia="宋体" w:cs="宋体"/>
                <w:color w:val="auto"/>
                <w:kern w:val="0"/>
                <w:szCs w:val="21"/>
                <w:highlight w:val="none"/>
              </w:rPr>
              <w:t>(1)激光功率：≥5W；</w:t>
            </w:r>
          </w:p>
          <w:p w14:paraId="4A4900C4">
            <w:pPr>
              <w:widowControl/>
              <w:adjustRightInd w:val="0"/>
              <w:snapToGrid w:val="0"/>
              <w:spacing w:line="240" w:lineRule="auto"/>
              <w:jc w:val="left"/>
              <w:rPr>
                <w:rFonts w:hint="eastAsia" w:ascii="宋体" w:hAnsi="宋体" w:eastAsia="宋体" w:cs="宋体"/>
                <w:color w:val="auto"/>
                <w:kern w:val="0"/>
                <w:szCs w:val="21"/>
                <w:highlight w:val="none"/>
                <w:lang w:val="en-US" w:eastAsia="zh-CN"/>
              </w:rPr>
            </w:pPr>
            <w:r>
              <w:rPr>
                <w:rFonts w:hint="default" w:ascii="宋体" w:hAnsi="宋体" w:eastAsia="宋体" w:cs="宋体"/>
                <w:color w:val="auto"/>
                <w:kern w:val="0"/>
                <w:szCs w:val="21"/>
                <w:highlight w:val="none"/>
              </w:rPr>
              <w:t>………具体详见《采购需求》</w:t>
            </w:r>
          </w:p>
        </w:tc>
        <w:tc>
          <w:tcPr>
            <w:tcW w:w="1269" w:type="dxa"/>
            <w:vAlign w:val="center"/>
          </w:tcPr>
          <w:p w14:paraId="0577A85D">
            <w:pPr>
              <w:widowControl/>
              <w:adjustRightInd w:val="0"/>
              <w:snapToGri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4.50</w:t>
            </w:r>
          </w:p>
        </w:tc>
      </w:tr>
      <w:tr w14:paraId="59B554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725" w:type="dxa"/>
            <w:vAlign w:val="center"/>
          </w:tcPr>
          <w:p w14:paraId="67449584">
            <w:pPr>
              <w:widowControl/>
              <w:adjustRightInd w:val="0"/>
              <w:snapToGrid w:val="0"/>
              <w:spacing w:line="400" w:lineRule="exact"/>
              <w:jc w:val="center"/>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06</w:t>
            </w:r>
          </w:p>
        </w:tc>
        <w:tc>
          <w:tcPr>
            <w:tcW w:w="2192" w:type="dxa"/>
            <w:vAlign w:val="center"/>
          </w:tcPr>
          <w:p w14:paraId="5F69FC5C">
            <w:pPr>
              <w:widowControl/>
              <w:adjustRightInd w:val="0"/>
              <w:snapToGrid w:val="0"/>
              <w:spacing w:line="240" w:lineRule="auto"/>
              <w:jc w:val="center"/>
              <w:rPr>
                <w:rFonts w:hint="eastAsia" w:ascii="Arial" w:hAnsi="Arial" w:eastAsia="宋体" w:cs="Arial"/>
                <w:color w:val="auto"/>
                <w:kern w:val="0"/>
                <w:szCs w:val="21"/>
                <w:highlight w:val="none"/>
                <w:lang w:val="en-US" w:eastAsia="zh-CN"/>
              </w:rPr>
            </w:pPr>
            <w:r>
              <w:rPr>
                <w:rFonts w:hint="eastAsia" w:ascii="Arial" w:hAnsi="Arial" w:eastAsia="宋体" w:cs="Arial"/>
                <w:color w:val="auto"/>
                <w:kern w:val="0"/>
                <w:szCs w:val="21"/>
                <w:highlight w:val="none"/>
                <w:lang w:val="en-US" w:eastAsia="zh-CN"/>
              </w:rPr>
              <w:t>教学投影电视机</w:t>
            </w:r>
          </w:p>
        </w:tc>
        <w:tc>
          <w:tcPr>
            <w:tcW w:w="715" w:type="dxa"/>
            <w:vAlign w:val="center"/>
          </w:tcPr>
          <w:p w14:paraId="04360D3C">
            <w:pPr>
              <w:widowControl/>
              <w:adjustRightInd w:val="0"/>
              <w:snapToGrid w:val="0"/>
              <w:spacing w:line="400" w:lineRule="exact"/>
              <w:jc w:val="center"/>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1台</w:t>
            </w:r>
          </w:p>
        </w:tc>
        <w:tc>
          <w:tcPr>
            <w:tcW w:w="4257" w:type="dxa"/>
            <w:vAlign w:val="center"/>
          </w:tcPr>
          <w:p w14:paraId="75DC4265">
            <w:pPr>
              <w:widowControl/>
              <w:adjustRightInd w:val="0"/>
              <w:snapToGrid w:val="0"/>
              <w:spacing w:line="240" w:lineRule="auto"/>
              <w:jc w:val="left"/>
              <w:rPr>
                <w:rFonts w:hint="default" w:ascii="宋体" w:hAnsi="宋体" w:eastAsia="宋体" w:cs="宋体"/>
                <w:color w:val="auto"/>
                <w:kern w:val="0"/>
                <w:szCs w:val="21"/>
                <w:highlight w:val="none"/>
              </w:rPr>
            </w:pPr>
            <w:r>
              <w:rPr>
                <w:rFonts w:hint="default" w:ascii="宋体" w:hAnsi="宋体" w:eastAsia="宋体" w:cs="宋体"/>
                <w:color w:val="auto"/>
                <w:kern w:val="0"/>
                <w:szCs w:val="21"/>
                <w:highlight w:val="none"/>
              </w:rPr>
              <w:t>1.HDMI接口数量：≥4个</w:t>
            </w:r>
          </w:p>
          <w:p w14:paraId="3D93D9D0">
            <w:pPr>
              <w:widowControl/>
              <w:adjustRightInd w:val="0"/>
              <w:snapToGrid w:val="0"/>
              <w:spacing w:line="240" w:lineRule="auto"/>
              <w:jc w:val="left"/>
              <w:rPr>
                <w:rFonts w:hint="eastAsia" w:ascii="宋体" w:hAnsi="宋体" w:eastAsia="宋体" w:cs="宋体"/>
                <w:color w:val="auto"/>
                <w:kern w:val="0"/>
                <w:szCs w:val="21"/>
                <w:highlight w:val="none"/>
                <w:lang w:val="en-US" w:eastAsia="zh-CN"/>
              </w:rPr>
            </w:pPr>
            <w:r>
              <w:rPr>
                <w:rFonts w:hint="default" w:ascii="宋体" w:hAnsi="宋体" w:eastAsia="宋体" w:cs="宋体"/>
                <w:color w:val="auto"/>
                <w:kern w:val="0"/>
                <w:szCs w:val="21"/>
                <w:highlight w:val="none"/>
              </w:rPr>
              <w:t>………具体详见《采购需求》</w:t>
            </w:r>
          </w:p>
        </w:tc>
        <w:tc>
          <w:tcPr>
            <w:tcW w:w="1269" w:type="dxa"/>
            <w:vAlign w:val="center"/>
          </w:tcPr>
          <w:p w14:paraId="62CC6F00">
            <w:pPr>
              <w:widowControl/>
              <w:adjustRightInd w:val="0"/>
              <w:snapToGri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1.20</w:t>
            </w:r>
          </w:p>
        </w:tc>
      </w:tr>
      <w:tr w14:paraId="164AF2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725" w:type="dxa"/>
            <w:vAlign w:val="center"/>
          </w:tcPr>
          <w:p w14:paraId="6C99D2C0">
            <w:pPr>
              <w:widowControl/>
              <w:adjustRightInd w:val="0"/>
              <w:snapToGrid w:val="0"/>
              <w:spacing w:line="400" w:lineRule="exact"/>
              <w:jc w:val="center"/>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07</w:t>
            </w:r>
          </w:p>
        </w:tc>
        <w:tc>
          <w:tcPr>
            <w:tcW w:w="2192" w:type="dxa"/>
            <w:vAlign w:val="center"/>
          </w:tcPr>
          <w:p w14:paraId="4CA06863">
            <w:pPr>
              <w:widowControl/>
              <w:adjustRightInd w:val="0"/>
              <w:snapToGrid w:val="0"/>
              <w:spacing w:line="240" w:lineRule="auto"/>
              <w:jc w:val="center"/>
              <w:rPr>
                <w:rFonts w:hint="eastAsia" w:ascii="Arial" w:hAnsi="Arial" w:eastAsia="宋体" w:cs="Arial"/>
                <w:color w:val="auto"/>
                <w:kern w:val="0"/>
                <w:szCs w:val="21"/>
                <w:highlight w:val="none"/>
                <w:lang w:val="en-US" w:eastAsia="zh-CN"/>
              </w:rPr>
            </w:pPr>
            <w:r>
              <w:rPr>
                <w:rFonts w:hint="eastAsia" w:ascii="Arial" w:hAnsi="Arial" w:eastAsia="宋体" w:cs="Arial"/>
                <w:color w:val="auto"/>
                <w:kern w:val="0"/>
                <w:szCs w:val="21"/>
                <w:highlight w:val="none"/>
                <w:lang w:val="en-US" w:eastAsia="zh-CN"/>
              </w:rPr>
              <w:t>网络交换机</w:t>
            </w:r>
          </w:p>
        </w:tc>
        <w:tc>
          <w:tcPr>
            <w:tcW w:w="715" w:type="dxa"/>
            <w:vAlign w:val="center"/>
          </w:tcPr>
          <w:p w14:paraId="18FC5873">
            <w:pPr>
              <w:widowControl/>
              <w:adjustRightInd w:val="0"/>
              <w:snapToGrid w:val="0"/>
              <w:spacing w:line="400" w:lineRule="exact"/>
              <w:jc w:val="center"/>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1台</w:t>
            </w:r>
          </w:p>
        </w:tc>
        <w:tc>
          <w:tcPr>
            <w:tcW w:w="4257" w:type="dxa"/>
            <w:vAlign w:val="center"/>
          </w:tcPr>
          <w:p w14:paraId="61F236E2">
            <w:pPr>
              <w:widowControl/>
              <w:adjustRightInd w:val="0"/>
              <w:snapToGrid w:val="0"/>
              <w:spacing w:line="240" w:lineRule="auto"/>
              <w:jc w:val="left"/>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lang w:eastAsia="zh-CN"/>
              </w:rPr>
              <w:t>）</w:t>
            </w:r>
            <w:r>
              <w:rPr>
                <w:rFonts w:hint="default" w:ascii="宋体" w:hAnsi="宋体" w:eastAsia="宋体" w:cs="宋体"/>
                <w:color w:val="auto"/>
                <w:kern w:val="0"/>
                <w:szCs w:val="21"/>
                <w:highlight w:val="none"/>
              </w:rPr>
              <w:t>交换容量：96Gbps；</w:t>
            </w:r>
          </w:p>
          <w:p w14:paraId="7841CCC0">
            <w:pPr>
              <w:widowControl/>
              <w:adjustRightInd w:val="0"/>
              <w:snapToGrid w:val="0"/>
              <w:spacing w:line="240" w:lineRule="auto"/>
              <w:jc w:val="left"/>
              <w:rPr>
                <w:rFonts w:hint="eastAsia" w:ascii="宋体" w:hAnsi="宋体" w:eastAsia="宋体" w:cs="宋体"/>
                <w:color w:val="auto"/>
                <w:kern w:val="0"/>
                <w:szCs w:val="21"/>
                <w:highlight w:val="none"/>
                <w:lang w:val="en-US" w:eastAsia="zh-CN"/>
              </w:rPr>
            </w:pPr>
            <w:r>
              <w:rPr>
                <w:rFonts w:hint="default" w:ascii="宋体" w:hAnsi="宋体" w:eastAsia="宋体" w:cs="宋体"/>
                <w:color w:val="auto"/>
                <w:kern w:val="0"/>
                <w:szCs w:val="21"/>
                <w:highlight w:val="none"/>
              </w:rPr>
              <w:t>………具体详见《采购需求》</w:t>
            </w:r>
          </w:p>
        </w:tc>
        <w:tc>
          <w:tcPr>
            <w:tcW w:w="1269" w:type="dxa"/>
            <w:vAlign w:val="center"/>
          </w:tcPr>
          <w:p w14:paraId="1340BFC1">
            <w:pPr>
              <w:widowControl/>
              <w:adjustRightInd w:val="0"/>
              <w:snapToGri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0.25</w:t>
            </w:r>
          </w:p>
        </w:tc>
      </w:tr>
    </w:tbl>
    <w:p w14:paraId="3E60E496">
      <w:pPr>
        <w:spacing w:line="380" w:lineRule="exact"/>
        <w:ind w:firstLine="420" w:firstLineChars="200"/>
        <w:rPr>
          <w:rFonts w:hint="default" w:ascii="宋体" w:hAnsi="宋体" w:eastAsia="宋体"/>
          <w:color w:val="auto"/>
          <w:highlight w:val="none"/>
          <w:lang w:val="en-US" w:eastAsia="zh-CN"/>
        </w:rPr>
      </w:pPr>
      <w:r>
        <w:rPr>
          <w:rFonts w:hint="eastAsia" w:ascii="宋体" w:hAnsi="宋体"/>
          <w:color w:val="auto"/>
          <w:highlight w:val="none"/>
          <w:lang w:val="en-US" w:eastAsia="zh-CN"/>
        </w:rPr>
        <w:t>签订合同时间：自成交通知书发出之日起10日内。</w:t>
      </w:r>
    </w:p>
    <w:p w14:paraId="1D6AED96">
      <w:pPr>
        <w:spacing w:line="380" w:lineRule="exact"/>
        <w:ind w:firstLine="420" w:firstLineChars="200"/>
        <w:rPr>
          <w:rFonts w:hint="eastAsia" w:ascii="宋体" w:hAnsi="宋体"/>
          <w:color w:val="auto"/>
          <w:highlight w:val="none"/>
        </w:rPr>
      </w:pPr>
      <w:r>
        <w:rPr>
          <w:rFonts w:hint="eastAsia" w:ascii="宋体" w:hAnsi="宋体"/>
          <w:color w:val="auto"/>
          <w:highlight w:val="none"/>
        </w:rPr>
        <w:t>合同履行期限：</w:t>
      </w:r>
      <w:r>
        <w:rPr>
          <w:rFonts w:hint="eastAsia" w:ascii="宋体" w:hAnsi="宋体"/>
          <w:color w:val="auto"/>
          <w:highlight w:val="none"/>
        </w:rPr>
        <w:t>自签订合同之日起30日内。</w:t>
      </w:r>
    </w:p>
    <w:p w14:paraId="067D5025">
      <w:pPr>
        <w:spacing w:line="380" w:lineRule="exact"/>
        <w:ind w:firstLine="420" w:firstLineChars="200"/>
        <w:rPr>
          <w:rFonts w:hint="default" w:ascii="宋体" w:hAnsi="宋体" w:eastAsia="宋体"/>
          <w:color w:val="auto"/>
          <w:highlight w:val="none"/>
          <w:lang w:val="en-US" w:eastAsia="zh-CN"/>
        </w:rPr>
      </w:pPr>
      <w:r>
        <w:rPr>
          <w:rFonts w:hint="eastAsia" w:ascii="宋体" w:hAnsi="宋体"/>
          <w:color w:val="auto"/>
          <w:highlight w:val="none"/>
        </w:rPr>
        <w:t>本项目不接受联合体</w:t>
      </w:r>
      <w:r>
        <w:rPr>
          <w:rFonts w:hint="eastAsia" w:ascii="宋体" w:hAnsi="宋体"/>
          <w:color w:val="auto"/>
          <w:highlight w:val="none"/>
          <w:lang w:val="en-US" w:eastAsia="zh-CN"/>
        </w:rPr>
        <w:t>竞标。</w:t>
      </w:r>
    </w:p>
    <w:p w14:paraId="5A0289D0">
      <w:pPr>
        <w:spacing w:line="380" w:lineRule="exact"/>
        <w:rPr>
          <w:rFonts w:ascii="宋体" w:hAnsi="宋体"/>
          <w:b/>
          <w:color w:val="auto"/>
          <w:highlight w:val="none"/>
        </w:rPr>
      </w:pPr>
      <w:bookmarkStart w:id="6" w:name="_Toc35393630"/>
      <w:bookmarkStart w:id="7" w:name="_Toc35393799"/>
      <w:bookmarkStart w:id="8" w:name="_Toc28359013"/>
      <w:bookmarkStart w:id="9" w:name="_Toc28359090"/>
      <w:r>
        <w:rPr>
          <w:rFonts w:hint="eastAsia" w:ascii="宋体" w:hAnsi="宋体"/>
          <w:b/>
          <w:color w:val="auto"/>
          <w:highlight w:val="none"/>
        </w:rPr>
        <w:t>二、供应商的资格要求：</w:t>
      </w:r>
      <w:bookmarkEnd w:id="6"/>
      <w:bookmarkEnd w:id="7"/>
      <w:bookmarkEnd w:id="8"/>
      <w:bookmarkEnd w:id="9"/>
    </w:p>
    <w:p w14:paraId="604D206A">
      <w:pPr>
        <w:spacing w:line="380" w:lineRule="exact"/>
        <w:ind w:firstLine="420" w:firstLineChars="200"/>
        <w:rPr>
          <w:rFonts w:ascii="宋体" w:hAnsi="宋体"/>
          <w:color w:val="auto"/>
          <w:highlight w:val="none"/>
        </w:rPr>
      </w:pPr>
      <w:r>
        <w:rPr>
          <w:rFonts w:hint="eastAsia" w:ascii="宋体" w:hAnsi="宋体"/>
          <w:color w:val="auto"/>
          <w:highlight w:val="none"/>
        </w:rPr>
        <w:t>1.满足《中华人民共和国政府采购法》第二十二条规定；</w:t>
      </w:r>
    </w:p>
    <w:p w14:paraId="2C1859BE">
      <w:pPr>
        <w:spacing w:line="380" w:lineRule="exact"/>
        <w:ind w:firstLine="420" w:firstLineChars="200"/>
        <w:rPr>
          <w:rFonts w:hint="eastAsia" w:ascii="宋体" w:hAnsi="宋体" w:eastAsia="宋体"/>
          <w:color w:val="auto"/>
          <w:highlight w:val="none"/>
          <w:lang w:eastAsia="zh-CN"/>
        </w:rPr>
      </w:pPr>
      <w:bookmarkStart w:id="10" w:name="_Toc28359091"/>
      <w:bookmarkStart w:id="11" w:name="_Toc28359014"/>
      <w:r>
        <w:rPr>
          <w:rFonts w:ascii="宋体" w:hAnsi="宋体"/>
          <w:color w:val="auto"/>
          <w:highlight w:val="none"/>
        </w:rPr>
        <w:t>2</w:t>
      </w:r>
      <w:r>
        <w:rPr>
          <w:rFonts w:hint="eastAsia" w:ascii="宋体" w:hAnsi="宋体"/>
          <w:color w:val="auto"/>
          <w:highlight w:val="none"/>
        </w:rPr>
        <w:t>.落实政府采购政策需满足的资格要求：</w:t>
      </w:r>
      <w:r>
        <w:rPr>
          <w:rFonts w:hint="eastAsia" w:ascii="宋体" w:hAnsi="宋体"/>
          <w:color w:val="auto"/>
          <w:highlight w:val="none"/>
          <w:lang w:val="en-US" w:eastAsia="zh-CN"/>
        </w:rPr>
        <w:t>无</w:t>
      </w:r>
      <w:r>
        <w:rPr>
          <w:rFonts w:hint="eastAsia" w:ascii="宋体" w:hAnsi="宋体"/>
          <w:color w:val="auto"/>
          <w:highlight w:val="none"/>
          <w:lang w:eastAsia="zh-CN"/>
        </w:rPr>
        <w:t>。</w:t>
      </w:r>
    </w:p>
    <w:p w14:paraId="4149AB65">
      <w:pPr>
        <w:spacing w:line="380" w:lineRule="exact"/>
        <w:ind w:firstLine="420" w:firstLineChars="200"/>
        <w:rPr>
          <w:rFonts w:ascii="宋体" w:hAnsi="宋体"/>
          <w:i/>
          <w:iCs/>
          <w:color w:val="auto"/>
          <w:highlight w:val="none"/>
          <w:u w:val="single"/>
        </w:rPr>
      </w:pPr>
      <w:r>
        <w:rPr>
          <w:rFonts w:hint="eastAsia" w:ascii="宋体" w:hAnsi="宋体"/>
          <w:color w:val="auto"/>
          <w:highlight w:val="none"/>
        </w:rPr>
        <w:t>3.本项目的特定资格要求：无。</w:t>
      </w:r>
    </w:p>
    <w:p w14:paraId="61D50817">
      <w:pPr>
        <w:spacing w:line="380" w:lineRule="exact"/>
        <w:rPr>
          <w:rFonts w:ascii="宋体" w:hAnsi="宋体"/>
          <w:b/>
          <w:color w:val="auto"/>
          <w:highlight w:val="none"/>
        </w:rPr>
      </w:pPr>
      <w:bookmarkStart w:id="12" w:name="_Toc35393800"/>
      <w:bookmarkStart w:id="13" w:name="_Toc35393631"/>
      <w:r>
        <w:rPr>
          <w:rFonts w:hint="eastAsia" w:ascii="宋体" w:hAnsi="宋体"/>
          <w:b/>
          <w:color w:val="auto"/>
          <w:highlight w:val="none"/>
        </w:rPr>
        <w:t>三、</w:t>
      </w:r>
      <w:bookmarkEnd w:id="10"/>
      <w:bookmarkEnd w:id="11"/>
      <w:bookmarkEnd w:id="12"/>
      <w:bookmarkEnd w:id="13"/>
      <w:r>
        <w:rPr>
          <w:rFonts w:hint="eastAsia" w:ascii="宋体" w:hAnsi="宋体"/>
          <w:b/>
          <w:color w:val="auto"/>
          <w:highlight w:val="none"/>
        </w:rPr>
        <w:t>获取竞争性谈判文件</w:t>
      </w:r>
    </w:p>
    <w:p w14:paraId="53690B68">
      <w:pPr>
        <w:spacing w:line="380" w:lineRule="exact"/>
        <w:ind w:firstLine="420" w:firstLineChars="200"/>
        <w:rPr>
          <w:rFonts w:ascii="宋体" w:hAnsi="宋体"/>
          <w:color w:val="auto"/>
          <w:highlight w:val="none"/>
        </w:rPr>
      </w:pPr>
      <w:r>
        <w:rPr>
          <w:rFonts w:hint="eastAsia" w:ascii="宋体" w:hAnsi="宋体"/>
          <w:color w:val="auto"/>
          <w:highlight w:val="none"/>
        </w:rPr>
        <w:t>时间：</w:t>
      </w:r>
      <w:r>
        <w:rPr>
          <w:rFonts w:hint="eastAsia" w:ascii="宋体" w:hAnsi="宋体"/>
          <w:color w:val="auto"/>
          <w:highlight w:val="none"/>
          <w:u w:val="single"/>
          <w:lang w:eastAsia="zh-CN"/>
        </w:rPr>
        <w:t>202</w:t>
      </w:r>
      <w:r>
        <w:rPr>
          <w:rFonts w:hint="eastAsia" w:ascii="宋体" w:hAnsi="宋体"/>
          <w:color w:val="auto"/>
          <w:highlight w:val="none"/>
          <w:u w:val="single"/>
          <w:lang w:val="en-US" w:eastAsia="zh-CN"/>
        </w:rPr>
        <w:t>6</w:t>
      </w:r>
      <w:r>
        <w:rPr>
          <w:rFonts w:hint="eastAsia" w:ascii="宋体" w:hAnsi="宋体"/>
          <w:color w:val="auto"/>
          <w:highlight w:val="none"/>
          <w:u w:val="single"/>
          <w:lang w:eastAsia="zh-CN"/>
        </w:rPr>
        <w:t>年</w:t>
      </w:r>
      <w:r>
        <w:rPr>
          <w:rFonts w:hint="eastAsia" w:ascii="宋体" w:hAnsi="宋体"/>
          <w:color w:val="auto"/>
          <w:highlight w:val="none"/>
          <w:u w:val="single"/>
          <w:lang w:val="en-US" w:eastAsia="zh-CN"/>
        </w:rPr>
        <w:t>6</w:t>
      </w:r>
      <w:r>
        <w:rPr>
          <w:rFonts w:hint="eastAsia" w:ascii="宋体" w:hAnsi="宋体"/>
          <w:color w:val="auto"/>
          <w:highlight w:val="none"/>
          <w:u w:val="single"/>
          <w:lang w:eastAsia="zh-CN"/>
        </w:rPr>
        <w:t>月</w:t>
      </w:r>
      <w:r>
        <w:rPr>
          <w:rFonts w:hint="eastAsia" w:ascii="宋体" w:hAnsi="宋体"/>
          <w:color w:val="auto"/>
          <w:highlight w:val="none"/>
          <w:u w:val="single"/>
          <w:lang w:val="en-US" w:eastAsia="zh-CN"/>
        </w:rPr>
        <w:t>25</w:t>
      </w:r>
      <w:r>
        <w:rPr>
          <w:rFonts w:hint="eastAsia" w:ascii="宋体" w:hAnsi="宋体"/>
          <w:color w:val="auto"/>
          <w:highlight w:val="none"/>
          <w:u w:val="single"/>
          <w:lang w:eastAsia="zh-CN"/>
        </w:rPr>
        <w:t>日</w:t>
      </w:r>
      <w:r>
        <w:rPr>
          <w:rFonts w:hint="eastAsia" w:ascii="宋体" w:hAnsi="宋体"/>
          <w:color w:val="auto"/>
          <w:highlight w:val="none"/>
        </w:rPr>
        <w:t>至</w:t>
      </w:r>
      <w:r>
        <w:rPr>
          <w:rFonts w:hint="eastAsia" w:ascii="宋体" w:hAnsi="宋体"/>
          <w:color w:val="auto"/>
          <w:highlight w:val="none"/>
          <w:u w:val="single"/>
          <w:lang w:eastAsia="zh-CN"/>
        </w:rPr>
        <w:t>202</w:t>
      </w:r>
      <w:r>
        <w:rPr>
          <w:rFonts w:hint="eastAsia" w:ascii="宋体" w:hAnsi="宋体"/>
          <w:color w:val="auto"/>
          <w:highlight w:val="none"/>
          <w:u w:val="single"/>
          <w:lang w:val="en-US" w:eastAsia="zh-CN"/>
        </w:rPr>
        <w:t>6</w:t>
      </w:r>
      <w:r>
        <w:rPr>
          <w:rFonts w:hint="eastAsia" w:ascii="宋体" w:hAnsi="宋体"/>
          <w:color w:val="auto"/>
          <w:highlight w:val="none"/>
          <w:u w:val="single"/>
          <w:lang w:eastAsia="zh-CN"/>
        </w:rPr>
        <w:t>年</w:t>
      </w:r>
      <w:r>
        <w:rPr>
          <w:rFonts w:hint="eastAsia" w:ascii="宋体" w:hAnsi="宋体"/>
          <w:color w:val="auto"/>
          <w:highlight w:val="none"/>
          <w:u w:val="single"/>
          <w:lang w:val="en-US" w:eastAsia="zh-CN"/>
        </w:rPr>
        <w:t>6</w:t>
      </w:r>
      <w:r>
        <w:rPr>
          <w:rFonts w:hint="eastAsia" w:ascii="宋体" w:hAnsi="宋体"/>
          <w:color w:val="auto"/>
          <w:highlight w:val="none"/>
          <w:u w:val="single"/>
          <w:lang w:eastAsia="zh-CN"/>
        </w:rPr>
        <w:t>月</w:t>
      </w:r>
      <w:r>
        <w:rPr>
          <w:rFonts w:hint="eastAsia" w:ascii="宋体" w:hAnsi="宋体"/>
          <w:color w:val="auto"/>
          <w:highlight w:val="none"/>
          <w:u w:val="single"/>
          <w:lang w:val="en-US" w:eastAsia="zh-CN"/>
        </w:rPr>
        <w:t>30</w:t>
      </w:r>
      <w:r>
        <w:rPr>
          <w:rFonts w:hint="eastAsia" w:ascii="宋体" w:hAnsi="宋体"/>
          <w:color w:val="auto"/>
          <w:highlight w:val="none"/>
          <w:u w:val="single"/>
          <w:lang w:eastAsia="zh-CN"/>
        </w:rPr>
        <w:t>日</w:t>
      </w:r>
      <w:r>
        <w:rPr>
          <w:rFonts w:hint="eastAsia" w:ascii="宋体" w:hAnsi="宋体"/>
          <w:color w:val="auto"/>
          <w:highlight w:val="none"/>
        </w:rPr>
        <w:t>，每天上午</w:t>
      </w:r>
      <w:r>
        <w:rPr>
          <w:rFonts w:hint="eastAsia" w:ascii="宋体" w:hAnsi="宋体"/>
          <w:color w:val="auto"/>
          <w:highlight w:val="none"/>
          <w:u w:val="single"/>
          <w:lang w:val="en-US" w:eastAsia="zh-CN"/>
        </w:rPr>
        <w:t>00</w:t>
      </w:r>
      <w:r>
        <w:rPr>
          <w:rFonts w:hint="eastAsia" w:ascii="宋体" w:hAnsi="宋体"/>
          <w:color w:val="auto"/>
          <w:highlight w:val="none"/>
          <w:u w:val="single"/>
          <w:lang w:eastAsia="zh-CN"/>
        </w:rPr>
        <w:t>：</w:t>
      </w:r>
      <w:r>
        <w:rPr>
          <w:rFonts w:hint="eastAsia" w:ascii="宋体" w:hAnsi="宋体"/>
          <w:color w:val="auto"/>
          <w:highlight w:val="none"/>
          <w:u w:val="single"/>
          <w:lang w:val="en-US" w:eastAsia="zh-CN"/>
        </w:rPr>
        <w:t>00</w:t>
      </w:r>
      <w:r>
        <w:rPr>
          <w:rFonts w:hint="eastAsia" w:ascii="宋体" w:hAnsi="宋体"/>
          <w:color w:val="auto"/>
          <w:highlight w:val="none"/>
          <w:u w:val="single"/>
        </w:rPr>
        <w:t>分</w:t>
      </w:r>
      <w:r>
        <w:rPr>
          <w:rFonts w:hint="eastAsia" w:ascii="宋体" w:hAnsi="宋体"/>
          <w:color w:val="auto"/>
          <w:highlight w:val="none"/>
        </w:rPr>
        <w:t>至</w:t>
      </w:r>
      <w:r>
        <w:rPr>
          <w:rFonts w:hint="eastAsia" w:ascii="宋体" w:hAnsi="宋体"/>
          <w:color w:val="auto"/>
          <w:highlight w:val="none"/>
          <w:u w:val="single"/>
          <w:lang w:val="en-US" w:eastAsia="zh-CN"/>
        </w:rPr>
        <w:t>12：00</w:t>
      </w:r>
      <w:r>
        <w:rPr>
          <w:rFonts w:hint="eastAsia" w:ascii="宋体" w:hAnsi="宋体"/>
          <w:color w:val="auto"/>
          <w:highlight w:val="none"/>
        </w:rPr>
        <w:t>，下午</w:t>
      </w:r>
      <w:r>
        <w:rPr>
          <w:rFonts w:hint="eastAsia" w:ascii="宋体" w:hAnsi="宋体"/>
          <w:color w:val="auto"/>
          <w:highlight w:val="none"/>
          <w:u w:val="single"/>
        </w:rPr>
        <w:t>12</w:t>
      </w:r>
      <w:r>
        <w:rPr>
          <w:rFonts w:hint="eastAsia" w:ascii="宋体" w:hAnsi="宋体"/>
          <w:color w:val="auto"/>
          <w:highlight w:val="none"/>
          <w:u w:val="single"/>
          <w:lang w:eastAsia="zh-CN"/>
        </w:rPr>
        <w:t>：</w:t>
      </w:r>
      <w:r>
        <w:rPr>
          <w:rFonts w:hint="eastAsia" w:ascii="宋体" w:hAnsi="宋体"/>
          <w:color w:val="auto"/>
          <w:highlight w:val="none"/>
          <w:u w:val="single"/>
        </w:rPr>
        <w:t>00</w:t>
      </w:r>
      <w:r>
        <w:rPr>
          <w:rFonts w:hint="eastAsia" w:ascii="宋体" w:hAnsi="宋体"/>
          <w:color w:val="auto"/>
          <w:highlight w:val="none"/>
        </w:rPr>
        <w:t>至</w:t>
      </w:r>
      <w:r>
        <w:rPr>
          <w:rFonts w:hint="eastAsia" w:ascii="宋体" w:hAnsi="宋体"/>
          <w:color w:val="auto"/>
          <w:highlight w:val="none"/>
          <w:u w:val="single"/>
          <w:lang w:val="en-US" w:eastAsia="zh-CN"/>
        </w:rPr>
        <w:t>23：59</w:t>
      </w:r>
      <w:r>
        <w:rPr>
          <w:rFonts w:hint="eastAsia" w:ascii="宋体" w:hAnsi="宋体"/>
          <w:color w:val="auto"/>
          <w:highlight w:val="none"/>
        </w:rPr>
        <w:t>（北京时间，</w:t>
      </w:r>
      <w:r>
        <w:rPr>
          <w:rFonts w:ascii="宋体" w:hAnsi="宋体"/>
          <w:color w:val="auto"/>
          <w:highlight w:val="none"/>
        </w:rPr>
        <w:t>法定节假日</w:t>
      </w:r>
      <w:r>
        <w:rPr>
          <w:rFonts w:hint="eastAsia" w:ascii="宋体" w:hAnsi="宋体"/>
          <w:color w:val="auto"/>
          <w:highlight w:val="none"/>
        </w:rPr>
        <w:t>除外 ）</w:t>
      </w:r>
    </w:p>
    <w:p w14:paraId="53AA61AB">
      <w:pPr>
        <w:spacing w:line="380" w:lineRule="exact"/>
        <w:ind w:firstLine="420" w:firstLineChars="200"/>
        <w:rPr>
          <w:rFonts w:ascii="宋体" w:hAnsi="宋体"/>
          <w:color w:val="auto"/>
          <w:highlight w:val="none"/>
          <w:u w:val="single"/>
        </w:rPr>
      </w:pPr>
      <w:r>
        <w:rPr>
          <w:rFonts w:hint="eastAsia" w:ascii="宋体" w:hAnsi="宋体"/>
          <w:color w:val="auto"/>
          <w:highlight w:val="none"/>
        </w:rPr>
        <w:t>地点：广西政府采购云平台（https</w:t>
      </w:r>
      <w:r>
        <w:rPr>
          <w:rFonts w:hint="eastAsia" w:ascii="宋体" w:hAnsi="宋体"/>
          <w:color w:val="auto"/>
          <w:highlight w:val="none"/>
          <w:lang w:eastAsia="zh-CN"/>
        </w:rPr>
        <w:t>：</w:t>
      </w:r>
      <w:r>
        <w:rPr>
          <w:rFonts w:hint="eastAsia" w:ascii="宋体" w:hAnsi="宋体"/>
          <w:color w:val="auto"/>
          <w:highlight w:val="none"/>
        </w:rPr>
        <w:t>//www.gcy.zfcg.gxzf.gov.cn/）</w:t>
      </w:r>
    </w:p>
    <w:p w14:paraId="3F4DBACF">
      <w:pPr>
        <w:spacing w:line="380" w:lineRule="exact"/>
        <w:ind w:firstLine="420" w:firstLineChars="200"/>
        <w:rPr>
          <w:rFonts w:hint="eastAsia" w:ascii="宋体" w:hAnsi="宋体"/>
          <w:color w:val="auto"/>
          <w:highlight w:val="none"/>
        </w:rPr>
      </w:pPr>
      <w:r>
        <w:rPr>
          <w:rFonts w:hint="eastAsia" w:ascii="宋体" w:hAnsi="宋体"/>
          <w:color w:val="auto"/>
          <w:highlight w:val="none"/>
        </w:rPr>
        <w:t>方式：网上下载。本项目不提供纸质文件，潜在供应商需使用账号登录或者使用CA 登录广西政府采购云平台（</w:t>
      </w:r>
      <w:r>
        <w:rPr>
          <w:rFonts w:hint="eastAsia" w:ascii="宋体" w:hAnsi="宋体"/>
          <w:color w:val="auto"/>
          <w:highlight w:val="none"/>
        </w:rPr>
        <w:fldChar w:fldCharType="begin"/>
      </w:r>
      <w:r>
        <w:rPr>
          <w:rFonts w:hint="eastAsia" w:ascii="宋体" w:hAnsi="宋体"/>
          <w:color w:val="auto"/>
          <w:highlight w:val="none"/>
        </w:rPr>
        <w:instrText xml:space="preserve"> HYPERLINK "https://www.gcy.zfcg.gxzf.gov.cn/" </w:instrText>
      </w:r>
      <w:r>
        <w:rPr>
          <w:rFonts w:hint="eastAsia" w:ascii="宋体" w:hAnsi="宋体"/>
          <w:color w:val="auto"/>
          <w:highlight w:val="none"/>
        </w:rPr>
        <w:fldChar w:fldCharType="separate"/>
      </w:r>
      <w:r>
        <w:rPr>
          <w:rFonts w:hint="eastAsia" w:ascii="宋体" w:hAnsi="宋体"/>
          <w:color w:val="auto"/>
          <w:highlight w:val="none"/>
        </w:rPr>
        <w:t>https</w:t>
      </w:r>
      <w:r>
        <w:rPr>
          <w:rFonts w:hint="eastAsia" w:ascii="宋体" w:hAnsi="宋体"/>
          <w:color w:val="auto"/>
          <w:highlight w:val="none"/>
          <w:lang w:eastAsia="zh-CN"/>
        </w:rPr>
        <w:t>：</w:t>
      </w:r>
      <w:r>
        <w:rPr>
          <w:rFonts w:hint="eastAsia" w:ascii="宋体" w:hAnsi="宋体"/>
          <w:color w:val="auto"/>
          <w:highlight w:val="none"/>
        </w:rPr>
        <w:t>//www.gcy.zfcg.gxzf.gov.cn/</w:t>
      </w:r>
      <w:r>
        <w:rPr>
          <w:rFonts w:hint="eastAsia" w:ascii="宋体" w:hAnsi="宋体"/>
          <w:color w:val="auto"/>
          <w:highlight w:val="none"/>
        </w:rPr>
        <w:fldChar w:fldCharType="end"/>
      </w:r>
      <w:r>
        <w:rPr>
          <w:rFonts w:hint="eastAsia" w:ascii="宋体" w:hAnsi="宋体"/>
          <w:color w:val="auto"/>
          <w:highlight w:val="none"/>
        </w:rPr>
        <w:t>）-进入</w:t>
      </w:r>
      <w:r>
        <w:rPr>
          <w:rFonts w:hint="eastAsia" w:ascii="宋体" w:hAnsi="宋体"/>
          <w:color w:val="auto"/>
          <w:highlight w:val="none"/>
          <w:lang w:eastAsia="zh-CN"/>
        </w:rPr>
        <w:t>“</w:t>
      </w:r>
      <w:r>
        <w:rPr>
          <w:rFonts w:hint="eastAsia" w:ascii="宋体" w:hAnsi="宋体"/>
          <w:color w:val="auto"/>
          <w:highlight w:val="none"/>
        </w:rPr>
        <w:t>项目采购</w:t>
      </w:r>
      <w:r>
        <w:rPr>
          <w:rFonts w:hint="eastAsia" w:ascii="宋体" w:hAnsi="宋体"/>
          <w:color w:val="auto"/>
          <w:highlight w:val="none"/>
          <w:lang w:eastAsia="zh-CN"/>
        </w:rPr>
        <w:t>”</w:t>
      </w:r>
      <w:r>
        <w:rPr>
          <w:rFonts w:hint="eastAsia" w:ascii="宋体" w:hAnsi="宋体"/>
          <w:color w:val="auto"/>
          <w:highlight w:val="none"/>
        </w:rPr>
        <w:t>应用，在获取采购文件菜单中选择项目，获取竞争性谈判文件。 电子响应文件制作需要基于广西政府采购云平台获取的谈判文件编制，通过其他方式获取谈判文件的，将有可能导致供应商无法在广西政府采购云平台编制及上传响应文件。</w:t>
      </w:r>
    </w:p>
    <w:p w14:paraId="124715CE">
      <w:pPr>
        <w:spacing w:line="380" w:lineRule="exact"/>
        <w:ind w:firstLine="420" w:firstLineChars="200"/>
        <w:rPr>
          <w:rFonts w:hint="eastAsia" w:ascii="宋体" w:hAnsi="宋体" w:eastAsia="宋体"/>
          <w:color w:val="auto"/>
          <w:highlight w:val="none"/>
          <w:lang w:val="en-US" w:eastAsia="zh-CN"/>
        </w:rPr>
      </w:pPr>
      <w:r>
        <w:rPr>
          <w:rFonts w:ascii="宋体" w:hAnsi="宋体" w:cs="宋体"/>
          <w:color w:val="auto"/>
          <w:kern w:val="0"/>
          <w:szCs w:val="21"/>
          <w:highlight w:val="none"/>
        </w:rPr>
        <w:t>售价：</w:t>
      </w:r>
      <w:r>
        <w:rPr>
          <w:rFonts w:hint="eastAsia" w:ascii="宋体" w:hAnsi="宋体" w:cs="宋体"/>
          <w:color w:val="auto"/>
          <w:kern w:val="0"/>
          <w:szCs w:val="21"/>
          <w:highlight w:val="none"/>
        </w:rPr>
        <w:t>0</w:t>
      </w:r>
      <w:r>
        <w:rPr>
          <w:rFonts w:hint="eastAsia" w:ascii="宋体" w:hAnsi="宋体" w:cs="宋体"/>
          <w:color w:val="auto"/>
          <w:kern w:val="0"/>
          <w:szCs w:val="21"/>
          <w:highlight w:val="none"/>
          <w:lang w:val="en-US" w:eastAsia="zh-CN"/>
        </w:rPr>
        <w:t>元</w:t>
      </w:r>
    </w:p>
    <w:p w14:paraId="340B2FD0">
      <w:pPr>
        <w:spacing w:line="380" w:lineRule="exact"/>
        <w:rPr>
          <w:rFonts w:ascii="宋体" w:hAnsi="宋体"/>
          <w:b/>
          <w:color w:val="auto"/>
          <w:highlight w:val="none"/>
        </w:rPr>
      </w:pPr>
      <w:bookmarkStart w:id="14" w:name="_Toc28359092"/>
      <w:bookmarkStart w:id="15" w:name="_Toc28359015"/>
      <w:bookmarkStart w:id="16" w:name="_Toc35393632"/>
      <w:bookmarkStart w:id="17" w:name="_Toc35393801"/>
      <w:r>
        <w:rPr>
          <w:rFonts w:hint="eastAsia" w:ascii="宋体" w:hAnsi="宋体"/>
          <w:b/>
          <w:color w:val="auto"/>
          <w:highlight w:val="none"/>
        </w:rPr>
        <w:t>四、响应文件提交</w:t>
      </w:r>
      <w:bookmarkEnd w:id="14"/>
      <w:bookmarkEnd w:id="15"/>
      <w:bookmarkEnd w:id="16"/>
      <w:bookmarkEnd w:id="17"/>
    </w:p>
    <w:p w14:paraId="04C1C226">
      <w:pPr>
        <w:spacing w:line="380" w:lineRule="exact"/>
        <w:ind w:firstLine="420" w:firstLineChars="200"/>
        <w:rPr>
          <w:rFonts w:ascii="宋体" w:hAnsi="宋体"/>
          <w:bCs/>
          <w:color w:val="auto"/>
          <w:highlight w:val="none"/>
          <w:u w:val="single"/>
        </w:rPr>
      </w:pPr>
      <w:r>
        <w:rPr>
          <w:rFonts w:hint="eastAsia" w:ascii="宋体" w:hAnsi="宋体"/>
          <w:color w:val="auto"/>
          <w:highlight w:val="none"/>
        </w:rPr>
        <w:t>截止时间：</w:t>
      </w:r>
      <w:r>
        <w:rPr>
          <w:rFonts w:hint="eastAsia" w:ascii="宋体" w:hAnsi="宋体"/>
          <w:bCs/>
          <w:color w:val="auto"/>
          <w:highlight w:val="none"/>
          <w:lang w:eastAsia="zh-CN"/>
        </w:rPr>
        <w:t>2026年</w:t>
      </w:r>
      <w:r>
        <w:rPr>
          <w:rFonts w:hint="eastAsia" w:ascii="宋体" w:hAnsi="宋体"/>
          <w:bCs/>
          <w:color w:val="auto"/>
          <w:highlight w:val="none"/>
          <w:lang w:val="en-US" w:eastAsia="zh-CN"/>
        </w:rPr>
        <w:t>7</w:t>
      </w:r>
      <w:r>
        <w:rPr>
          <w:rFonts w:hint="eastAsia" w:ascii="宋体" w:hAnsi="宋体"/>
          <w:bCs/>
          <w:color w:val="auto"/>
          <w:highlight w:val="none"/>
          <w:lang w:eastAsia="zh-CN"/>
        </w:rPr>
        <w:t>月</w:t>
      </w:r>
      <w:r>
        <w:rPr>
          <w:rFonts w:hint="eastAsia" w:ascii="宋体" w:hAnsi="宋体"/>
          <w:bCs/>
          <w:color w:val="auto"/>
          <w:highlight w:val="none"/>
          <w:lang w:val="en-US" w:eastAsia="zh-CN"/>
        </w:rPr>
        <w:t>1</w:t>
      </w:r>
      <w:r>
        <w:rPr>
          <w:rFonts w:hint="eastAsia" w:ascii="宋体" w:hAnsi="宋体"/>
          <w:bCs/>
          <w:color w:val="auto"/>
          <w:highlight w:val="none"/>
          <w:lang w:eastAsia="zh-CN"/>
        </w:rPr>
        <w:t>日</w:t>
      </w:r>
      <w:r>
        <w:rPr>
          <w:rFonts w:hint="eastAsia" w:ascii="宋体" w:hAnsi="宋体"/>
          <w:bCs/>
          <w:color w:val="auto"/>
          <w:highlight w:val="none"/>
          <w:lang w:val="en-US" w:eastAsia="zh-CN"/>
        </w:rPr>
        <w:t>09</w:t>
      </w:r>
      <w:r>
        <w:rPr>
          <w:rFonts w:hint="eastAsia" w:ascii="宋体" w:hAnsi="宋体"/>
          <w:bCs/>
          <w:color w:val="auto"/>
          <w:highlight w:val="none"/>
          <w:lang w:eastAsia="zh-CN"/>
        </w:rPr>
        <w:t>：</w:t>
      </w:r>
      <w:r>
        <w:rPr>
          <w:rFonts w:hint="eastAsia" w:ascii="宋体" w:hAnsi="宋体"/>
          <w:bCs/>
          <w:color w:val="auto"/>
          <w:highlight w:val="none"/>
          <w:lang w:val="en-US" w:eastAsia="zh-CN"/>
        </w:rPr>
        <w:t>30（北京时间，法定节假日除外）</w:t>
      </w:r>
    </w:p>
    <w:p w14:paraId="036D7AEF">
      <w:pPr>
        <w:spacing w:line="380" w:lineRule="exact"/>
        <w:ind w:firstLine="420" w:firstLineChars="200"/>
        <w:rPr>
          <w:rFonts w:hint="eastAsia" w:ascii="宋体" w:hAnsi="宋体"/>
          <w:color w:val="auto"/>
          <w:szCs w:val="21"/>
          <w:highlight w:val="none"/>
        </w:rPr>
      </w:pPr>
      <w:r>
        <w:rPr>
          <w:rFonts w:hint="eastAsia" w:ascii="宋体" w:hAnsi="宋体"/>
          <w:color w:val="auto"/>
          <w:highlight w:val="none"/>
        </w:rPr>
        <w:t>地点：广西政府采购云平台（</w:t>
      </w:r>
      <w:r>
        <w:rPr>
          <w:rFonts w:hint="eastAsia" w:ascii="宋体" w:hAnsi="宋体"/>
          <w:color w:val="auto"/>
          <w:highlight w:val="none"/>
        </w:rPr>
        <w:fldChar w:fldCharType="begin"/>
      </w:r>
      <w:r>
        <w:rPr>
          <w:rFonts w:hint="eastAsia" w:ascii="宋体" w:hAnsi="宋体"/>
          <w:color w:val="auto"/>
          <w:highlight w:val="none"/>
        </w:rPr>
        <w:instrText xml:space="preserve"> HYPERLINK "https://www.gcy.zfcg.gxzf.gov.cn/" </w:instrText>
      </w:r>
      <w:r>
        <w:rPr>
          <w:rFonts w:hint="eastAsia" w:ascii="宋体" w:hAnsi="宋体"/>
          <w:color w:val="auto"/>
          <w:highlight w:val="none"/>
        </w:rPr>
        <w:fldChar w:fldCharType="separate"/>
      </w:r>
      <w:r>
        <w:rPr>
          <w:rFonts w:hint="eastAsia" w:ascii="宋体" w:hAnsi="宋体"/>
          <w:color w:val="auto"/>
          <w:highlight w:val="none"/>
        </w:rPr>
        <w:t>https</w:t>
      </w:r>
      <w:r>
        <w:rPr>
          <w:rFonts w:hint="eastAsia" w:ascii="宋体" w:hAnsi="宋体"/>
          <w:color w:val="auto"/>
          <w:highlight w:val="none"/>
          <w:lang w:eastAsia="zh-CN"/>
        </w:rPr>
        <w:t>：</w:t>
      </w:r>
      <w:r>
        <w:rPr>
          <w:rFonts w:hint="eastAsia" w:ascii="宋体" w:hAnsi="宋体"/>
          <w:color w:val="auto"/>
          <w:highlight w:val="none"/>
        </w:rPr>
        <w:t>//www.gcy.zfcg.gxzf.gov.cn/</w:t>
      </w:r>
      <w:r>
        <w:rPr>
          <w:rFonts w:hint="eastAsia" w:ascii="宋体" w:hAnsi="宋体"/>
          <w:color w:val="auto"/>
          <w:highlight w:val="none"/>
        </w:rPr>
        <w:fldChar w:fldCharType="end"/>
      </w:r>
      <w:r>
        <w:rPr>
          <w:rFonts w:hint="eastAsia" w:ascii="宋体" w:hAnsi="宋体"/>
          <w:color w:val="auto"/>
          <w:highlight w:val="none"/>
        </w:rPr>
        <w:t>）</w:t>
      </w:r>
    </w:p>
    <w:p w14:paraId="0BBA1B55">
      <w:pPr>
        <w:spacing w:line="380" w:lineRule="exact"/>
        <w:rPr>
          <w:rFonts w:ascii="宋体" w:hAnsi="宋体"/>
          <w:b/>
          <w:color w:val="auto"/>
          <w:highlight w:val="none"/>
        </w:rPr>
      </w:pPr>
      <w:bookmarkStart w:id="18" w:name="_Toc35393633"/>
      <w:bookmarkStart w:id="19" w:name="_Toc35393802"/>
      <w:bookmarkStart w:id="20" w:name="_Toc28359093"/>
      <w:bookmarkStart w:id="21" w:name="_Toc28359016"/>
      <w:bookmarkStart w:id="22" w:name="_Toc28359094"/>
      <w:bookmarkStart w:id="23" w:name="_Toc28359017"/>
      <w:bookmarkStart w:id="24" w:name="_Toc35393803"/>
      <w:bookmarkStart w:id="25" w:name="_Toc35393634"/>
      <w:r>
        <w:rPr>
          <w:rFonts w:hint="eastAsia" w:ascii="宋体" w:hAnsi="宋体"/>
          <w:b/>
          <w:color w:val="auto"/>
          <w:highlight w:val="none"/>
        </w:rPr>
        <w:t>五、开启</w:t>
      </w:r>
      <w:bookmarkEnd w:id="18"/>
      <w:bookmarkEnd w:id="19"/>
      <w:bookmarkEnd w:id="20"/>
      <w:bookmarkEnd w:id="21"/>
    </w:p>
    <w:p w14:paraId="74111D4D">
      <w:pPr>
        <w:spacing w:line="380" w:lineRule="exact"/>
        <w:ind w:firstLine="420" w:firstLineChars="200"/>
        <w:rPr>
          <w:rFonts w:ascii="宋体" w:hAnsi="宋体"/>
          <w:bCs/>
          <w:color w:val="auto"/>
          <w:highlight w:val="none"/>
          <w:u w:val="single"/>
        </w:rPr>
      </w:pPr>
      <w:r>
        <w:rPr>
          <w:rFonts w:hint="eastAsia" w:ascii="宋体" w:hAnsi="宋体"/>
          <w:color w:val="auto"/>
          <w:highlight w:val="none"/>
        </w:rPr>
        <w:t>时间：</w:t>
      </w:r>
      <w:r>
        <w:rPr>
          <w:rFonts w:hint="eastAsia" w:ascii="宋体" w:hAnsi="宋体"/>
          <w:bCs/>
          <w:color w:val="auto"/>
          <w:highlight w:val="none"/>
          <w:lang w:eastAsia="zh-CN"/>
        </w:rPr>
        <w:t>2026年</w:t>
      </w:r>
      <w:r>
        <w:rPr>
          <w:rFonts w:hint="eastAsia" w:ascii="宋体" w:hAnsi="宋体"/>
          <w:bCs/>
          <w:color w:val="auto"/>
          <w:highlight w:val="none"/>
          <w:lang w:val="en-US" w:eastAsia="zh-CN"/>
        </w:rPr>
        <w:t>7</w:t>
      </w:r>
      <w:r>
        <w:rPr>
          <w:rFonts w:hint="eastAsia" w:ascii="宋体" w:hAnsi="宋体"/>
          <w:bCs/>
          <w:color w:val="auto"/>
          <w:highlight w:val="none"/>
          <w:lang w:eastAsia="zh-CN"/>
        </w:rPr>
        <w:t>月</w:t>
      </w:r>
      <w:r>
        <w:rPr>
          <w:rFonts w:hint="eastAsia" w:ascii="宋体" w:hAnsi="宋体"/>
          <w:bCs/>
          <w:color w:val="auto"/>
          <w:highlight w:val="none"/>
          <w:lang w:val="en-US" w:eastAsia="zh-CN"/>
        </w:rPr>
        <w:t>1</w:t>
      </w:r>
      <w:r>
        <w:rPr>
          <w:rFonts w:hint="eastAsia" w:ascii="宋体" w:hAnsi="宋体"/>
          <w:bCs/>
          <w:color w:val="auto"/>
          <w:highlight w:val="none"/>
          <w:lang w:eastAsia="zh-CN"/>
        </w:rPr>
        <w:t>日</w:t>
      </w:r>
      <w:r>
        <w:rPr>
          <w:rFonts w:hint="eastAsia" w:ascii="宋体" w:hAnsi="宋体"/>
          <w:bCs/>
          <w:color w:val="auto"/>
          <w:highlight w:val="none"/>
          <w:lang w:val="en-US" w:eastAsia="zh-CN"/>
        </w:rPr>
        <w:t>09</w:t>
      </w:r>
      <w:r>
        <w:rPr>
          <w:rFonts w:hint="eastAsia" w:ascii="宋体" w:hAnsi="宋体"/>
          <w:bCs/>
          <w:color w:val="auto"/>
          <w:highlight w:val="none"/>
          <w:lang w:eastAsia="zh-CN"/>
        </w:rPr>
        <w:t>：</w:t>
      </w:r>
      <w:r>
        <w:rPr>
          <w:rFonts w:hint="eastAsia" w:ascii="宋体" w:hAnsi="宋体"/>
          <w:bCs/>
          <w:color w:val="auto"/>
          <w:highlight w:val="none"/>
          <w:lang w:val="en-US" w:eastAsia="zh-CN"/>
        </w:rPr>
        <w:t>30</w:t>
      </w:r>
      <w:r>
        <w:rPr>
          <w:rFonts w:hint="eastAsia" w:ascii="宋体" w:hAnsi="宋体"/>
          <w:bCs/>
          <w:color w:val="auto"/>
          <w:highlight w:val="none"/>
        </w:rPr>
        <w:t>（北京时间）</w:t>
      </w:r>
    </w:p>
    <w:p w14:paraId="1044C804">
      <w:pPr>
        <w:spacing w:line="380" w:lineRule="exact"/>
        <w:ind w:firstLine="420" w:firstLineChars="200"/>
        <w:rPr>
          <w:rFonts w:hint="eastAsia" w:ascii="宋体" w:hAnsi="宋体"/>
          <w:b/>
          <w:color w:val="auto"/>
          <w:highlight w:val="none"/>
        </w:rPr>
      </w:pPr>
      <w:r>
        <w:rPr>
          <w:rFonts w:hint="eastAsia" w:ascii="宋体" w:hAnsi="宋体"/>
          <w:color w:val="auto"/>
          <w:highlight w:val="none"/>
        </w:rPr>
        <w:t>地点：</w:t>
      </w:r>
      <w:r>
        <w:rPr>
          <w:rFonts w:hint="eastAsia" w:ascii="宋体" w:hAnsi="宋体"/>
          <w:bCs/>
          <w:color w:val="auto"/>
          <w:highlight w:val="none"/>
        </w:rPr>
        <w:t>广西政府采购云平台电子开标大厅</w:t>
      </w:r>
    </w:p>
    <w:p w14:paraId="3DAAE792">
      <w:pPr>
        <w:spacing w:line="380" w:lineRule="exact"/>
        <w:rPr>
          <w:rFonts w:ascii="宋体" w:hAnsi="宋体"/>
          <w:b/>
          <w:color w:val="auto"/>
          <w:highlight w:val="none"/>
        </w:rPr>
      </w:pPr>
      <w:r>
        <w:rPr>
          <w:rFonts w:hint="eastAsia" w:ascii="宋体" w:hAnsi="宋体"/>
          <w:b/>
          <w:color w:val="auto"/>
          <w:highlight w:val="none"/>
        </w:rPr>
        <w:t>六、公告期限</w:t>
      </w:r>
      <w:bookmarkEnd w:id="22"/>
      <w:bookmarkEnd w:id="23"/>
      <w:bookmarkEnd w:id="24"/>
      <w:bookmarkEnd w:id="25"/>
    </w:p>
    <w:p w14:paraId="4C8938FD">
      <w:pPr>
        <w:spacing w:line="380" w:lineRule="exact"/>
        <w:ind w:firstLine="420" w:firstLineChars="200"/>
        <w:rPr>
          <w:rFonts w:ascii="宋体" w:hAnsi="宋体"/>
          <w:color w:val="auto"/>
          <w:kern w:val="0"/>
          <w:highlight w:val="none"/>
        </w:rPr>
      </w:pPr>
      <w:r>
        <w:rPr>
          <w:rFonts w:hint="eastAsia" w:ascii="宋体" w:hAnsi="宋体"/>
          <w:color w:val="auto"/>
          <w:kern w:val="0"/>
          <w:highlight w:val="none"/>
        </w:rPr>
        <w:t>自本公告发布之日起3个工作日。</w:t>
      </w:r>
    </w:p>
    <w:p w14:paraId="164C4C1F">
      <w:pPr>
        <w:spacing w:line="380" w:lineRule="exact"/>
        <w:rPr>
          <w:rFonts w:ascii="宋体" w:hAnsi="宋体"/>
          <w:b/>
          <w:color w:val="auto"/>
          <w:highlight w:val="none"/>
        </w:rPr>
      </w:pPr>
      <w:bookmarkStart w:id="26" w:name="_Toc35393635"/>
      <w:bookmarkStart w:id="27" w:name="_Toc35393804"/>
      <w:r>
        <w:rPr>
          <w:rFonts w:hint="eastAsia" w:ascii="宋体" w:hAnsi="宋体"/>
          <w:b/>
          <w:color w:val="auto"/>
          <w:highlight w:val="none"/>
        </w:rPr>
        <w:t>七、其他补充事宜</w:t>
      </w:r>
      <w:bookmarkEnd w:id="26"/>
      <w:bookmarkEnd w:id="27"/>
    </w:p>
    <w:p w14:paraId="3F137F17">
      <w:pPr>
        <w:spacing w:line="380" w:lineRule="exact"/>
        <w:ind w:firstLine="420" w:firstLineChars="200"/>
        <w:rPr>
          <w:rFonts w:hint="eastAsia" w:ascii="宋体" w:cs="Arial"/>
          <w:color w:val="auto"/>
          <w:szCs w:val="21"/>
          <w:highlight w:val="none"/>
        </w:rPr>
      </w:pPr>
      <w:r>
        <w:rPr>
          <w:rFonts w:hint="eastAsia" w:ascii="宋体" w:cs="Arial"/>
          <w:color w:val="auto"/>
          <w:szCs w:val="21"/>
          <w:highlight w:val="none"/>
        </w:rPr>
        <w:t>1.网上查询地址</w:t>
      </w:r>
    </w:p>
    <w:p w14:paraId="3E3F1E5E">
      <w:pPr>
        <w:spacing w:line="380" w:lineRule="exact"/>
        <w:ind w:firstLine="420" w:firstLineChars="200"/>
        <w:rPr>
          <w:rFonts w:hint="eastAsia" w:ascii="宋体" w:cs="Arial"/>
          <w:color w:val="auto"/>
          <w:szCs w:val="21"/>
          <w:highlight w:val="none"/>
          <w:lang w:eastAsia="zh-CN"/>
        </w:rPr>
      </w:pPr>
      <w:r>
        <w:rPr>
          <w:rFonts w:hint="eastAsia" w:ascii="宋体" w:cs="Arial"/>
          <w:color w:val="auto"/>
          <w:szCs w:val="21"/>
          <w:highlight w:val="none"/>
        </w:rPr>
        <w:fldChar w:fldCharType="begin"/>
      </w:r>
      <w:r>
        <w:rPr>
          <w:rFonts w:hint="eastAsia" w:ascii="宋体" w:cs="Arial"/>
          <w:color w:val="auto"/>
          <w:szCs w:val="21"/>
          <w:highlight w:val="none"/>
        </w:rPr>
        <w:instrText xml:space="preserve"> HYPERLINK "https://www.ccgp.gov.cn" </w:instrText>
      </w:r>
      <w:r>
        <w:rPr>
          <w:rFonts w:hint="eastAsia" w:ascii="宋体" w:cs="Arial"/>
          <w:color w:val="auto"/>
          <w:szCs w:val="21"/>
          <w:highlight w:val="none"/>
        </w:rPr>
        <w:fldChar w:fldCharType="separate"/>
      </w:r>
      <w:r>
        <w:rPr>
          <w:rFonts w:hint="eastAsia" w:ascii="宋体" w:cs="Arial"/>
          <w:color w:val="auto"/>
          <w:szCs w:val="21"/>
          <w:highlight w:val="none"/>
        </w:rPr>
        <w:t>www.ccgp.gov.cn</w:t>
      </w:r>
      <w:r>
        <w:rPr>
          <w:rFonts w:hint="eastAsia" w:ascii="宋体" w:cs="Arial"/>
          <w:color w:val="auto"/>
          <w:szCs w:val="21"/>
          <w:highlight w:val="none"/>
        </w:rPr>
        <w:fldChar w:fldCharType="end"/>
      </w:r>
      <w:r>
        <w:rPr>
          <w:rFonts w:hint="eastAsia" w:ascii="宋体" w:cs="Arial"/>
          <w:color w:val="auto"/>
          <w:szCs w:val="21"/>
          <w:highlight w:val="none"/>
        </w:rPr>
        <w:t>（中国政府采购网）、</w:t>
      </w:r>
      <w:r>
        <w:rPr>
          <w:rFonts w:hint="eastAsia" w:ascii="宋体" w:cs="Arial"/>
          <w:color w:val="auto"/>
          <w:szCs w:val="21"/>
          <w:highlight w:val="none"/>
        </w:rPr>
        <w:fldChar w:fldCharType="begin"/>
      </w:r>
      <w:r>
        <w:rPr>
          <w:rFonts w:hint="eastAsia" w:ascii="宋体" w:cs="Arial"/>
          <w:color w:val="auto"/>
          <w:szCs w:val="21"/>
          <w:highlight w:val="none"/>
        </w:rPr>
        <w:instrText xml:space="preserve"> HYPERLINK "zfcg.gxzf.gov.cn" </w:instrText>
      </w:r>
      <w:r>
        <w:rPr>
          <w:rFonts w:hint="eastAsia" w:ascii="宋体" w:cs="Arial"/>
          <w:color w:val="auto"/>
          <w:szCs w:val="21"/>
          <w:highlight w:val="none"/>
        </w:rPr>
        <w:fldChar w:fldCharType="separate"/>
      </w:r>
      <w:r>
        <w:rPr>
          <w:rFonts w:hint="eastAsia" w:ascii="宋体" w:cs="Arial"/>
          <w:color w:val="auto"/>
          <w:szCs w:val="21"/>
          <w:highlight w:val="none"/>
        </w:rPr>
        <w:t>zfcg.gxzf.gov.cn</w:t>
      </w:r>
      <w:r>
        <w:rPr>
          <w:rFonts w:hint="eastAsia" w:ascii="宋体" w:cs="Arial"/>
          <w:color w:val="auto"/>
          <w:szCs w:val="21"/>
          <w:highlight w:val="none"/>
        </w:rPr>
        <w:fldChar w:fldCharType="end"/>
      </w:r>
      <w:r>
        <w:rPr>
          <w:rFonts w:hint="eastAsia" w:ascii="宋体" w:cs="Arial"/>
          <w:color w:val="auto"/>
          <w:szCs w:val="21"/>
          <w:highlight w:val="none"/>
        </w:rPr>
        <w:t>（广西壮族自治区政府采购网）</w:t>
      </w:r>
      <w:r>
        <w:rPr>
          <w:rFonts w:hint="eastAsia" w:ascii="宋体" w:cs="Arial"/>
          <w:color w:val="auto"/>
          <w:szCs w:val="21"/>
          <w:highlight w:val="none"/>
          <w:lang w:eastAsia="zh-CN"/>
        </w:rPr>
        <w:t>、</w:t>
      </w:r>
      <w:r>
        <w:rPr>
          <w:rFonts w:hint="eastAsia" w:ascii="宋体" w:cs="Arial"/>
          <w:color w:val="auto"/>
          <w:szCs w:val="21"/>
          <w:highlight w:val="none"/>
          <w:lang w:val="en-US" w:eastAsia="zh-CN"/>
        </w:rPr>
        <w:t>广西生态工程职业技术学院官方网站（https：//www.gxstzy.cn/）</w:t>
      </w:r>
    </w:p>
    <w:p w14:paraId="2D8AF9D3">
      <w:pPr>
        <w:spacing w:line="380" w:lineRule="exact"/>
        <w:ind w:firstLine="420" w:firstLineChars="200"/>
        <w:rPr>
          <w:rFonts w:hint="eastAsia" w:ascii="宋体" w:cs="Arial"/>
          <w:color w:val="auto"/>
          <w:szCs w:val="21"/>
          <w:highlight w:val="none"/>
        </w:rPr>
      </w:pPr>
      <w:r>
        <w:rPr>
          <w:rFonts w:hint="eastAsia" w:ascii="宋体" w:cs="Arial"/>
          <w:color w:val="auto"/>
          <w:szCs w:val="21"/>
          <w:highlight w:val="none"/>
        </w:rPr>
        <w:t>2.本项目需要落实的政府采购政策</w:t>
      </w:r>
    </w:p>
    <w:p w14:paraId="7DBCA571">
      <w:pPr>
        <w:spacing w:line="380" w:lineRule="exact"/>
        <w:ind w:firstLine="420" w:firstLineChars="200"/>
        <w:rPr>
          <w:rFonts w:hint="eastAsia" w:ascii="宋体" w:cs="Arial"/>
          <w:color w:val="auto"/>
          <w:szCs w:val="21"/>
          <w:highlight w:val="none"/>
        </w:rPr>
      </w:pPr>
      <w:r>
        <w:rPr>
          <w:rFonts w:hint="eastAsia" w:ascii="宋体" w:cs="Arial"/>
          <w:color w:val="auto"/>
          <w:szCs w:val="21"/>
          <w:highlight w:val="none"/>
        </w:rPr>
        <w:t>（1）政府采购促进中小企业发展。</w:t>
      </w:r>
    </w:p>
    <w:p w14:paraId="4EE30544">
      <w:pPr>
        <w:spacing w:line="380" w:lineRule="exact"/>
        <w:ind w:firstLine="420" w:firstLineChars="200"/>
        <w:rPr>
          <w:rFonts w:hint="eastAsia" w:ascii="宋体" w:cs="Arial"/>
          <w:color w:val="auto"/>
          <w:szCs w:val="21"/>
          <w:highlight w:val="none"/>
        </w:rPr>
      </w:pPr>
      <w:r>
        <w:rPr>
          <w:rFonts w:hint="eastAsia" w:ascii="宋体" w:cs="Arial"/>
          <w:color w:val="auto"/>
          <w:szCs w:val="21"/>
          <w:highlight w:val="none"/>
        </w:rPr>
        <w:t>（2）政府采购支持采用本国产品的政策。</w:t>
      </w:r>
    </w:p>
    <w:p w14:paraId="5A80D17F">
      <w:pPr>
        <w:spacing w:line="380" w:lineRule="exact"/>
        <w:ind w:firstLine="420" w:firstLineChars="200"/>
        <w:rPr>
          <w:rFonts w:hint="eastAsia" w:ascii="宋体" w:cs="Arial"/>
          <w:color w:val="auto"/>
          <w:szCs w:val="21"/>
          <w:highlight w:val="none"/>
        </w:rPr>
      </w:pPr>
      <w:r>
        <w:rPr>
          <w:rFonts w:hint="eastAsia" w:ascii="宋体" w:cs="Arial"/>
          <w:color w:val="auto"/>
          <w:szCs w:val="21"/>
          <w:highlight w:val="none"/>
        </w:rPr>
        <w:t>（3）强制采购节能产品；优先采购节能产品、环境标志产品。</w:t>
      </w:r>
    </w:p>
    <w:p w14:paraId="48B0E5AD">
      <w:pPr>
        <w:spacing w:line="380" w:lineRule="exact"/>
        <w:ind w:firstLine="420" w:firstLineChars="200"/>
        <w:rPr>
          <w:rFonts w:hint="eastAsia" w:ascii="宋体" w:cs="Arial"/>
          <w:color w:val="auto"/>
          <w:szCs w:val="21"/>
          <w:highlight w:val="none"/>
        </w:rPr>
      </w:pPr>
      <w:r>
        <w:rPr>
          <w:rFonts w:hint="eastAsia" w:ascii="宋体" w:cs="Arial"/>
          <w:color w:val="auto"/>
          <w:szCs w:val="21"/>
          <w:highlight w:val="none"/>
        </w:rPr>
        <w:t>（4）政府采购促进残疾人就业政策。</w:t>
      </w:r>
    </w:p>
    <w:p w14:paraId="2C4C7102">
      <w:pPr>
        <w:spacing w:line="380" w:lineRule="exact"/>
        <w:ind w:firstLine="420" w:firstLineChars="200"/>
        <w:rPr>
          <w:rFonts w:hint="eastAsia" w:ascii="宋体" w:cs="Arial"/>
          <w:color w:val="auto"/>
          <w:szCs w:val="21"/>
          <w:highlight w:val="none"/>
        </w:rPr>
      </w:pPr>
      <w:r>
        <w:rPr>
          <w:rFonts w:hint="eastAsia" w:ascii="宋体" w:cs="Arial"/>
          <w:color w:val="auto"/>
          <w:szCs w:val="21"/>
          <w:highlight w:val="none"/>
        </w:rPr>
        <w:t>（5）政府采购支持监狱企业发展。</w:t>
      </w:r>
    </w:p>
    <w:p w14:paraId="0AB3C272">
      <w:pPr>
        <w:spacing w:line="380" w:lineRule="exact"/>
        <w:ind w:firstLine="420" w:firstLineChars="200"/>
        <w:rPr>
          <w:rFonts w:hint="eastAsia" w:ascii="宋体" w:cs="Arial"/>
          <w:color w:val="auto"/>
          <w:szCs w:val="21"/>
          <w:highlight w:val="none"/>
        </w:rPr>
      </w:pPr>
      <w:r>
        <w:rPr>
          <w:rFonts w:hint="eastAsia" w:ascii="宋体" w:cs="Arial"/>
          <w:color w:val="auto"/>
          <w:szCs w:val="21"/>
          <w:highlight w:val="none"/>
        </w:rPr>
        <w:t>3.供应商竞标注意事项</w:t>
      </w:r>
    </w:p>
    <w:p w14:paraId="09274CC4">
      <w:pPr>
        <w:spacing w:line="380" w:lineRule="exact"/>
        <w:ind w:firstLine="420" w:firstLineChars="200"/>
        <w:rPr>
          <w:rFonts w:hint="eastAsia" w:ascii="宋体" w:cs="Arial"/>
          <w:color w:val="auto"/>
          <w:szCs w:val="21"/>
          <w:highlight w:val="none"/>
        </w:rPr>
      </w:pPr>
      <w:r>
        <w:rPr>
          <w:rFonts w:hint="eastAsia" w:ascii="宋体" w:cs="Arial"/>
          <w:color w:val="auto"/>
          <w:szCs w:val="21"/>
          <w:highlight w:val="none"/>
        </w:rPr>
        <w:t>（1）本项目为全流程电子化采购项目，通过广西政府采购云平台（</w:t>
      </w:r>
      <w:r>
        <w:rPr>
          <w:rFonts w:hint="eastAsia" w:ascii="宋体" w:cs="Arial"/>
          <w:color w:val="auto"/>
          <w:szCs w:val="21"/>
          <w:highlight w:val="none"/>
        </w:rPr>
        <w:fldChar w:fldCharType="begin"/>
      </w:r>
      <w:r>
        <w:rPr>
          <w:rFonts w:hint="eastAsia" w:ascii="宋体" w:cs="Arial"/>
          <w:color w:val="auto"/>
          <w:szCs w:val="21"/>
          <w:highlight w:val="none"/>
        </w:rPr>
        <w:instrText xml:space="preserve"> HYPERLINK "https://www.gcy.zfcg.gxzf.gov.cn/" </w:instrText>
      </w:r>
      <w:r>
        <w:rPr>
          <w:rFonts w:hint="eastAsia" w:ascii="宋体" w:cs="Arial"/>
          <w:color w:val="auto"/>
          <w:szCs w:val="21"/>
          <w:highlight w:val="none"/>
        </w:rPr>
        <w:fldChar w:fldCharType="separate"/>
      </w:r>
      <w:r>
        <w:rPr>
          <w:rFonts w:hint="eastAsia" w:ascii="宋体" w:cs="Arial"/>
          <w:color w:val="auto"/>
          <w:szCs w:val="21"/>
          <w:highlight w:val="none"/>
        </w:rPr>
        <w:t>https</w:t>
      </w:r>
      <w:r>
        <w:rPr>
          <w:rFonts w:hint="eastAsia" w:ascii="宋体" w:cs="Arial"/>
          <w:color w:val="auto"/>
          <w:szCs w:val="21"/>
          <w:highlight w:val="none"/>
          <w:lang w:eastAsia="zh-CN"/>
        </w:rPr>
        <w:t>：</w:t>
      </w:r>
      <w:r>
        <w:rPr>
          <w:rFonts w:hint="eastAsia" w:ascii="宋体" w:cs="Arial"/>
          <w:color w:val="auto"/>
          <w:szCs w:val="21"/>
          <w:highlight w:val="none"/>
        </w:rPr>
        <w:t>//www.gcy.zfcg.gxzf.gov.cn/</w:t>
      </w:r>
      <w:r>
        <w:rPr>
          <w:rFonts w:hint="eastAsia" w:ascii="宋体" w:cs="Arial"/>
          <w:color w:val="auto"/>
          <w:szCs w:val="21"/>
          <w:highlight w:val="none"/>
        </w:rPr>
        <w:fldChar w:fldCharType="end"/>
      </w:r>
      <w:r>
        <w:rPr>
          <w:rFonts w:hint="eastAsia" w:ascii="宋体" w:cs="Arial"/>
          <w:color w:val="auto"/>
          <w:szCs w:val="21"/>
          <w:highlight w:val="none"/>
        </w:rPr>
        <w:t>）实行在线电子竞标，供应商应按照本项目竞争性谈判文件和广西政府采购云平台的要求编制、加密后在提交响应文件截止时间前通过网络上传至 广西政府采购云平台（加密的电子响应文件是指后缀名为</w:t>
      </w:r>
      <w:r>
        <w:rPr>
          <w:rFonts w:hint="eastAsia" w:ascii="宋体" w:cs="Arial"/>
          <w:color w:val="auto"/>
          <w:szCs w:val="21"/>
          <w:highlight w:val="none"/>
          <w:lang w:eastAsia="zh-CN"/>
        </w:rPr>
        <w:t>“</w:t>
      </w:r>
      <w:r>
        <w:rPr>
          <w:rFonts w:hint="eastAsia" w:ascii="宋体" w:cs="Arial"/>
          <w:color w:val="auto"/>
          <w:szCs w:val="21"/>
          <w:highlight w:val="none"/>
        </w:rPr>
        <w:t>jmbs</w:t>
      </w:r>
      <w:r>
        <w:rPr>
          <w:rFonts w:hint="eastAsia" w:ascii="宋体" w:cs="Arial"/>
          <w:color w:val="auto"/>
          <w:szCs w:val="21"/>
          <w:highlight w:val="none"/>
          <w:lang w:eastAsia="zh-CN"/>
        </w:rPr>
        <w:t>”</w:t>
      </w:r>
      <w:r>
        <w:rPr>
          <w:rFonts w:hint="eastAsia" w:ascii="宋体" w:cs="Arial"/>
          <w:color w:val="auto"/>
          <w:szCs w:val="21"/>
          <w:highlight w:val="none"/>
        </w:rPr>
        <w:t>的文件），供应商在广西政府采购云平台提交电子响应文件时，请填写参加远程采购活动经办人联系方式。供应商登录广西政府采购云平台，依次进入</w:t>
      </w:r>
      <w:r>
        <w:rPr>
          <w:rFonts w:hint="eastAsia" w:ascii="宋体" w:cs="Arial"/>
          <w:color w:val="auto"/>
          <w:szCs w:val="21"/>
          <w:highlight w:val="none"/>
          <w:lang w:eastAsia="zh-CN"/>
        </w:rPr>
        <w:t>“</w:t>
      </w:r>
      <w:r>
        <w:rPr>
          <w:rFonts w:hint="eastAsia" w:ascii="宋体" w:cs="Arial"/>
          <w:color w:val="auto"/>
          <w:szCs w:val="21"/>
          <w:highlight w:val="none"/>
        </w:rPr>
        <w:t>服务中心-项目采购-操作流程-电子招投标-政府采购项目电子交易管理操作指南-供应商</w:t>
      </w:r>
      <w:r>
        <w:rPr>
          <w:rFonts w:hint="eastAsia" w:ascii="宋体" w:cs="Arial"/>
          <w:color w:val="auto"/>
          <w:szCs w:val="21"/>
          <w:highlight w:val="none"/>
          <w:lang w:eastAsia="zh-CN"/>
        </w:rPr>
        <w:t>”</w:t>
      </w:r>
      <w:r>
        <w:rPr>
          <w:rFonts w:hint="eastAsia" w:ascii="宋体" w:cs="Arial"/>
          <w:color w:val="auto"/>
          <w:szCs w:val="21"/>
          <w:highlight w:val="none"/>
        </w:rPr>
        <w:t>查看电子竞标具体操作流程。</w:t>
      </w:r>
    </w:p>
    <w:p w14:paraId="39B0E77B">
      <w:pPr>
        <w:spacing w:line="380" w:lineRule="exact"/>
        <w:ind w:firstLine="420" w:firstLineChars="200"/>
        <w:rPr>
          <w:rFonts w:hint="eastAsia" w:ascii="宋体" w:cs="Arial"/>
          <w:color w:val="auto"/>
          <w:szCs w:val="21"/>
          <w:highlight w:val="none"/>
        </w:rPr>
      </w:pPr>
      <w:r>
        <w:rPr>
          <w:rFonts w:hint="eastAsia" w:ascii="宋体" w:cs="Arial"/>
          <w:color w:val="auto"/>
          <w:szCs w:val="21"/>
          <w:highlight w:val="none"/>
        </w:rPr>
        <w:t>（2）未进行网上注册并办理数字证书（CA认证）的供应商将无法参与本项目政府采购活动，供应商应当在提交响应文件截止时间前，完成电子交易平台上的CA数字证书办理及响应文件的提交（供应商可登录</w:t>
      </w:r>
      <w:r>
        <w:rPr>
          <w:rFonts w:hint="eastAsia" w:ascii="宋体" w:cs="Arial"/>
          <w:color w:val="auto"/>
          <w:szCs w:val="21"/>
          <w:highlight w:val="none"/>
          <w:lang w:eastAsia="zh-CN"/>
        </w:rPr>
        <w:t>“</w:t>
      </w:r>
      <w:r>
        <w:rPr>
          <w:rFonts w:hint="eastAsia" w:ascii="宋体" w:cs="Arial"/>
          <w:color w:val="auto"/>
          <w:szCs w:val="21"/>
          <w:highlight w:val="none"/>
        </w:rPr>
        <w:t>广西政府采购网</w:t>
      </w:r>
      <w:r>
        <w:rPr>
          <w:rFonts w:hint="eastAsia" w:ascii="宋体" w:cs="Arial"/>
          <w:color w:val="auto"/>
          <w:szCs w:val="21"/>
          <w:highlight w:val="none"/>
          <w:lang w:eastAsia="zh-CN"/>
        </w:rPr>
        <w:t>”</w:t>
      </w:r>
      <w:r>
        <w:rPr>
          <w:rFonts w:hint="eastAsia" w:ascii="宋体" w:cs="Arial"/>
          <w:color w:val="auto"/>
          <w:szCs w:val="21"/>
          <w:highlight w:val="none"/>
        </w:rPr>
        <w:t>，依次进入</w:t>
      </w:r>
      <w:r>
        <w:rPr>
          <w:rFonts w:hint="eastAsia" w:ascii="宋体" w:cs="Arial"/>
          <w:color w:val="auto"/>
          <w:szCs w:val="21"/>
          <w:highlight w:val="none"/>
          <w:lang w:eastAsia="zh-CN"/>
        </w:rPr>
        <w:t>“</w:t>
      </w:r>
      <w:r>
        <w:rPr>
          <w:rFonts w:hint="eastAsia" w:ascii="宋体" w:cs="Arial"/>
          <w:color w:val="auto"/>
          <w:szCs w:val="21"/>
          <w:highlight w:val="none"/>
        </w:rPr>
        <w:t>办事服务-下载专区</w:t>
      </w:r>
      <w:r>
        <w:rPr>
          <w:rFonts w:hint="eastAsia" w:ascii="宋体" w:cs="Arial"/>
          <w:color w:val="auto"/>
          <w:szCs w:val="21"/>
          <w:highlight w:val="none"/>
          <w:lang w:eastAsia="zh-CN"/>
        </w:rPr>
        <w:t>”</w:t>
      </w:r>
      <w:r>
        <w:rPr>
          <w:rFonts w:hint="eastAsia" w:ascii="宋体" w:cs="Arial"/>
          <w:color w:val="auto"/>
          <w:szCs w:val="21"/>
          <w:highlight w:val="none"/>
        </w:rPr>
        <w:t>或者登录广西政府采购云平台，依次进入</w:t>
      </w:r>
      <w:r>
        <w:rPr>
          <w:rFonts w:hint="eastAsia" w:ascii="宋体" w:cs="Arial"/>
          <w:color w:val="auto"/>
          <w:szCs w:val="21"/>
          <w:highlight w:val="none"/>
          <w:lang w:eastAsia="zh-CN"/>
        </w:rPr>
        <w:t>“</w:t>
      </w:r>
      <w:r>
        <w:rPr>
          <w:rFonts w:hint="eastAsia" w:ascii="宋体" w:cs="Arial"/>
          <w:color w:val="auto"/>
          <w:szCs w:val="21"/>
          <w:highlight w:val="none"/>
        </w:rPr>
        <w:t>服务中心-入驻与配置</w:t>
      </w:r>
      <w:r>
        <w:rPr>
          <w:rFonts w:hint="eastAsia" w:ascii="宋体" w:cs="Arial"/>
          <w:color w:val="auto"/>
          <w:szCs w:val="21"/>
          <w:highlight w:val="none"/>
          <w:lang w:eastAsia="zh-CN"/>
        </w:rPr>
        <w:t>”</w:t>
      </w:r>
      <w:r>
        <w:rPr>
          <w:rFonts w:hint="eastAsia" w:ascii="宋体" w:cs="Arial"/>
          <w:color w:val="auto"/>
          <w:szCs w:val="21"/>
          <w:highlight w:val="none"/>
        </w:rPr>
        <w:t>中查看CA数字证书办理操作流程。如在操作过程中遇到问题或者需要技术支持，请致电客服热线：95763或者0771-3381253）。</w:t>
      </w:r>
    </w:p>
    <w:p w14:paraId="3A54FDA0">
      <w:pPr>
        <w:spacing w:line="380" w:lineRule="exact"/>
        <w:ind w:firstLine="420" w:firstLineChars="200"/>
        <w:rPr>
          <w:rFonts w:hint="eastAsia" w:ascii="宋体" w:cs="Arial"/>
          <w:color w:val="auto"/>
          <w:szCs w:val="21"/>
          <w:highlight w:val="none"/>
        </w:rPr>
      </w:pPr>
      <w:r>
        <w:rPr>
          <w:rFonts w:hint="eastAsia" w:ascii="宋体" w:cs="Arial"/>
          <w:color w:val="auto"/>
          <w:szCs w:val="21"/>
          <w:highlight w:val="none"/>
        </w:rPr>
        <w:t>（3）CA证书在线解密：首次响应文件开启时，需携带制作响应文件时用来加密的有效数字证书（CA认证）登录广西政府采购云平台电子开标大厅现场按规定时间对加密的响应文件进行解密，否则后果自负。</w:t>
      </w:r>
    </w:p>
    <w:p w14:paraId="384C3CD8">
      <w:pPr>
        <w:spacing w:line="380" w:lineRule="exact"/>
        <w:ind w:firstLine="420" w:firstLineChars="200"/>
        <w:rPr>
          <w:rFonts w:hint="eastAsia" w:ascii="宋体" w:cs="Arial"/>
          <w:color w:val="auto"/>
          <w:szCs w:val="21"/>
          <w:highlight w:val="none"/>
        </w:rPr>
      </w:pPr>
      <w:r>
        <w:rPr>
          <w:rFonts w:hint="eastAsia" w:ascii="宋体" w:cs="Arial"/>
          <w:color w:val="auto"/>
          <w:szCs w:val="21"/>
          <w:highlight w:val="none"/>
        </w:rPr>
        <w:t>注：1）为确保网上操作合法、有效和安全，请供应商确保在电子竞标过程中能够对相关数据电文进行加密和使用电子签章，妥善保管CA数字证书并使用有效的CA数字证书参与整个采购活动。2）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p>
    <w:p w14:paraId="57A6B9D1">
      <w:pPr>
        <w:spacing w:line="380" w:lineRule="exact"/>
        <w:ind w:firstLine="420" w:firstLineChars="200"/>
        <w:rPr>
          <w:rFonts w:ascii="宋体" w:hAnsi="宋体"/>
          <w:color w:val="auto"/>
          <w:highlight w:val="none"/>
        </w:rPr>
      </w:pPr>
      <w:r>
        <w:rPr>
          <w:rFonts w:hint="eastAsia" w:ascii="宋体" w:cs="Arial"/>
          <w:color w:val="auto"/>
          <w:szCs w:val="21"/>
          <w:highlight w:val="none"/>
        </w:rPr>
        <w:t>（4）供应商需要在具备有摄像头及语音功能且互联网网络状况良好的电脑登录广西政府采购云平台远程开标大厅参与本次谈判，否则后果自负。</w:t>
      </w:r>
    </w:p>
    <w:p w14:paraId="7C4A00CB">
      <w:pPr>
        <w:spacing w:line="380" w:lineRule="exact"/>
        <w:rPr>
          <w:rFonts w:ascii="宋体" w:hAnsi="宋体"/>
          <w:b/>
          <w:color w:val="auto"/>
          <w:highlight w:val="none"/>
        </w:rPr>
      </w:pPr>
      <w:bookmarkStart w:id="28" w:name="_Toc35393636"/>
      <w:bookmarkStart w:id="29" w:name="_Toc28359095"/>
      <w:bookmarkStart w:id="30" w:name="_Toc28359018"/>
      <w:bookmarkStart w:id="31" w:name="_Toc35393805"/>
      <w:r>
        <w:rPr>
          <w:rFonts w:hint="eastAsia" w:ascii="宋体" w:hAnsi="宋体"/>
          <w:b/>
          <w:color w:val="auto"/>
          <w:highlight w:val="none"/>
        </w:rPr>
        <w:t>八、凡对本次采购提出询问，请按</w:t>
      </w:r>
      <w:r>
        <w:rPr>
          <w:rFonts w:ascii="宋体" w:hAnsi="宋体"/>
          <w:b/>
          <w:color w:val="auto"/>
          <w:highlight w:val="none"/>
        </w:rPr>
        <w:t>以下方式</w:t>
      </w:r>
      <w:r>
        <w:rPr>
          <w:rFonts w:hint="eastAsia" w:ascii="宋体" w:hAnsi="宋体"/>
          <w:b/>
          <w:color w:val="auto"/>
          <w:highlight w:val="none"/>
        </w:rPr>
        <w:t>联系。</w:t>
      </w:r>
      <w:bookmarkEnd w:id="28"/>
      <w:bookmarkEnd w:id="29"/>
      <w:bookmarkEnd w:id="30"/>
      <w:bookmarkEnd w:id="31"/>
    </w:p>
    <w:p w14:paraId="60A08314">
      <w:pPr>
        <w:spacing w:line="380" w:lineRule="exact"/>
        <w:ind w:firstLine="420" w:firstLineChars="200"/>
        <w:rPr>
          <w:rFonts w:ascii="宋体" w:hAnsi="宋体"/>
          <w:color w:val="auto"/>
          <w:highlight w:val="none"/>
        </w:rPr>
      </w:pPr>
      <w:r>
        <w:rPr>
          <w:rFonts w:hint="eastAsia" w:ascii="宋体" w:hAnsi="宋体"/>
          <w:color w:val="auto"/>
          <w:highlight w:val="none"/>
        </w:rPr>
        <w:t>1.采购人信息</w:t>
      </w:r>
    </w:p>
    <w:p w14:paraId="76A9A976">
      <w:pPr>
        <w:spacing w:line="380" w:lineRule="exact"/>
        <w:ind w:firstLine="420" w:firstLineChars="200"/>
        <w:rPr>
          <w:rFonts w:hint="eastAsia" w:ascii="宋体" w:hAnsi="宋体" w:eastAsia="宋体"/>
          <w:color w:val="auto"/>
          <w:highlight w:val="none"/>
          <w:lang w:eastAsia="zh-CN"/>
        </w:rPr>
      </w:pPr>
      <w:r>
        <w:rPr>
          <w:rFonts w:hint="eastAsia" w:ascii="宋体" w:hAnsi="宋体"/>
          <w:color w:val="auto"/>
          <w:highlight w:val="none"/>
        </w:rPr>
        <w:t>名    称：</w:t>
      </w:r>
      <w:r>
        <w:rPr>
          <w:rFonts w:hint="eastAsia" w:ascii="宋体" w:hAnsi="宋体"/>
          <w:color w:val="auto"/>
          <w:highlight w:val="none"/>
          <w:lang w:eastAsia="zh-CN"/>
        </w:rPr>
        <w:t>广西生态工程职业技术学院</w:t>
      </w:r>
    </w:p>
    <w:p w14:paraId="39B2224E">
      <w:pPr>
        <w:spacing w:line="380" w:lineRule="exact"/>
        <w:ind w:firstLine="420" w:firstLineChars="200"/>
        <w:rPr>
          <w:rFonts w:hint="eastAsia" w:ascii="宋体" w:hAnsi="宋体" w:eastAsia="宋体"/>
          <w:color w:val="auto"/>
          <w:highlight w:val="none"/>
          <w:lang w:eastAsia="zh-CN"/>
        </w:rPr>
      </w:pPr>
      <w:r>
        <w:rPr>
          <w:rFonts w:hint="eastAsia" w:ascii="宋体" w:hAnsi="宋体"/>
          <w:color w:val="auto"/>
          <w:highlight w:val="none"/>
        </w:rPr>
        <w:t>地    址：</w:t>
      </w:r>
      <w:r>
        <w:rPr>
          <w:rFonts w:hint="eastAsia" w:ascii="宋体" w:hAnsi="宋体"/>
          <w:color w:val="auto"/>
          <w:highlight w:val="none"/>
          <w:lang w:eastAsia="zh-CN"/>
        </w:rPr>
        <w:t>柳州市柳北区君武路168号</w:t>
      </w:r>
    </w:p>
    <w:p w14:paraId="5BDF116E">
      <w:pPr>
        <w:spacing w:line="380" w:lineRule="exact"/>
        <w:ind w:firstLine="420" w:firstLineChars="200"/>
        <w:rPr>
          <w:rFonts w:hint="default" w:ascii="宋体" w:hAnsi="宋体"/>
          <w:color w:val="auto"/>
          <w:highlight w:val="none"/>
          <w:lang w:val="en-US"/>
        </w:rPr>
      </w:pPr>
      <w:r>
        <w:rPr>
          <w:rFonts w:hint="eastAsia" w:ascii="宋体" w:hAnsi="宋体"/>
          <w:color w:val="auto"/>
          <w:highlight w:val="none"/>
        </w:rPr>
        <w:t>项目联系人：</w:t>
      </w:r>
      <w:r>
        <w:rPr>
          <w:rFonts w:hint="eastAsia" w:ascii="宋体" w:hAnsi="宋体"/>
          <w:color w:val="auto"/>
          <w:highlight w:val="none"/>
          <w:lang w:val="en-US" w:eastAsia="zh-CN"/>
        </w:rPr>
        <w:t>粟祖宇</w:t>
      </w:r>
    </w:p>
    <w:p w14:paraId="3755F6E4">
      <w:pPr>
        <w:spacing w:line="380" w:lineRule="exact"/>
        <w:ind w:firstLine="420" w:firstLineChars="200"/>
        <w:rPr>
          <w:rFonts w:hint="eastAsia" w:ascii="宋体" w:hAnsi="宋体" w:eastAsia="宋体"/>
          <w:color w:val="auto"/>
          <w:highlight w:val="none"/>
          <w:lang w:eastAsia="zh-CN"/>
        </w:rPr>
      </w:pPr>
      <w:r>
        <w:rPr>
          <w:rFonts w:hint="eastAsia" w:ascii="宋体" w:hAnsi="宋体"/>
          <w:color w:val="auto"/>
          <w:highlight w:val="none"/>
        </w:rPr>
        <w:t>项目联系方式：</w:t>
      </w:r>
      <w:bookmarkStart w:id="32" w:name="_Toc28359009"/>
      <w:bookmarkStart w:id="33" w:name="_Toc28359086"/>
      <w:r>
        <w:rPr>
          <w:rFonts w:hint="eastAsia" w:ascii="宋体" w:hAnsi="宋体"/>
          <w:color w:val="auto"/>
          <w:highlight w:val="none"/>
        </w:rPr>
        <w:t>0772-2726285</w:t>
      </w:r>
    </w:p>
    <w:p w14:paraId="2C10D11E">
      <w:pPr>
        <w:spacing w:line="380" w:lineRule="exact"/>
        <w:ind w:firstLine="420" w:firstLineChars="200"/>
        <w:rPr>
          <w:rFonts w:hint="eastAsia" w:ascii="宋体" w:hAnsi="宋体"/>
          <w:color w:val="auto"/>
          <w:highlight w:val="none"/>
          <w:lang w:eastAsia="zh-CN"/>
        </w:rPr>
      </w:pPr>
      <w:r>
        <w:rPr>
          <w:rFonts w:hint="eastAsia" w:ascii="宋体" w:hAnsi="宋体"/>
          <w:color w:val="auto"/>
          <w:highlight w:val="none"/>
          <w:lang w:eastAsia="zh-CN"/>
        </w:rPr>
        <w:t>2.采购代理机构信息</w:t>
      </w:r>
      <w:bookmarkEnd w:id="32"/>
      <w:bookmarkEnd w:id="33"/>
    </w:p>
    <w:p w14:paraId="5326B5D6">
      <w:pPr>
        <w:spacing w:line="380" w:lineRule="exact"/>
        <w:ind w:firstLine="420" w:firstLineChars="200"/>
        <w:rPr>
          <w:rFonts w:hint="eastAsia" w:ascii="宋体" w:hAnsi="宋体"/>
          <w:color w:val="auto"/>
          <w:highlight w:val="none"/>
          <w:lang w:eastAsia="zh-CN"/>
        </w:rPr>
      </w:pPr>
      <w:r>
        <w:rPr>
          <w:rFonts w:hint="eastAsia" w:ascii="宋体" w:hAnsi="宋体"/>
          <w:color w:val="auto"/>
          <w:highlight w:val="none"/>
          <w:lang w:eastAsia="zh-CN"/>
        </w:rPr>
        <w:t>名    称：广西众联建设工程监理有限公司</w:t>
      </w:r>
    </w:p>
    <w:p w14:paraId="6F1365EA">
      <w:pPr>
        <w:spacing w:line="380" w:lineRule="exact"/>
        <w:ind w:firstLine="420" w:firstLineChars="200"/>
        <w:rPr>
          <w:rFonts w:hint="eastAsia" w:ascii="宋体" w:hAnsi="宋体"/>
          <w:color w:val="auto"/>
          <w:highlight w:val="none"/>
          <w:lang w:eastAsia="zh-CN"/>
        </w:rPr>
      </w:pPr>
      <w:r>
        <w:rPr>
          <w:rFonts w:hint="eastAsia" w:ascii="宋体" w:hAnsi="宋体"/>
          <w:color w:val="auto"/>
          <w:highlight w:val="none"/>
          <w:lang w:eastAsia="zh-CN"/>
        </w:rPr>
        <w:t>地    址：南宁市白沙大道53号松宇时代14层</w:t>
      </w:r>
    </w:p>
    <w:p w14:paraId="3C3F1448">
      <w:pPr>
        <w:spacing w:line="380" w:lineRule="exact"/>
        <w:ind w:firstLine="420" w:firstLineChars="200"/>
        <w:rPr>
          <w:rFonts w:hint="eastAsia" w:ascii="宋体" w:hAnsi="宋体"/>
          <w:color w:val="auto"/>
          <w:highlight w:val="none"/>
          <w:lang w:eastAsia="zh-CN"/>
        </w:rPr>
      </w:pPr>
      <w:r>
        <w:rPr>
          <w:rFonts w:hint="eastAsia" w:ascii="宋体" w:hAnsi="宋体"/>
          <w:color w:val="auto"/>
          <w:highlight w:val="none"/>
          <w:lang w:eastAsia="zh-CN"/>
        </w:rPr>
        <w:t>项目联系人：易洪磊、戚一燕</w:t>
      </w:r>
    </w:p>
    <w:p w14:paraId="139D83C7">
      <w:pPr>
        <w:spacing w:line="380" w:lineRule="exact"/>
        <w:ind w:firstLine="420" w:firstLineChars="200"/>
        <w:rPr>
          <w:rFonts w:hint="eastAsia" w:ascii="宋体" w:hAnsi="宋体"/>
          <w:color w:val="auto"/>
          <w:highlight w:val="none"/>
          <w:lang w:eastAsia="zh-CN"/>
        </w:rPr>
      </w:pPr>
      <w:r>
        <w:rPr>
          <w:rFonts w:hint="eastAsia" w:ascii="宋体" w:hAnsi="宋体"/>
          <w:color w:val="auto"/>
          <w:highlight w:val="none"/>
          <w:lang w:eastAsia="zh-CN"/>
        </w:rPr>
        <w:t>项目联系方式：0771-3379398</w:t>
      </w:r>
    </w:p>
    <w:p w14:paraId="2E4C42CA">
      <w:pPr>
        <w:spacing w:line="380" w:lineRule="exact"/>
        <w:ind w:firstLine="420" w:firstLineChars="200"/>
        <w:rPr>
          <w:rFonts w:hint="eastAsia" w:ascii="宋体" w:hAnsi="宋体"/>
          <w:color w:val="auto"/>
          <w:highlight w:val="none"/>
          <w:lang w:eastAsia="zh-CN"/>
        </w:rPr>
      </w:pPr>
      <w:r>
        <w:rPr>
          <w:rFonts w:hint="eastAsia" w:ascii="宋体" w:hAnsi="宋体"/>
          <w:color w:val="auto"/>
          <w:highlight w:val="none"/>
          <w:lang w:eastAsia="zh-CN"/>
        </w:rPr>
        <w:t>3.项目联系方式</w:t>
      </w:r>
    </w:p>
    <w:p w14:paraId="40A560F5">
      <w:pPr>
        <w:spacing w:line="380" w:lineRule="exact"/>
        <w:ind w:firstLine="420" w:firstLineChars="200"/>
        <w:rPr>
          <w:rFonts w:hint="eastAsia" w:ascii="宋体" w:hAnsi="宋体"/>
          <w:color w:val="auto"/>
          <w:highlight w:val="none"/>
          <w:lang w:eastAsia="zh-CN"/>
        </w:rPr>
      </w:pPr>
      <w:r>
        <w:rPr>
          <w:rFonts w:hint="eastAsia" w:ascii="宋体" w:hAnsi="宋体"/>
          <w:color w:val="auto"/>
          <w:highlight w:val="none"/>
          <w:lang w:eastAsia="zh-CN"/>
        </w:rPr>
        <w:t>项目联系人：易洪磊、戚一燕</w:t>
      </w:r>
    </w:p>
    <w:p w14:paraId="1D29B20F">
      <w:pPr>
        <w:spacing w:line="380" w:lineRule="exact"/>
        <w:ind w:firstLine="420" w:firstLineChars="200"/>
        <w:rPr>
          <w:rFonts w:hint="eastAsia" w:ascii="宋体" w:hAnsi="宋体"/>
          <w:color w:val="auto"/>
          <w:highlight w:val="none"/>
          <w:u w:val="single"/>
        </w:rPr>
      </w:pPr>
      <w:r>
        <w:rPr>
          <w:rFonts w:hint="eastAsia" w:ascii="宋体" w:hAnsi="宋体"/>
          <w:color w:val="auto"/>
          <w:highlight w:val="none"/>
          <w:lang w:eastAsia="zh-CN"/>
        </w:rPr>
        <w:t>电  话：0771-3379398</w:t>
      </w:r>
    </w:p>
    <w:p w14:paraId="32385B85">
      <w:pPr>
        <w:spacing w:line="380" w:lineRule="exact"/>
        <w:ind w:firstLine="420" w:firstLineChars="200"/>
        <w:jc w:val="center"/>
        <w:rPr>
          <w:rFonts w:hint="eastAsia" w:ascii="宋体" w:hAnsi="宋体"/>
          <w:color w:val="auto"/>
          <w:highlight w:val="none"/>
          <w:lang w:val="en-US" w:eastAsia="zh-CN"/>
        </w:rPr>
      </w:pPr>
      <w:r>
        <w:rPr>
          <w:rFonts w:hint="eastAsia" w:ascii="宋体" w:hAnsi="宋体"/>
          <w:color w:val="auto"/>
          <w:highlight w:val="none"/>
          <w:lang w:val="en-US" w:eastAsia="zh-CN"/>
        </w:rPr>
        <w:t xml:space="preserve">                                      </w:t>
      </w:r>
    </w:p>
    <w:p w14:paraId="61356FAF">
      <w:pPr>
        <w:spacing w:line="380" w:lineRule="exact"/>
        <w:ind w:firstLine="420" w:firstLineChars="200"/>
        <w:jc w:val="center"/>
        <w:rPr>
          <w:rFonts w:hint="eastAsia" w:ascii="宋体" w:hAnsi="宋体"/>
          <w:color w:val="auto"/>
          <w:highlight w:val="none"/>
          <w:lang w:eastAsia="zh-CN"/>
        </w:rPr>
      </w:pPr>
      <w:r>
        <w:rPr>
          <w:rFonts w:hint="eastAsia" w:ascii="宋体" w:hAnsi="宋体"/>
          <w:color w:val="auto"/>
          <w:highlight w:val="none"/>
          <w:lang w:val="en-US" w:eastAsia="zh-CN"/>
        </w:rPr>
        <w:t xml:space="preserve">                                 采购代理机构：</w:t>
      </w:r>
      <w:r>
        <w:rPr>
          <w:rFonts w:hint="eastAsia" w:ascii="宋体" w:hAnsi="宋体"/>
          <w:color w:val="auto"/>
          <w:highlight w:val="none"/>
          <w:lang w:eastAsia="zh-CN"/>
        </w:rPr>
        <w:t>广西众联建设工程监理有限公司</w:t>
      </w:r>
    </w:p>
    <w:p w14:paraId="4578E3CA">
      <w:pPr>
        <w:spacing w:line="350" w:lineRule="exact"/>
        <w:ind w:firstLine="6090" w:firstLineChars="2900"/>
        <w:rPr>
          <w:rFonts w:hint="eastAsia" w:ascii="宋体" w:hAnsi="宋体"/>
          <w:b/>
          <w:color w:val="auto"/>
          <w:sz w:val="32"/>
          <w:szCs w:val="32"/>
          <w:highlight w:val="none"/>
        </w:rPr>
      </w:pPr>
      <w:r>
        <w:rPr>
          <w:rFonts w:hint="eastAsia" w:ascii="宋体" w:hAnsi="宋体" w:cs="Arial"/>
          <w:color w:val="auto"/>
          <w:highlight w:val="none"/>
          <w:lang w:eastAsia="zh-CN"/>
        </w:rPr>
        <w:t>202</w:t>
      </w:r>
      <w:r>
        <w:rPr>
          <w:rFonts w:hint="eastAsia" w:ascii="宋体" w:hAnsi="宋体" w:cs="Arial"/>
          <w:color w:val="auto"/>
          <w:highlight w:val="none"/>
          <w:lang w:val="en-US" w:eastAsia="zh-CN"/>
        </w:rPr>
        <w:t>6</w:t>
      </w:r>
      <w:r>
        <w:rPr>
          <w:rFonts w:hint="eastAsia" w:ascii="宋体" w:hAnsi="宋体" w:cs="Arial"/>
          <w:color w:val="auto"/>
          <w:highlight w:val="none"/>
          <w:lang w:eastAsia="zh-CN"/>
        </w:rPr>
        <w:t>年</w:t>
      </w:r>
      <w:r>
        <w:rPr>
          <w:rFonts w:hint="eastAsia" w:ascii="宋体" w:hAnsi="宋体" w:cs="Arial"/>
          <w:color w:val="auto"/>
          <w:highlight w:val="none"/>
          <w:lang w:val="en-US" w:eastAsia="zh-CN"/>
        </w:rPr>
        <w:t>6</w:t>
      </w:r>
      <w:r>
        <w:rPr>
          <w:rFonts w:hint="eastAsia" w:ascii="宋体" w:hAnsi="宋体" w:cs="Arial"/>
          <w:color w:val="auto"/>
          <w:highlight w:val="none"/>
          <w:lang w:eastAsia="zh-CN"/>
        </w:rPr>
        <w:t>月</w:t>
      </w:r>
      <w:r>
        <w:rPr>
          <w:rFonts w:hint="eastAsia" w:ascii="宋体" w:hAnsi="宋体" w:cs="Arial"/>
          <w:color w:val="auto"/>
          <w:highlight w:val="none"/>
          <w:lang w:val="en-US" w:eastAsia="zh-CN"/>
        </w:rPr>
        <w:t>25</w:t>
      </w:r>
      <w:r>
        <w:rPr>
          <w:rFonts w:hint="eastAsia" w:ascii="宋体" w:hAnsi="宋体" w:cs="Arial"/>
          <w:color w:val="auto"/>
          <w:highlight w:val="none"/>
          <w:lang w:eastAsia="zh-CN"/>
        </w:rPr>
        <w:t>日</w:t>
      </w:r>
      <w:r>
        <w:rPr>
          <w:color w:val="auto"/>
          <w:highlight w:val="none"/>
        </w:rPr>
        <w:br w:type="page"/>
      </w:r>
    </w:p>
    <w:p w14:paraId="776832EC">
      <w:pPr>
        <w:pStyle w:val="33"/>
        <w:rPr>
          <w:rFonts w:hint="eastAsia" w:eastAsia="宋体"/>
          <w:color w:val="auto"/>
          <w:sz w:val="44"/>
          <w:szCs w:val="44"/>
          <w:highlight w:val="none"/>
        </w:rPr>
      </w:pPr>
      <w:bookmarkStart w:id="34" w:name="_Toc476258663"/>
      <w:bookmarkStart w:id="35" w:name="_Toc22384"/>
      <w:r>
        <w:rPr>
          <w:rFonts w:hint="eastAsia" w:eastAsia="宋体"/>
          <w:color w:val="auto"/>
          <w:sz w:val="44"/>
          <w:szCs w:val="44"/>
          <w:highlight w:val="none"/>
        </w:rPr>
        <w:t>第二章  供应商须知</w:t>
      </w:r>
      <w:bookmarkEnd w:id="34"/>
      <w:bookmarkEnd w:id="35"/>
    </w:p>
    <w:p w14:paraId="4076DE05">
      <w:pPr>
        <w:spacing w:line="360" w:lineRule="auto"/>
        <w:jc w:val="center"/>
        <w:rPr>
          <w:rFonts w:hint="eastAsia" w:ascii="宋体" w:hAnsi="宋体"/>
          <w:b/>
          <w:color w:val="auto"/>
          <w:sz w:val="32"/>
          <w:szCs w:val="32"/>
          <w:highlight w:val="none"/>
        </w:rPr>
      </w:pPr>
      <w:r>
        <w:rPr>
          <w:rFonts w:hint="eastAsia" w:ascii="宋体" w:hAnsi="宋体"/>
          <w:b/>
          <w:color w:val="auto"/>
          <w:sz w:val="32"/>
          <w:szCs w:val="32"/>
          <w:highlight w:val="none"/>
        </w:rPr>
        <w:t>供应商须知前附表</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
        <w:gridCol w:w="8220"/>
      </w:tblGrid>
      <w:tr w14:paraId="1AEC4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875" w:type="dxa"/>
            <w:noWrap w:val="0"/>
            <w:vAlign w:val="top"/>
          </w:tcPr>
          <w:p w14:paraId="791BABF2">
            <w:pPr>
              <w:pStyle w:val="65"/>
              <w:keepNext w:val="0"/>
              <w:keepLines w:val="0"/>
              <w:suppressLineNumbers w:val="0"/>
              <w:spacing w:before="0" w:beforeAutospacing="0" w:after="0" w:afterAutospacing="0" w:line="400" w:lineRule="exact"/>
              <w:ind w:left="0" w:right="0"/>
              <w:jc w:val="center"/>
              <w:rPr>
                <w:rFonts w:hint="eastAsia"/>
                <w:b/>
                <w:bCs/>
                <w:color w:val="auto"/>
                <w:highlight w:val="none"/>
              </w:rPr>
            </w:pPr>
            <w:r>
              <w:rPr>
                <w:rFonts w:hint="eastAsia"/>
                <w:b/>
                <w:bCs/>
                <w:color w:val="auto"/>
                <w:highlight w:val="none"/>
              </w:rPr>
              <w:t>条款号</w:t>
            </w:r>
          </w:p>
        </w:tc>
        <w:tc>
          <w:tcPr>
            <w:tcW w:w="8220" w:type="dxa"/>
            <w:noWrap w:val="0"/>
            <w:vAlign w:val="top"/>
          </w:tcPr>
          <w:p w14:paraId="59159795">
            <w:pPr>
              <w:pStyle w:val="65"/>
              <w:keepNext w:val="0"/>
              <w:keepLines w:val="0"/>
              <w:suppressLineNumbers w:val="0"/>
              <w:spacing w:before="0" w:beforeAutospacing="0" w:after="0" w:afterAutospacing="0" w:line="400" w:lineRule="exact"/>
              <w:ind w:left="0" w:right="0"/>
              <w:jc w:val="center"/>
              <w:rPr>
                <w:rFonts w:hint="eastAsia"/>
                <w:b/>
                <w:bCs/>
                <w:color w:val="auto"/>
                <w:highlight w:val="none"/>
              </w:rPr>
            </w:pPr>
            <w:r>
              <w:rPr>
                <w:rFonts w:hint="eastAsia"/>
                <w:b/>
                <w:bCs/>
                <w:color w:val="auto"/>
                <w:highlight w:val="none"/>
              </w:rPr>
              <w:t>内    容</w:t>
            </w:r>
          </w:p>
        </w:tc>
      </w:tr>
      <w:tr w14:paraId="4EE4B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875" w:type="dxa"/>
            <w:noWrap w:val="0"/>
            <w:vAlign w:val="center"/>
          </w:tcPr>
          <w:p w14:paraId="3B49174F">
            <w:pPr>
              <w:pStyle w:val="65"/>
              <w:keepNext w:val="0"/>
              <w:keepLines w:val="0"/>
              <w:numPr>
                <w:ilvl w:val="0"/>
                <w:numId w:val="0"/>
              </w:numPr>
              <w:suppressLineNumbers w:val="0"/>
              <w:spacing w:before="0" w:beforeAutospacing="0" w:after="0" w:afterAutospacing="0" w:line="390" w:lineRule="exact"/>
              <w:ind w:left="0" w:leftChars="0" w:right="0" w:rightChars="0"/>
              <w:jc w:val="center"/>
              <w:rPr>
                <w:rFonts w:hint="eastAsia" w:eastAsia="宋体"/>
                <w:color w:val="auto"/>
                <w:highlight w:val="none"/>
                <w:lang w:val="en-US" w:eastAsia="zh-CN"/>
              </w:rPr>
            </w:pPr>
            <w:r>
              <w:rPr>
                <w:rFonts w:hint="eastAsia"/>
                <w:color w:val="auto"/>
                <w:highlight w:val="none"/>
                <w:lang w:val="en-US" w:eastAsia="zh-CN"/>
              </w:rPr>
              <w:t>3</w:t>
            </w:r>
          </w:p>
        </w:tc>
        <w:tc>
          <w:tcPr>
            <w:tcW w:w="8220" w:type="dxa"/>
            <w:noWrap w:val="0"/>
            <w:vAlign w:val="center"/>
          </w:tcPr>
          <w:p w14:paraId="45F16A92">
            <w:pPr>
              <w:pStyle w:val="65"/>
              <w:keepNext w:val="0"/>
              <w:keepLines w:val="0"/>
              <w:suppressLineNumbers w:val="0"/>
              <w:spacing w:before="0" w:beforeAutospacing="0" w:after="0" w:afterAutospacing="0" w:line="390" w:lineRule="exact"/>
              <w:ind w:left="0" w:right="0"/>
              <w:rPr>
                <w:rFonts w:hint="eastAsia" w:eastAsia="宋体"/>
                <w:color w:val="auto"/>
                <w:highlight w:val="none"/>
                <w:u w:val="none"/>
                <w:lang w:eastAsia="zh-CN"/>
              </w:rPr>
            </w:pPr>
            <w:r>
              <w:rPr>
                <w:rFonts w:hint="eastAsia" w:eastAsia="宋体"/>
                <w:color w:val="auto"/>
                <w:highlight w:val="none"/>
                <w:u w:val="none"/>
                <w:lang w:eastAsia="zh-CN"/>
              </w:rPr>
              <w:t>1.供应商的资格条件：详见竞争性谈判公告</w:t>
            </w:r>
          </w:p>
          <w:p w14:paraId="10F83CD3">
            <w:pPr>
              <w:pStyle w:val="65"/>
              <w:keepNext w:val="0"/>
              <w:keepLines w:val="0"/>
              <w:suppressLineNumbers w:val="0"/>
              <w:spacing w:before="0" w:beforeAutospacing="0" w:after="0" w:afterAutospacing="0" w:line="390" w:lineRule="exact"/>
              <w:ind w:left="0" w:right="0"/>
              <w:rPr>
                <w:rFonts w:hint="eastAsia" w:eastAsia="宋体"/>
                <w:color w:val="auto"/>
                <w:highlight w:val="none"/>
                <w:u w:val="none"/>
                <w:lang w:eastAsia="zh-CN"/>
              </w:rPr>
            </w:pPr>
            <w:r>
              <w:rPr>
                <w:rFonts w:hint="eastAsia" w:eastAsia="宋体"/>
                <w:color w:val="auto"/>
                <w:highlight w:val="none"/>
                <w:u w:val="none"/>
                <w:lang w:eastAsia="zh-CN"/>
              </w:rPr>
              <w:t>2.供应商出现下列情形之一的，不得参加政府采购活动：</w:t>
            </w:r>
          </w:p>
          <w:p w14:paraId="4940B16A">
            <w:pPr>
              <w:pStyle w:val="65"/>
              <w:keepNext w:val="0"/>
              <w:keepLines w:val="0"/>
              <w:suppressLineNumbers w:val="0"/>
              <w:spacing w:before="0" w:beforeAutospacing="0" w:after="0" w:afterAutospacing="0" w:line="390" w:lineRule="exact"/>
              <w:ind w:left="0" w:right="0"/>
              <w:rPr>
                <w:rFonts w:hint="eastAsia" w:eastAsia="宋体"/>
                <w:color w:val="auto"/>
                <w:highlight w:val="none"/>
                <w:u w:val="none"/>
                <w:lang w:eastAsia="zh-CN"/>
              </w:rPr>
            </w:pPr>
            <w:r>
              <w:rPr>
                <w:rFonts w:hint="eastAsia" w:eastAsia="宋体"/>
                <w:color w:val="auto"/>
                <w:highlight w:val="none"/>
                <w:u w:val="none"/>
                <w:lang w:eastAsia="zh-CN"/>
              </w:rPr>
              <w:t>2.1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7DB47A94">
            <w:pPr>
              <w:pStyle w:val="65"/>
              <w:keepNext w:val="0"/>
              <w:keepLines w:val="0"/>
              <w:suppressLineNumbers w:val="0"/>
              <w:spacing w:before="0" w:beforeAutospacing="0" w:after="0" w:afterAutospacing="0" w:line="390" w:lineRule="exact"/>
              <w:ind w:left="0" w:right="0"/>
              <w:rPr>
                <w:rFonts w:hint="eastAsia" w:eastAsia="宋体"/>
                <w:color w:val="auto"/>
                <w:highlight w:val="none"/>
                <w:u w:val="single"/>
                <w:lang w:eastAsia="zh-CN"/>
              </w:rPr>
            </w:pPr>
            <w:r>
              <w:rPr>
                <w:rFonts w:hint="eastAsia" w:eastAsia="宋体"/>
                <w:color w:val="auto"/>
                <w:highlight w:val="none"/>
                <w:u w:val="none"/>
                <w:lang w:eastAsia="zh-CN"/>
              </w:rPr>
              <w:t>2.2对在</w:t>
            </w:r>
            <w:r>
              <w:rPr>
                <w:rFonts w:hint="eastAsia"/>
                <w:color w:val="auto"/>
                <w:highlight w:val="none"/>
                <w:u w:val="none"/>
                <w:lang w:eastAsia="zh-CN"/>
              </w:rPr>
              <w:t>“</w:t>
            </w:r>
            <w:r>
              <w:rPr>
                <w:rFonts w:hint="eastAsia" w:eastAsia="宋体"/>
                <w:color w:val="auto"/>
                <w:highlight w:val="none"/>
                <w:u w:val="none"/>
                <w:lang w:eastAsia="zh-CN"/>
              </w:rPr>
              <w:t>信用中国</w:t>
            </w:r>
            <w:r>
              <w:rPr>
                <w:rFonts w:hint="eastAsia"/>
                <w:color w:val="auto"/>
                <w:highlight w:val="none"/>
                <w:u w:val="none"/>
                <w:lang w:eastAsia="zh-CN"/>
              </w:rPr>
              <w:t>”</w:t>
            </w:r>
            <w:r>
              <w:rPr>
                <w:rFonts w:hint="eastAsia" w:eastAsia="宋体"/>
                <w:color w:val="auto"/>
                <w:highlight w:val="none"/>
                <w:u w:val="none"/>
                <w:lang w:eastAsia="zh-CN"/>
              </w:rPr>
              <w:t>网站（</w:t>
            </w:r>
            <w:r>
              <w:rPr>
                <w:rFonts w:hint="eastAsia" w:eastAsia="宋体"/>
                <w:color w:val="auto"/>
                <w:highlight w:val="none"/>
                <w:u w:val="none"/>
                <w:lang w:eastAsia="zh-CN"/>
              </w:rPr>
              <w:fldChar w:fldCharType="begin"/>
            </w:r>
            <w:r>
              <w:rPr>
                <w:rFonts w:hint="eastAsia" w:eastAsia="宋体"/>
                <w:color w:val="auto"/>
                <w:highlight w:val="none"/>
                <w:u w:val="none"/>
                <w:lang w:eastAsia="zh-CN"/>
              </w:rPr>
              <w:instrText xml:space="preserve"> HYPERLINK "https://www.creditchina.gov.cn" </w:instrText>
            </w:r>
            <w:r>
              <w:rPr>
                <w:rFonts w:hint="eastAsia" w:eastAsia="宋体"/>
                <w:color w:val="auto"/>
                <w:highlight w:val="none"/>
                <w:u w:val="none"/>
                <w:lang w:eastAsia="zh-CN"/>
              </w:rPr>
              <w:fldChar w:fldCharType="separate"/>
            </w:r>
            <w:r>
              <w:rPr>
                <w:rFonts w:hint="eastAsia" w:eastAsia="宋体"/>
                <w:color w:val="auto"/>
                <w:highlight w:val="none"/>
                <w:u w:val="none"/>
                <w:lang w:eastAsia="zh-CN"/>
              </w:rPr>
              <w:t>www.creditchina.gov.cn</w:t>
            </w:r>
            <w:r>
              <w:rPr>
                <w:rFonts w:hint="eastAsia" w:eastAsia="宋体"/>
                <w:color w:val="auto"/>
                <w:highlight w:val="none"/>
                <w:u w:val="none"/>
                <w:lang w:eastAsia="zh-CN"/>
              </w:rPr>
              <w:fldChar w:fldCharType="end"/>
            </w:r>
            <w:r>
              <w:rPr>
                <w:rFonts w:hint="eastAsia" w:eastAsia="宋体"/>
                <w:color w:val="auto"/>
                <w:highlight w:val="none"/>
                <w:u w:val="none"/>
                <w:lang w:eastAsia="zh-CN"/>
              </w:rPr>
              <w:t>）、中国政府采购网（</w:t>
            </w:r>
            <w:r>
              <w:rPr>
                <w:rFonts w:hint="eastAsia" w:eastAsia="宋体"/>
                <w:color w:val="auto"/>
                <w:highlight w:val="none"/>
                <w:u w:val="none"/>
                <w:lang w:eastAsia="zh-CN"/>
              </w:rPr>
              <w:fldChar w:fldCharType="begin"/>
            </w:r>
            <w:r>
              <w:rPr>
                <w:rFonts w:hint="eastAsia" w:eastAsia="宋体"/>
                <w:color w:val="auto"/>
                <w:highlight w:val="none"/>
                <w:u w:val="none"/>
                <w:lang w:eastAsia="zh-CN"/>
              </w:rPr>
              <w:instrText xml:space="preserve"> HYPERLINK "https://www.ccgp.gov.cn" </w:instrText>
            </w:r>
            <w:r>
              <w:rPr>
                <w:rFonts w:hint="eastAsia" w:eastAsia="宋体"/>
                <w:color w:val="auto"/>
                <w:highlight w:val="none"/>
                <w:u w:val="none"/>
                <w:lang w:eastAsia="zh-CN"/>
              </w:rPr>
              <w:fldChar w:fldCharType="separate"/>
            </w:r>
            <w:r>
              <w:rPr>
                <w:rFonts w:hint="eastAsia" w:eastAsia="宋体"/>
                <w:color w:val="auto"/>
                <w:highlight w:val="none"/>
                <w:u w:val="none"/>
                <w:lang w:eastAsia="zh-CN"/>
              </w:rPr>
              <w:t>www.ccgp.gov.cn</w:t>
            </w:r>
            <w:r>
              <w:rPr>
                <w:rFonts w:hint="eastAsia" w:eastAsia="宋体"/>
                <w:color w:val="auto"/>
                <w:highlight w:val="none"/>
                <w:u w:val="none"/>
                <w:lang w:eastAsia="zh-CN"/>
              </w:rPr>
              <w:fldChar w:fldCharType="end"/>
            </w:r>
            <w:r>
              <w:rPr>
                <w:rFonts w:hint="eastAsia" w:eastAsia="宋体"/>
                <w:color w:val="auto"/>
                <w:highlight w:val="none"/>
                <w:u w:val="none"/>
                <w:lang w:eastAsia="zh-CN"/>
              </w:rPr>
              <w:t>）被列入失信被执行人、重大税收违法失信主体、政府采购严重违法失信行为记录名单及其他不符合《中华人民共和国政府采购法》第二十二条规定条件的供应商，不得参与政府采购活动。</w:t>
            </w:r>
          </w:p>
        </w:tc>
      </w:tr>
      <w:tr w14:paraId="0EAFC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875" w:type="dxa"/>
            <w:noWrap w:val="0"/>
            <w:vAlign w:val="center"/>
          </w:tcPr>
          <w:p w14:paraId="0C2B717B">
            <w:pPr>
              <w:pStyle w:val="65"/>
              <w:keepNext w:val="0"/>
              <w:keepLines w:val="0"/>
              <w:numPr>
                <w:ilvl w:val="0"/>
                <w:numId w:val="0"/>
              </w:numPr>
              <w:suppressLineNumbers w:val="0"/>
              <w:spacing w:before="0" w:beforeAutospacing="0" w:after="0" w:afterAutospacing="0" w:line="390" w:lineRule="exact"/>
              <w:ind w:left="0" w:leftChars="0" w:right="0" w:rightChars="0"/>
              <w:jc w:val="center"/>
              <w:rPr>
                <w:rFonts w:hint="default" w:eastAsia="宋体"/>
                <w:color w:val="auto"/>
                <w:highlight w:val="none"/>
                <w:lang w:val="en-US" w:eastAsia="zh-CN"/>
              </w:rPr>
            </w:pPr>
            <w:r>
              <w:rPr>
                <w:rFonts w:hint="eastAsia"/>
                <w:color w:val="auto"/>
                <w:highlight w:val="none"/>
                <w:lang w:val="en-US" w:eastAsia="zh-CN"/>
              </w:rPr>
              <w:t>5.1</w:t>
            </w:r>
          </w:p>
        </w:tc>
        <w:tc>
          <w:tcPr>
            <w:tcW w:w="8220" w:type="dxa"/>
            <w:noWrap w:val="0"/>
            <w:vAlign w:val="center"/>
          </w:tcPr>
          <w:p w14:paraId="76BDA049">
            <w:pPr>
              <w:pStyle w:val="65"/>
              <w:keepNext w:val="0"/>
              <w:keepLines w:val="0"/>
              <w:suppressLineNumbers w:val="0"/>
              <w:spacing w:before="0" w:beforeAutospacing="0" w:after="0" w:afterAutospacing="0" w:line="390" w:lineRule="exact"/>
              <w:ind w:left="-36" w:right="0" w:firstLine="36"/>
              <w:rPr>
                <w:rFonts w:hint="eastAsia"/>
                <w:color w:val="auto"/>
                <w:highlight w:val="none"/>
              </w:rPr>
            </w:pPr>
            <w:r>
              <w:rPr>
                <w:rFonts w:hint="eastAsia"/>
                <w:color w:val="auto"/>
                <w:highlight w:val="none"/>
              </w:rPr>
              <w:t>是否接受联合体竞标：详见竞争性谈判公告</w:t>
            </w:r>
          </w:p>
        </w:tc>
      </w:tr>
      <w:tr w14:paraId="2CDF1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875" w:type="dxa"/>
            <w:noWrap w:val="0"/>
            <w:vAlign w:val="center"/>
          </w:tcPr>
          <w:p w14:paraId="1B8F0018">
            <w:pPr>
              <w:pStyle w:val="65"/>
              <w:keepNext w:val="0"/>
              <w:keepLines w:val="0"/>
              <w:numPr>
                <w:ilvl w:val="0"/>
                <w:numId w:val="0"/>
              </w:numPr>
              <w:suppressLineNumbers w:val="0"/>
              <w:spacing w:before="0" w:beforeAutospacing="0" w:after="0" w:afterAutospacing="0" w:line="390" w:lineRule="exact"/>
              <w:ind w:left="0" w:right="0" w:rightChars="0"/>
              <w:jc w:val="center"/>
              <w:rPr>
                <w:rFonts w:hint="default" w:eastAsia="宋体"/>
                <w:color w:val="auto"/>
                <w:highlight w:val="none"/>
                <w:lang w:val="en-US" w:eastAsia="zh-CN"/>
              </w:rPr>
            </w:pPr>
            <w:r>
              <w:rPr>
                <w:rFonts w:hint="eastAsia"/>
                <w:color w:val="auto"/>
                <w:highlight w:val="none"/>
                <w:lang w:val="en-US" w:eastAsia="zh-CN"/>
              </w:rPr>
              <w:t>5.2</w:t>
            </w:r>
          </w:p>
        </w:tc>
        <w:tc>
          <w:tcPr>
            <w:tcW w:w="8220" w:type="dxa"/>
            <w:noWrap w:val="0"/>
            <w:vAlign w:val="center"/>
          </w:tcPr>
          <w:p w14:paraId="03511A42">
            <w:pPr>
              <w:keepNext w:val="0"/>
              <w:keepLines w:val="0"/>
              <w:suppressLineNumbers w:val="0"/>
              <w:spacing w:before="0" w:beforeAutospacing="0" w:after="0" w:afterAutospacing="0" w:line="390" w:lineRule="exact"/>
              <w:ind w:left="0" w:right="0"/>
              <w:rPr>
                <w:rFonts w:hint="eastAsia" w:ascii="宋体" w:hAnsi="宋体"/>
                <w:color w:val="auto"/>
                <w:szCs w:val="21"/>
                <w:highlight w:val="none"/>
              </w:rPr>
            </w:pPr>
            <w:r>
              <w:rPr>
                <w:rFonts w:hint="eastAsia" w:ascii="宋体" w:hAnsi="宋体"/>
                <w:color w:val="auto"/>
                <w:szCs w:val="21"/>
                <w:highlight w:val="none"/>
              </w:rPr>
              <w:t>如接受联合体竞标，联合体竞标要求如下：</w:t>
            </w:r>
            <w:r>
              <w:rPr>
                <w:rFonts w:hint="eastAsia" w:ascii="宋体" w:hAnsi="宋体" w:eastAsia="宋体" w:cs="宋体"/>
                <w:color w:val="auto"/>
                <w:sz w:val="21"/>
                <w:szCs w:val="21"/>
                <w:highlight w:val="none"/>
                <w:lang w:val="en-US" w:eastAsia="zh-CN"/>
              </w:rPr>
              <w:t>/</w:t>
            </w:r>
          </w:p>
        </w:tc>
      </w:tr>
      <w:tr w14:paraId="51E88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875" w:type="dxa"/>
            <w:noWrap w:val="0"/>
            <w:vAlign w:val="center"/>
          </w:tcPr>
          <w:p w14:paraId="0BCC4734">
            <w:pPr>
              <w:pStyle w:val="65"/>
              <w:keepNext w:val="0"/>
              <w:keepLines w:val="0"/>
              <w:numPr>
                <w:ilvl w:val="0"/>
                <w:numId w:val="0"/>
              </w:numPr>
              <w:suppressLineNumbers w:val="0"/>
              <w:spacing w:before="0" w:beforeAutospacing="0" w:after="0" w:afterAutospacing="0" w:line="390" w:lineRule="exact"/>
              <w:ind w:left="0" w:right="0" w:rightChars="0"/>
              <w:jc w:val="center"/>
              <w:rPr>
                <w:rFonts w:hint="default" w:eastAsia="宋体"/>
                <w:color w:val="auto"/>
                <w:highlight w:val="none"/>
                <w:lang w:val="en-US" w:eastAsia="zh-CN"/>
              </w:rPr>
            </w:pPr>
            <w:r>
              <w:rPr>
                <w:rFonts w:hint="eastAsia"/>
                <w:color w:val="auto"/>
                <w:highlight w:val="none"/>
                <w:lang w:val="en-US" w:eastAsia="zh-CN"/>
              </w:rPr>
              <w:t>5.2</w:t>
            </w:r>
          </w:p>
        </w:tc>
        <w:tc>
          <w:tcPr>
            <w:tcW w:w="8220" w:type="dxa"/>
            <w:noWrap w:val="0"/>
            <w:vAlign w:val="center"/>
          </w:tcPr>
          <w:p w14:paraId="543D165B">
            <w:pPr>
              <w:keepNext w:val="0"/>
              <w:keepLines w:val="0"/>
              <w:suppressLineNumbers w:val="0"/>
              <w:spacing w:before="0" w:beforeAutospacing="0" w:after="0" w:afterAutospacing="0" w:line="390" w:lineRule="exact"/>
              <w:ind w:left="0" w:right="0"/>
              <w:rPr>
                <w:rFonts w:hint="eastAsia"/>
                <w:color w:val="auto"/>
                <w:highlight w:val="none"/>
              </w:rPr>
            </w:pPr>
            <w:r>
              <w:rPr>
                <w:rFonts w:hint="eastAsia"/>
                <w:color w:val="auto"/>
                <w:highlight w:val="none"/>
              </w:rPr>
              <w:t>☑不允许分包</w:t>
            </w:r>
          </w:p>
          <w:p w14:paraId="472843CE">
            <w:pPr>
              <w:keepNext w:val="0"/>
              <w:keepLines w:val="0"/>
              <w:suppressLineNumbers w:val="0"/>
              <w:spacing w:before="0" w:beforeAutospacing="0" w:after="0" w:afterAutospacing="0" w:line="390" w:lineRule="exact"/>
              <w:ind w:left="0" w:right="0"/>
              <w:rPr>
                <w:rFonts w:hint="eastAsia"/>
                <w:color w:val="auto"/>
                <w:highlight w:val="none"/>
              </w:rPr>
            </w:pPr>
            <w:r>
              <w:rPr>
                <w:rFonts w:hint="eastAsia"/>
                <w:color w:val="auto"/>
                <w:highlight w:val="none"/>
              </w:rPr>
              <w:t>□允许分包</w:t>
            </w:r>
          </w:p>
          <w:p w14:paraId="0F11F853">
            <w:pPr>
              <w:keepNext w:val="0"/>
              <w:keepLines w:val="0"/>
              <w:suppressLineNumbers w:val="0"/>
              <w:spacing w:before="0" w:beforeAutospacing="0" w:after="0" w:afterAutospacing="0" w:line="390" w:lineRule="exact"/>
              <w:ind w:left="0" w:right="0"/>
              <w:rPr>
                <w:rFonts w:hint="eastAsia"/>
                <w:color w:val="auto"/>
                <w:highlight w:val="none"/>
              </w:rPr>
            </w:pPr>
            <w:r>
              <w:rPr>
                <w:rFonts w:hint="eastAsia"/>
                <w:color w:val="auto"/>
                <w:highlight w:val="none"/>
              </w:rPr>
              <w:t>分包内容：</w:t>
            </w:r>
            <w:r>
              <w:rPr>
                <w:rFonts w:hint="eastAsia"/>
                <w:color w:val="auto"/>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color w:val="auto"/>
                <w:highlight w:val="none"/>
                <w:u w:val="single"/>
              </w:rPr>
              <w:t xml:space="preserve">                   </w:t>
            </w:r>
            <w:r>
              <w:rPr>
                <w:rFonts w:hint="eastAsia"/>
                <w:color w:val="auto"/>
                <w:highlight w:val="none"/>
              </w:rPr>
              <w:t>。</w:t>
            </w:r>
          </w:p>
          <w:p w14:paraId="2E6A8D46">
            <w:pPr>
              <w:keepNext w:val="0"/>
              <w:keepLines w:val="0"/>
              <w:suppressLineNumbers w:val="0"/>
              <w:spacing w:before="0" w:beforeAutospacing="0" w:after="0" w:afterAutospacing="0" w:line="390" w:lineRule="exact"/>
              <w:ind w:left="0" w:right="0"/>
              <w:rPr>
                <w:rFonts w:hint="eastAsia"/>
                <w:color w:val="auto"/>
                <w:highlight w:val="none"/>
              </w:rPr>
            </w:pPr>
            <w:r>
              <w:rPr>
                <w:rFonts w:hint="eastAsia"/>
                <w:color w:val="auto"/>
                <w:highlight w:val="none"/>
              </w:rPr>
              <w:t>分包金额或者比例：</w:t>
            </w:r>
            <w:r>
              <w:rPr>
                <w:rFonts w:hint="eastAsia"/>
                <w:color w:val="auto"/>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color w:val="auto"/>
                <w:highlight w:val="none"/>
                <w:u w:val="single"/>
              </w:rPr>
              <w:t xml:space="preserve">                           </w:t>
            </w:r>
            <w:r>
              <w:rPr>
                <w:rFonts w:hint="eastAsia"/>
                <w:color w:val="auto"/>
                <w:highlight w:val="none"/>
              </w:rPr>
              <w:t>。</w:t>
            </w:r>
          </w:p>
          <w:p w14:paraId="34CDD480">
            <w:pPr>
              <w:keepNext w:val="0"/>
              <w:keepLines w:val="0"/>
              <w:suppressLineNumbers w:val="0"/>
              <w:spacing w:before="0" w:beforeAutospacing="0" w:after="0" w:afterAutospacing="0" w:line="390" w:lineRule="exact"/>
              <w:ind w:left="0" w:right="0"/>
              <w:rPr>
                <w:rFonts w:hint="eastAsia"/>
                <w:color w:val="auto"/>
                <w:highlight w:val="none"/>
              </w:rPr>
            </w:pPr>
            <w:r>
              <w:rPr>
                <w:rFonts w:hint="eastAsia"/>
                <w:color w:val="auto"/>
                <w:highlight w:val="none"/>
              </w:rPr>
              <w:t>分包供应商必须具备的资质：</w:t>
            </w:r>
            <w:r>
              <w:rPr>
                <w:rFonts w:hint="eastAsia"/>
                <w:color w:val="auto"/>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color w:val="auto"/>
                <w:highlight w:val="none"/>
                <w:u w:val="single"/>
              </w:rPr>
              <w:t xml:space="preserve">                           </w:t>
            </w:r>
            <w:r>
              <w:rPr>
                <w:rFonts w:hint="eastAsia"/>
                <w:color w:val="auto"/>
                <w:highlight w:val="none"/>
              </w:rPr>
              <w:t>。</w:t>
            </w:r>
          </w:p>
        </w:tc>
      </w:tr>
      <w:tr w14:paraId="26353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875" w:type="dxa"/>
            <w:noWrap w:val="0"/>
            <w:vAlign w:val="center"/>
          </w:tcPr>
          <w:p w14:paraId="19FF92C9">
            <w:pPr>
              <w:pStyle w:val="65"/>
              <w:keepNext w:val="0"/>
              <w:keepLines w:val="0"/>
              <w:numPr>
                <w:ilvl w:val="0"/>
                <w:numId w:val="0"/>
              </w:numPr>
              <w:suppressLineNumbers w:val="0"/>
              <w:spacing w:before="0" w:beforeAutospacing="0" w:after="0" w:afterAutospacing="0" w:line="390" w:lineRule="exact"/>
              <w:ind w:left="0" w:right="0" w:rightChars="0"/>
              <w:jc w:val="center"/>
              <w:rPr>
                <w:rFonts w:hint="eastAsia"/>
                <w:color w:val="auto"/>
                <w:highlight w:val="none"/>
              </w:rPr>
            </w:pPr>
            <w:r>
              <w:rPr>
                <w:rFonts w:hint="default"/>
                <w:color w:val="auto"/>
                <w:position w:val="1"/>
                <w:highlight w:val="none"/>
              </w:rPr>
              <w:t>7.1</w:t>
            </w:r>
          </w:p>
        </w:tc>
        <w:tc>
          <w:tcPr>
            <w:tcW w:w="8220" w:type="dxa"/>
            <w:noWrap w:val="0"/>
            <w:vAlign w:val="center"/>
          </w:tcPr>
          <w:p w14:paraId="097B6CE9">
            <w:pPr>
              <w:pStyle w:val="20"/>
              <w:keepNext w:val="0"/>
              <w:keepLines w:val="0"/>
              <w:suppressLineNumbers w:val="0"/>
              <w:spacing w:before="0" w:beforeAutospacing="0" w:after="0" w:afterAutospacing="0" w:line="390" w:lineRule="exact"/>
              <w:ind w:left="0" w:right="0"/>
              <w:rPr>
                <w:rFonts w:hint="eastAsia"/>
                <w:color w:val="auto"/>
                <w:highlight w:val="none"/>
              </w:rPr>
            </w:pPr>
            <w:r>
              <w:rPr>
                <w:rFonts w:hint="eastAsia"/>
                <w:color w:val="auto"/>
                <w:highlight w:val="none"/>
              </w:rPr>
              <w:t>提供相同品牌产品（非单一产品采购项目的，指核心产品）的不同供应商最后报价相同时，按照下列方式确定一个供应商获得成交人推荐资格：</w:t>
            </w:r>
          </w:p>
          <w:p w14:paraId="5A3EC93E">
            <w:pPr>
              <w:pStyle w:val="20"/>
              <w:keepNext w:val="0"/>
              <w:keepLines w:val="0"/>
              <w:suppressLineNumbers w:val="0"/>
              <w:spacing w:before="0" w:beforeAutospacing="0" w:after="0" w:afterAutospacing="0" w:line="390" w:lineRule="exact"/>
              <w:ind w:left="0" w:right="0"/>
              <w:rPr>
                <w:rFonts w:hint="eastAsia"/>
                <w:color w:val="auto"/>
                <w:highlight w:val="none"/>
              </w:rPr>
            </w:pPr>
            <w:r>
              <w:rPr>
                <w:rFonts w:hint="eastAsia"/>
                <w:color w:val="auto"/>
                <w:highlight w:val="none"/>
                <w:lang w:eastAsia="zh-CN"/>
              </w:rPr>
              <w:t>□</w:t>
            </w:r>
            <w:r>
              <w:rPr>
                <w:rFonts w:hint="eastAsia"/>
                <w:color w:val="auto"/>
                <w:highlight w:val="none"/>
              </w:rPr>
              <w:t>随机抽取；</w:t>
            </w:r>
          </w:p>
          <w:p w14:paraId="2BF50630">
            <w:pPr>
              <w:pStyle w:val="20"/>
              <w:keepNext w:val="0"/>
              <w:keepLines w:val="0"/>
              <w:suppressLineNumbers w:val="0"/>
              <w:spacing w:before="0" w:beforeAutospacing="0" w:after="0" w:afterAutospacing="0" w:line="390" w:lineRule="exact"/>
              <w:ind w:left="0" w:right="0"/>
              <w:rPr>
                <w:rFonts w:hint="eastAsia"/>
                <w:color w:val="auto"/>
                <w:highlight w:val="none"/>
              </w:rPr>
            </w:pPr>
            <w:r>
              <w:rPr>
                <w:rFonts w:hint="eastAsia"/>
                <w:color w:val="auto"/>
                <w:highlight w:val="none"/>
                <w:lang w:val="en-US" w:eastAsia="zh-CN"/>
              </w:rPr>
              <w:t>☑</w:t>
            </w:r>
            <w:r>
              <w:rPr>
                <w:rFonts w:hint="default"/>
                <w:color w:val="auto"/>
                <w:highlight w:val="none"/>
              </w:rPr>
              <w:t>最后报价相同时，按照下列方式确定一个供应商获得成交供应商推荐资格：依次按节能环保产品累计金额高的优先、带“▲”的实质性要求正偏离项数多的优先、均无正偏离或正偏离项数一致时非实质性要求正偏离项数多的优先、质量保证期长优先、交货期短优先、故障响应时间短优先的顺序排列，按前述顺序仍无法确定的，通过随机抽取的形式确定。</w:t>
            </w:r>
          </w:p>
        </w:tc>
      </w:tr>
      <w:tr w14:paraId="3EF33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875" w:type="dxa"/>
            <w:noWrap w:val="0"/>
            <w:vAlign w:val="center"/>
          </w:tcPr>
          <w:p w14:paraId="148A984C">
            <w:pPr>
              <w:pStyle w:val="65"/>
              <w:keepNext w:val="0"/>
              <w:keepLines w:val="0"/>
              <w:numPr>
                <w:ilvl w:val="0"/>
                <w:numId w:val="0"/>
              </w:numPr>
              <w:suppressLineNumbers w:val="0"/>
              <w:spacing w:before="0" w:beforeAutospacing="0" w:after="0" w:afterAutospacing="0" w:line="390" w:lineRule="exact"/>
              <w:ind w:left="0" w:right="0" w:rightChars="0"/>
              <w:jc w:val="center"/>
              <w:rPr>
                <w:rFonts w:hint="eastAsia"/>
                <w:color w:val="auto"/>
                <w:highlight w:val="none"/>
              </w:rPr>
            </w:pPr>
            <w:r>
              <w:rPr>
                <w:rFonts w:hint="eastAsia"/>
                <w:color w:val="auto"/>
                <w:highlight w:val="none"/>
              </w:rPr>
              <w:t>12.1.1</w:t>
            </w:r>
          </w:p>
        </w:tc>
        <w:tc>
          <w:tcPr>
            <w:tcW w:w="8220" w:type="dxa"/>
            <w:noWrap w:val="0"/>
            <w:vAlign w:val="center"/>
          </w:tcPr>
          <w:p w14:paraId="6611BA03">
            <w:pPr>
              <w:pStyle w:val="20"/>
              <w:keepNext w:val="0"/>
              <w:keepLines w:val="0"/>
              <w:suppressLineNumbers w:val="0"/>
              <w:spacing w:before="0" w:beforeAutospacing="0" w:after="0" w:afterAutospacing="0" w:line="390" w:lineRule="exact"/>
              <w:ind w:left="0" w:right="0"/>
              <w:rPr>
                <w:rFonts w:hint="eastAsia"/>
                <w:b/>
                <w:bCs/>
                <w:color w:val="auto"/>
                <w:highlight w:val="none"/>
              </w:rPr>
            </w:pPr>
            <w:r>
              <w:rPr>
                <w:rFonts w:hint="eastAsia"/>
                <w:b/>
                <w:bCs/>
                <w:color w:val="auto"/>
                <w:highlight w:val="none"/>
              </w:rPr>
              <w:t>资格证明文件</w:t>
            </w:r>
          </w:p>
          <w:p w14:paraId="7C53A081">
            <w:pPr>
              <w:pStyle w:val="20"/>
              <w:keepNext w:val="0"/>
              <w:keepLines w:val="0"/>
              <w:suppressLineNumbers w:val="0"/>
              <w:spacing w:before="0" w:beforeAutospacing="0" w:after="0" w:afterAutospacing="0" w:line="390" w:lineRule="exact"/>
              <w:ind w:left="0" w:right="0"/>
              <w:rPr>
                <w:rFonts w:hint="eastAsia"/>
                <w:color w:val="auto"/>
                <w:highlight w:val="none"/>
              </w:rPr>
            </w:pPr>
            <w:r>
              <w:rPr>
                <w:rFonts w:hint="eastAsia"/>
                <w:color w:val="auto"/>
                <w:highlight w:val="none"/>
              </w:rPr>
              <w:t>1.供应商为法人或者其他组织的提供其营业执照等证明文件（如营业执照或者事业单位法人证书或者执业许可证或者登记证书等），供应商为自然人的提供其身份证复印件；</w:t>
            </w:r>
            <w:r>
              <w:rPr>
                <w:rFonts w:hint="eastAsia"/>
                <w:b/>
                <w:bCs/>
                <w:color w:val="auto"/>
                <w:highlight w:val="none"/>
              </w:rPr>
              <w:t>（必须提供，否则响应文件按无效响应处理）</w:t>
            </w:r>
          </w:p>
          <w:p w14:paraId="71A953F8">
            <w:pPr>
              <w:pStyle w:val="20"/>
              <w:keepNext w:val="0"/>
              <w:keepLines w:val="0"/>
              <w:suppressLineNumbers w:val="0"/>
              <w:spacing w:before="0" w:beforeAutospacing="0" w:after="0" w:afterAutospacing="0" w:line="390" w:lineRule="exact"/>
              <w:ind w:left="0" w:right="0"/>
              <w:rPr>
                <w:rFonts w:hint="eastAsia"/>
                <w:color w:val="auto"/>
                <w:highlight w:val="none"/>
              </w:rPr>
            </w:pPr>
            <w:r>
              <w:rPr>
                <w:rFonts w:hint="eastAsia"/>
                <w:color w:val="auto"/>
                <w:highlight w:val="none"/>
              </w:rPr>
              <w:t>2.供应商依法缴纳税收的相关材料（2025年</w:t>
            </w:r>
            <w:r>
              <w:rPr>
                <w:rFonts w:hint="eastAsia"/>
                <w:color w:val="auto"/>
                <w:highlight w:val="none"/>
                <w:lang w:val="en-US" w:eastAsia="zh-CN"/>
              </w:rPr>
              <w:t>12</w:t>
            </w:r>
            <w:r>
              <w:rPr>
                <w:rFonts w:hint="eastAsia"/>
                <w:color w:val="auto"/>
                <w:highlight w:val="none"/>
              </w:rPr>
              <w:t>月至2026年</w:t>
            </w:r>
            <w:r>
              <w:rPr>
                <w:rFonts w:hint="eastAsia"/>
                <w:color w:val="auto"/>
                <w:highlight w:val="none"/>
                <w:lang w:val="en-US" w:eastAsia="zh-CN"/>
              </w:rPr>
              <w:t>5</w:t>
            </w:r>
            <w:r>
              <w:rPr>
                <w:rFonts w:hint="eastAsia"/>
                <w:color w:val="auto"/>
                <w:highlight w:val="none"/>
              </w:rPr>
              <w:t>月内连续3个月的依法缴纳税收的凭据复印件；依法零申报的，必须提供相应月份的零申报证明复印件；依法免税的，必须提供相应文件证明其依法免税。从成立之日起到响应文件提交截止时间止不足要求月数的，只需提供从成立之日起的依法缴纳税收相应证明文件）；</w:t>
            </w:r>
            <w:r>
              <w:rPr>
                <w:rFonts w:hint="eastAsia"/>
                <w:b/>
                <w:bCs/>
                <w:color w:val="auto"/>
                <w:highlight w:val="none"/>
              </w:rPr>
              <w:t>（必须提供，否则响应文件按无效响应处理）</w:t>
            </w:r>
          </w:p>
          <w:p w14:paraId="5E4B36B3">
            <w:pPr>
              <w:pStyle w:val="20"/>
              <w:keepNext w:val="0"/>
              <w:keepLines w:val="0"/>
              <w:suppressLineNumbers w:val="0"/>
              <w:spacing w:before="0" w:beforeAutospacing="0" w:after="0" w:afterAutospacing="0" w:line="390" w:lineRule="exact"/>
              <w:ind w:left="0" w:right="0"/>
              <w:rPr>
                <w:rFonts w:hint="eastAsia"/>
                <w:b/>
                <w:bCs/>
                <w:color w:val="auto"/>
                <w:highlight w:val="none"/>
              </w:rPr>
            </w:pPr>
            <w:r>
              <w:rPr>
                <w:rFonts w:hint="eastAsia"/>
                <w:color w:val="auto"/>
                <w:highlight w:val="none"/>
              </w:rPr>
              <w:t>3.供应商依法缴纳社会保障资金的相关材料[2025年</w:t>
            </w:r>
            <w:r>
              <w:rPr>
                <w:rFonts w:hint="eastAsia"/>
                <w:color w:val="auto"/>
                <w:highlight w:val="none"/>
                <w:lang w:val="en-US" w:eastAsia="zh-CN"/>
              </w:rPr>
              <w:t>12</w:t>
            </w:r>
            <w:r>
              <w:rPr>
                <w:rFonts w:hint="eastAsia"/>
                <w:color w:val="auto"/>
                <w:highlight w:val="none"/>
              </w:rPr>
              <w:t>月至2026年</w:t>
            </w:r>
            <w:r>
              <w:rPr>
                <w:rFonts w:hint="eastAsia"/>
                <w:color w:val="auto"/>
                <w:highlight w:val="none"/>
                <w:lang w:val="en-US" w:eastAsia="zh-CN"/>
              </w:rPr>
              <w:t>5</w:t>
            </w:r>
            <w:r>
              <w:rPr>
                <w:rFonts w:hint="eastAsia"/>
                <w:color w:val="auto"/>
                <w:highlight w:val="none"/>
              </w:rPr>
              <w:t>月内连续3个月的依法缴纳社会保障资金的缴费凭证（如：专用收据、社会保险缴纳清单或者社保部门的证明）复印件；依法不需要缴纳社会保障资金的，必须提供相应文件证明不需要缴纳社会保障资金。从成立之日起到响应文件提交截止时间止不足要求月数的只需提供从成立之日起的依法缴纳社会保障资金的相应证明文件]；</w:t>
            </w:r>
            <w:r>
              <w:rPr>
                <w:rFonts w:hint="eastAsia"/>
                <w:b/>
                <w:bCs/>
                <w:color w:val="auto"/>
                <w:highlight w:val="none"/>
              </w:rPr>
              <w:t>（必须提供，否则响应文件按无效响应处理）</w:t>
            </w:r>
          </w:p>
          <w:p w14:paraId="26B4EEBF">
            <w:pPr>
              <w:pStyle w:val="20"/>
              <w:keepNext w:val="0"/>
              <w:keepLines w:val="0"/>
              <w:suppressLineNumbers w:val="0"/>
              <w:spacing w:before="0" w:beforeAutospacing="0" w:after="0" w:afterAutospacing="0" w:line="390" w:lineRule="exact"/>
              <w:ind w:left="0" w:right="0"/>
              <w:rPr>
                <w:rFonts w:hint="eastAsia"/>
                <w:b/>
                <w:bCs/>
                <w:color w:val="auto"/>
                <w:highlight w:val="none"/>
              </w:rPr>
            </w:pPr>
            <w:r>
              <w:rPr>
                <w:rFonts w:hint="eastAsia"/>
                <w:color w:val="auto"/>
                <w:highlight w:val="none"/>
              </w:rPr>
              <w:t>4.供应商财务状况报告（</w:t>
            </w:r>
            <w:r>
              <w:rPr>
                <w:rFonts w:hint="eastAsia"/>
                <w:color w:val="auto"/>
                <w:highlight w:val="none"/>
                <w:u w:val="single"/>
              </w:rPr>
              <w:t>2025年</w:t>
            </w:r>
            <w:r>
              <w:rPr>
                <w:rFonts w:hint="eastAsia"/>
                <w:color w:val="auto"/>
                <w:highlight w:val="none"/>
              </w:rPr>
              <w:t>年度财务报表复印件，或者银行出具的资信证明，或者中国人民银行征信中心出具的信用报告（企业竞标的提供企业信用报告，自然人竞标的提供个人信用报告）；供应商属于成立时间在规定年度之后的法人或其他组织，需提供成立之日起至响应文件提交截止时间前的月报表或银行出具的资信证明或者中国人民银行征信中心出具的企业信用报告；资信证明应在有效期内，未注明有效期的，银行出具时间至响应文件提交截止时间不超过一年）；</w:t>
            </w:r>
            <w:r>
              <w:rPr>
                <w:rFonts w:hint="eastAsia"/>
                <w:b/>
                <w:bCs/>
                <w:color w:val="auto"/>
                <w:highlight w:val="none"/>
              </w:rPr>
              <w:t>（必须提供，否则响应文件按无效响应处理）</w:t>
            </w:r>
          </w:p>
          <w:p w14:paraId="2E45ECC5">
            <w:pPr>
              <w:pStyle w:val="20"/>
              <w:keepNext w:val="0"/>
              <w:keepLines w:val="0"/>
              <w:suppressLineNumbers w:val="0"/>
              <w:spacing w:before="0" w:beforeAutospacing="0" w:after="0" w:afterAutospacing="0" w:line="390" w:lineRule="exact"/>
              <w:ind w:left="0" w:right="0"/>
              <w:rPr>
                <w:rFonts w:hint="eastAsia"/>
                <w:b/>
                <w:bCs/>
                <w:color w:val="auto"/>
                <w:highlight w:val="none"/>
              </w:rPr>
            </w:pPr>
            <w:r>
              <w:rPr>
                <w:rFonts w:hint="eastAsia"/>
                <w:color w:val="auto"/>
                <w:highlight w:val="none"/>
              </w:rPr>
              <w:t>5.供应商直接控股股东信息表（格式后附）；</w:t>
            </w:r>
            <w:r>
              <w:rPr>
                <w:rFonts w:hint="eastAsia"/>
                <w:b/>
                <w:bCs/>
                <w:color w:val="auto"/>
                <w:highlight w:val="none"/>
              </w:rPr>
              <w:t>（必须提供，否则响应文件按无效响应处理）</w:t>
            </w:r>
          </w:p>
          <w:p w14:paraId="3EC77204">
            <w:pPr>
              <w:pStyle w:val="20"/>
              <w:keepNext w:val="0"/>
              <w:keepLines w:val="0"/>
              <w:suppressLineNumbers w:val="0"/>
              <w:spacing w:before="0" w:beforeAutospacing="0" w:after="0" w:afterAutospacing="0" w:line="390" w:lineRule="exact"/>
              <w:ind w:left="0" w:right="0"/>
              <w:rPr>
                <w:rFonts w:hint="eastAsia"/>
                <w:color w:val="auto"/>
                <w:highlight w:val="none"/>
              </w:rPr>
            </w:pPr>
            <w:r>
              <w:rPr>
                <w:rFonts w:hint="eastAsia"/>
                <w:color w:val="auto"/>
                <w:highlight w:val="none"/>
              </w:rPr>
              <w:t>6.供应商直接管理关系信息表（格式后附）；</w:t>
            </w:r>
            <w:r>
              <w:rPr>
                <w:rFonts w:hint="eastAsia"/>
                <w:b/>
                <w:bCs/>
                <w:color w:val="auto"/>
                <w:highlight w:val="none"/>
              </w:rPr>
              <w:t>（必须提供，否则响应文件按无效响应处理）</w:t>
            </w:r>
          </w:p>
          <w:p w14:paraId="255F46FD">
            <w:pPr>
              <w:pStyle w:val="20"/>
              <w:keepNext w:val="0"/>
              <w:keepLines w:val="0"/>
              <w:suppressLineNumbers w:val="0"/>
              <w:spacing w:before="0" w:beforeAutospacing="0" w:after="0" w:afterAutospacing="0" w:line="390" w:lineRule="exact"/>
              <w:ind w:left="0" w:right="0"/>
              <w:rPr>
                <w:rFonts w:hint="eastAsia"/>
                <w:b/>
                <w:bCs/>
                <w:color w:val="auto"/>
                <w:highlight w:val="none"/>
              </w:rPr>
            </w:pPr>
            <w:r>
              <w:rPr>
                <w:rFonts w:hint="eastAsia"/>
                <w:color w:val="auto"/>
                <w:highlight w:val="none"/>
              </w:rPr>
              <w:t>7.竞标声明（格式后附）；</w:t>
            </w:r>
            <w:r>
              <w:rPr>
                <w:rFonts w:hint="eastAsia"/>
                <w:b/>
                <w:bCs/>
                <w:color w:val="auto"/>
                <w:highlight w:val="none"/>
              </w:rPr>
              <w:t>（必须提供，否则响应文件按无效处理）</w:t>
            </w:r>
          </w:p>
          <w:p w14:paraId="49C5F2CD">
            <w:pPr>
              <w:pStyle w:val="20"/>
              <w:keepNext w:val="0"/>
              <w:keepLines w:val="0"/>
              <w:suppressLineNumbers w:val="0"/>
              <w:spacing w:before="0" w:beforeAutospacing="0" w:after="0" w:afterAutospacing="0" w:line="390" w:lineRule="exact"/>
              <w:ind w:left="0" w:right="0"/>
              <w:rPr>
                <w:rFonts w:hint="eastAsia"/>
                <w:b/>
                <w:bCs/>
                <w:color w:val="auto"/>
                <w:highlight w:val="none"/>
              </w:rPr>
            </w:pPr>
            <w:r>
              <w:rPr>
                <w:rFonts w:hint="eastAsia"/>
                <w:color w:val="auto"/>
                <w:highlight w:val="none"/>
              </w:rPr>
              <w:t>8.联合体竞标协议书（格式后附）；</w:t>
            </w:r>
            <w:r>
              <w:rPr>
                <w:rFonts w:hint="eastAsia"/>
                <w:b/>
                <w:bCs/>
                <w:color w:val="auto"/>
                <w:highlight w:val="none"/>
              </w:rPr>
              <w:t>（联合体竞标时必须提供，否则响应文件按无效处理）</w:t>
            </w:r>
          </w:p>
          <w:p w14:paraId="386EA57C">
            <w:pPr>
              <w:pStyle w:val="20"/>
              <w:keepNext w:val="0"/>
              <w:keepLines w:val="0"/>
              <w:suppressLineNumbers w:val="0"/>
              <w:spacing w:before="0" w:beforeAutospacing="0" w:after="0" w:afterAutospacing="0" w:line="390" w:lineRule="exact"/>
              <w:ind w:left="0" w:right="0"/>
              <w:rPr>
                <w:rFonts w:hint="eastAsia"/>
                <w:color w:val="auto"/>
                <w:highlight w:val="none"/>
              </w:rPr>
            </w:pPr>
            <w:r>
              <w:rPr>
                <w:rFonts w:hint="eastAsia"/>
                <w:color w:val="auto"/>
                <w:highlight w:val="none"/>
              </w:rPr>
              <w:t>9.</w:t>
            </w:r>
            <w:r>
              <w:rPr>
                <w:rFonts w:hint="eastAsia"/>
                <w:color w:val="auto"/>
                <w:highlight w:val="none"/>
              </w:rPr>
              <w:t>除谈判文件规定必须提供以外，供应商认为需要提供的其他证明材料；</w:t>
            </w:r>
          </w:p>
          <w:p w14:paraId="7EDBBAB1">
            <w:pPr>
              <w:pStyle w:val="20"/>
              <w:keepNext w:val="0"/>
              <w:keepLines w:val="0"/>
              <w:suppressLineNumbers w:val="0"/>
              <w:spacing w:before="0" w:beforeAutospacing="0" w:after="0" w:afterAutospacing="0" w:line="390" w:lineRule="exact"/>
              <w:ind w:left="0" w:right="0"/>
              <w:rPr>
                <w:rFonts w:hint="eastAsia"/>
                <w:b/>
                <w:bCs/>
                <w:color w:val="auto"/>
                <w:highlight w:val="none"/>
              </w:rPr>
            </w:pPr>
            <w:r>
              <w:rPr>
                <w:rFonts w:hint="eastAsia"/>
                <w:b/>
                <w:bCs/>
                <w:color w:val="auto"/>
                <w:highlight w:val="none"/>
              </w:rPr>
              <w:t>注：</w:t>
            </w:r>
          </w:p>
          <w:p w14:paraId="58CF025B">
            <w:pPr>
              <w:pStyle w:val="20"/>
              <w:keepNext w:val="0"/>
              <w:keepLines w:val="0"/>
              <w:suppressLineNumbers w:val="0"/>
              <w:spacing w:before="0" w:beforeAutospacing="0" w:after="0" w:afterAutospacing="0" w:line="390" w:lineRule="exact"/>
              <w:ind w:left="0" w:right="0"/>
              <w:rPr>
                <w:rFonts w:hint="eastAsia"/>
                <w:b/>
                <w:bCs/>
                <w:color w:val="auto"/>
                <w:highlight w:val="none"/>
              </w:rPr>
            </w:pPr>
            <w:r>
              <w:rPr>
                <w:rFonts w:hint="eastAsia"/>
                <w:b/>
                <w:bCs/>
                <w:color w:val="auto"/>
                <w:highlight w:val="none"/>
              </w:rPr>
              <w:t>1.以上标明</w:t>
            </w:r>
            <w:r>
              <w:rPr>
                <w:rFonts w:hint="eastAsia"/>
                <w:b/>
                <w:bCs/>
                <w:color w:val="auto"/>
                <w:highlight w:val="none"/>
                <w:lang w:eastAsia="zh-CN"/>
              </w:rPr>
              <w:t>“</w:t>
            </w:r>
            <w:r>
              <w:rPr>
                <w:rFonts w:hint="eastAsia"/>
                <w:b/>
                <w:bCs/>
                <w:color w:val="auto"/>
                <w:highlight w:val="none"/>
              </w:rPr>
              <w:t>必须提供</w:t>
            </w:r>
            <w:r>
              <w:rPr>
                <w:rFonts w:hint="eastAsia"/>
                <w:b/>
                <w:bCs/>
                <w:color w:val="auto"/>
                <w:highlight w:val="none"/>
                <w:lang w:eastAsia="zh-CN"/>
              </w:rPr>
              <w:t>”</w:t>
            </w:r>
            <w:r>
              <w:rPr>
                <w:rFonts w:hint="eastAsia"/>
                <w:b/>
                <w:bCs/>
                <w:color w:val="auto"/>
                <w:highlight w:val="none"/>
              </w:rPr>
              <w:t>的材料属于复印件的，必须加盖供应商电子签章，否则响应文件按无效处理。</w:t>
            </w:r>
          </w:p>
          <w:p w14:paraId="5787BAA7">
            <w:pPr>
              <w:pStyle w:val="20"/>
              <w:keepNext w:val="0"/>
              <w:keepLines w:val="0"/>
              <w:suppressLineNumbers w:val="0"/>
              <w:spacing w:before="0" w:beforeAutospacing="0" w:after="0" w:afterAutospacing="0" w:line="390" w:lineRule="exact"/>
              <w:ind w:left="0" w:right="0"/>
              <w:rPr>
                <w:rFonts w:hint="eastAsia"/>
                <w:b/>
                <w:bCs/>
                <w:color w:val="auto"/>
                <w:highlight w:val="none"/>
              </w:rPr>
            </w:pPr>
            <w:r>
              <w:rPr>
                <w:rFonts w:hint="eastAsia"/>
                <w:b/>
                <w:bCs/>
                <w:color w:val="auto"/>
                <w:highlight w:val="none"/>
              </w:rPr>
              <w:t>2.联合体竞标时，第 1-6联合体各方均必须分别提供，并由联合体牵头人加盖电子签章，规定签字处签字（或者电子签名），否则响应文件按无效处理。</w:t>
            </w:r>
          </w:p>
        </w:tc>
      </w:tr>
      <w:tr w14:paraId="6DB93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875" w:type="dxa"/>
            <w:noWrap w:val="0"/>
            <w:vAlign w:val="center"/>
          </w:tcPr>
          <w:p w14:paraId="0A4D4729">
            <w:pPr>
              <w:pStyle w:val="65"/>
              <w:keepNext w:val="0"/>
              <w:keepLines w:val="0"/>
              <w:numPr>
                <w:ilvl w:val="0"/>
                <w:numId w:val="0"/>
              </w:numPr>
              <w:suppressLineNumbers w:val="0"/>
              <w:spacing w:before="0" w:beforeAutospacing="0" w:after="0" w:afterAutospacing="0" w:line="390" w:lineRule="exact"/>
              <w:ind w:left="0" w:right="0" w:rightChars="0"/>
              <w:jc w:val="center"/>
              <w:rPr>
                <w:rFonts w:hint="eastAsia"/>
                <w:color w:val="auto"/>
                <w:highlight w:val="none"/>
              </w:rPr>
            </w:pPr>
            <w:r>
              <w:rPr>
                <w:rFonts w:hint="default"/>
                <w:color w:val="auto"/>
                <w:spacing w:val="1"/>
                <w:position w:val="1"/>
                <w:highlight w:val="none"/>
              </w:rPr>
              <w:t>12.1.2</w:t>
            </w:r>
          </w:p>
        </w:tc>
        <w:tc>
          <w:tcPr>
            <w:tcW w:w="8220" w:type="dxa"/>
            <w:noWrap w:val="0"/>
            <w:vAlign w:val="center"/>
          </w:tcPr>
          <w:p w14:paraId="6AFA241F">
            <w:pPr>
              <w:pStyle w:val="65"/>
              <w:keepNext w:val="0"/>
              <w:keepLines w:val="0"/>
              <w:suppressLineNumbers w:val="0"/>
              <w:spacing w:before="0" w:beforeAutospacing="0" w:after="0" w:afterAutospacing="0" w:line="390" w:lineRule="exact"/>
              <w:ind w:left="0" w:right="0"/>
              <w:rPr>
                <w:rFonts w:hint="eastAsia"/>
                <w:b/>
                <w:bCs/>
                <w:color w:val="auto"/>
                <w:highlight w:val="none"/>
              </w:rPr>
            </w:pPr>
            <w:r>
              <w:rPr>
                <w:rFonts w:hint="eastAsia"/>
                <w:b/>
                <w:bCs/>
                <w:color w:val="auto"/>
                <w:highlight w:val="none"/>
              </w:rPr>
              <w:t>报价文件</w:t>
            </w:r>
          </w:p>
          <w:p w14:paraId="67A2C2B7">
            <w:pPr>
              <w:pStyle w:val="65"/>
              <w:keepNext w:val="0"/>
              <w:keepLines w:val="0"/>
              <w:suppressLineNumbers w:val="0"/>
              <w:spacing w:before="0" w:beforeAutospacing="0" w:after="0" w:afterAutospacing="0" w:line="390" w:lineRule="exact"/>
              <w:ind w:left="0" w:right="0"/>
              <w:rPr>
                <w:rFonts w:hint="eastAsia"/>
                <w:color w:val="auto"/>
                <w:highlight w:val="none"/>
              </w:rPr>
            </w:pPr>
            <w:r>
              <w:rPr>
                <w:rFonts w:hint="eastAsia"/>
                <w:color w:val="auto"/>
                <w:highlight w:val="none"/>
              </w:rPr>
              <w:t>1.竞标报价表（格式后附）；</w:t>
            </w:r>
            <w:r>
              <w:rPr>
                <w:rFonts w:hint="eastAsia"/>
                <w:b/>
                <w:bCs/>
                <w:color w:val="auto"/>
                <w:highlight w:val="none"/>
              </w:rPr>
              <w:t>（必须提供，否则响应文件按无效处理）</w:t>
            </w:r>
          </w:p>
          <w:p w14:paraId="50BD2DB4">
            <w:pPr>
              <w:pStyle w:val="65"/>
              <w:keepNext w:val="0"/>
              <w:keepLines w:val="0"/>
              <w:suppressLineNumbers w:val="0"/>
              <w:spacing w:before="0" w:beforeAutospacing="0" w:after="0" w:afterAutospacing="0" w:line="390" w:lineRule="exact"/>
              <w:ind w:left="0" w:right="0"/>
              <w:rPr>
                <w:rFonts w:hint="eastAsia"/>
                <w:color w:val="auto"/>
                <w:highlight w:val="none"/>
              </w:rPr>
            </w:pPr>
            <w:r>
              <w:rPr>
                <w:rFonts w:hint="eastAsia"/>
                <w:color w:val="auto"/>
                <w:highlight w:val="none"/>
              </w:rPr>
              <w:t>2.供应商享受中小企业扶持政策的材料（供应商根据自身响应情况，提供以下任意一项材料以证明自身可享受中小企业扶持政策）：</w:t>
            </w:r>
          </w:p>
          <w:p w14:paraId="63BBFF41">
            <w:pPr>
              <w:pStyle w:val="65"/>
              <w:keepNext w:val="0"/>
              <w:keepLines w:val="0"/>
              <w:suppressLineNumbers w:val="0"/>
              <w:spacing w:before="0" w:beforeAutospacing="0" w:after="0" w:afterAutospacing="0" w:line="390" w:lineRule="exact"/>
              <w:ind w:left="0" w:right="0"/>
              <w:rPr>
                <w:rFonts w:hint="eastAsia"/>
                <w:color w:val="auto"/>
                <w:highlight w:val="none"/>
              </w:rPr>
            </w:pPr>
            <w:r>
              <w:rPr>
                <w:rFonts w:hint="eastAsia"/>
                <w:color w:val="auto"/>
                <w:highlight w:val="none"/>
              </w:rPr>
              <w:t>（1）《中小企业声明函》（格式后附）；</w:t>
            </w:r>
          </w:p>
          <w:p w14:paraId="1A65DEC7">
            <w:pPr>
              <w:pStyle w:val="65"/>
              <w:keepNext w:val="0"/>
              <w:keepLines w:val="0"/>
              <w:suppressLineNumbers w:val="0"/>
              <w:spacing w:before="0" w:beforeAutospacing="0" w:after="0" w:afterAutospacing="0" w:line="390" w:lineRule="exact"/>
              <w:ind w:left="0" w:right="0"/>
              <w:rPr>
                <w:rFonts w:hint="eastAsia" w:eastAsia="宋体"/>
                <w:color w:val="auto"/>
                <w:highlight w:val="none"/>
                <w:lang w:val="en-US" w:eastAsia="zh-CN"/>
              </w:rPr>
            </w:pPr>
            <w:r>
              <w:rPr>
                <w:rFonts w:hint="eastAsia"/>
                <w:color w:val="auto"/>
                <w:highlight w:val="none"/>
              </w:rPr>
              <w:t>（2）《残疾人福利性单位声明函》（格式后附）</w:t>
            </w:r>
            <w:r>
              <w:rPr>
                <w:rFonts w:hint="eastAsia"/>
                <w:color w:val="auto"/>
                <w:highlight w:val="none"/>
                <w:lang w:val="en-US" w:eastAsia="zh-CN"/>
              </w:rPr>
              <w:t>；</w:t>
            </w:r>
          </w:p>
          <w:p w14:paraId="48D74292">
            <w:pPr>
              <w:pStyle w:val="65"/>
              <w:keepNext w:val="0"/>
              <w:keepLines w:val="0"/>
              <w:suppressLineNumbers w:val="0"/>
              <w:spacing w:before="0" w:beforeAutospacing="0" w:after="0" w:afterAutospacing="0" w:line="390" w:lineRule="exact"/>
              <w:ind w:left="0" w:right="0"/>
              <w:rPr>
                <w:rFonts w:hint="eastAsia"/>
                <w:color w:val="auto"/>
                <w:highlight w:val="none"/>
              </w:rPr>
            </w:pPr>
            <w:r>
              <w:rPr>
                <w:rFonts w:hint="eastAsia"/>
                <w:color w:val="auto"/>
                <w:highlight w:val="none"/>
              </w:rPr>
              <w:t>（3）省级以上监狱管理局、戒毒管理局(含新疆生产建设兵团)出具的属于监狱企业的证明文件；</w:t>
            </w:r>
          </w:p>
          <w:p w14:paraId="4E7E9F9F">
            <w:pPr>
              <w:pStyle w:val="65"/>
              <w:keepNext w:val="0"/>
              <w:keepLines w:val="0"/>
              <w:suppressLineNumbers w:val="0"/>
              <w:spacing w:before="0" w:beforeAutospacing="0" w:after="0" w:afterAutospacing="0" w:line="390" w:lineRule="exact"/>
              <w:ind w:left="0" w:right="0"/>
              <w:rPr>
                <w:rFonts w:hint="eastAsia" w:eastAsia="宋体"/>
                <w:color w:val="auto"/>
                <w:highlight w:val="none"/>
                <w:lang w:val="en-US" w:eastAsia="zh-CN"/>
              </w:rPr>
            </w:pPr>
            <w:r>
              <w:rPr>
                <w:rFonts w:hint="eastAsia"/>
                <w:color w:val="auto"/>
                <w:highlight w:val="none"/>
              </w:rPr>
              <w:t>3.《关于符合本国产品标准的声明函》或者财政部会同有关部门规定的有关证明文件；（供应商根据自身响应情况出具）</w:t>
            </w:r>
          </w:p>
          <w:p w14:paraId="5ED57A40">
            <w:pPr>
              <w:pStyle w:val="65"/>
              <w:keepNext w:val="0"/>
              <w:keepLines w:val="0"/>
              <w:suppressLineNumbers w:val="0"/>
              <w:spacing w:before="0" w:beforeAutospacing="0" w:after="0" w:afterAutospacing="0" w:line="390" w:lineRule="exact"/>
              <w:ind w:left="0" w:right="0"/>
              <w:rPr>
                <w:rFonts w:hint="eastAsia"/>
                <w:color w:val="auto"/>
                <w:highlight w:val="none"/>
              </w:rPr>
            </w:pPr>
            <w:r>
              <w:rPr>
                <w:rFonts w:hint="eastAsia"/>
                <w:color w:val="auto"/>
                <w:highlight w:val="none"/>
              </w:rPr>
              <w:t>4.供应商认为需要提供的其他有关资料。</w:t>
            </w:r>
          </w:p>
        </w:tc>
      </w:tr>
      <w:tr w14:paraId="22305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75" w:type="dxa"/>
            <w:noWrap w:val="0"/>
            <w:vAlign w:val="center"/>
          </w:tcPr>
          <w:p w14:paraId="5BB903E0">
            <w:pPr>
              <w:pStyle w:val="65"/>
              <w:keepNext w:val="0"/>
              <w:keepLines w:val="0"/>
              <w:numPr>
                <w:ilvl w:val="0"/>
                <w:numId w:val="0"/>
              </w:numPr>
              <w:suppressLineNumbers w:val="0"/>
              <w:spacing w:before="0" w:beforeAutospacing="0" w:after="0" w:afterAutospacing="0" w:line="390" w:lineRule="exact"/>
              <w:ind w:left="0" w:right="0" w:rightChars="0"/>
              <w:jc w:val="center"/>
              <w:rPr>
                <w:rFonts w:hint="eastAsia"/>
                <w:color w:val="auto"/>
                <w:highlight w:val="none"/>
              </w:rPr>
            </w:pPr>
            <w:r>
              <w:rPr>
                <w:rFonts w:hint="eastAsia"/>
                <w:color w:val="auto"/>
                <w:highlight w:val="none"/>
              </w:rPr>
              <w:t>12.1.3</w:t>
            </w:r>
          </w:p>
        </w:tc>
        <w:tc>
          <w:tcPr>
            <w:tcW w:w="8220" w:type="dxa"/>
            <w:noWrap w:val="0"/>
            <w:vAlign w:val="center"/>
          </w:tcPr>
          <w:p w14:paraId="132E2D10">
            <w:pPr>
              <w:pStyle w:val="20"/>
              <w:keepNext w:val="0"/>
              <w:keepLines w:val="0"/>
              <w:suppressLineNumbers w:val="0"/>
              <w:spacing w:before="0" w:beforeAutospacing="0" w:after="0" w:afterAutospacing="0" w:line="390" w:lineRule="exact"/>
              <w:ind w:left="0" w:right="0"/>
              <w:rPr>
                <w:rFonts w:hint="eastAsia"/>
                <w:b/>
                <w:bCs/>
                <w:color w:val="auto"/>
                <w:highlight w:val="none"/>
              </w:rPr>
            </w:pPr>
            <w:r>
              <w:rPr>
                <w:rFonts w:hint="eastAsia"/>
                <w:b/>
                <w:bCs/>
                <w:color w:val="auto"/>
                <w:highlight w:val="none"/>
              </w:rPr>
              <w:t>商务技术文件</w:t>
            </w:r>
          </w:p>
          <w:p w14:paraId="3283C1DB">
            <w:pPr>
              <w:pStyle w:val="20"/>
              <w:keepNext w:val="0"/>
              <w:keepLines w:val="0"/>
              <w:suppressLineNumbers w:val="0"/>
              <w:spacing w:before="0" w:beforeAutospacing="0" w:after="0" w:afterAutospacing="0" w:line="390" w:lineRule="exact"/>
              <w:ind w:left="0" w:right="0"/>
              <w:rPr>
                <w:rFonts w:hint="eastAsia"/>
                <w:color w:val="auto"/>
                <w:highlight w:val="none"/>
              </w:rPr>
            </w:pPr>
            <w:r>
              <w:rPr>
                <w:rFonts w:hint="eastAsia"/>
                <w:color w:val="auto"/>
                <w:highlight w:val="none"/>
              </w:rPr>
              <w:t>1.无串通竞标行为的承诺函（格式后附）；</w:t>
            </w:r>
            <w:r>
              <w:rPr>
                <w:rFonts w:hint="eastAsia"/>
                <w:b/>
                <w:bCs/>
                <w:color w:val="auto"/>
                <w:highlight w:val="none"/>
              </w:rPr>
              <w:t>（必须提供，否则响应文件按无效处理）</w:t>
            </w:r>
          </w:p>
          <w:p w14:paraId="3BDFB770">
            <w:pPr>
              <w:pStyle w:val="20"/>
              <w:keepNext w:val="0"/>
              <w:keepLines w:val="0"/>
              <w:suppressLineNumbers w:val="0"/>
              <w:spacing w:before="0" w:beforeAutospacing="0" w:after="0" w:afterAutospacing="0" w:line="390" w:lineRule="exact"/>
              <w:ind w:left="0" w:right="0"/>
              <w:rPr>
                <w:rFonts w:hint="eastAsia"/>
                <w:color w:val="auto"/>
                <w:highlight w:val="none"/>
              </w:rPr>
            </w:pPr>
            <w:r>
              <w:rPr>
                <w:rFonts w:hint="eastAsia"/>
                <w:color w:val="auto"/>
                <w:highlight w:val="none"/>
              </w:rPr>
              <w:t>2.法定代表人身份证明书及法定代表人有效身份证正反面复印件（格式后附）；</w:t>
            </w:r>
            <w:r>
              <w:rPr>
                <w:rFonts w:hint="eastAsia"/>
                <w:b/>
                <w:bCs/>
                <w:color w:val="auto"/>
                <w:highlight w:val="none"/>
              </w:rPr>
              <w:t>（必须提供，否则响应文件按无效处理）</w:t>
            </w:r>
          </w:p>
          <w:p w14:paraId="7874BD67">
            <w:pPr>
              <w:pStyle w:val="20"/>
              <w:keepNext w:val="0"/>
              <w:keepLines w:val="0"/>
              <w:suppressLineNumbers w:val="0"/>
              <w:spacing w:before="0" w:beforeAutospacing="0" w:after="0" w:afterAutospacing="0" w:line="390" w:lineRule="exact"/>
              <w:ind w:left="0" w:right="0"/>
              <w:rPr>
                <w:rFonts w:hint="eastAsia"/>
                <w:color w:val="auto"/>
                <w:highlight w:val="none"/>
              </w:rPr>
            </w:pPr>
            <w:r>
              <w:rPr>
                <w:rFonts w:hint="eastAsia"/>
                <w:color w:val="auto"/>
                <w:highlight w:val="none"/>
              </w:rPr>
              <w:t>3.授权委托书及委托代理人有效身份证正反面复印件（格式后附） ；</w:t>
            </w:r>
            <w:r>
              <w:rPr>
                <w:rFonts w:hint="eastAsia"/>
                <w:b/>
                <w:bCs/>
                <w:color w:val="auto"/>
                <w:highlight w:val="none"/>
              </w:rPr>
              <w:t>（委托时必须提供，否则响应文件按无效处理）</w:t>
            </w:r>
          </w:p>
          <w:p w14:paraId="48FFC8DE">
            <w:pPr>
              <w:pStyle w:val="20"/>
              <w:keepNext w:val="0"/>
              <w:keepLines w:val="0"/>
              <w:suppressLineNumbers w:val="0"/>
              <w:spacing w:before="0" w:beforeAutospacing="0" w:after="0" w:afterAutospacing="0" w:line="390" w:lineRule="exact"/>
              <w:ind w:left="0" w:right="0"/>
              <w:rPr>
                <w:rFonts w:hint="eastAsia"/>
                <w:b/>
                <w:bCs/>
                <w:color w:val="auto"/>
                <w:highlight w:val="none"/>
              </w:rPr>
            </w:pPr>
            <w:r>
              <w:rPr>
                <w:rFonts w:hint="eastAsia"/>
                <w:color w:val="auto"/>
                <w:highlight w:val="none"/>
              </w:rPr>
              <w:t>4.竞标保证金提交凭证；</w:t>
            </w:r>
            <w:r>
              <w:rPr>
                <w:rFonts w:hint="eastAsia"/>
                <w:b/>
                <w:bCs/>
                <w:color w:val="auto"/>
                <w:highlight w:val="none"/>
              </w:rPr>
              <w:t>（如要求提交竞标保证金的则必须提供，否则响应文件按无效处理）</w:t>
            </w:r>
          </w:p>
          <w:p w14:paraId="26E00C21">
            <w:pPr>
              <w:pStyle w:val="20"/>
              <w:keepNext w:val="0"/>
              <w:keepLines w:val="0"/>
              <w:suppressLineNumbers w:val="0"/>
              <w:spacing w:before="0" w:beforeAutospacing="0" w:after="0" w:afterAutospacing="0" w:line="390" w:lineRule="exact"/>
              <w:ind w:left="0" w:right="0"/>
              <w:rPr>
                <w:rFonts w:hint="eastAsia"/>
                <w:color w:val="auto"/>
                <w:highlight w:val="none"/>
              </w:rPr>
            </w:pPr>
            <w:r>
              <w:rPr>
                <w:rFonts w:hint="eastAsia"/>
                <w:color w:val="auto"/>
                <w:highlight w:val="none"/>
              </w:rPr>
              <w:t>5.商务要求偏离表（格式后附）；</w:t>
            </w:r>
            <w:r>
              <w:rPr>
                <w:rFonts w:hint="eastAsia"/>
                <w:b/>
                <w:bCs/>
                <w:color w:val="auto"/>
                <w:highlight w:val="none"/>
              </w:rPr>
              <w:t>（必须提供，否则响应文件按无效处理）</w:t>
            </w:r>
          </w:p>
          <w:p w14:paraId="79F8C486">
            <w:pPr>
              <w:pStyle w:val="20"/>
              <w:keepNext w:val="0"/>
              <w:keepLines w:val="0"/>
              <w:suppressLineNumbers w:val="0"/>
              <w:spacing w:before="0" w:beforeAutospacing="0" w:after="0" w:afterAutospacing="0" w:line="390" w:lineRule="exact"/>
              <w:ind w:left="0" w:right="0"/>
              <w:rPr>
                <w:rFonts w:hint="eastAsia"/>
                <w:color w:val="auto"/>
                <w:highlight w:val="none"/>
              </w:rPr>
            </w:pPr>
            <w:r>
              <w:rPr>
                <w:rFonts w:hint="eastAsia"/>
                <w:color w:val="auto"/>
                <w:highlight w:val="none"/>
              </w:rPr>
              <w:t>6.售后服务承诺（格式自拟）；</w:t>
            </w:r>
            <w:r>
              <w:rPr>
                <w:rFonts w:hint="eastAsia"/>
                <w:b/>
                <w:bCs/>
                <w:color w:val="auto"/>
                <w:highlight w:val="none"/>
              </w:rPr>
              <w:t>（必须提供，否则响应文件按无效处理）</w:t>
            </w:r>
          </w:p>
          <w:p w14:paraId="24F2B297">
            <w:pPr>
              <w:pStyle w:val="20"/>
              <w:keepNext w:val="0"/>
              <w:keepLines w:val="0"/>
              <w:suppressLineNumbers w:val="0"/>
              <w:spacing w:before="0" w:beforeAutospacing="0" w:after="0" w:afterAutospacing="0" w:line="390" w:lineRule="exact"/>
              <w:ind w:left="0" w:right="0"/>
              <w:rPr>
                <w:rFonts w:hint="eastAsia"/>
                <w:color w:val="auto"/>
                <w:highlight w:val="none"/>
              </w:rPr>
            </w:pPr>
            <w:r>
              <w:rPr>
                <w:rFonts w:hint="eastAsia"/>
                <w:color w:val="auto"/>
                <w:highlight w:val="none"/>
              </w:rPr>
              <w:t>7.货物配置清单（均不含报价）（格式后附）；</w:t>
            </w:r>
            <w:r>
              <w:rPr>
                <w:rFonts w:hint="eastAsia"/>
                <w:b/>
                <w:bCs/>
                <w:color w:val="auto"/>
                <w:highlight w:val="none"/>
              </w:rPr>
              <w:t>（必须提供，否则响应文件按无效处理）</w:t>
            </w:r>
          </w:p>
          <w:p w14:paraId="7CB57981">
            <w:pPr>
              <w:pStyle w:val="20"/>
              <w:keepNext w:val="0"/>
              <w:keepLines w:val="0"/>
              <w:suppressLineNumbers w:val="0"/>
              <w:spacing w:before="0" w:beforeAutospacing="0" w:after="0" w:afterAutospacing="0" w:line="390" w:lineRule="exact"/>
              <w:ind w:left="0" w:right="0"/>
              <w:rPr>
                <w:rFonts w:hint="eastAsia"/>
                <w:color w:val="auto"/>
                <w:highlight w:val="none"/>
              </w:rPr>
            </w:pPr>
            <w:r>
              <w:rPr>
                <w:rFonts w:hint="eastAsia"/>
                <w:color w:val="auto"/>
                <w:highlight w:val="none"/>
              </w:rPr>
              <w:t>8.技术要求偏离表（格式后附）；</w:t>
            </w:r>
            <w:r>
              <w:rPr>
                <w:rFonts w:hint="eastAsia"/>
                <w:b/>
                <w:bCs/>
                <w:color w:val="auto"/>
                <w:highlight w:val="none"/>
              </w:rPr>
              <w:t>（必须提供，否则响应文件按无效处理）</w:t>
            </w:r>
          </w:p>
          <w:p w14:paraId="00326EA0">
            <w:pPr>
              <w:pStyle w:val="20"/>
              <w:keepNext w:val="0"/>
              <w:keepLines w:val="0"/>
              <w:suppressLineNumbers w:val="0"/>
              <w:spacing w:before="0" w:beforeAutospacing="0" w:after="0" w:afterAutospacing="0" w:line="390" w:lineRule="exact"/>
              <w:ind w:left="0" w:right="0"/>
              <w:rPr>
                <w:rFonts w:hint="eastAsia"/>
                <w:color w:val="auto"/>
                <w:highlight w:val="none"/>
              </w:rPr>
            </w:pPr>
            <w:r>
              <w:rPr>
                <w:rFonts w:hint="eastAsia"/>
                <w:color w:val="auto"/>
                <w:highlight w:val="none"/>
                <w:lang w:val="en-US" w:eastAsia="zh-CN"/>
              </w:rPr>
              <w:t>9</w:t>
            </w:r>
            <w:r>
              <w:rPr>
                <w:rFonts w:hint="eastAsia"/>
                <w:color w:val="auto"/>
                <w:highlight w:val="none"/>
              </w:rPr>
              <w:t>.对应采购需求的技术要求、商务要求提供的其他文件资料（格式自拟）；</w:t>
            </w:r>
          </w:p>
          <w:p w14:paraId="626D8FC1">
            <w:pPr>
              <w:pStyle w:val="20"/>
              <w:keepNext w:val="0"/>
              <w:keepLines w:val="0"/>
              <w:suppressLineNumbers w:val="0"/>
              <w:spacing w:before="0" w:beforeAutospacing="0" w:after="0" w:afterAutospacing="0" w:line="390" w:lineRule="exact"/>
              <w:ind w:left="0" w:right="0"/>
              <w:rPr>
                <w:rFonts w:hint="eastAsia"/>
                <w:color w:val="auto"/>
                <w:highlight w:val="none"/>
              </w:rPr>
            </w:pPr>
            <w:r>
              <w:rPr>
                <w:rFonts w:hint="eastAsia"/>
                <w:color w:val="auto"/>
                <w:highlight w:val="none"/>
                <w:lang w:val="en-US" w:eastAsia="zh-CN"/>
              </w:rPr>
              <w:t>10</w:t>
            </w:r>
            <w:r>
              <w:rPr>
                <w:rFonts w:hint="eastAsia"/>
                <w:color w:val="auto"/>
                <w:highlight w:val="none"/>
              </w:rPr>
              <w:t>.供应商认为需要提供的其他有关资料。</w:t>
            </w:r>
          </w:p>
          <w:p w14:paraId="2E7FFB31">
            <w:pPr>
              <w:pStyle w:val="20"/>
              <w:keepNext w:val="0"/>
              <w:keepLines w:val="0"/>
              <w:suppressLineNumbers w:val="0"/>
              <w:spacing w:before="0" w:beforeAutospacing="0" w:after="0" w:afterAutospacing="0" w:line="390" w:lineRule="exact"/>
              <w:ind w:left="0" w:right="0"/>
              <w:rPr>
                <w:rFonts w:hint="eastAsia"/>
                <w:color w:val="auto"/>
                <w:highlight w:val="none"/>
              </w:rPr>
            </w:pPr>
            <w:r>
              <w:rPr>
                <w:rFonts w:hint="eastAsia"/>
                <w:b/>
                <w:bCs/>
                <w:color w:val="auto"/>
                <w:highlight w:val="none"/>
              </w:rPr>
              <w:t>注：以上标明</w:t>
            </w:r>
            <w:r>
              <w:rPr>
                <w:rFonts w:hint="eastAsia"/>
                <w:b/>
                <w:bCs/>
                <w:color w:val="auto"/>
                <w:highlight w:val="none"/>
                <w:lang w:eastAsia="zh-CN"/>
              </w:rPr>
              <w:t>“</w:t>
            </w:r>
            <w:r>
              <w:rPr>
                <w:rFonts w:hint="eastAsia"/>
                <w:b/>
                <w:bCs/>
                <w:color w:val="auto"/>
                <w:highlight w:val="none"/>
              </w:rPr>
              <w:t>必须提供</w:t>
            </w:r>
            <w:r>
              <w:rPr>
                <w:rFonts w:hint="eastAsia"/>
                <w:b/>
                <w:bCs/>
                <w:color w:val="auto"/>
                <w:highlight w:val="none"/>
                <w:lang w:eastAsia="zh-CN"/>
              </w:rPr>
              <w:t>”</w:t>
            </w:r>
            <w:r>
              <w:rPr>
                <w:rFonts w:hint="eastAsia"/>
                <w:b/>
                <w:bCs/>
                <w:color w:val="auto"/>
                <w:highlight w:val="none"/>
              </w:rPr>
              <w:t>材料复印件的，必须加盖供应商电子签章，否则响应文件按无效处理。</w:t>
            </w:r>
          </w:p>
        </w:tc>
      </w:tr>
      <w:tr w14:paraId="7FC35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75" w:type="dxa"/>
            <w:noWrap w:val="0"/>
            <w:vAlign w:val="center"/>
          </w:tcPr>
          <w:p w14:paraId="6CCF61A8">
            <w:pPr>
              <w:pStyle w:val="65"/>
              <w:keepNext w:val="0"/>
              <w:keepLines w:val="0"/>
              <w:numPr>
                <w:ilvl w:val="0"/>
                <w:numId w:val="0"/>
              </w:numPr>
              <w:suppressLineNumbers w:val="0"/>
              <w:spacing w:before="0" w:beforeAutospacing="0" w:after="0" w:afterAutospacing="0" w:line="390" w:lineRule="exact"/>
              <w:ind w:left="0" w:right="0" w:rightChars="0"/>
              <w:jc w:val="center"/>
              <w:rPr>
                <w:rFonts w:hint="eastAsia"/>
                <w:color w:val="auto"/>
                <w:highlight w:val="none"/>
              </w:rPr>
            </w:pPr>
            <w:r>
              <w:rPr>
                <w:rFonts w:hint="eastAsia"/>
                <w:color w:val="auto"/>
                <w:highlight w:val="none"/>
              </w:rPr>
              <w:t>16.2</w:t>
            </w:r>
          </w:p>
        </w:tc>
        <w:tc>
          <w:tcPr>
            <w:tcW w:w="8220" w:type="dxa"/>
            <w:noWrap w:val="0"/>
            <w:vAlign w:val="center"/>
          </w:tcPr>
          <w:p w14:paraId="73E7A6C0">
            <w:pPr>
              <w:pStyle w:val="65"/>
              <w:keepNext w:val="0"/>
              <w:keepLines w:val="0"/>
              <w:suppressLineNumbers w:val="0"/>
              <w:spacing w:before="0" w:beforeAutospacing="0" w:after="0" w:afterAutospacing="0" w:line="390" w:lineRule="exact"/>
              <w:ind w:left="0" w:right="0"/>
              <w:rPr>
                <w:rFonts w:hint="eastAsia"/>
                <w:color w:val="auto"/>
                <w:highlight w:val="none"/>
              </w:rPr>
            </w:pPr>
            <w:r>
              <w:rPr>
                <w:rFonts w:hint="eastAsia"/>
                <w:color w:val="auto"/>
                <w:highlight w:val="none"/>
              </w:rPr>
              <w:t>竞标有效期：自首次响应文件提交截止之日起</w:t>
            </w:r>
            <w:r>
              <w:rPr>
                <w:rFonts w:hint="eastAsia"/>
                <w:color w:val="auto"/>
                <w:highlight w:val="none"/>
                <w:u w:val="single"/>
              </w:rPr>
              <w:t>60</w:t>
            </w:r>
            <w:r>
              <w:rPr>
                <w:rFonts w:hint="eastAsia"/>
                <w:color w:val="auto"/>
                <w:highlight w:val="none"/>
              </w:rPr>
              <w:t>日。</w:t>
            </w:r>
          </w:p>
        </w:tc>
      </w:tr>
      <w:tr w14:paraId="0C0CF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75" w:type="dxa"/>
            <w:noWrap w:val="0"/>
            <w:vAlign w:val="center"/>
          </w:tcPr>
          <w:p w14:paraId="3294CBF8">
            <w:pPr>
              <w:pStyle w:val="65"/>
              <w:keepNext w:val="0"/>
              <w:keepLines w:val="0"/>
              <w:numPr>
                <w:ilvl w:val="0"/>
                <w:numId w:val="0"/>
              </w:numPr>
              <w:suppressLineNumbers w:val="0"/>
              <w:spacing w:before="0" w:beforeAutospacing="0" w:after="0" w:afterAutospacing="0" w:line="390" w:lineRule="exact"/>
              <w:ind w:left="0" w:right="0" w:rightChars="0"/>
              <w:jc w:val="center"/>
              <w:rPr>
                <w:rFonts w:hint="eastAsia"/>
                <w:color w:val="auto"/>
                <w:highlight w:val="none"/>
              </w:rPr>
            </w:pPr>
            <w:r>
              <w:rPr>
                <w:rFonts w:hint="eastAsia"/>
                <w:color w:val="auto"/>
                <w:highlight w:val="none"/>
              </w:rPr>
              <w:t>17.1</w:t>
            </w:r>
          </w:p>
        </w:tc>
        <w:tc>
          <w:tcPr>
            <w:tcW w:w="8220" w:type="dxa"/>
            <w:noWrap w:val="0"/>
            <w:vAlign w:val="center"/>
          </w:tcPr>
          <w:p w14:paraId="2ECCA35A">
            <w:pPr>
              <w:pStyle w:val="65"/>
              <w:keepNext w:val="0"/>
              <w:keepLines w:val="0"/>
              <w:suppressLineNumbers w:val="0"/>
              <w:spacing w:before="0" w:beforeAutospacing="0" w:after="0" w:afterAutospacing="0" w:line="390" w:lineRule="exact"/>
              <w:ind w:left="0" w:right="0"/>
              <w:rPr>
                <w:rFonts w:hint="eastAsia"/>
                <w:color w:val="auto"/>
                <w:highlight w:val="none"/>
              </w:rPr>
            </w:pPr>
            <w:r>
              <w:rPr>
                <w:rFonts w:hint="eastAsia"/>
                <w:color w:val="auto"/>
                <w:highlight w:val="none"/>
              </w:rPr>
              <w:t>□本项目不收取竞标保证金。</w:t>
            </w:r>
          </w:p>
          <w:p w14:paraId="2C93C629">
            <w:pPr>
              <w:pStyle w:val="65"/>
              <w:keepNext w:val="0"/>
              <w:keepLines w:val="0"/>
              <w:suppressLineNumbers w:val="0"/>
              <w:spacing w:before="0" w:beforeAutospacing="0" w:after="0" w:afterAutospacing="0" w:line="390" w:lineRule="exact"/>
              <w:ind w:left="0" w:right="0"/>
              <w:rPr>
                <w:rFonts w:hint="eastAsia"/>
                <w:color w:val="auto"/>
                <w:highlight w:val="none"/>
              </w:rPr>
            </w:pPr>
            <w:r>
              <w:rPr>
                <w:rFonts w:hint="eastAsia"/>
                <w:color w:val="auto"/>
                <w:highlight w:val="none"/>
              </w:rPr>
              <w:t>☑本项目收取竞标保证金，具体规定如下：</w:t>
            </w:r>
          </w:p>
          <w:p w14:paraId="7FE85C18">
            <w:pPr>
              <w:pStyle w:val="65"/>
              <w:keepNext w:val="0"/>
              <w:keepLines w:val="0"/>
              <w:suppressLineNumbers w:val="0"/>
              <w:spacing w:before="0" w:beforeAutospacing="0" w:after="0" w:afterAutospacing="0" w:line="390" w:lineRule="exact"/>
              <w:ind w:left="0" w:right="0"/>
              <w:rPr>
                <w:rFonts w:hint="eastAsia"/>
                <w:color w:val="auto"/>
                <w:highlight w:val="none"/>
              </w:rPr>
            </w:pPr>
            <w:r>
              <w:rPr>
                <w:rFonts w:hint="eastAsia"/>
                <w:color w:val="auto"/>
                <w:highlight w:val="none"/>
              </w:rPr>
              <w:t>竞</w:t>
            </w:r>
            <w:r>
              <w:rPr>
                <w:rFonts w:hint="eastAsia"/>
                <w:color w:val="auto"/>
                <w:highlight w:val="none"/>
              </w:rPr>
              <w:t>标保证金人民币</w:t>
            </w:r>
            <w:r>
              <w:rPr>
                <w:rFonts w:hint="eastAsia"/>
                <w:color w:val="auto"/>
                <w:highlight w:val="none"/>
                <w:u w:val="single"/>
                <w:lang w:val="en-US" w:eastAsia="zh-CN"/>
              </w:rPr>
              <w:t xml:space="preserve"> 1</w:t>
            </w:r>
            <w:r>
              <w:rPr>
                <w:rFonts w:hint="eastAsia"/>
                <w:color w:val="auto"/>
                <w:highlight w:val="none"/>
                <w:u w:val="single"/>
              </w:rPr>
              <w:t>0000</w:t>
            </w:r>
            <w:r>
              <w:rPr>
                <w:rFonts w:hint="eastAsia"/>
                <w:color w:val="auto"/>
                <w:highlight w:val="none"/>
                <w:u w:val="single"/>
                <w:lang w:val="en-US" w:eastAsia="zh-CN"/>
              </w:rPr>
              <w:t xml:space="preserve">.00 </w:t>
            </w:r>
            <w:r>
              <w:rPr>
                <w:rFonts w:hint="eastAsia"/>
                <w:color w:val="auto"/>
                <w:highlight w:val="none"/>
              </w:rPr>
              <w:t>元。</w:t>
            </w:r>
          </w:p>
          <w:p w14:paraId="4C25BAB9">
            <w:pPr>
              <w:pStyle w:val="65"/>
              <w:keepNext w:val="0"/>
              <w:keepLines w:val="0"/>
              <w:suppressLineNumbers w:val="0"/>
              <w:spacing w:before="0" w:beforeAutospacing="0" w:after="0" w:afterAutospacing="0" w:line="390" w:lineRule="exact"/>
              <w:ind w:left="0" w:right="0"/>
              <w:rPr>
                <w:rFonts w:hint="eastAsia"/>
                <w:color w:val="auto"/>
                <w:highlight w:val="none"/>
              </w:rPr>
            </w:pPr>
            <w:r>
              <w:rPr>
                <w:rFonts w:hint="eastAsia"/>
                <w:color w:val="auto"/>
                <w:highlight w:val="none"/>
              </w:rPr>
              <w:t>竞标保证金的交纳方式：银行转账、支票、汇票、本票或者银行、保险机构出具的保函，禁止采用现钞方式。采用银行转账方式的，在响应文件提交截止时间前交至指定账户并 且到账（开户名称：</w:t>
            </w:r>
            <w:r>
              <w:rPr>
                <w:rFonts w:hint="eastAsia"/>
                <w:color w:val="auto"/>
                <w:highlight w:val="none"/>
                <w:lang w:eastAsia="zh-CN"/>
              </w:rPr>
              <w:t>广西众联建设工程监理有限公司</w:t>
            </w:r>
            <w:r>
              <w:rPr>
                <w:rFonts w:hint="eastAsia"/>
                <w:color w:val="auto"/>
                <w:highlight w:val="none"/>
              </w:rPr>
              <w:t>、银行账号：78900188000323612、开户银行：中国光大银行南宁民主支行）；采用支票、汇票、本票或者保函等方式的，在响应文件提交截止时间前，供应商必须提交单独密封的支票、汇票、本票或者保函原件。否则视为无效竞标保证金。</w:t>
            </w:r>
          </w:p>
          <w:p w14:paraId="072A0D1B">
            <w:pPr>
              <w:pStyle w:val="65"/>
              <w:keepNext w:val="0"/>
              <w:keepLines w:val="0"/>
              <w:suppressLineNumbers w:val="0"/>
              <w:spacing w:before="0" w:beforeAutospacing="0" w:after="0" w:afterAutospacing="0" w:line="390" w:lineRule="exact"/>
              <w:ind w:left="0" w:right="0"/>
              <w:rPr>
                <w:rFonts w:hint="eastAsia"/>
                <w:color w:val="auto"/>
                <w:highlight w:val="none"/>
              </w:rPr>
            </w:pPr>
            <w:r>
              <w:rPr>
                <w:rFonts w:hint="eastAsia"/>
                <w:color w:val="auto"/>
                <w:highlight w:val="none"/>
              </w:rPr>
              <w:t>相关要求：</w:t>
            </w:r>
          </w:p>
          <w:p w14:paraId="7878CD3C">
            <w:pPr>
              <w:pStyle w:val="65"/>
              <w:keepNext w:val="0"/>
              <w:keepLines w:val="0"/>
              <w:suppressLineNumbers w:val="0"/>
              <w:spacing w:before="0" w:beforeAutospacing="0" w:after="0" w:afterAutospacing="0" w:line="390" w:lineRule="exact"/>
              <w:ind w:left="0" w:right="0"/>
              <w:rPr>
                <w:rFonts w:hint="eastAsia"/>
                <w:color w:val="auto"/>
                <w:highlight w:val="none"/>
              </w:rPr>
            </w:pPr>
            <w:r>
              <w:rPr>
                <w:rFonts w:hint="eastAsia"/>
                <w:color w:val="auto"/>
                <w:highlight w:val="none"/>
              </w:rPr>
              <w:t>1.竞标保证金采用银行转账交纳方式的，请在银行转账底单备注</w:t>
            </w:r>
            <w:r>
              <w:rPr>
                <w:rFonts w:hint="eastAsia"/>
                <w:color w:val="auto"/>
                <w:highlight w:val="none"/>
                <w:lang w:eastAsia="zh-CN"/>
              </w:rPr>
              <w:t>“（</w:t>
            </w:r>
            <w:r>
              <w:rPr>
                <w:rFonts w:hint="eastAsia"/>
                <w:color w:val="auto"/>
                <w:highlight w:val="none"/>
                <w:lang w:val="en-US" w:eastAsia="zh-CN"/>
              </w:rPr>
              <w:t>项目编号</w:t>
            </w:r>
            <w:r>
              <w:rPr>
                <w:rFonts w:hint="eastAsia"/>
                <w:color w:val="auto"/>
                <w:highlight w:val="none"/>
                <w:lang w:eastAsia="zh-CN"/>
              </w:rPr>
              <w:t>）</w:t>
            </w:r>
            <w:r>
              <w:rPr>
                <w:rFonts w:hint="eastAsia"/>
                <w:color w:val="auto"/>
                <w:highlight w:val="none"/>
              </w:rPr>
              <w:t>竞标保证金</w:t>
            </w:r>
            <w:r>
              <w:rPr>
                <w:rFonts w:hint="eastAsia"/>
                <w:color w:val="auto"/>
                <w:highlight w:val="none"/>
                <w:lang w:eastAsia="zh-CN"/>
              </w:rPr>
              <w:t>”</w:t>
            </w:r>
            <w:r>
              <w:rPr>
                <w:rFonts w:hint="eastAsia"/>
                <w:color w:val="auto"/>
                <w:highlight w:val="none"/>
              </w:rPr>
              <w:t>，在响应文件提交截止时间前交至指定账户并且到账，供应商应将银行转账底单的复印件作为竞标保证金提交凭证，放置于商务技术文件中，否则响应文件按无效响应处理。</w:t>
            </w:r>
          </w:p>
          <w:p w14:paraId="757F611A">
            <w:pPr>
              <w:pStyle w:val="65"/>
              <w:keepNext w:val="0"/>
              <w:keepLines w:val="0"/>
              <w:suppressLineNumbers w:val="0"/>
              <w:spacing w:before="0" w:beforeAutospacing="0" w:after="0" w:afterAutospacing="0" w:line="390" w:lineRule="exact"/>
              <w:ind w:left="0" w:right="0"/>
              <w:rPr>
                <w:rFonts w:hint="eastAsia"/>
                <w:color w:val="auto"/>
                <w:highlight w:val="none"/>
              </w:rPr>
            </w:pPr>
            <w:r>
              <w:rPr>
                <w:rFonts w:hint="eastAsia"/>
                <w:color w:val="auto"/>
                <w:highlight w:val="none"/>
              </w:rPr>
              <w:t>2.竞标保证金采用支票、汇票、本票或者银行、保险机构出具的保函（包含电子保函）交纳方式的，供应商应将支票、汇票、本票或者银行、保险机构出具的保函（包含电子保函）的复印件作为竞标保证金提交凭证，放置于商务技术文件中，否则响应文件按无效处理。供应商必须在响应文件提交截止时间前采用现场或邮寄方式（</w:t>
            </w:r>
            <w:r>
              <w:rPr>
                <w:rFonts w:hint="eastAsia"/>
                <w:color w:val="auto"/>
                <w:highlight w:val="none"/>
                <w:u w:val="single"/>
              </w:rPr>
              <w:t>现场提交地址及邮寄地址：</w:t>
            </w:r>
            <w:r>
              <w:rPr>
                <w:rFonts w:hint="eastAsia"/>
                <w:color w:val="auto"/>
                <w:highlight w:val="none"/>
                <w:u w:val="single"/>
                <w:lang w:eastAsia="zh-CN"/>
              </w:rPr>
              <w:t>南宁市白沙大道53号松宇时代14层</w:t>
            </w:r>
            <w:r>
              <w:rPr>
                <w:rFonts w:hint="eastAsia"/>
                <w:color w:val="auto"/>
                <w:highlight w:val="none"/>
                <w:u w:val="single"/>
              </w:rPr>
              <w:t>，收件人：</w:t>
            </w:r>
            <w:r>
              <w:rPr>
                <w:rFonts w:hint="eastAsia"/>
                <w:color w:val="auto"/>
                <w:highlight w:val="none"/>
                <w:u w:val="single"/>
                <w:lang w:eastAsia="zh-CN"/>
              </w:rPr>
              <w:t>易洪磊、戚一燕</w:t>
            </w:r>
            <w:r>
              <w:rPr>
                <w:rFonts w:hint="eastAsia"/>
                <w:color w:val="auto"/>
                <w:highlight w:val="none"/>
                <w:u w:val="single"/>
              </w:rPr>
              <w:t>，联系方式：</w:t>
            </w:r>
            <w:r>
              <w:rPr>
                <w:rFonts w:hint="eastAsia"/>
                <w:color w:val="auto"/>
                <w:highlight w:val="none"/>
                <w:u w:val="single"/>
                <w:lang w:eastAsia="zh-CN"/>
              </w:rPr>
              <w:t>0771-3379398</w:t>
            </w:r>
            <w:r>
              <w:rPr>
                <w:rFonts w:hint="eastAsia"/>
                <w:color w:val="auto"/>
                <w:highlight w:val="none"/>
              </w:rPr>
              <w:t>）将单独密封的支票、汇票、本票或者银行、保险机构出具的保函原件提交给采购人或者采购代理机构，由采购人或者采购代理机构向供应商出具回执（邮寄方式的除外），并妥善保管。</w:t>
            </w:r>
          </w:p>
          <w:p w14:paraId="6F40ACF5">
            <w:pPr>
              <w:pStyle w:val="65"/>
              <w:keepNext w:val="0"/>
              <w:keepLines w:val="0"/>
              <w:suppressLineNumbers w:val="0"/>
              <w:spacing w:before="0" w:beforeAutospacing="0" w:after="0" w:afterAutospacing="0" w:line="390" w:lineRule="exact"/>
              <w:ind w:left="0" w:right="0"/>
              <w:rPr>
                <w:rFonts w:hint="eastAsia"/>
                <w:color w:val="auto"/>
                <w:highlight w:val="none"/>
              </w:rPr>
            </w:pPr>
            <w:r>
              <w:rPr>
                <w:rFonts w:hint="eastAsia"/>
                <w:color w:val="auto"/>
                <w:highlight w:val="none"/>
              </w:rPr>
              <w:t>3.供应商为联合体的，可以由联合体中的一方或者多方共同交纳竞标保证金，其交纳的保证金对联合体各方均具有约束力。</w:t>
            </w:r>
          </w:p>
          <w:p w14:paraId="5C2374E4">
            <w:pPr>
              <w:pStyle w:val="65"/>
              <w:keepNext w:val="0"/>
              <w:keepLines w:val="0"/>
              <w:suppressLineNumbers w:val="0"/>
              <w:spacing w:before="0" w:beforeAutospacing="0" w:after="0" w:afterAutospacing="0" w:line="390" w:lineRule="exact"/>
              <w:ind w:left="0" w:right="0"/>
              <w:rPr>
                <w:rFonts w:hint="eastAsia"/>
                <w:b/>
                <w:bCs/>
                <w:color w:val="auto"/>
                <w:highlight w:val="none"/>
              </w:rPr>
            </w:pPr>
            <w:r>
              <w:rPr>
                <w:rFonts w:hint="eastAsia"/>
                <w:b/>
                <w:bCs/>
                <w:color w:val="auto"/>
                <w:highlight w:val="none"/>
              </w:rPr>
              <w:t>备注：</w:t>
            </w:r>
          </w:p>
          <w:p w14:paraId="26879632">
            <w:pPr>
              <w:pStyle w:val="65"/>
              <w:keepNext w:val="0"/>
              <w:keepLines w:val="0"/>
              <w:suppressLineNumbers w:val="0"/>
              <w:spacing w:before="0" w:beforeAutospacing="0" w:after="0" w:afterAutospacing="0" w:line="390" w:lineRule="exact"/>
              <w:ind w:left="0" w:right="0"/>
              <w:rPr>
                <w:rFonts w:hint="eastAsia"/>
                <w:b/>
                <w:bCs/>
                <w:color w:val="auto"/>
                <w:highlight w:val="none"/>
              </w:rPr>
            </w:pPr>
            <w:r>
              <w:rPr>
                <w:rFonts w:hint="eastAsia"/>
                <w:b/>
                <w:bCs/>
                <w:color w:val="auto"/>
                <w:highlight w:val="none"/>
              </w:rPr>
              <w:t>1.竞标保证金在响应文件提交截止时间后提交的，或者不按规定交纳方式交纳的，或者未足额交纳的（包含保函额度不足的），视为无效竞标保证金。</w:t>
            </w:r>
          </w:p>
          <w:p w14:paraId="7A59E1B0">
            <w:pPr>
              <w:pStyle w:val="65"/>
              <w:keepNext w:val="0"/>
              <w:keepLines w:val="0"/>
              <w:suppressLineNumbers w:val="0"/>
              <w:spacing w:before="0" w:beforeAutospacing="0" w:after="0" w:afterAutospacing="0" w:line="390" w:lineRule="exact"/>
              <w:ind w:left="0" w:right="0"/>
              <w:rPr>
                <w:rFonts w:hint="eastAsia"/>
                <w:b/>
                <w:bCs/>
                <w:color w:val="auto"/>
                <w:highlight w:val="none"/>
              </w:rPr>
            </w:pPr>
            <w:r>
              <w:rPr>
                <w:rFonts w:hint="eastAsia"/>
                <w:b/>
                <w:bCs/>
                <w:color w:val="auto"/>
                <w:highlight w:val="none"/>
              </w:rPr>
              <w:t>2.供应商采用现钞方式或者从个人账户（自然人竞标除外）转出的竞标保证金，视为无效竞标保证金。</w:t>
            </w:r>
          </w:p>
          <w:p w14:paraId="1B6C343B">
            <w:pPr>
              <w:pStyle w:val="65"/>
              <w:keepNext w:val="0"/>
              <w:keepLines w:val="0"/>
              <w:suppressLineNumbers w:val="0"/>
              <w:spacing w:before="0" w:beforeAutospacing="0" w:after="0" w:afterAutospacing="0" w:line="390" w:lineRule="exact"/>
              <w:ind w:left="0" w:right="0"/>
              <w:rPr>
                <w:rFonts w:hint="eastAsia"/>
                <w:b/>
                <w:bCs/>
                <w:color w:val="auto"/>
                <w:highlight w:val="none"/>
              </w:rPr>
            </w:pPr>
            <w:r>
              <w:rPr>
                <w:rFonts w:hint="eastAsia"/>
                <w:b/>
                <w:bCs/>
                <w:color w:val="auto"/>
                <w:highlight w:val="none"/>
              </w:rPr>
              <w:t>3.支票、汇票或者本票出现无效或者背书情形的，视为无效竞标保证金。</w:t>
            </w:r>
          </w:p>
          <w:p w14:paraId="0C1A505D">
            <w:pPr>
              <w:pStyle w:val="65"/>
              <w:keepNext w:val="0"/>
              <w:keepLines w:val="0"/>
              <w:suppressLineNumbers w:val="0"/>
              <w:spacing w:before="0" w:beforeAutospacing="0" w:after="0" w:afterAutospacing="0" w:line="390" w:lineRule="exact"/>
              <w:ind w:left="0" w:right="0"/>
              <w:rPr>
                <w:rFonts w:hint="eastAsia"/>
                <w:b/>
                <w:bCs/>
                <w:color w:val="auto"/>
                <w:highlight w:val="none"/>
              </w:rPr>
            </w:pPr>
            <w:r>
              <w:rPr>
                <w:rFonts w:hint="eastAsia"/>
                <w:b/>
                <w:bCs/>
                <w:color w:val="auto"/>
                <w:highlight w:val="none"/>
              </w:rPr>
              <w:t>4.保函有效期低于竞标有效期的，视为无效竞标保证金。</w:t>
            </w:r>
          </w:p>
          <w:p w14:paraId="140F2559">
            <w:pPr>
              <w:pStyle w:val="65"/>
              <w:keepNext w:val="0"/>
              <w:keepLines w:val="0"/>
              <w:suppressLineNumbers w:val="0"/>
              <w:spacing w:before="0" w:beforeAutospacing="0" w:after="0" w:afterAutospacing="0" w:line="390" w:lineRule="exact"/>
              <w:ind w:left="0" w:right="0"/>
              <w:rPr>
                <w:rFonts w:hint="eastAsia"/>
                <w:color w:val="auto"/>
                <w:highlight w:val="none"/>
              </w:rPr>
            </w:pPr>
            <w:r>
              <w:rPr>
                <w:rFonts w:hint="eastAsia"/>
                <w:b/>
                <w:bCs/>
                <w:color w:val="auto"/>
                <w:highlight w:val="none"/>
              </w:rPr>
              <w:t>5.竞标保证金采用银行、保险机构出具的保函为有条件保函的，视为无效竞标保证金。</w:t>
            </w:r>
          </w:p>
        </w:tc>
      </w:tr>
      <w:tr w14:paraId="146BE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75" w:type="dxa"/>
            <w:noWrap w:val="0"/>
            <w:vAlign w:val="center"/>
          </w:tcPr>
          <w:p w14:paraId="735FB72C">
            <w:pPr>
              <w:pStyle w:val="65"/>
              <w:keepNext w:val="0"/>
              <w:keepLines w:val="0"/>
              <w:numPr>
                <w:ilvl w:val="0"/>
                <w:numId w:val="0"/>
              </w:numPr>
              <w:suppressLineNumbers w:val="0"/>
              <w:spacing w:before="0" w:beforeAutospacing="0" w:after="0" w:afterAutospacing="0" w:line="390" w:lineRule="exact"/>
              <w:ind w:left="0" w:right="0" w:rightChars="0"/>
              <w:jc w:val="center"/>
              <w:rPr>
                <w:rFonts w:hint="eastAsia"/>
                <w:color w:val="auto"/>
                <w:highlight w:val="none"/>
              </w:rPr>
            </w:pPr>
            <w:r>
              <w:rPr>
                <w:rFonts w:hint="eastAsia"/>
                <w:color w:val="auto"/>
                <w:highlight w:val="none"/>
              </w:rPr>
              <w:t>19</w:t>
            </w:r>
          </w:p>
        </w:tc>
        <w:tc>
          <w:tcPr>
            <w:tcW w:w="8220" w:type="dxa"/>
            <w:noWrap w:val="0"/>
            <w:vAlign w:val="center"/>
          </w:tcPr>
          <w:p w14:paraId="45341B63">
            <w:pPr>
              <w:pStyle w:val="65"/>
              <w:keepNext w:val="0"/>
              <w:keepLines w:val="0"/>
              <w:suppressLineNumbers w:val="0"/>
              <w:spacing w:before="0" w:beforeAutospacing="0" w:after="0" w:afterAutospacing="0" w:line="400" w:lineRule="exact"/>
              <w:ind w:left="0" w:right="0"/>
              <w:rPr>
                <w:rFonts w:hint="eastAsia"/>
                <w:color w:val="auto"/>
                <w:szCs w:val="21"/>
                <w:highlight w:val="none"/>
              </w:rPr>
            </w:pPr>
            <w:r>
              <w:rPr>
                <w:rFonts w:hint="eastAsia"/>
                <w:color w:val="auto"/>
                <w:szCs w:val="21"/>
                <w:highlight w:val="none"/>
              </w:rPr>
              <w:t>本项目不接受电子备份响应文件；</w:t>
            </w:r>
          </w:p>
        </w:tc>
      </w:tr>
      <w:tr w14:paraId="0AE80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75" w:type="dxa"/>
            <w:noWrap w:val="0"/>
            <w:vAlign w:val="center"/>
          </w:tcPr>
          <w:p w14:paraId="774BCF79">
            <w:pPr>
              <w:pStyle w:val="65"/>
              <w:keepNext w:val="0"/>
              <w:keepLines w:val="0"/>
              <w:numPr>
                <w:ilvl w:val="0"/>
                <w:numId w:val="0"/>
              </w:numPr>
              <w:suppressLineNumbers w:val="0"/>
              <w:spacing w:before="0" w:beforeAutospacing="0" w:after="0" w:afterAutospacing="0" w:line="390" w:lineRule="exact"/>
              <w:ind w:left="0" w:right="0" w:rightChars="0"/>
              <w:jc w:val="center"/>
              <w:rPr>
                <w:rFonts w:hint="eastAsia"/>
                <w:color w:val="auto"/>
                <w:highlight w:val="none"/>
              </w:rPr>
            </w:pPr>
            <w:r>
              <w:rPr>
                <w:rFonts w:hint="eastAsia"/>
                <w:color w:val="auto"/>
                <w:highlight w:val="none"/>
              </w:rPr>
              <w:t>20.1</w:t>
            </w:r>
          </w:p>
        </w:tc>
        <w:tc>
          <w:tcPr>
            <w:tcW w:w="8220" w:type="dxa"/>
            <w:noWrap w:val="0"/>
            <w:vAlign w:val="center"/>
          </w:tcPr>
          <w:p w14:paraId="6D5C0FB1">
            <w:pPr>
              <w:pStyle w:val="65"/>
              <w:keepNext w:val="0"/>
              <w:keepLines w:val="0"/>
              <w:suppressLineNumbers w:val="0"/>
              <w:spacing w:before="0" w:beforeAutospacing="0" w:after="0" w:afterAutospacing="0" w:line="400" w:lineRule="exact"/>
              <w:ind w:left="0" w:right="0"/>
              <w:rPr>
                <w:rFonts w:hint="eastAsia"/>
                <w:color w:val="auto"/>
                <w:szCs w:val="21"/>
                <w:highlight w:val="none"/>
              </w:rPr>
            </w:pPr>
            <w:r>
              <w:rPr>
                <w:rFonts w:hint="eastAsia"/>
                <w:color w:val="auto"/>
                <w:szCs w:val="21"/>
                <w:highlight w:val="none"/>
              </w:rPr>
              <w:t>响应文件提交起止时间：详见竞争性谈判公告</w:t>
            </w:r>
          </w:p>
          <w:p w14:paraId="161C46A6">
            <w:pPr>
              <w:pStyle w:val="65"/>
              <w:keepNext w:val="0"/>
              <w:keepLines w:val="0"/>
              <w:suppressLineNumbers w:val="0"/>
              <w:spacing w:before="0" w:beforeAutospacing="0" w:after="0" w:afterAutospacing="0" w:line="400" w:lineRule="exact"/>
              <w:ind w:left="0" w:right="0"/>
              <w:rPr>
                <w:rFonts w:hint="eastAsia"/>
                <w:color w:val="auto"/>
                <w:szCs w:val="21"/>
                <w:highlight w:val="none"/>
              </w:rPr>
            </w:pPr>
            <w:r>
              <w:rPr>
                <w:rFonts w:hint="eastAsia"/>
                <w:color w:val="auto"/>
                <w:szCs w:val="21"/>
                <w:highlight w:val="none"/>
              </w:rPr>
              <w:t>响应文件提交截止时间：详见竞争性谈判公告</w:t>
            </w:r>
          </w:p>
          <w:p w14:paraId="777C1C4C">
            <w:pPr>
              <w:pStyle w:val="65"/>
              <w:keepNext w:val="0"/>
              <w:keepLines w:val="0"/>
              <w:suppressLineNumbers w:val="0"/>
              <w:spacing w:before="0" w:beforeAutospacing="0" w:after="0" w:afterAutospacing="0" w:line="400" w:lineRule="exact"/>
              <w:ind w:left="0" w:right="0"/>
              <w:rPr>
                <w:rFonts w:hint="eastAsia"/>
                <w:color w:val="auto"/>
                <w:szCs w:val="21"/>
                <w:highlight w:val="none"/>
              </w:rPr>
            </w:pPr>
            <w:r>
              <w:rPr>
                <w:rFonts w:hint="eastAsia"/>
                <w:color w:val="auto"/>
                <w:szCs w:val="21"/>
                <w:highlight w:val="none"/>
              </w:rPr>
              <w:t>响应文件提交地点：详见竞争性谈判公告</w:t>
            </w:r>
          </w:p>
        </w:tc>
      </w:tr>
      <w:tr w14:paraId="553D9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75" w:type="dxa"/>
            <w:noWrap w:val="0"/>
            <w:vAlign w:val="center"/>
          </w:tcPr>
          <w:p w14:paraId="16126DCE">
            <w:pPr>
              <w:pStyle w:val="65"/>
              <w:keepNext w:val="0"/>
              <w:keepLines w:val="0"/>
              <w:numPr>
                <w:ilvl w:val="0"/>
                <w:numId w:val="0"/>
              </w:numPr>
              <w:suppressLineNumbers w:val="0"/>
              <w:spacing w:before="0" w:beforeAutospacing="0" w:after="0" w:afterAutospacing="0" w:line="390" w:lineRule="exact"/>
              <w:ind w:left="0" w:right="0" w:rightChars="0"/>
              <w:jc w:val="center"/>
              <w:rPr>
                <w:rFonts w:hint="eastAsia"/>
                <w:color w:val="auto"/>
                <w:highlight w:val="none"/>
              </w:rPr>
            </w:pPr>
            <w:r>
              <w:rPr>
                <w:rFonts w:hint="eastAsia"/>
                <w:color w:val="auto"/>
                <w:highlight w:val="none"/>
              </w:rPr>
              <w:t>24.1</w:t>
            </w:r>
          </w:p>
        </w:tc>
        <w:tc>
          <w:tcPr>
            <w:tcW w:w="8220" w:type="dxa"/>
            <w:noWrap w:val="0"/>
            <w:vAlign w:val="center"/>
          </w:tcPr>
          <w:p w14:paraId="6946F380">
            <w:pPr>
              <w:pStyle w:val="65"/>
              <w:keepNext w:val="0"/>
              <w:keepLines w:val="0"/>
              <w:suppressLineNumbers w:val="0"/>
              <w:spacing w:before="0" w:beforeAutospacing="0" w:after="0" w:afterAutospacing="0" w:line="400" w:lineRule="exact"/>
              <w:ind w:left="0" w:right="0"/>
              <w:rPr>
                <w:rFonts w:hint="eastAsia"/>
                <w:color w:val="auto"/>
                <w:szCs w:val="21"/>
                <w:highlight w:val="none"/>
              </w:rPr>
            </w:pPr>
            <w:r>
              <w:rPr>
                <w:rFonts w:hint="eastAsia"/>
                <w:color w:val="auto"/>
                <w:szCs w:val="21"/>
                <w:highlight w:val="none"/>
              </w:rPr>
              <w:t>谈判小组的人数：3人。</w:t>
            </w:r>
          </w:p>
        </w:tc>
      </w:tr>
      <w:tr w14:paraId="7C387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75" w:type="dxa"/>
            <w:noWrap w:val="0"/>
            <w:vAlign w:val="center"/>
          </w:tcPr>
          <w:p w14:paraId="010B0AE8">
            <w:pPr>
              <w:pStyle w:val="65"/>
              <w:keepNext w:val="0"/>
              <w:keepLines w:val="0"/>
              <w:numPr>
                <w:ilvl w:val="0"/>
                <w:numId w:val="0"/>
              </w:numPr>
              <w:suppressLineNumbers w:val="0"/>
              <w:spacing w:before="0" w:beforeAutospacing="0" w:after="0" w:afterAutospacing="0" w:line="390" w:lineRule="exact"/>
              <w:ind w:left="0" w:right="0" w:rightChars="0"/>
              <w:jc w:val="center"/>
              <w:rPr>
                <w:rFonts w:hint="eastAsia"/>
                <w:color w:val="auto"/>
                <w:highlight w:val="none"/>
              </w:rPr>
            </w:pPr>
            <w:r>
              <w:rPr>
                <w:rFonts w:hint="default"/>
                <w:color w:val="auto"/>
                <w:spacing w:val="-1"/>
                <w:position w:val="1"/>
                <w:highlight w:val="none"/>
              </w:rPr>
              <w:t>25</w:t>
            </w:r>
          </w:p>
        </w:tc>
        <w:tc>
          <w:tcPr>
            <w:tcW w:w="8220" w:type="dxa"/>
            <w:noWrap w:val="0"/>
            <w:vAlign w:val="center"/>
          </w:tcPr>
          <w:p w14:paraId="29230610">
            <w:pPr>
              <w:pStyle w:val="65"/>
              <w:keepNext w:val="0"/>
              <w:keepLines w:val="0"/>
              <w:suppressLineNumbers w:val="0"/>
              <w:spacing w:before="0" w:beforeAutospacing="0" w:after="0" w:afterAutospacing="0" w:line="400" w:lineRule="exact"/>
              <w:ind w:left="0" w:right="0"/>
              <w:rPr>
                <w:rFonts w:hint="eastAsia"/>
                <w:color w:val="auto"/>
                <w:szCs w:val="21"/>
                <w:highlight w:val="none"/>
              </w:rPr>
            </w:pPr>
            <w:r>
              <w:rPr>
                <w:rFonts w:hint="eastAsia"/>
                <w:color w:val="auto"/>
                <w:szCs w:val="21"/>
                <w:highlight w:val="none"/>
              </w:rPr>
              <w:t>首次响应文件开启时间详见竞争性谈判公告</w:t>
            </w:r>
          </w:p>
          <w:p w14:paraId="3EF437C1">
            <w:pPr>
              <w:pStyle w:val="65"/>
              <w:keepNext w:val="0"/>
              <w:keepLines w:val="0"/>
              <w:suppressLineNumbers w:val="0"/>
              <w:spacing w:before="0" w:beforeAutospacing="0" w:after="0" w:afterAutospacing="0" w:line="400" w:lineRule="exact"/>
              <w:ind w:left="0" w:right="0"/>
              <w:rPr>
                <w:rFonts w:hint="eastAsia"/>
                <w:color w:val="auto"/>
                <w:szCs w:val="21"/>
                <w:highlight w:val="none"/>
              </w:rPr>
            </w:pPr>
            <w:r>
              <w:rPr>
                <w:rFonts w:hint="eastAsia"/>
                <w:color w:val="auto"/>
                <w:szCs w:val="21"/>
                <w:highlight w:val="none"/>
              </w:rPr>
              <w:t>首次响应文件解密时间：</w:t>
            </w:r>
            <w:r>
              <w:rPr>
                <w:rFonts w:hint="eastAsia"/>
                <w:color w:val="auto"/>
                <w:szCs w:val="21"/>
                <w:highlight w:val="none"/>
                <w:u w:val="single"/>
              </w:rPr>
              <w:t>30</w:t>
            </w:r>
            <w:r>
              <w:rPr>
                <w:rFonts w:hint="eastAsia"/>
                <w:color w:val="auto"/>
                <w:szCs w:val="21"/>
                <w:highlight w:val="none"/>
              </w:rPr>
              <w:t>分钟</w:t>
            </w:r>
          </w:p>
        </w:tc>
      </w:tr>
      <w:tr w14:paraId="7E01A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75" w:type="dxa"/>
            <w:vMerge w:val="restart"/>
            <w:noWrap w:val="0"/>
            <w:vAlign w:val="center"/>
          </w:tcPr>
          <w:p w14:paraId="5A6B1A99">
            <w:pPr>
              <w:pStyle w:val="65"/>
              <w:keepNext w:val="0"/>
              <w:keepLines w:val="0"/>
              <w:numPr>
                <w:ilvl w:val="0"/>
                <w:numId w:val="0"/>
              </w:numPr>
              <w:suppressLineNumbers w:val="0"/>
              <w:spacing w:before="0" w:beforeAutospacing="0" w:after="0" w:afterAutospacing="0" w:line="390" w:lineRule="exact"/>
              <w:ind w:left="0" w:right="0" w:rightChars="0"/>
              <w:jc w:val="center"/>
              <w:rPr>
                <w:rFonts w:hint="eastAsia"/>
                <w:color w:val="auto"/>
                <w:highlight w:val="none"/>
              </w:rPr>
            </w:pPr>
            <w:r>
              <w:rPr>
                <w:rFonts w:hint="default"/>
                <w:color w:val="auto"/>
                <w:spacing w:val="-1"/>
                <w:position w:val="1"/>
                <w:highlight w:val="none"/>
              </w:rPr>
              <w:t>26</w:t>
            </w:r>
          </w:p>
        </w:tc>
        <w:tc>
          <w:tcPr>
            <w:tcW w:w="8220" w:type="dxa"/>
            <w:noWrap w:val="0"/>
            <w:vAlign w:val="center"/>
          </w:tcPr>
          <w:p w14:paraId="1923E02E">
            <w:pPr>
              <w:pStyle w:val="65"/>
              <w:keepNext w:val="0"/>
              <w:keepLines w:val="0"/>
              <w:suppressLineNumbers w:val="0"/>
              <w:spacing w:before="0" w:beforeAutospacing="0" w:after="0" w:afterAutospacing="0" w:line="400" w:lineRule="exact"/>
              <w:ind w:left="0" w:right="0"/>
              <w:rPr>
                <w:rFonts w:hint="eastAsia"/>
                <w:color w:val="auto"/>
                <w:szCs w:val="21"/>
                <w:highlight w:val="none"/>
              </w:rPr>
            </w:pPr>
            <w:r>
              <w:rPr>
                <w:rFonts w:hint="eastAsia"/>
                <w:color w:val="auto"/>
                <w:szCs w:val="21"/>
                <w:highlight w:val="none"/>
              </w:rPr>
              <w:t>评审价相同时，按照最后报价由低到高顺序依次推荐；最后报价相同时，按节能、环保产品累计金额由高到低顺序依次推荐；节能、环保产品累计金额也相同时，按以下原则确定成交候选人的顺序：依次按备用机提供条件优的优先、带</w:t>
            </w:r>
            <w:r>
              <w:rPr>
                <w:rFonts w:hint="eastAsia"/>
                <w:color w:val="auto"/>
                <w:szCs w:val="21"/>
                <w:highlight w:val="none"/>
                <w:lang w:eastAsia="zh-CN"/>
              </w:rPr>
              <w:t>“</w:t>
            </w:r>
            <w:r>
              <w:rPr>
                <w:rFonts w:hint="eastAsia"/>
                <w:color w:val="auto"/>
                <w:szCs w:val="21"/>
                <w:highlight w:val="none"/>
              </w:rPr>
              <w:t>▲</w:t>
            </w:r>
            <w:r>
              <w:rPr>
                <w:rFonts w:hint="eastAsia"/>
                <w:color w:val="auto"/>
                <w:szCs w:val="21"/>
                <w:highlight w:val="none"/>
                <w:lang w:eastAsia="zh-CN"/>
              </w:rPr>
              <w:t>”</w:t>
            </w:r>
            <w:r>
              <w:rPr>
                <w:rFonts w:hint="eastAsia"/>
                <w:color w:val="auto"/>
                <w:szCs w:val="21"/>
                <w:highlight w:val="none"/>
              </w:rPr>
              <w:t>的实质性要求正偏离项数多的优先、均无正偏离或正偏离项数一致时负偏离项数少的优先、质保期长优先、交货时间短优先、故障响应时间短优先的顺序排列，按前述顺序仍无法确定的，通过随机抽取的形式确定。</w:t>
            </w:r>
          </w:p>
        </w:tc>
      </w:tr>
      <w:tr w14:paraId="08EFC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75" w:type="dxa"/>
            <w:vMerge w:val="continue"/>
            <w:noWrap w:val="0"/>
            <w:vAlign w:val="center"/>
          </w:tcPr>
          <w:p w14:paraId="031F3FBE">
            <w:pPr>
              <w:pStyle w:val="65"/>
              <w:keepNext w:val="0"/>
              <w:keepLines w:val="0"/>
              <w:numPr>
                <w:ilvl w:val="0"/>
                <w:numId w:val="0"/>
              </w:numPr>
              <w:suppressLineNumbers w:val="0"/>
              <w:spacing w:before="0" w:beforeAutospacing="0" w:after="0" w:afterAutospacing="0" w:line="390" w:lineRule="exact"/>
              <w:ind w:left="210" w:leftChars="0" w:right="0" w:rightChars="0"/>
              <w:jc w:val="center"/>
              <w:rPr>
                <w:rFonts w:hint="eastAsia"/>
                <w:color w:val="auto"/>
                <w:highlight w:val="none"/>
              </w:rPr>
            </w:pPr>
          </w:p>
        </w:tc>
        <w:tc>
          <w:tcPr>
            <w:tcW w:w="8220" w:type="dxa"/>
            <w:noWrap w:val="0"/>
            <w:vAlign w:val="center"/>
          </w:tcPr>
          <w:p w14:paraId="4451D4C7">
            <w:pPr>
              <w:pStyle w:val="65"/>
              <w:keepNext w:val="0"/>
              <w:keepLines w:val="0"/>
              <w:suppressLineNumbers w:val="0"/>
              <w:spacing w:before="0" w:beforeAutospacing="0" w:after="0" w:afterAutospacing="0" w:line="400" w:lineRule="exact"/>
              <w:ind w:left="0" w:right="0"/>
              <w:rPr>
                <w:rFonts w:hint="eastAsia"/>
                <w:snapToGrid w:val="0"/>
                <w:color w:val="auto"/>
                <w:szCs w:val="21"/>
                <w:highlight w:val="none"/>
              </w:rPr>
            </w:pPr>
            <w:r>
              <w:rPr>
                <w:rFonts w:hint="eastAsia"/>
                <w:snapToGrid w:val="0"/>
                <w:color w:val="auto"/>
                <w:szCs w:val="21"/>
                <w:highlight w:val="none"/>
              </w:rPr>
              <w:t>商务要求评审中允许负偏离的条款数为</w:t>
            </w:r>
            <w:r>
              <w:rPr>
                <w:rFonts w:hint="eastAsia"/>
                <w:snapToGrid w:val="0"/>
                <w:color w:val="auto"/>
                <w:szCs w:val="21"/>
                <w:highlight w:val="none"/>
                <w:u w:val="single"/>
              </w:rPr>
              <w:t>0</w:t>
            </w:r>
            <w:r>
              <w:rPr>
                <w:rFonts w:hint="eastAsia"/>
                <w:snapToGrid w:val="0"/>
                <w:color w:val="auto"/>
                <w:szCs w:val="21"/>
                <w:highlight w:val="none"/>
              </w:rPr>
              <w:t>项。</w:t>
            </w:r>
          </w:p>
          <w:p w14:paraId="7B01D4E1">
            <w:pPr>
              <w:pStyle w:val="65"/>
              <w:keepNext w:val="0"/>
              <w:keepLines w:val="0"/>
              <w:suppressLineNumbers w:val="0"/>
              <w:spacing w:before="0" w:beforeAutospacing="0" w:after="0" w:afterAutospacing="0" w:line="400" w:lineRule="exact"/>
              <w:ind w:left="0" w:right="0"/>
              <w:rPr>
                <w:rFonts w:hint="eastAsia"/>
                <w:snapToGrid w:val="0"/>
                <w:color w:val="auto"/>
                <w:szCs w:val="21"/>
                <w:highlight w:val="none"/>
              </w:rPr>
            </w:pPr>
            <w:r>
              <w:rPr>
                <w:rFonts w:hint="eastAsia"/>
                <w:snapToGrid w:val="0"/>
                <w:color w:val="auto"/>
                <w:szCs w:val="21"/>
                <w:highlight w:val="none"/>
              </w:rPr>
              <w:t>技术要求评审中允许负偏离的条款数为</w:t>
            </w:r>
            <w:r>
              <w:rPr>
                <w:rFonts w:hint="eastAsia"/>
                <w:snapToGrid w:val="0"/>
                <w:color w:val="auto"/>
                <w:szCs w:val="21"/>
                <w:highlight w:val="none"/>
                <w:u w:val="single"/>
              </w:rPr>
              <w:t>2</w:t>
            </w:r>
            <w:r>
              <w:rPr>
                <w:rFonts w:hint="eastAsia"/>
                <w:snapToGrid w:val="0"/>
                <w:color w:val="auto"/>
                <w:szCs w:val="21"/>
                <w:highlight w:val="none"/>
              </w:rPr>
              <w:t>项。</w:t>
            </w:r>
          </w:p>
          <w:p w14:paraId="7D9980C0">
            <w:pPr>
              <w:pStyle w:val="65"/>
              <w:keepNext w:val="0"/>
              <w:keepLines w:val="0"/>
              <w:suppressLineNumbers w:val="0"/>
              <w:spacing w:before="0" w:beforeAutospacing="0" w:after="0" w:afterAutospacing="0" w:line="400" w:lineRule="exact"/>
              <w:ind w:left="0" w:right="0"/>
              <w:rPr>
                <w:rFonts w:hint="eastAsia"/>
                <w:snapToGrid w:val="0"/>
                <w:color w:val="auto"/>
                <w:szCs w:val="21"/>
                <w:highlight w:val="none"/>
              </w:rPr>
            </w:pPr>
            <w:r>
              <w:rPr>
                <w:rFonts w:hint="eastAsia"/>
                <w:snapToGrid w:val="0"/>
                <w:color w:val="auto"/>
                <w:szCs w:val="21"/>
                <w:highlight w:val="none"/>
              </w:rPr>
              <w:t>（未标注</w:t>
            </w:r>
            <w:r>
              <w:rPr>
                <w:rFonts w:hint="eastAsia"/>
                <w:snapToGrid w:val="0"/>
                <w:color w:val="auto"/>
                <w:szCs w:val="21"/>
                <w:highlight w:val="none"/>
                <w:lang w:eastAsia="zh-CN"/>
              </w:rPr>
              <w:t>“</w:t>
            </w:r>
            <w:r>
              <w:rPr>
                <w:rFonts w:hint="eastAsia"/>
                <w:snapToGrid w:val="0"/>
                <w:color w:val="auto"/>
                <w:szCs w:val="21"/>
                <w:highlight w:val="none"/>
              </w:rPr>
              <w:t>▲</w:t>
            </w:r>
            <w:r>
              <w:rPr>
                <w:rFonts w:hint="eastAsia"/>
                <w:snapToGrid w:val="0"/>
                <w:color w:val="auto"/>
                <w:szCs w:val="21"/>
                <w:highlight w:val="none"/>
                <w:lang w:eastAsia="zh-CN"/>
              </w:rPr>
              <w:t>”</w:t>
            </w:r>
            <w:r>
              <w:rPr>
                <w:rFonts w:hint="eastAsia"/>
                <w:snapToGrid w:val="0"/>
                <w:color w:val="auto"/>
                <w:szCs w:val="21"/>
                <w:highlight w:val="none"/>
              </w:rPr>
              <w:t>号的项目条款或技术要求有负偏离（或未作响应）达3项（含）以上的竞标无效。）</w:t>
            </w:r>
          </w:p>
        </w:tc>
      </w:tr>
      <w:tr w14:paraId="2335F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75" w:type="dxa"/>
            <w:noWrap w:val="0"/>
            <w:vAlign w:val="center"/>
          </w:tcPr>
          <w:p w14:paraId="71B29A29">
            <w:pPr>
              <w:pStyle w:val="65"/>
              <w:keepNext w:val="0"/>
              <w:keepLines w:val="0"/>
              <w:numPr>
                <w:ilvl w:val="0"/>
                <w:numId w:val="0"/>
              </w:numPr>
              <w:suppressLineNumbers w:val="0"/>
              <w:spacing w:before="0" w:beforeAutospacing="0" w:after="0" w:afterAutospacing="0" w:line="390" w:lineRule="exact"/>
              <w:ind w:left="0" w:right="0" w:rightChars="0"/>
              <w:jc w:val="center"/>
              <w:rPr>
                <w:rFonts w:hint="eastAsia"/>
                <w:color w:val="auto"/>
                <w:highlight w:val="none"/>
              </w:rPr>
            </w:pPr>
            <w:r>
              <w:rPr>
                <w:rFonts w:hint="eastAsia"/>
                <w:color w:val="auto"/>
                <w:highlight w:val="none"/>
              </w:rPr>
              <w:t>28.1</w:t>
            </w:r>
          </w:p>
        </w:tc>
        <w:tc>
          <w:tcPr>
            <w:tcW w:w="8220" w:type="dxa"/>
            <w:noWrap w:val="0"/>
            <w:vAlign w:val="center"/>
          </w:tcPr>
          <w:p w14:paraId="75F6DC29">
            <w:pPr>
              <w:pStyle w:val="65"/>
              <w:keepNext w:val="0"/>
              <w:keepLines w:val="0"/>
              <w:suppressLineNumbers w:val="0"/>
              <w:spacing w:before="0" w:beforeAutospacing="0" w:after="0" w:afterAutospacing="0" w:line="400" w:lineRule="exact"/>
              <w:ind w:left="0" w:right="0"/>
              <w:rPr>
                <w:rFonts w:hint="eastAsia"/>
                <w:snapToGrid w:val="0"/>
                <w:color w:val="auto"/>
                <w:szCs w:val="21"/>
                <w:highlight w:val="none"/>
              </w:rPr>
            </w:pPr>
            <w:r>
              <w:rPr>
                <w:rFonts w:hint="eastAsia"/>
                <w:snapToGrid w:val="0"/>
                <w:color w:val="auto"/>
                <w:szCs w:val="21"/>
                <w:highlight w:val="none"/>
              </w:rPr>
              <w:t>□本项目不收取履约保证金。</w:t>
            </w:r>
          </w:p>
          <w:p w14:paraId="430650ED">
            <w:pPr>
              <w:pStyle w:val="65"/>
              <w:keepNext w:val="0"/>
              <w:keepLines w:val="0"/>
              <w:suppressLineNumbers w:val="0"/>
              <w:spacing w:before="0" w:beforeAutospacing="0" w:after="0" w:afterAutospacing="0" w:line="400" w:lineRule="exact"/>
              <w:ind w:left="0" w:right="0"/>
              <w:rPr>
                <w:rFonts w:hint="eastAsia"/>
                <w:snapToGrid w:val="0"/>
                <w:color w:val="auto"/>
                <w:szCs w:val="21"/>
                <w:highlight w:val="none"/>
              </w:rPr>
            </w:pPr>
            <w:r>
              <w:rPr>
                <w:rFonts w:hint="eastAsia"/>
                <w:snapToGrid w:val="0"/>
                <w:color w:val="auto"/>
                <w:szCs w:val="21"/>
                <w:highlight w:val="none"/>
              </w:rPr>
              <w:t>☑本项目收取履约保证金，具体规定详见第三章《采购需求》的</w:t>
            </w:r>
            <w:r>
              <w:rPr>
                <w:rFonts w:hint="eastAsia"/>
                <w:snapToGrid w:val="0"/>
                <w:color w:val="auto"/>
                <w:szCs w:val="21"/>
                <w:highlight w:val="none"/>
                <w:lang w:eastAsia="zh-CN"/>
              </w:rPr>
              <w:t>“</w:t>
            </w:r>
            <w:r>
              <w:rPr>
                <w:rFonts w:hint="eastAsia"/>
                <w:snapToGrid w:val="0"/>
                <w:color w:val="auto"/>
                <w:szCs w:val="21"/>
                <w:highlight w:val="none"/>
              </w:rPr>
              <w:t>二、商务要求</w:t>
            </w:r>
            <w:r>
              <w:rPr>
                <w:rFonts w:hint="eastAsia"/>
                <w:snapToGrid w:val="0"/>
                <w:color w:val="auto"/>
                <w:szCs w:val="21"/>
                <w:highlight w:val="none"/>
                <w:lang w:eastAsia="zh-CN"/>
              </w:rPr>
              <w:t>”</w:t>
            </w:r>
            <w:r>
              <w:rPr>
                <w:rFonts w:hint="eastAsia"/>
                <w:snapToGrid w:val="0"/>
                <w:color w:val="auto"/>
                <w:szCs w:val="21"/>
                <w:highlight w:val="none"/>
              </w:rPr>
              <w:t>备注：</w:t>
            </w:r>
          </w:p>
          <w:p w14:paraId="0D03E8DA">
            <w:pPr>
              <w:pStyle w:val="65"/>
              <w:keepNext w:val="0"/>
              <w:keepLines w:val="0"/>
              <w:suppressLineNumbers w:val="0"/>
              <w:spacing w:before="0" w:beforeAutospacing="0" w:after="0" w:afterAutospacing="0" w:line="400" w:lineRule="exact"/>
              <w:ind w:left="0" w:right="0"/>
              <w:rPr>
                <w:rFonts w:hint="eastAsia"/>
                <w:b/>
                <w:bCs/>
                <w:snapToGrid w:val="0"/>
                <w:color w:val="auto"/>
                <w:szCs w:val="21"/>
                <w:highlight w:val="none"/>
              </w:rPr>
            </w:pPr>
            <w:r>
              <w:rPr>
                <w:rFonts w:hint="eastAsia"/>
                <w:b/>
                <w:bCs/>
                <w:snapToGrid w:val="0"/>
                <w:color w:val="auto"/>
                <w:szCs w:val="21"/>
                <w:highlight w:val="none"/>
              </w:rPr>
              <w:t>1.根据《广西壮族自治区财政厅关于持续优化政府采购营商环境推动高质量发展的通知》（桂财采〔2024〕55号）的规定，履约保证金数额不得超过政府采购合同金额的5%；对中小企业收取的履约保证金数额不得超过政府采购合同金额的2%。</w:t>
            </w:r>
          </w:p>
          <w:p w14:paraId="6838C544">
            <w:pPr>
              <w:pStyle w:val="65"/>
              <w:keepNext w:val="0"/>
              <w:keepLines w:val="0"/>
              <w:suppressLineNumbers w:val="0"/>
              <w:spacing w:before="0" w:beforeAutospacing="0" w:after="0" w:afterAutospacing="0" w:line="400" w:lineRule="exact"/>
              <w:ind w:left="0" w:right="0"/>
              <w:rPr>
                <w:rFonts w:hint="eastAsia"/>
                <w:b/>
                <w:bCs/>
                <w:snapToGrid w:val="0"/>
                <w:color w:val="auto"/>
                <w:szCs w:val="21"/>
                <w:highlight w:val="none"/>
              </w:rPr>
            </w:pPr>
            <w:r>
              <w:rPr>
                <w:rFonts w:hint="eastAsia"/>
                <w:b/>
                <w:bCs/>
                <w:snapToGrid w:val="0"/>
                <w:color w:val="auto"/>
                <w:szCs w:val="21"/>
                <w:highlight w:val="none"/>
              </w:rPr>
              <w:t>2.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p>
          <w:p w14:paraId="4FC7E8D4">
            <w:pPr>
              <w:pStyle w:val="65"/>
              <w:keepNext w:val="0"/>
              <w:keepLines w:val="0"/>
              <w:suppressLineNumbers w:val="0"/>
              <w:spacing w:before="0" w:beforeAutospacing="0" w:after="0" w:afterAutospacing="0" w:line="400" w:lineRule="exact"/>
              <w:ind w:left="0" w:right="0"/>
              <w:rPr>
                <w:rFonts w:hint="eastAsia"/>
                <w:b/>
                <w:bCs/>
                <w:snapToGrid w:val="0"/>
                <w:color w:val="auto"/>
                <w:szCs w:val="21"/>
                <w:highlight w:val="none"/>
              </w:rPr>
            </w:pPr>
            <w:r>
              <w:rPr>
                <w:rFonts w:hint="eastAsia"/>
                <w:b/>
                <w:bCs/>
                <w:snapToGrid w:val="0"/>
                <w:color w:val="auto"/>
                <w:szCs w:val="21"/>
                <w:highlight w:val="none"/>
              </w:rPr>
              <w:t>3.采用银行、保险机构出具的保函的，必须为无条件保函，否则不予签订合同。</w:t>
            </w:r>
          </w:p>
          <w:p w14:paraId="5FDC894A">
            <w:pPr>
              <w:pStyle w:val="65"/>
              <w:keepNext w:val="0"/>
              <w:keepLines w:val="0"/>
              <w:suppressLineNumbers w:val="0"/>
              <w:spacing w:before="0" w:beforeAutospacing="0" w:after="0" w:afterAutospacing="0" w:line="400" w:lineRule="exact"/>
              <w:ind w:left="0" w:right="0"/>
              <w:rPr>
                <w:rFonts w:hint="eastAsia"/>
                <w:snapToGrid w:val="0"/>
                <w:color w:val="auto"/>
                <w:szCs w:val="21"/>
                <w:highlight w:val="none"/>
              </w:rPr>
            </w:pPr>
            <w:r>
              <w:rPr>
                <w:rFonts w:hint="eastAsia"/>
                <w:b/>
                <w:bCs/>
                <w:snapToGrid w:val="0"/>
                <w:color w:val="auto"/>
                <w:szCs w:val="21"/>
                <w:highlight w:val="none"/>
              </w:rPr>
              <w:t>4.供应商为联合体的，由联合体任意一方按规定提交的履约保证金，视为有效履约保证金。</w:t>
            </w:r>
          </w:p>
        </w:tc>
      </w:tr>
      <w:tr w14:paraId="56FC1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75" w:type="dxa"/>
            <w:noWrap w:val="0"/>
            <w:vAlign w:val="center"/>
          </w:tcPr>
          <w:p w14:paraId="3C5F3C33">
            <w:pPr>
              <w:pStyle w:val="65"/>
              <w:keepNext w:val="0"/>
              <w:keepLines w:val="0"/>
              <w:numPr>
                <w:ilvl w:val="0"/>
                <w:numId w:val="0"/>
              </w:numPr>
              <w:suppressLineNumbers w:val="0"/>
              <w:spacing w:before="0" w:beforeAutospacing="0" w:after="0" w:afterAutospacing="0" w:line="390" w:lineRule="exact"/>
              <w:ind w:left="0" w:right="0" w:rightChars="0"/>
              <w:jc w:val="center"/>
              <w:rPr>
                <w:rFonts w:hint="eastAsia"/>
                <w:color w:val="auto"/>
                <w:highlight w:val="none"/>
              </w:rPr>
            </w:pPr>
            <w:r>
              <w:rPr>
                <w:rFonts w:hint="eastAsia"/>
                <w:color w:val="auto"/>
                <w:highlight w:val="none"/>
              </w:rPr>
              <w:t>29.1</w:t>
            </w:r>
          </w:p>
        </w:tc>
        <w:tc>
          <w:tcPr>
            <w:tcW w:w="8220" w:type="dxa"/>
            <w:noWrap w:val="0"/>
            <w:vAlign w:val="center"/>
          </w:tcPr>
          <w:p w14:paraId="6E5B9E57">
            <w:pPr>
              <w:pStyle w:val="65"/>
              <w:keepNext w:val="0"/>
              <w:keepLines w:val="0"/>
              <w:suppressLineNumbers w:val="0"/>
              <w:spacing w:before="0" w:beforeAutospacing="0" w:after="0" w:afterAutospacing="0" w:line="400" w:lineRule="exact"/>
              <w:ind w:left="0" w:right="0"/>
              <w:rPr>
                <w:rFonts w:hint="eastAsia"/>
                <w:b w:val="0"/>
                <w:bCs w:val="0"/>
                <w:snapToGrid w:val="0"/>
                <w:color w:val="auto"/>
                <w:szCs w:val="21"/>
                <w:highlight w:val="none"/>
              </w:rPr>
            </w:pPr>
            <w:r>
              <w:rPr>
                <w:rFonts w:hint="eastAsia"/>
                <w:b w:val="0"/>
                <w:bCs w:val="0"/>
                <w:snapToGrid w:val="0"/>
                <w:color w:val="auto"/>
                <w:szCs w:val="21"/>
                <w:highlight w:val="none"/>
              </w:rPr>
              <w:t>签订合同携带的证明材料：</w:t>
            </w:r>
          </w:p>
          <w:p w14:paraId="253B9D73">
            <w:pPr>
              <w:pStyle w:val="65"/>
              <w:keepNext w:val="0"/>
              <w:keepLines w:val="0"/>
              <w:suppressLineNumbers w:val="0"/>
              <w:spacing w:before="0" w:beforeAutospacing="0" w:after="0" w:afterAutospacing="0" w:line="400" w:lineRule="exact"/>
              <w:ind w:left="0" w:right="0"/>
              <w:rPr>
                <w:rFonts w:hint="eastAsia"/>
                <w:b w:val="0"/>
                <w:bCs w:val="0"/>
                <w:snapToGrid w:val="0"/>
                <w:color w:val="auto"/>
                <w:szCs w:val="21"/>
                <w:highlight w:val="none"/>
              </w:rPr>
            </w:pPr>
            <w:r>
              <w:rPr>
                <w:rFonts w:hint="eastAsia"/>
                <w:b w:val="0"/>
                <w:bCs w:val="0"/>
                <w:snapToGrid w:val="0"/>
                <w:color w:val="auto"/>
                <w:szCs w:val="21"/>
                <w:highlight w:val="none"/>
              </w:rPr>
              <w:t>委托代理人负责签订合同的，须携带授权委托书及委托代理人身份证原件等其他资格证件。</w:t>
            </w:r>
          </w:p>
          <w:p w14:paraId="778E23E3">
            <w:pPr>
              <w:pStyle w:val="65"/>
              <w:keepNext w:val="0"/>
              <w:keepLines w:val="0"/>
              <w:suppressLineNumbers w:val="0"/>
              <w:spacing w:before="0" w:beforeAutospacing="0" w:after="0" w:afterAutospacing="0" w:line="400" w:lineRule="exact"/>
              <w:ind w:left="0" w:right="0"/>
              <w:rPr>
                <w:rFonts w:hint="eastAsia"/>
                <w:b/>
                <w:bCs/>
                <w:snapToGrid w:val="0"/>
                <w:color w:val="auto"/>
                <w:szCs w:val="21"/>
                <w:highlight w:val="none"/>
              </w:rPr>
            </w:pPr>
            <w:r>
              <w:rPr>
                <w:rFonts w:hint="eastAsia"/>
                <w:b w:val="0"/>
                <w:bCs w:val="0"/>
                <w:snapToGrid w:val="0"/>
                <w:color w:val="auto"/>
                <w:szCs w:val="21"/>
                <w:highlight w:val="none"/>
              </w:rPr>
              <w:t>法定代表人负责签订合同的，须携带法定代表人身份证明原件及身份证原件等其他证明材料。</w:t>
            </w:r>
          </w:p>
        </w:tc>
      </w:tr>
      <w:tr w14:paraId="51C52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75" w:type="dxa"/>
            <w:noWrap w:val="0"/>
            <w:vAlign w:val="center"/>
          </w:tcPr>
          <w:p w14:paraId="0EA9D6B0">
            <w:pPr>
              <w:pStyle w:val="65"/>
              <w:keepNext w:val="0"/>
              <w:keepLines w:val="0"/>
              <w:numPr>
                <w:ilvl w:val="0"/>
                <w:numId w:val="0"/>
              </w:numPr>
              <w:suppressLineNumbers w:val="0"/>
              <w:spacing w:before="0" w:beforeAutospacing="0" w:after="0" w:afterAutospacing="0" w:line="390" w:lineRule="exact"/>
              <w:ind w:left="0" w:right="0" w:rightChars="0"/>
              <w:jc w:val="center"/>
              <w:rPr>
                <w:rFonts w:hint="eastAsia"/>
                <w:color w:val="auto"/>
                <w:highlight w:val="none"/>
              </w:rPr>
            </w:pPr>
            <w:r>
              <w:rPr>
                <w:rFonts w:hint="eastAsia"/>
                <w:color w:val="auto"/>
                <w:highlight w:val="none"/>
              </w:rPr>
              <w:t>31.2</w:t>
            </w:r>
          </w:p>
        </w:tc>
        <w:tc>
          <w:tcPr>
            <w:tcW w:w="8220" w:type="dxa"/>
            <w:noWrap w:val="0"/>
            <w:vAlign w:val="center"/>
          </w:tcPr>
          <w:p w14:paraId="040020C4">
            <w:pPr>
              <w:pStyle w:val="65"/>
              <w:keepNext w:val="0"/>
              <w:keepLines w:val="0"/>
              <w:suppressLineNumbers w:val="0"/>
              <w:spacing w:before="0" w:beforeAutospacing="0" w:after="0" w:afterAutospacing="0" w:line="400" w:lineRule="exact"/>
              <w:ind w:left="0" w:right="0"/>
              <w:rPr>
                <w:rFonts w:hint="eastAsia"/>
                <w:b w:val="0"/>
                <w:bCs w:val="0"/>
                <w:snapToGrid w:val="0"/>
                <w:color w:val="auto"/>
                <w:szCs w:val="21"/>
                <w:highlight w:val="none"/>
              </w:rPr>
            </w:pPr>
            <w:r>
              <w:rPr>
                <w:rFonts w:hint="eastAsia"/>
                <w:b w:val="0"/>
                <w:bCs w:val="0"/>
                <w:snapToGrid w:val="0"/>
                <w:color w:val="auto"/>
                <w:szCs w:val="21"/>
                <w:highlight w:val="none"/>
              </w:rPr>
              <w:t>接收质疑函方式：以书面形式。</w:t>
            </w:r>
          </w:p>
          <w:p w14:paraId="2DEFD52F">
            <w:pPr>
              <w:pStyle w:val="65"/>
              <w:keepNext w:val="0"/>
              <w:keepLines w:val="0"/>
              <w:suppressLineNumbers w:val="0"/>
              <w:spacing w:before="0" w:beforeAutospacing="0" w:after="0" w:afterAutospacing="0" w:line="400" w:lineRule="exact"/>
              <w:ind w:left="0" w:right="0"/>
              <w:rPr>
                <w:rFonts w:hint="eastAsia"/>
                <w:b w:val="0"/>
                <w:bCs w:val="0"/>
                <w:snapToGrid w:val="0"/>
                <w:color w:val="auto"/>
                <w:szCs w:val="21"/>
                <w:highlight w:val="none"/>
              </w:rPr>
            </w:pPr>
            <w:r>
              <w:rPr>
                <w:rFonts w:hint="eastAsia"/>
                <w:b w:val="0"/>
                <w:bCs w:val="0"/>
                <w:snapToGrid w:val="0"/>
                <w:color w:val="auto"/>
                <w:szCs w:val="21"/>
                <w:highlight w:val="none"/>
              </w:rPr>
              <w:t>质疑联系部门及联系方式：</w:t>
            </w:r>
            <w:r>
              <w:rPr>
                <w:rFonts w:hint="eastAsia"/>
                <w:b w:val="0"/>
                <w:bCs w:val="0"/>
                <w:snapToGrid w:val="0"/>
                <w:color w:val="auto"/>
                <w:szCs w:val="21"/>
                <w:highlight w:val="none"/>
                <w:lang w:eastAsia="zh-CN"/>
              </w:rPr>
              <w:t>广西众联建设工程监理有限公司</w:t>
            </w:r>
            <w:r>
              <w:rPr>
                <w:rFonts w:hint="eastAsia"/>
                <w:b w:val="0"/>
                <w:bCs w:val="0"/>
                <w:snapToGrid w:val="0"/>
                <w:color w:val="auto"/>
                <w:szCs w:val="21"/>
                <w:highlight w:val="none"/>
              </w:rPr>
              <w:t>，联系电话：</w:t>
            </w:r>
            <w:r>
              <w:rPr>
                <w:rFonts w:hint="eastAsia"/>
                <w:b w:val="0"/>
                <w:bCs w:val="0"/>
                <w:snapToGrid w:val="0"/>
                <w:color w:val="auto"/>
                <w:szCs w:val="21"/>
                <w:highlight w:val="none"/>
                <w:lang w:eastAsia="zh-CN"/>
              </w:rPr>
              <w:t>0771-3379398</w:t>
            </w:r>
            <w:r>
              <w:rPr>
                <w:rFonts w:hint="eastAsia"/>
                <w:b w:val="0"/>
                <w:bCs w:val="0"/>
                <w:snapToGrid w:val="0"/>
                <w:color w:val="auto"/>
                <w:szCs w:val="21"/>
                <w:highlight w:val="none"/>
              </w:rPr>
              <w:t>，通讯地址：</w:t>
            </w:r>
            <w:r>
              <w:rPr>
                <w:rFonts w:hint="eastAsia"/>
                <w:b w:val="0"/>
                <w:bCs w:val="0"/>
                <w:snapToGrid w:val="0"/>
                <w:color w:val="auto"/>
                <w:szCs w:val="21"/>
                <w:highlight w:val="none"/>
                <w:lang w:eastAsia="zh-CN"/>
              </w:rPr>
              <w:t>南宁市白沙大道53号松宇时代14层。</w:t>
            </w:r>
          </w:p>
          <w:p w14:paraId="09CF3885">
            <w:pPr>
              <w:pStyle w:val="65"/>
              <w:keepNext w:val="0"/>
              <w:keepLines w:val="0"/>
              <w:suppressLineNumbers w:val="0"/>
              <w:spacing w:before="0" w:beforeAutospacing="0" w:after="0" w:afterAutospacing="0" w:line="400" w:lineRule="exact"/>
              <w:ind w:left="0" w:right="0"/>
              <w:rPr>
                <w:rFonts w:hint="eastAsia"/>
                <w:color w:val="auto"/>
                <w:highlight w:val="none"/>
              </w:rPr>
            </w:pPr>
            <w:r>
              <w:rPr>
                <w:rFonts w:hint="eastAsia"/>
                <w:b w:val="0"/>
                <w:bCs w:val="0"/>
                <w:snapToGrid w:val="0"/>
                <w:color w:val="auto"/>
                <w:szCs w:val="21"/>
                <w:highlight w:val="none"/>
              </w:rPr>
              <w:t>业务时间：工作日每天上午8时</w:t>
            </w:r>
            <w:r>
              <w:rPr>
                <w:rFonts w:hint="eastAsia"/>
                <w:b w:val="0"/>
                <w:bCs w:val="0"/>
                <w:snapToGrid w:val="0"/>
                <w:color w:val="auto"/>
                <w:szCs w:val="21"/>
                <w:highlight w:val="none"/>
                <w:lang w:val="en-US" w:eastAsia="zh-CN"/>
              </w:rPr>
              <w:t>30</w:t>
            </w:r>
            <w:r>
              <w:rPr>
                <w:rFonts w:hint="eastAsia"/>
                <w:b w:val="0"/>
                <w:bCs w:val="0"/>
                <w:snapToGrid w:val="0"/>
                <w:color w:val="auto"/>
                <w:szCs w:val="21"/>
                <w:highlight w:val="none"/>
              </w:rPr>
              <w:t>分到12时00分，下午</w:t>
            </w:r>
            <w:r>
              <w:rPr>
                <w:rFonts w:hint="eastAsia"/>
                <w:b w:val="0"/>
                <w:bCs w:val="0"/>
                <w:snapToGrid w:val="0"/>
                <w:color w:val="auto"/>
                <w:szCs w:val="21"/>
                <w:highlight w:val="none"/>
                <w:lang w:val="en-US" w:eastAsia="zh-CN"/>
              </w:rPr>
              <w:t>14</w:t>
            </w:r>
            <w:r>
              <w:rPr>
                <w:rFonts w:hint="eastAsia"/>
                <w:b w:val="0"/>
                <w:bCs w:val="0"/>
                <w:snapToGrid w:val="0"/>
                <w:color w:val="auto"/>
                <w:szCs w:val="21"/>
                <w:highlight w:val="none"/>
              </w:rPr>
              <w:t>时</w:t>
            </w:r>
            <w:r>
              <w:rPr>
                <w:rFonts w:hint="eastAsia"/>
                <w:b w:val="0"/>
                <w:bCs w:val="0"/>
                <w:snapToGrid w:val="0"/>
                <w:color w:val="auto"/>
                <w:szCs w:val="21"/>
                <w:highlight w:val="none"/>
                <w:lang w:val="en-US" w:eastAsia="zh-CN"/>
              </w:rPr>
              <w:t>30</w:t>
            </w:r>
            <w:r>
              <w:rPr>
                <w:rFonts w:hint="eastAsia"/>
                <w:b w:val="0"/>
                <w:bCs w:val="0"/>
                <w:snapToGrid w:val="0"/>
                <w:color w:val="auto"/>
                <w:szCs w:val="21"/>
                <w:highlight w:val="none"/>
              </w:rPr>
              <w:t>分到</w:t>
            </w:r>
            <w:r>
              <w:rPr>
                <w:rFonts w:hint="eastAsia"/>
                <w:b w:val="0"/>
                <w:bCs w:val="0"/>
                <w:snapToGrid w:val="0"/>
                <w:color w:val="auto"/>
                <w:szCs w:val="21"/>
                <w:highlight w:val="none"/>
                <w:lang w:val="en-US" w:eastAsia="zh-CN"/>
              </w:rPr>
              <w:t>18</w:t>
            </w:r>
            <w:r>
              <w:rPr>
                <w:rFonts w:hint="eastAsia"/>
                <w:b w:val="0"/>
                <w:bCs w:val="0"/>
                <w:snapToGrid w:val="0"/>
                <w:color w:val="auto"/>
                <w:szCs w:val="21"/>
                <w:highlight w:val="none"/>
              </w:rPr>
              <w:t>时</w:t>
            </w:r>
            <w:r>
              <w:rPr>
                <w:rFonts w:hint="eastAsia"/>
                <w:b w:val="0"/>
                <w:bCs w:val="0"/>
                <w:snapToGrid w:val="0"/>
                <w:color w:val="auto"/>
                <w:szCs w:val="21"/>
                <w:highlight w:val="none"/>
                <w:lang w:val="en-US" w:eastAsia="zh-CN"/>
              </w:rPr>
              <w:t>00</w:t>
            </w:r>
            <w:r>
              <w:rPr>
                <w:rFonts w:hint="eastAsia"/>
                <w:b w:val="0"/>
                <w:bCs w:val="0"/>
                <w:snapToGrid w:val="0"/>
                <w:color w:val="auto"/>
                <w:szCs w:val="21"/>
                <w:highlight w:val="none"/>
              </w:rPr>
              <w:t>分。</w:t>
            </w:r>
          </w:p>
        </w:tc>
      </w:tr>
      <w:tr w14:paraId="29846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75" w:type="dxa"/>
            <w:noWrap w:val="0"/>
            <w:vAlign w:val="center"/>
          </w:tcPr>
          <w:p w14:paraId="17E923E7">
            <w:pPr>
              <w:pStyle w:val="65"/>
              <w:keepNext w:val="0"/>
              <w:keepLines w:val="0"/>
              <w:numPr>
                <w:ilvl w:val="0"/>
                <w:numId w:val="0"/>
              </w:numPr>
              <w:suppressLineNumbers w:val="0"/>
              <w:spacing w:before="0" w:beforeAutospacing="0" w:after="0" w:afterAutospacing="0" w:line="390" w:lineRule="exact"/>
              <w:ind w:left="0" w:right="0" w:rightChars="0"/>
              <w:jc w:val="center"/>
              <w:rPr>
                <w:rFonts w:hint="eastAsia"/>
                <w:color w:val="auto"/>
                <w:highlight w:val="none"/>
              </w:rPr>
            </w:pPr>
            <w:r>
              <w:rPr>
                <w:rFonts w:hint="eastAsia"/>
                <w:color w:val="auto"/>
                <w:highlight w:val="none"/>
              </w:rPr>
              <w:t>32.1</w:t>
            </w:r>
          </w:p>
        </w:tc>
        <w:tc>
          <w:tcPr>
            <w:tcW w:w="8220" w:type="dxa"/>
            <w:noWrap w:val="0"/>
            <w:vAlign w:val="center"/>
          </w:tcPr>
          <w:p w14:paraId="68A58527">
            <w:pPr>
              <w:pStyle w:val="65"/>
              <w:keepNext w:val="0"/>
              <w:keepLines w:val="0"/>
              <w:suppressLineNumbers w:val="0"/>
              <w:spacing w:before="0" w:beforeAutospacing="0" w:after="0" w:afterAutospacing="0" w:line="400" w:lineRule="exact"/>
              <w:ind w:left="0" w:right="0"/>
              <w:rPr>
                <w:rFonts w:hint="eastAsia"/>
                <w:b w:val="0"/>
                <w:bCs w:val="0"/>
                <w:snapToGrid w:val="0"/>
                <w:color w:val="auto"/>
                <w:szCs w:val="21"/>
                <w:highlight w:val="none"/>
              </w:rPr>
            </w:pPr>
            <w:r>
              <w:rPr>
                <w:rFonts w:hint="eastAsia"/>
                <w:b w:val="0"/>
                <w:bCs w:val="0"/>
                <w:snapToGrid w:val="0"/>
                <w:color w:val="auto"/>
                <w:szCs w:val="21"/>
                <w:highlight w:val="none"/>
              </w:rPr>
              <w:t>1.采购代理费支付方式：</w:t>
            </w:r>
          </w:p>
          <w:p w14:paraId="78F14A08">
            <w:pPr>
              <w:pStyle w:val="65"/>
              <w:keepNext w:val="0"/>
              <w:keepLines w:val="0"/>
              <w:suppressLineNumbers w:val="0"/>
              <w:spacing w:before="0" w:beforeAutospacing="0" w:after="0" w:afterAutospacing="0" w:line="400" w:lineRule="exact"/>
              <w:ind w:left="0" w:right="0"/>
              <w:rPr>
                <w:rFonts w:hint="eastAsia"/>
                <w:b w:val="0"/>
                <w:bCs w:val="0"/>
                <w:snapToGrid w:val="0"/>
                <w:color w:val="auto"/>
                <w:szCs w:val="21"/>
                <w:highlight w:val="none"/>
              </w:rPr>
            </w:pPr>
            <w:r>
              <w:rPr>
                <w:rFonts w:hint="eastAsia"/>
                <w:b w:val="0"/>
                <w:bCs w:val="0"/>
                <w:snapToGrid w:val="0"/>
                <w:color w:val="auto"/>
                <w:szCs w:val="21"/>
                <w:highlight w:val="none"/>
              </w:rPr>
              <w:t>☑本项目代理服务费由成交供应商一次性向采购代理机构支付。</w:t>
            </w:r>
          </w:p>
          <w:p w14:paraId="673EA428">
            <w:pPr>
              <w:pStyle w:val="65"/>
              <w:keepNext w:val="0"/>
              <w:keepLines w:val="0"/>
              <w:suppressLineNumbers w:val="0"/>
              <w:spacing w:before="0" w:beforeAutospacing="0" w:after="0" w:afterAutospacing="0" w:line="400" w:lineRule="exact"/>
              <w:ind w:left="0" w:right="0"/>
              <w:rPr>
                <w:rFonts w:hint="eastAsia"/>
                <w:b w:val="0"/>
                <w:bCs w:val="0"/>
                <w:snapToGrid w:val="0"/>
                <w:color w:val="auto"/>
                <w:szCs w:val="21"/>
                <w:highlight w:val="none"/>
              </w:rPr>
            </w:pPr>
            <w:r>
              <w:rPr>
                <w:rFonts w:hint="eastAsia"/>
                <w:b w:val="0"/>
                <w:bCs w:val="0"/>
                <w:snapToGrid w:val="0"/>
                <w:color w:val="auto"/>
                <w:szCs w:val="21"/>
                <w:highlight w:val="none"/>
              </w:rPr>
              <w:t>□采购人支付。</w:t>
            </w:r>
          </w:p>
          <w:p w14:paraId="6C15B4A2">
            <w:pPr>
              <w:pStyle w:val="65"/>
              <w:keepNext w:val="0"/>
              <w:keepLines w:val="0"/>
              <w:suppressLineNumbers w:val="0"/>
              <w:spacing w:before="0" w:beforeAutospacing="0" w:after="0" w:afterAutospacing="0" w:line="400" w:lineRule="exact"/>
              <w:ind w:left="0" w:right="0"/>
              <w:rPr>
                <w:rFonts w:hint="eastAsia"/>
                <w:b w:val="0"/>
                <w:bCs w:val="0"/>
                <w:snapToGrid w:val="0"/>
                <w:color w:val="auto"/>
                <w:szCs w:val="21"/>
                <w:highlight w:val="none"/>
              </w:rPr>
            </w:pPr>
            <w:r>
              <w:rPr>
                <w:rFonts w:hint="eastAsia"/>
                <w:b w:val="0"/>
                <w:bCs w:val="0"/>
                <w:snapToGrid w:val="0"/>
                <w:color w:val="auto"/>
                <w:szCs w:val="21"/>
                <w:highlight w:val="none"/>
              </w:rPr>
              <w:t>2.采购代理费收取标准：</w:t>
            </w:r>
          </w:p>
          <w:p w14:paraId="5D28DB70">
            <w:pPr>
              <w:pStyle w:val="65"/>
              <w:keepNext w:val="0"/>
              <w:keepLines w:val="0"/>
              <w:suppressLineNumbers w:val="0"/>
              <w:spacing w:before="0" w:beforeAutospacing="0" w:after="0" w:afterAutospacing="0" w:line="400" w:lineRule="exact"/>
              <w:ind w:left="0" w:right="0"/>
              <w:rPr>
                <w:rFonts w:hint="eastAsia"/>
                <w:b w:val="0"/>
                <w:bCs w:val="0"/>
                <w:snapToGrid w:val="0"/>
                <w:color w:val="auto"/>
                <w:szCs w:val="21"/>
                <w:highlight w:val="none"/>
              </w:rPr>
            </w:pPr>
            <w:r>
              <w:rPr>
                <w:rFonts w:hint="eastAsia"/>
                <w:b w:val="0"/>
                <w:bCs w:val="0"/>
                <w:snapToGrid w:val="0"/>
                <w:color w:val="auto"/>
                <w:szCs w:val="21"/>
                <w:highlight w:val="none"/>
              </w:rPr>
              <w:t>☑以分标 (☑成交金额/□采购预算/□暂定成交金额/□其他）为计费额，按本须知正文第32.1条规定的 (☑货物类/□服务类/□工程类）标准采用差额定率累进法计算出收费基准价格，采购代理收费以 (</w:t>
            </w:r>
            <w:r>
              <w:rPr>
                <w:rFonts w:hint="eastAsia"/>
                <w:b w:val="0"/>
                <w:bCs w:val="0"/>
                <w:snapToGrid w:val="0"/>
                <w:color w:val="auto"/>
                <w:szCs w:val="21"/>
                <w:highlight w:val="none"/>
                <w:lang w:eastAsia="zh-CN"/>
              </w:rPr>
              <w:t>☑</w:t>
            </w:r>
            <w:r>
              <w:rPr>
                <w:rFonts w:hint="eastAsia"/>
                <w:b w:val="0"/>
                <w:bCs w:val="0"/>
                <w:snapToGrid w:val="0"/>
                <w:color w:val="auto"/>
                <w:szCs w:val="21"/>
                <w:highlight w:val="none"/>
              </w:rPr>
              <w:t>收费基准价格/</w:t>
            </w:r>
            <w:r>
              <w:rPr>
                <w:rFonts w:hint="eastAsia"/>
                <w:b w:val="0"/>
                <w:bCs w:val="0"/>
                <w:snapToGrid w:val="0"/>
                <w:color w:val="auto"/>
                <w:szCs w:val="21"/>
                <w:highlight w:val="none"/>
                <w:lang w:eastAsia="zh-CN"/>
              </w:rPr>
              <w:t>□</w:t>
            </w:r>
            <w:r>
              <w:rPr>
                <w:rFonts w:hint="eastAsia"/>
                <w:b w:val="0"/>
                <w:bCs w:val="0"/>
                <w:snapToGrid w:val="0"/>
                <w:color w:val="auto"/>
                <w:szCs w:val="21"/>
                <w:highlight w:val="none"/>
              </w:rPr>
              <w:t>收费基准价格下浮）/□收费基准价格上浮%）收取。</w:t>
            </w:r>
          </w:p>
          <w:p w14:paraId="3F74BB1D">
            <w:pPr>
              <w:pStyle w:val="65"/>
              <w:keepNext w:val="0"/>
              <w:keepLines w:val="0"/>
              <w:suppressLineNumbers w:val="0"/>
              <w:spacing w:before="0" w:beforeAutospacing="0" w:after="0" w:afterAutospacing="0" w:line="400" w:lineRule="exact"/>
              <w:ind w:left="0" w:right="0"/>
              <w:rPr>
                <w:rFonts w:hint="eastAsia"/>
                <w:b w:val="0"/>
                <w:bCs w:val="0"/>
                <w:snapToGrid w:val="0"/>
                <w:color w:val="auto"/>
                <w:szCs w:val="21"/>
                <w:highlight w:val="none"/>
              </w:rPr>
            </w:pPr>
            <w:r>
              <w:rPr>
                <w:rFonts w:hint="eastAsia"/>
                <w:b w:val="0"/>
                <w:bCs w:val="0"/>
                <w:snapToGrid w:val="0"/>
                <w:color w:val="auto"/>
                <w:szCs w:val="21"/>
                <w:highlight w:val="none"/>
              </w:rPr>
              <w:t>□固定采购代理收费。</w:t>
            </w:r>
          </w:p>
          <w:p w14:paraId="759CD6C3">
            <w:pPr>
              <w:pStyle w:val="65"/>
              <w:keepNext w:val="0"/>
              <w:keepLines w:val="0"/>
              <w:suppressLineNumbers w:val="0"/>
              <w:spacing w:before="0" w:beforeAutospacing="0" w:after="0" w:afterAutospacing="0" w:line="400" w:lineRule="exact"/>
              <w:ind w:left="0" w:right="0"/>
              <w:rPr>
                <w:rFonts w:hint="eastAsia"/>
                <w:b w:val="0"/>
                <w:bCs w:val="0"/>
                <w:snapToGrid w:val="0"/>
                <w:color w:val="auto"/>
                <w:szCs w:val="21"/>
                <w:highlight w:val="none"/>
              </w:rPr>
            </w:pPr>
            <w:r>
              <w:rPr>
                <w:rFonts w:hint="eastAsia"/>
                <w:b w:val="0"/>
                <w:bCs w:val="0"/>
                <w:snapToGrid w:val="0"/>
                <w:color w:val="auto"/>
                <w:szCs w:val="21"/>
                <w:highlight w:val="none"/>
              </w:rPr>
              <w:t>3. 采购代理费收取银行账户</w:t>
            </w:r>
          </w:p>
          <w:p w14:paraId="3259474B">
            <w:pPr>
              <w:pStyle w:val="65"/>
              <w:keepNext w:val="0"/>
              <w:keepLines w:val="0"/>
              <w:suppressLineNumbers w:val="0"/>
              <w:spacing w:before="0" w:beforeAutospacing="0" w:after="0" w:afterAutospacing="0" w:line="400" w:lineRule="exact"/>
              <w:ind w:left="0" w:right="0"/>
              <w:rPr>
                <w:rFonts w:hint="eastAsia"/>
                <w:b w:val="0"/>
                <w:bCs w:val="0"/>
                <w:snapToGrid w:val="0"/>
                <w:color w:val="auto"/>
                <w:szCs w:val="21"/>
                <w:highlight w:val="none"/>
                <w:lang w:eastAsia="zh-CN"/>
              </w:rPr>
            </w:pPr>
            <w:r>
              <w:rPr>
                <w:rFonts w:hint="eastAsia"/>
                <w:b w:val="0"/>
                <w:bCs w:val="0"/>
                <w:snapToGrid w:val="0"/>
                <w:color w:val="auto"/>
                <w:szCs w:val="21"/>
                <w:highlight w:val="none"/>
              </w:rPr>
              <w:t>开户名称：</w:t>
            </w:r>
            <w:r>
              <w:rPr>
                <w:rFonts w:hint="eastAsia"/>
                <w:b w:val="0"/>
                <w:bCs w:val="0"/>
                <w:snapToGrid w:val="0"/>
                <w:color w:val="auto"/>
                <w:szCs w:val="21"/>
                <w:highlight w:val="none"/>
                <w:lang w:eastAsia="zh-CN"/>
              </w:rPr>
              <w:t>广西众联建设工程监理有限公司</w:t>
            </w:r>
          </w:p>
          <w:p w14:paraId="16DFADEC">
            <w:pPr>
              <w:pStyle w:val="65"/>
              <w:keepNext w:val="0"/>
              <w:keepLines w:val="0"/>
              <w:suppressLineNumbers w:val="0"/>
              <w:spacing w:before="0" w:beforeAutospacing="0" w:after="0" w:afterAutospacing="0" w:line="400" w:lineRule="exact"/>
              <w:ind w:left="0" w:right="0"/>
              <w:rPr>
                <w:rFonts w:hint="eastAsia"/>
                <w:b w:val="0"/>
                <w:bCs w:val="0"/>
                <w:snapToGrid w:val="0"/>
                <w:color w:val="auto"/>
                <w:szCs w:val="21"/>
                <w:highlight w:val="none"/>
              </w:rPr>
            </w:pPr>
            <w:r>
              <w:rPr>
                <w:rFonts w:hint="eastAsia"/>
                <w:b w:val="0"/>
                <w:bCs w:val="0"/>
                <w:snapToGrid w:val="0"/>
                <w:color w:val="auto"/>
                <w:szCs w:val="21"/>
                <w:highlight w:val="none"/>
              </w:rPr>
              <w:t>银行账号：78900188000323612</w:t>
            </w:r>
          </w:p>
          <w:p w14:paraId="0B36B554">
            <w:pPr>
              <w:pStyle w:val="65"/>
              <w:keepNext w:val="0"/>
              <w:keepLines w:val="0"/>
              <w:suppressLineNumbers w:val="0"/>
              <w:spacing w:before="0" w:beforeAutospacing="0" w:after="0" w:afterAutospacing="0" w:line="400" w:lineRule="exact"/>
              <w:ind w:left="0" w:right="0"/>
              <w:rPr>
                <w:rFonts w:hint="eastAsia"/>
                <w:b w:val="0"/>
                <w:bCs w:val="0"/>
                <w:snapToGrid w:val="0"/>
                <w:color w:val="auto"/>
                <w:szCs w:val="21"/>
                <w:highlight w:val="none"/>
              </w:rPr>
            </w:pPr>
            <w:r>
              <w:rPr>
                <w:rFonts w:hint="eastAsia"/>
                <w:b w:val="0"/>
                <w:bCs w:val="0"/>
                <w:snapToGrid w:val="0"/>
                <w:color w:val="auto"/>
                <w:szCs w:val="21"/>
                <w:highlight w:val="none"/>
              </w:rPr>
              <w:t>开户银行：中国光大银行南宁民主支行</w:t>
            </w:r>
          </w:p>
        </w:tc>
      </w:tr>
      <w:tr w14:paraId="388CA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75" w:type="dxa"/>
            <w:noWrap w:val="0"/>
            <w:vAlign w:val="center"/>
          </w:tcPr>
          <w:p w14:paraId="781A9A76">
            <w:pPr>
              <w:pStyle w:val="65"/>
              <w:keepNext w:val="0"/>
              <w:keepLines w:val="0"/>
              <w:numPr>
                <w:ilvl w:val="0"/>
                <w:numId w:val="0"/>
              </w:numPr>
              <w:suppressLineNumbers w:val="0"/>
              <w:spacing w:before="0" w:beforeAutospacing="0" w:after="0" w:afterAutospacing="0" w:line="390" w:lineRule="exact"/>
              <w:ind w:left="0" w:right="0" w:rightChars="0"/>
              <w:jc w:val="center"/>
              <w:rPr>
                <w:rFonts w:hint="eastAsia"/>
                <w:color w:val="auto"/>
                <w:highlight w:val="none"/>
              </w:rPr>
            </w:pPr>
            <w:r>
              <w:rPr>
                <w:rFonts w:hint="eastAsia"/>
                <w:color w:val="auto"/>
                <w:highlight w:val="none"/>
              </w:rPr>
              <w:t>33.1</w:t>
            </w:r>
          </w:p>
        </w:tc>
        <w:tc>
          <w:tcPr>
            <w:tcW w:w="8220" w:type="dxa"/>
            <w:noWrap w:val="0"/>
            <w:vAlign w:val="center"/>
          </w:tcPr>
          <w:p w14:paraId="2109F6CD">
            <w:pPr>
              <w:pStyle w:val="65"/>
              <w:keepNext w:val="0"/>
              <w:keepLines w:val="0"/>
              <w:suppressLineNumbers w:val="0"/>
              <w:spacing w:before="0" w:beforeAutospacing="0" w:after="0" w:afterAutospacing="0" w:line="400" w:lineRule="exact"/>
              <w:ind w:left="0" w:right="0"/>
              <w:rPr>
                <w:rFonts w:hint="eastAsia"/>
                <w:b w:val="0"/>
                <w:bCs w:val="0"/>
                <w:snapToGrid w:val="0"/>
                <w:color w:val="auto"/>
                <w:szCs w:val="21"/>
                <w:highlight w:val="none"/>
              </w:rPr>
            </w:pPr>
            <w:r>
              <w:rPr>
                <w:rFonts w:hint="eastAsia"/>
                <w:b w:val="0"/>
                <w:bCs w:val="0"/>
                <w:snapToGrid w:val="0"/>
                <w:color w:val="auto"/>
                <w:szCs w:val="21"/>
                <w:highlight w:val="none"/>
              </w:rPr>
              <w:t>解释：构成本谈判文件的各个组成文件应互为解释，互为说明；除谈判文件中有特别规定外，仅适用于竞标阶段的规定，按更正公告（澄清公告）、竞争性谈判公告、供应商须知、采购需求、评审程序和评定成交的标准、响应文件格式、合同文本的先后顺序解释；同一组成文件中就同一事项的规定或约定不一致的，以编排顺序在后者为准；同一组成文件不同版本之间有不一致的，以形成时间在后者为准；更正公告（澄清公告）与同步更新的谈判文件不一致时以更正公告（澄清公告）为准。按本款前述规定仍不能形成结论的，由采购人或者采购代理机构负责解释。</w:t>
            </w:r>
          </w:p>
        </w:tc>
      </w:tr>
      <w:tr w14:paraId="542FF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75" w:type="dxa"/>
            <w:noWrap w:val="0"/>
            <w:vAlign w:val="center"/>
          </w:tcPr>
          <w:p w14:paraId="6347D21F">
            <w:pPr>
              <w:pStyle w:val="65"/>
              <w:keepNext w:val="0"/>
              <w:keepLines w:val="0"/>
              <w:numPr>
                <w:ilvl w:val="0"/>
                <w:numId w:val="0"/>
              </w:numPr>
              <w:suppressLineNumbers w:val="0"/>
              <w:spacing w:before="0" w:beforeAutospacing="0" w:after="0" w:afterAutospacing="0" w:line="390" w:lineRule="exact"/>
              <w:ind w:left="0" w:right="0" w:rightChars="0"/>
              <w:jc w:val="center"/>
              <w:rPr>
                <w:rFonts w:hint="default" w:eastAsia="宋体"/>
                <w:color w:val="auto"/>
                <w:highlight w:val="none"/>
                <w:lang w:val="en-US" w:eastAsia="zh-CN"/>
              </w:rPr>
            </w:pPr>
            <w:r>
              <w:rPr>
                <w:rFonts w:hint="eastAsia"/>
                <w:color w:val="auto"/>
                <w:highlight w:val="none"/>
                <w:lang w:val="en-US" w:eastAsia="zh-CN"/>
              </w:rPr>
              <w:t>33.2</w:t>
            </w:r>
          </w:p>
        </w:tc>
        <w:tc>
          <w:tcPr>
            <w:tcW w:w="8220" w:type="dxa"/>
            <w:noWrap w:val="0"/>
            <w:vAlign w:val="center"/>
          </w:tcPr>
          <w:p w14:paraId="5C349CA4">
            <w:pPr>
              <w:pStyle w:val="65"/>
              <w:keepNext w:val="0"/>
              <w:keepLines w:val="0"/>
              <w:suppressLineNumbers w:val="0"/>
              <w:spacing w:before="0" w:beforeAutospacing="0" w:after="0" w:afterAutospacing="0" w:line="400" w:lineRule="exact"/>
              <w:ind w:left="0" w:right="0"/>
              <w:rPr>
                <w:rFonts w:hint="eastAsia"/>
                <w:b w:val="0"/>
                <w:bCs w:val="0"/>
                <w:snapToGrid w:val="0"/>
                <w:color w:val="auto"/>
                <w:szCs w:val="21"/>
                <w:highlight w:val="none"/>
              </w:rPr>
            </w:pPr>
            <w:r>
              <w:rPr>
                <w:rFonts w:hint="eastAsia"/>
                <w:b w:val="0"/>
                <w:bCs w:val="0"/>
                <w:snapToGrid w:val="0"/>
                <w:color w:val="auto"/>
                <w:szCs w:val="21"/>
                <w:highlight w:val="none"/>
              </w:rPr>
              <w:t>1.本谈判文件中描述供应商的</w:t>
            </w:r>
            <w:r>
              <w:rPr>
                <w:rFonts w:hint="eastAsia"/>
                <w:b w:val="0"/>
                <w:bCs w:val="0"/>
                <w:snapToGrid w:val="0"/>
                <w:color w:val="auto"/>
                <w:szCs w:val="21"/>
                <w:highlight w:val="none"/>
                <w:lang w:eastAsia="zh-CN"/>
              </w:rPr>
              <w:t>“</w:t>
            </w:r>
            <w:r>
              <w:rPr>
                <w:rFonts w:hint="eastAsia"/>
                <w:b w:val="0"/>
                <w:bCs w:val="0"/>
                <w:snapToGrid w:val="0"/>
                <w:color w:val="auto"/>
                <w:szCs w:val="21"/>
                <w:highlight w:val="none"/>
              </w:rPr>
              <w:t>公章</w:t>
            </w:r>
            <w:r>
              <w:rPr>
                <w:rFonts w:hint="eastAsia"/>
                <w:b w:val="0"/>
                <w:bCs w:val="0"/>
                <w:snapToGrid w:val="0"/>
                <w:color w:val="auto"/>
                <w:szCs w:val="21"/>
                <w:highlight w:val="none"/>
                <w:lang w:eastAsia="zh-CN"/>
              </w:rPr>
              <w:t>”</w:t>
            </w:r>
            <w:r>
              <w:rPr>
                <w:rFonts w:hint="eastAsia"/>
                <w:b w:val="0"/>
                <w:bCs w:val="0"/>
                <w:snapToGrid w:val="0"/>
                <w:color w:val="auto"/>
                <w:szCs w:val="21"/>
                <w:highlight w:val="none"/>
              </w:rPr>
              <w:t>是指根据我国对公章的管理规定，用供应商法定主体行为名称制作的印章，除本谈判文件有特殊规定外，供应商的财务章、部门章、分公司章、工会章、合同章、竞标专用章、业务专用章及银行的转账章、现金收讫章、现金付讫章等其他形式印章均不能代替公章。</w:t>
            </w:r>
          </w:p>
          <w:p w14:paraId="06E328AC">
            <w:pPr>
              <w:pStyle w:val="65"/>
              <w:keepNext w:val="0"/>
              <w:keepLines w:val="0"/>
              <w:suppressLineNumbers w:val="0"/>
              <w:spacing w:before="0" w:beforeAutospacing="0" w:after="0" w:afterAutospacing="0" w:line="400" w:lineRule="exact"/>
              <w:ind w:left="0" w:right="0"/>
              <w:rPr>
                <w:rFonts w:hint="eastAsia"/>
                <w:b w:val="0"/>
                <w:bCs w:val="0"/>
                <w:snapToGrid w:val="0"/>
                <w:color w:val="auto"/>
                <w:szCs w:val="21"/>
                <w:highlight w:val="none"/>
              </w:rPr>
            </w:pPr>
            <w:r>
              <w:rPr>
                <w:rFonts w:hint="eastAsia"/>
                <w:b w:val="0"/>
                <w:bCs w:val="0"/>
                <w:snapToGrid w:val="0"/>
                <w:color w:val="auto"/>
                <w:szCs w:val="21"/>
                <w:highlight w:val="none"/>
              </w:rPr>
              <w:t>2.本谈判文件所称的</w:t>
            </w:r>
            <w:r>
              <w:rPr>
                <w:rFonts w:hint="eastAsia"/>
                <w:b w:val="0"/>
                <w:bCs w:val="0"/>
                <w:snapToGrid w:val="0"/>
                <w:color w:val="auto"/>
                <w:szCs w:val="21"/>
                <w:highlight w:val="none"/>
                <w:lang w:eastAsia="zh-CN"/>
              </w:rPr>
              <w:t>“</w:t>
            </w:r>
            <w:r>
              <w:rPr>
                <w:rFonts w:hint="eastAsia"/>
                <w:b w:val="0"/>
                <w:bCs w:val="0"/>
                <w:snapToGrid w:val="0"/>
                <w:color w:val="auto"/>
                <w:szCs w:val="21"/>
                <w:highlight w:val="none"/>
              </w:rPr>
              <w:t>电子签章</w:t>
            </w:r>
            <w:r>
              <w:rPr>
                <w:rFonts w:hint="eastAsia"/>
                <w:b w:val="0"/>
                <w:bCs w:val="0"/>
                <w:snapToGrid w:val="0"/>
                <w:color w:val="auto"/>
                <w:szCs w:val="21"/>
                <w:highlight w:val="none"/>
                <w:lang w:eastAsia="zh-CN"/>
              </w:rPr>
              <w:t>”“</w:t>
            </w:r>
            <w:r>
              <w:rPr>
                <w:rFonts w:hint="eastAsia"/>
                <w:b w:val="0"/>
                <w:bCs w:val="0"/>
                <w:snapToGrid w:val="0"/>
                <w:color w:val="auto"/>
                <w:szCs w:val="21"/>
                <w:highlight w:val="none"/>
              </w:rPr>
              <w:t>电子签名</w:t>
            </w:r>
            <w:r>
              <w:rPr>
                <w:rFonts w:hint="eastAsia"/>
                <w:b w:val="0"/>
                <w:bCs w:val="0"/>
                <w:snapToGrid w:val="0"/>
                <w:color w:val="auto"/>
                <w:szCs w:val="21"/>
                <w:highlight w:val="none"/>
                <w:lang w:eastAsia="zh-CN"/>
              </w:rPr>
              <w:t>”</w:t>
            </w:r>
            <w:r>
              <w:rPr>
                <w:rFonts w:hint="eastAsia"/>
                <w:b w:val="0"/>
                <w:bCs w:val="0"/>
                <w:snapToGrid w:val="0"/>
                <w:color w:val="auto"/>
                <w:szCs w:val="21"/>
                <w:highlight w:val="none"/>
              </w:rPr>
              <w:t>，是指经广西政府采购云平台认可的CA认证的电子签名数据为表现形式的印章，可用于签署电子响应文件，电子印章与实物印章具有同等法律效力，不因其采用电子化表现形式而否定其法律效力。</w:t>
            </w:r>
          </w:p>
          <w:p w14:paraId="1BBAAF89">
            <w:pPr>
              <w:pStyle w:val="65"/>
              <w:keepNext w:val="0"/>
              <w:keepLines w:val="0"/>
              <w:suppressLineNumbers w:val="0"/>
              <w:spacing w:before="0" w:beforeAutospacing="0" w:after="0" w:afterAutospacing="0" w:line="400" w:lineRule="exact"/>
              <w:ind w:left="0" w:right="0"/>
              <w:rPr>
                <w:rFonts w:hint="eastAsia"/>
                <w:b w:val="0"/>
                <w:bCs w:val="0"/>
                <w:snapToGrid w:val="0"/>
                <w:color w:val="auto"/>
                <w:szCs w:val="21"/>
                <w:highlight w:val="none"/>
              </w:rPr>
            </w:pPr>
            <w:r>
              <w:rPr>
                <w:rFonts w:hint="eastAsia"/>
                <w:b w:val="0"/>
                <w:bCs w:val="0"/>
                <w:snapToGrid w:val="0"/>
                <w:color w:val="auto"/>
                <w:szCs w:val="21"/>
                <w:highlight w:val="none"/>
              </w:rPr>
              <w:t>3.供应商为其他组织或者自然人时，本谈判文件规定的法定代表人指负责人或者自然人。本谈判文件所称负责人是指参加竞标的其他组织营业执照或者执业许可证等证照上的负责人，本谈判文件所称自然人指参与竞标的自然人本人，且应具备独立承担民事责任能力，自然人应当为年满18岁以上成年人（十六周岁以上的未成年人，以自己的劳动收入为主要生活来源的，视为完全民事行为能力人）。</w:t>
            </w:r>
          </w:p>
          <w:p w14:paraId="341CBB22">
            <w:pPr>
              <w:pStyle w:val="65"/>
              <w:keepNext w:val="0"/>
              <w:keepLines w:val="0"/>
              <w:suppressLineNumbers w:val="0"/>
              <w:spacing w:before="0" w:beforeAutospacing="0" w:after="0" w:afterAutospacing="0" w:line="400" w:lineRule="exact"/>
              <w:ind w:left="0" w:right="0"/>
              <w:rPr>
                <w:rFonts w:hint="eastAsia"/>
                <w:b w:val="0"/>
                <w:bCs w:val="0"/>
                <w:snapToGrid w:val="0"/>
                <w:color w:val="auto"/>
                <w:szCs w:val="21"/>
                <w:highlight w:val="none"/>
              </w:rPr>
            </w:pPr>
            <w:r>
              <w:rPr>
                <w:rFonts w:hint="eastAsia"/>
                <w:b w:val="0"/>
                <w:bCs w:val="0"/>
                <w:snapToGrid w:val="0"/>
                <w:color w:val="auto"/>
                <w:szCs w:val="21"/>
                <w:highlight w:val="none"/>
              </w:rPr>
              <w:t>4.本谈判文件中描述供应商的</w:t>
            </w:r>
            <w:r>
              <w:rPr>
                <w:rFonts w:hint="eastAsia"/>
                <w:b w:val="0"/>
                <w:bCs w:val="0"/>
                <w:snapToGrid w:val="0"/>
                <w:color w:val="auto"/>
                <w:szCs w:val="21"/>
                <w:highlight w:val="none"/>
                <w:lang w:eastAsia="zh-CN"/>
              </w:rPr>
              <w:t>“</w:t>
            </w:r>
            <w:r>
              <w:rPr>
                <w:rFonts w:hint="eastAsia"/>
                <w:b w:val="0"/>
                <w:bCs w:val="0"/>
                <w:snapToGrid w:val="0"/>
                <w:color w:val="auto"/>
                <w:szCs w:val="21"/>
                <w:highlight w:val="none"/>
              </w:rPr>
              <w:t>签字</w:t>
            </w:r>
            <w:r>
              <w:rPr>
                <w:rFonts w:hint="eastAsia"/>
                <w:b w:val="0"/>
                <w:bCs w:val="0"/>
                <w:snapToGrid w:val="0"/>
                <w:color w:val="auto"/>
                <w:szCs w:val="21"/>
                <w:highlight w:val="none"/>
                <w:lang w:eastAsia="zh-CN"/>
              </w:rPr>
              <w:t>”</w:t>
            </w:r>
            <w:r>
              <w:rPr>
                <w:rFonts w:hint="eastAsia"/>
                <w:b w:val="0"/>
                <w:bCs w:val="0"/>
                <w:snapToGrid w:val="0"/>
                <w:color w:val="auto"/>
                <w:szCs w:val="21"/>
                <w:highlight w:val="none"/>
              </w:rPr>
              <w:t>是指供应商的法定代表人或者委托代理人亲自在文件规定签署处亲笔写上个人的名字的行为，私章、签字章、印鉴、影印等其他形式均不能代替亲笔签字。</w:t>
            </w:r>
          </w:p>
          <w:p w14:paraId="278B538F">
            <w:pPr>
              <w:pStyle w:val="65"/>
              <w:keepNext w:val="0"/>
              <w:keepLines w:val="0"/>
              <w:suppressLineNumbers w:val="0"/>
              <w:spacing w:before="0" w:beforeAutospacing="0" w:after="0" w:afterAutospacing="0" w:line="400" w:lineRule="exact"/>
              <w:ind w:left="0" w:right="0"/>
              <w:rPr>
                <w:rFonts w:hint="eastAsia"/>
                <w:b w:val="0"/>
                <w:bCs w:val="0"/>
                <w:snapToGrid w:val="0"/>
                <w:color w:val="auto"/>
                <w:szCs w:val="21"/>
                <w:highlight w:val="none"/>
              </w:rPr>
            </w:pPr>
            <w:r>
              <w:rPr>
                <w:rFonts w:hint="eastAsia"/>
                <w:b w:val="0"/>
                <w:bCs w:val="0"/>
                <w:snapToGrid w:val="0"/>
                <w:color w:val="auto"/>
                <w:szCs w:val="21"/>
                <w:highlight w:val="none"/>
              </w:rPr>
              <w:t>5.本谈判文件所称的</w:t>
            </w:r>
            <w:r>
              <w:rPr>
                <w:rFonts w:hint="eastAsia"/>
                <w:b w:val="0"/>
                <w:bCs w:val="0"/>
                <w:snapToGrid w:val="0"/>
                <w:color w:val="auto"/>
                <w:szCs w:val="21"/>
                <w:highlight w:val="none"/>
                <w:lang w:eastAsia="zh-CN"/>
              </w:rPr>
              <w:t>“</w:t>
            </w:r>
            <w:r>
              <w:rPr>
                <w:rFonts w:hint="eastAsia"/>
                <w:b w:val="0"/>
                <w:bCs w:val="0"/>
                <w:snapToGrid w:val="0"/>
                <w:color w:val="auto"/>
                <w:szCs w:val="21"/>
                <w:highlight w:val="none"/>
              </w:rPr>
              <w:t>以上</w:t>
            </w:r>
            <w:r>
              <w:rPr>
                <w:rFonts w:hint="eastAsia"/>
                <w:b w:val="0"/>
                <w:bCs w:val="0"/>
                <w:snapToGrid w:val="0"/>
                <w:color w:val="auto"/>
                <w:szCs w:val="21"/>
                <w:highlight w:val="none"/>
                <w:lang w:eastAsia="zh-CN"/>
              </w:rPr>
              <w:t>”“</w:t>
            </w:r>
            <w:r>
              <w:rPr>
                <w:rFonts w:hint="eastAsia"/>
                <w:b w:val="0"/>
                <w:bCs w:val="0"/>
                <w:snapToGrid w:val="0"/>
                <w:color w:val="auto"/>
                <w:szCs w:val="21"/>
                <w:highlight w:val="none"/>
              </w:rPr>
              <w:t>以下</w:t>
            </w:r>
            <w:r>
              <w:rPr>
                <w:rFonts w:hint="eastAsia"/>
                <w:b w:val="0"/>
                <w:bCs w:val="0"/>
                <w:snapToGrid w:val="0"/>
                <w:color w:val="auto"/>
                <w:szCs w:val="21"/>
                <w:highlight w:val="none"/>
                <w:lang w:eastAsia="zh-CN"/>
              </w:rPr>
              <w:t>”“</w:t>
            </w:r>
            <w:r>
              <w:rPr>
                <w:rFonts w:hint="eastAsia"/>
                <w:b w:val="0"/>
                <w:bCs w:val="0"/>
                <w:snapToGrid w:val="0"/>
                <w:color w:val="auto"/>
                <w:szCs w:val="21"/>
                <w:highlight w:val="none"/>
              </w:rPr>
              <w:t>以内</w:t>
            </w:r>
            <w:r>
              <w:rPr>
                <w:rFonts w:hint="eastAsia"/>
                <w:b w:val="0"/>
                <w:bCs w:val="0"/>
                <w:snapToGrid w:val="0"/>
                <w:color w:val="auto"/>
                <w:szCs w:val="21"/>
                <w:highlight w:val="none"/>
                <w:lang w:eastAsia="zh-CN"/>
              </w:rPr>
              <w:t>”“</w:t>
            </w:r>
            <w:r>
              <w:rPr>
                <w:rFonts w:hint="eastAsia"/>
                <w:b w:val="0"/>
                <w:bCs w:val="0"/>
                <w:snapToGrid w:val="0"/>
                <w:color w:val="auto"/>
                <w:szCs w:val="21"/>
                <w:highlight w:val="none"/>
              </w:rPr>
              <w:t>届满</w:t>
            </w:r>
            <w:r>
              <w:rPr>
                <w:rFonts w:hint="eastAsia"/>
                <w:b w:val="0"/>
                <w:bCs w:val="0"/>
                <w:snapToGrid w:val="0"/>
                <w:color w:val="auto"/>
                <w:szCs w:val="21"/>
                <w:highlight w:val="none"/>
                <w:lang w:eastAsia="zh-CN"/>
              </w:rPr>
              <w:t>”</w:t>
            </w:r>
            <w:r>
              <w:rPr>
                <w:rFonts w:hint="eastAsia"/>
                <w:b w:val="0"/>
                <w:bCs w:val="0"/>
                <w:snapToGrid w:val="0"/>
                <w:color w:val="auto"/>
                <w:szCs w:val="21"/>
                <w:highlight w:val="none"/>
              </w:rPr>
              <w:t>，包括本数；所称的</w:t>
            </w:r>
            <w:r>
              <w:rPr>
                <w:rFonts w:hint="eastAsia"/>
                <w:b w:val="0"/>
                <w:bCs w:val="0"/>
                <w:snapToGrid w:val="0"/>
                <w:color w:val="auto"/>
                <w:szCs w:val="21"/>
                <w:highlight w:val="none"/>
                <w:lang w:eastAsia="zh-CN"/>
              </w:rPr>
              <w:t>“</w:t>
            </w:r>
            <w:r>
              <w:rPr>
                <w:rFonts w:hint="eastAsia"/>
                <w:b w:val="0"/>
                <w:bCs w:val="0"/>
                <w:snapToGrid w:val="0"/>
                <w:color w:val="auto"/>
                <w:szCs w:val="21"/>
                <w:highlight w:val="none"/>
              </w:rPr>
              <w:t>不满</w:t>
            </w:r>
            <w:r>
              <w:rPr>
                <w:rFonts w:hint="eastAsia"/>
                <w:b w:val="0"/>
                <w:bCs w:val="0"/>
                <w:snapToGrid w:val="0"/>
                <w:color w:val="auto"/>
                <w:szCs w:val="21"/>
                <w:highlight w:val="none"/>
                <w:lang w:eastAsia="zh-CN"/>
              </w:rPr>
              <w:t>”“</w:t>
            </w:r>
            <w:r>
              <w:rPr>
                <w:rFonts w:hint="eastAsia"/>
                <w:b w:val="0"/>
                <w:bCs w:val="0"/>
                <w:snapToGrid w:val="0"/>
                <w:color w:val="auto"/>
                <w:szCs w:val="21"/>
                <w:highlight w:val="none"/>
              </w:rPr>
              <w:t>超过</w:t>
            </w:r>
            <w:r>
              <w:rPr>
                <w:rFonts w:hint="eastAsia"/>
                <w:b w:val="0"/>
                <w:bCs w:val="0"/>
                <w:snapToGrid w:val="0"/>
                <w:color w:val="auto"/>
                <w:szCs w:val="21"/>
                <w:highlight w:val="none"/>
                <w:lang w:eastAsia="zh-CN"/>
              </w:rPr>
              <w:t>”“</w:t>
            </w:r>
            <w:r>
              <w:rPr>
                <w:rFonts w:hint="eastAsia"/>
                <w:b w:val="0"/>
                <w:bCs w:val="0"/>
                <w:snapToGrid w:val="0"/>
                <w:color w:val="auto"/>
                <w:szCs w:val="21"/>
                <w:highlight w:val="none"/>
              </w:rPr>
              <w:t>以外</w:t>
            </w:r>
            <w:r>
              <w:rPr>
                <w:rFonts w:hint="eastAsia"/>
                <w:b w:val="0"/>
                <w:bCs w:val="0"/>
                <w:snapToGrid w:val="0"/>
                <w:color w:val="auto"/>
                <w:szCs w:val="21"/>
                <w:highlight w:val="none"/>
                <w:lang w:eastAsia="zh-CN"/>
              </w:rPr>
              <w:t>”</w:t>
            </w:r>
            <w:r>
              <w:rPr>
                <w:rFonts w:hint="eastAsia"/>
                <w:b w:val="0"/>
                <w:bCs w:val="0"/>
                <w:snapToGrid w:val="0"/>
                <w:color w:val="auto"/>
                <w:szCs w:val="21"/>
                <w:highlight w:val="none"/>
              </w:rPr>
              <w:t>，不包括本数。</w:t>
            </w:r>
          </w:p>
        </w:tc>
      </w:tr>
    </w:tbl>
    <w:p w14:paraId="241258CF">
      <w:pPr>
        <w:spacing w:line="400" w:lineRule="exact"/>
        <w:jc w:val="center"/>
        <w:rPr>
          <w:rFonts w:hint="eastAsia" w:ascii="仿宋_GB2312" w:hAnsi="宋体" w:eastAsia="仿宋_GB2312"/>
          <w:b/>
          <w:color w:val="auto"/>
          <w:sz w:val="32"/>
          <w:szCs w:val="32"/>
          <w:highlight w:val="none"/>
        </w:rPr>
      </w:pPr>
    </w:p>
    <w:p w14:paraId="574FD2F2">
      <w:pPr>
        <w:spacing w:line="720" w:lineRule="auto"/>
        <w:jc w:val="center"/>
        <w:rPr>
          <w:rFonts w:hint="eastAsia" w:ascii="宋体" w:hAnsi="宋体"/>
          <w:b/>
          <w:color w:val="auto"/>
          <w:sz w:val="32"/>
          <w:szCs w:val="32"/>
          <w:highlight w:val="none"/>
        </w:rPr>
      </w:pPr>
      <w:r>
        <w:rPr>
          <w:rFonts w:ascii="仿宋_GB2312" w:hAnsi="宋体" w:eastAsia="仿宋_GB2312"/>
          <w:b/>
          <w:color w:val="auto"/>
          <w:sz w:val="32"/>
          <w:szCs w:val="32"/>
          <w:highlight w:val="none"/>
        </w:rPr>
        <w:br w:type="page"/>
      </w:r>
      <w:r>
        <w:rPr>
          <w:rFonts w:ascii="仿宋_GB2312" w:hAnsi="宋体" w:eastAsia="仿宋_GB2312"/>
          <w:b/>
          <w:color w:val="auto"/>
          <w:sz w:val="36"/>
          <w:szCs w:val="36"/>
          <w:highlight w:val="none"/>
        </w:rPr>
        <w:t>供应商须知正文</w:t>
      </w:r>
    </w:p>
    <w:p w14:paraId="7FF3E0A0">
      <w:pPr>
        <w:spacing w:line="720" w:lineRule="auto"/>
        <w:jc w:val="center"/>
        <w:rPr>
          <w:rFonts w:hint="eastAsia" w:ascii="仿宋_GB2312" w:hAnsi="宋体" w:eastAsia="仿宋_GB2312"/>
          <w:b/>
          <w:color w:val="auto"/>
          <w:sz w:val="32"/>
          <w:szCs w:val="32"/>
          <w:highlight w:val="none"/>
        </w:rPr>
      </w:pPr>
      <w:r>
        <w:rPr>
          <w:rFonts w:hint="eastAsia" w:ascii="仿宋_GB2312" w:hAnsi="宋体" w:eastAsia="仿宋_GB2312"/>
          <w:b/>
          <w:color w:val="auto"/>
          <w:sz w:val="32"/>
          <w:szCs w:val="32"/>
          <w:highlight w:val="none"/>
          <w:lang w:val="en-US" w:eastAsia="zh-CN"/>
        </w:rPr>
        <w:t>一、</w:t>
      </w:r>
      <w:r>
        <w:rPr>
          <w:rFonts w:hint="eastAsia" w:ascii="仿宋_GB2312" w:hAnsi="宋体" w:eastAsia="仿宋_GB2312"/>
          <w:b/>
          <w:color w:val="auto"/>
          <w:sz w:val="32"/>
          <w:szCs w:val="32"/>
          <w:highlight w:val="none"/>
        </w:rPr>
        <w:t>总则</w:t>
      </w:r>
    </w:p>
    <w:p w14:paraId="224A4A7D">
      <w:pPr>
        <w:numPr>
          <w:ilvl w:val="0"/>
          <w:numId w:val="0"/>
        </w:numPr>
        <w:spacing w:line="400" w:lineRule="exact"/>
        <w:ind w:firstLine="422" w:firstLineChars="200"/>
        <w:rPr>
          <w:rFonts w:hint="eastAsia" w:ascii="宋体" w:hAnsi="宋体"/>
          <w:b/>
          <w:bCs/>
          <w:color w:val="auto"/>
          <w:szCs w:val="21"/>
          <w:highlight w:val="none"/>
        </w:rPr>
      </w:pPr>
      <w:r>
        <w:rPr>
          <w:rFonts w:hint="eastAsia" w:ascii="宋体" w:hAnsi="宋体"/>
          <w:b/>
          <w:bCs/>
          <w:color w:val="auto"/>
          <w:szCs w:val="21"/>
          <w:highlight w:val="none"/>
        </w:rPr>
        <w:t>1.</w:t>
      </w:r>
      <w:r>
        <w:rPr>
          <w:rFonts w:hint="eastAsia" w:ascii="宋体" w:hAnsi="宋体"/>
          <w:b/>
          <w:bCs/>
          <w:color w:val="auto"/>
          <w:szCs w:val="21"/>
          <w:highlight w:val="none"/>
          <w:lang w:val="en-US" w:eastAsia="zh-CN"/>
        </w:rPr>
        <w:t xml:space="preserve"> </w:t>
      </w:r>
      <w:r>
        <w:rPr>
          <w:rFonts w:hint="eastAsia" w:ascii="宋体" w:hAnsi="宋体"/>
          <w:b/>
          <w:bCs/>
          <w:color w:val="auto"/>
          <w:szCs w:val="21"/>
          <w:highlight w:val="none"/>
        </w:rPr>
        <w:t>适用范围</w:t>
      </w:r>
    </w:p>
    <w:p w14:paraId="4861E68C">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1.1 适用法律：本项目采购人、采购代理机构、供应商、谈判小组的相关行为均受《中华人民共和国政府采购法》《中华人民共和国政府采购法实施条例》《政府采购非招标采购方式管理办法》及本项目本级和上级财政部门政府采购有关规定的约束和保护。</w:t>
      </w:r>
    </w:p>
    <w:p w14:paraId="2E733CA2">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1.2 本竞争性谈判文件（以下简称谈判文件）适用于本项目的所有采购程序和环节（法律、法规另有规定的，从其规定）。</w:t>
      </w:r>
    </w:p>
    <w:p w14:paraId="12A02359">
      <w:pPr>
        <w:spacing w:line="400" w:lineRule="exact"/>
        <w:ind w:firstLine="422" w:firstLineChars="200"/>
        <w:rPr>
          <w:rFonts w:hint="eastAsia" w:ascii="宋体" w:hAnsi="宋体"/>
          <w:color w:val="auto"/>
          <w:szCs w:val="21"/>
          <w:highlight w:val="none"/>
        </w:rPr>
      </w:pPr>
      <w:r>
        <w:rPr>
          <w:rFonts w:hint="eastAsia"/>
          <w:b/>
          <w:bCs/>
          <w:color w:val="auto"/>
          <w:highlight w:val="none"/>
        </w:rPr>
        <w:t>2. 定义</w:t>
      </w:r>
    </w:p>
    <w:p w14:paraId="7C1F007B">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2.1</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采购人</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是指依法进行采购的国家机关、事业单位、团体组织。</w:t>
      </w:r>
    </w:p>
    <w:p w14:paraId="70C52751">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2.2</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采购代理机构</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是指政府采购集中采购机构和集中采购机构以外的采购代理机构。</w:t>
      </w:r>
    </w:p>
    <w:p w14:paraId="052F1DB0">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2.3</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供应商</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是指向采购人提供货物、工程或者服务的法人、其他组织或者自然人。</w:t>
      </w:r>
    </w:p>
    <w:p w14:paraId="3505B372">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2.4</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货物</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是指各种形态和种类的物品，包括原材料、燃料、设备、产品等。</w:t>
      </w:r>
    </w:p>
    <w:p w14:paraId="482CB326">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2.5</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竞标</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是指按照本项目竞争性谈判公告或者邀请函规定的方式供应商获取谈判文件、提交响应文件并希望获得成交资格的行为。</w:t>
      </w:r>
    </w:p>
    <w:p w14:paraId="12431AEB">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2.6</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售后服务</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是指包含但不限于供应商须承担的备品备件、包装、运输、装卸、保险、货到就位以及安装、调试、培训、保修和其他类似的义务。</w:t>
      </w:r>
    </w:p>
    <w:p w14:paraId="4565F67A">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2.7</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书面形式</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是指合同书、信件和数据电文（包括电报、电传、传真、电子数据交换和电子邮件）等可以有形地表现所载内容的形式。</w:t>
      </w:r>
    </w:p>
    <w:p w14:paraId="36F9E1B3">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2.8</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响应文件</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是指：供应商根据本谈判文件要求，编制包含资格证明、报价、商务技术等所有内容的文件。</w:t>
      </w:r>
    </w:p>
    <w:p w14:paraId="45D145E4">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 xml:space="preserve">2.9 </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实质性要求</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是指采购需求中带</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的条款或者不能负偏离的条款或者已经指明不满足按响应文件按无效处理的条款。</w:t>
      </w:r>
    </w:p>
    <w:p w14:paraId="75C93179">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2.10</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正偏离</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，是指响应文件对谈判文件</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采购需求</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中有关条款作出优于条款要求并有利于采购人的响应情形；</w:t>
      </w:r>
    </w:p>
    <w:p w14:paraId="0B491B71">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2.11</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负偏离</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，是指响应文件对谈判文件</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采购需求</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中有关条款作出的响应不满足条款要求，导致采购人要求不能得到满足的情形。</w:t>
      </w:r>
    </w:p>
    <w:p w14:paraId="52D512E1">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2.12</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允许负偏离的条款</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是指采购需求中的不属于</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实质性要求</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的条款。</w:t>
      </w:r>
    </w:p>
    <w:p w14:paraId="6F116D7E">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2.13</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首次报价</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是指供应商提交的首次响应文件中的竞标报价。</w:t>
      </w:r>
    </w:p>
    <w:p w14:paraId="06C36662">
      <w:pPr>
        <w:numPr>
          <w:ilvl w:val="0"/>
          <w:numId w:val="3"/>
        </w:numPr>
        <w:spacing w:line="400" w:lineRule="exact"/>
        <w:ind w:firstLine="422" w:firstLineChars="200"/>
        <w:rPr>
          <w:rFonts w:hint="eastAsia"/>
          <w:b/>
          <w:bCs/>
          <w:color w:val="auto"/>
          <w:highlight w:val="none"/>
        </w:rPr>
      </w:pPr>
      <w:r>
        <w:rPr>
          <w:rFonts w:hint="eastAsia"/>
          <w:b/>
          <w:bCs/>
          <w:color w:val="auto"/>
          <w:highlight w:val="none"/>
        </w:rPr>
        <w:t>供应商的资格条件</w:t>
      </w:r>
    </w:p>
    <w:p w14:paraId="614C15FE">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供应商的资格条件详见</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供应商须知前附表</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w:t>
      </w:r>
    </w:p>
    <w:p w14:paraId="7B5DC5E8">
      <w:pPr>
        <w:numPr>
          <w:ilvl w:val="0"/>
          <w:numId w:val="4"/>
        </w:numPr>
        <w:spacing w:line="400" w:lineRule="exact"/>
        <w:ind w:firstLine="422" w:firstLineChars="200"/>
        <w:rPr>
          <w:rFonts w:hint="eastAsia" w:ascii="宋体" w:hAnsi="宋体"/>
          <w:b/>
          <w:bCs/>
          <w:color w:val="auto"/>
          <w:szCs w:val="21"/>
          <w:highlight w:val="none"/>
        </w:rPr>
      </w:pPr>
      <w:r>
        <w:rPr>
          <w:rFonts w:hint="eastAsia" w:ascii="宋体" w:hAnsi="宋体"/>
          <w:b/>
          <w:bCs/>
          <w:color w:val="auto"/>
          <w:szCs w:val="21"/>
          <w:highlight w:val="none"/>
        </w:rPr>
        <w:t>竞标费用</w:t>
      </w:r>
    </w:p>
    <w:p w14:paraId="387479C7">
      <w:pPr>
        <w:numPr>
          <w:ilvl w:val="0"/>
          <w:numId w:val="0"/>
        </w:numPr>
        <w:spacing w:line="400" w:lineRule="exact"/>
        <w:ind w:firstLine="420" w:firstLineChars="200"/>
        <w:rPr>
          <w:rFonts w:hint="eastAsia" w:ascii="宋体" w:hAnsi="宋体" w:cs="Courier New"/>
          <w:color w:val="auto"/>
          <w:szCs w:val="21"/>
          <w:highlight w:val="none"/>
        </w:rPr>
      </w:pPr>
      <w:r>
        <w:rPr>
          <w:rFonts w:hint="eastAsia" w:ascii="宋体" w:hAnsi="宋体" w:cs="Courier New"/>
          <w:color w:val="auto"/>
          <w:szCs w:val="21"/>
          <w:highlight w:val="none"/>
        </w:rPr>
        <w:t>竞标费用：供应商应承担参与本次采购活动有关的所有费用，包括但不限于获取谈判文件、勘查现场、编制和提交响应文件、参加谈判与应答、签订合同等，不论竞标结果如何，均应自行承担。</w:t>
      </w:r>
    </w:p>
    <w:p w14:paraId="128C8082">
      <w:pPr>
        <w:numPr>
          <w:ilvl w:val="0"/>
          <w:numId w:val="4"/>
        </w:numPr>
        <w:spacing w:line="400" w:lineRule="exact"/>
        <w:ind w:left="0" w:leftChars="0" w:firstLine="422" w:firstLineChars="200"/>
        <w:rPr>
          <w:rFonts w:hint="eastAsia" w:ascii="宋体" w:hAnsi="宋体"/>
          <w:b/>
          <w:bCs/>
          <w:color w:val="auto"/>
          <w:szCs w:val="21"/>
          <w:highlight w:val="none"/>
        </w:rPr>
      </w:pPr>
      <w:r>
        <w:rPr>
          <w:rFonts w:hint="eastAsia" w:ascii="宋体" w:hAnsi="宋体"/>
          <w:b/>
          <w:bCs/>
          <w:color w:val="auto"/>
          <w:szCs w:val="21"/>
          <w:highlight w:val="none"/>
        </w:rPr>
        <w:t>联合体竞标</w:t>
      </w:r>
    </w:p>
    <w:p w14:paraId="131B485F">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5.1 本项目是否接受联合体竞标，详见</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供应商须知前附表</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w:t>
      </w:r>
    </w:p>
    <w:p w14:paraId="7C6D0E31">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5.2 如接受联合体竞标，联合体竞标要求详见</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供应商须知前附表</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w:t>
      </w:r>
    </w:p>
    <w:p w14:paraId="46E3C62E">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5.3 根据《政府采购促进中小企业发展管理办法》（财库〔2020〕46号）及《广西壮族自治区财政厅关于持续优化政府采购营商环境推动高质量发展的通知》（桂财采〔2024〕55号）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的扣除，用扣除后的价格参加评审。</w:t>
      </w:r>
    </w:p>
    <w:p w14:paraId="0C3B62A6">
      <w:pPr>
        <w:numPr>
          <w:ilvl w:val="0"/>
          <w:numId w:val="0"/>
        </w:numPr>
        <w:spacing w:line="400" w:lineRule="exact"/>
        <w:ind w:firstLine="422" w:firstLineChars="200"/>
        <w:rPr>
          <w:rFonts w:hint="eastAsia" w:ascii="宋体" w:hAnsi="宋体"/>
          <w:b/>
          <w:bCs/>
          <w:color w:val="auto"/>
          <w:szCs w:val="21"/>
          <w:highlight w:val="none"/>
        </w:rPr>
      </w:pPr>
      <w:r>
        <w:rPr>
          <w:rFonts w:hint="eastAsia" w:ascii="宋体" w:hAnsi="宋体"/>
          <w:b/>
          <w:bCs/>
          <w:color w:val="auto"/>
          <w:szCs w:val="21"/>
          <w:highlight w:val="none"/>
        </w:rPr>
        <w:t>6.</w:t>
      </w:r>
      <w:r>
        <w:rPr>
          <w:rFonts w:hint="eastAsia" w:ascii="宋体" w:hAnsi="宋体"/>
          <w:b/>
          <w:bCs/>
          <w:color w:val="auto"/>
          <w:szCs w:val="21"/>
          <w:highlight w:val="none"/>
          <w:lang w:val="en-US" w:eastAsia="zh-CN"/>
        </w:rPr>
        <w:t xml:space="preserve"> </w:t>
      </w:r>
      <w:r>
        <w:rPr>
          <w:rFonts w:hint="eastAsia" w:ascii="宋体" w:hAnsi="宋体"/>
          <w:b/>
          <w:bCs/>
          <w:color w:val="auto"/>
          <w:szCs w:val="21"/>
          <w:highlight w:val="none"/>
        </w:rPr>
        <w:t>转包与分包</w:t>
      </w:r>
    </w:p>
    <w:p w14:paraId="5A94AEAC">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6.1 本项目不允许转包。</w:t>
      </w:r>
    </w:p>
    <w:p w14:paraId="787A93B5">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6.2 本项目是否允许分包详见</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供应商须知前附表</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本项目不允许违法分包。允许分包的非主体、非关键性工作，根据法律法规规定承担该工作需要行政许可的，如该工作由供应商自行承担，供应商应具备相应的行政许可，如供应商不具备相应的行政许可必须采用分包的方式，但分包供应商应具备相应行政许可。</w:t>
      </w:r>
    </w:p>
    <w:p w14:paraId="7910A87A">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6.3 供应商根据谈判文件的规定和采购项目的实际情况，拟在成交后将成交项目的非主体、非关键性工作分包的，应当在响应文件中载明分包承担主体，分包承担主体应当具备相应资质条件且不得再次分包。</w:t>
      </w:r>
    </w:p>
    <w:p w14:paraId="12C66625">
      <w:pPr>
        <w:numPr>
          <w:ilvl w:val="0"/>
          <w:numId w:val="0"/>
        </w:numPr>
        <w:spacing w:line="400" w:lineRule="exact"/>
        <w:ind w:firstLine="422" w:firstLineChars="200"/>
        <w:rPr>
          <w:rFonts w:hint="eastAsia" w:ascii="宋体" w:hAnsi="宋体"/>
          <w:b/>
          <w:bCs/>
          <w:color w:val="auto"/>
          <w:szCs w:val="21"/>
          <w:highlight w:val="none"/>
        </w:rPr>
      </w:pPr>
      <w:r>
        <w:rPr>
          <w:rFonts w:hint="eastAsia" w:ascii="宋体" w:hAnsi="宋体"/>
          <w:b/>
          <w:bCs/>
          <w:color w:val="auto"/>
          <w:szCs w:val="21"/>
          <w:highlight w:val="none"/>
        </w:rPr>
        <w:t>7.特别说明</w:t>
      </w:r>
    </w:p>
    <w:p w14:paraId="5C196981">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7.1 提供相同品牌产品的不同供应商参加同一合同项下竞标的，以其中通过资格审查、符合性审查、谈判且最后报价最低的参加报价评审；最后报价相同的，由采购人或者采购人委托谈判小组按照</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供应商须知前附表</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规定的方式确定一个供应商获得成交人推荐资格，其他响应文件按无效处理。</w:t>
      </w:r>
    </w:p>
    <w:p w14:paraId="5A148AC1">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非单一产品采购项目，多家供应商提供的核心产品品牌相同的，按前款规定处理。</w:t>
      </w:r>
    </w:p>
    <w:p w14:paraId="2B2F6111">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7.2 如果本谈判文件要求提供供应商或制造商的资格、信誉、荣誉、业绩与企业认证等材料的，资格、信誉、荣誉、业绩与企业认证等必须为供应商或者制造商所拥有或自身获得 。</w:t>
      </w:r>
    </w:p>
    <w:p w14:paraId="58EA113C">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7.3 供应商应仔细阅读谈判文件的所有内容，按照谈判文件的要求提交响应文件，并对所提供的全部资料的真实性承担法律责任。</w:t>
      </w:r>
    </w:p>
    <w:p w14:paraId="3ABEFE17">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7.4 供应商在竞标活动中提供任何虚假材料，其响应文件按无效处理，并报监管部门查处；签订合同后发现的，成交供应商须依照《中华人民共和国消费者权益保护法》规定赔偿采购人，且民事赔偿并不免除违法供应商的行政与刑事责任。</w:t>
      </w:r>
    </w:p>
    <w:p w14:paraId="3BF6BFB1">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7.5 在政府采购活动中，采购人员及相关人员与供应商有下列利害关系之一的，应当回避：</w:t>
      </w:r>
    </w:p>
    <w:p w14:paraId="4A15C484">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（1）参加采购活动前3年内与供应商存在劳动关系；</w:t>
      </w:r>
    </w:p>
    <w:p w14:paraId="6CA71E2F">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（2）参加采购活动前3年内担任供应商的董事、监事；</w:t>
      </w:r>
    </w:p>
    <w:p w14:paraId="6ED4C314">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（3）参加采购活动前3年内是供应商的控股股东或者实际控制人；</w:t>
      </w:r>
    </w:p>
    <w:p w14:paraId="2780DA25">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（4）与供应商的法定代表人或者负责人有夫妻、直系血亲、三代以内旁系血亲或者近姻亲关系；</w:t>
      </w:r>
    </w:p>
    <w:p w14:paraId="13F6FFD0">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（5）与供应商有其他可能影响政府采购活动公平、公正进行的关系。</w:t>
      </w:r>
    </w:p>
    <w:p w14:paraId="33816101">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50A65038">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7.6 有下列情形之一的视为供应商相互串通竞标，响应文件将被视为无效：</w:t>
      </w:r>
    </w:p>
    <w:p w14:paraId="6EAB0EBB">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（1）不同供应商的响应文件由同一单位或者个人编制；或不同供应商报名的IP地址一致的；</w:t>
      </w:r>
    </w:p>
    <w:p w14:paraId="16C9F94C">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（2）不同供应商委托同一单位或者个人办理竞标事宜；</w:t>
      </w:r>
    </w:p>
    <w:p w14:paraId="12AE456B">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（3）不同的供应商的响应文件载明的项目管理员为同一个人；</w:t>
      </w:r>
    </w:p>
    <w:p w14:paraId="41350F9B">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（4）不同供应商的响应文件异常一致或者报价呈规律性差异；</w:t>
      </w:r>
    </w:p>
    <w:p w14:paraId="6179BF27">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（5）不同供应商的响应文件相互混装；</w:t>
      </w:r>
    </w:p>
    <w:p w14:paraId="0EEC2137">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（6）不同供应商的竞标保证金从同一单位或者个人账户转出。</w:t>
      </w:r>
    </w:p>
    <w:p w14:paraId="57F28DB4">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7.7 供应商有下列情形之一的，属于恶意串通行为，将报同级监督管理部门：</w:t>
      </w:r>
    </w:p>
    <w:p w14:paraId="5590B431">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（1）供应商直接或者间接从采购人或者采购代理机构处获得其他供应商的相关信息并修改其响应文件；</w:t>
      </w:r>
    </w:p>
    <w:p w14:paraId="5D502DE6">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（2）供应商按照采购人或者采购代理机构的授意撤换、修改响应文件；</w:t>
      </w:r>
    </w:p>
    <w:p w14:paraId="440A09FE">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（3）供应商之间协商报价、技术方案等响应文件或者响应文件的实质性内容；</w:t>
      </w:r>
    </w:p>
    <w:p w14:paraId="05405F89">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（4）属于同一集团、协会、商会等组织成员的供应商按照该组织要求协同参加政府采购活动；</w:t>
      </w:r>
    </w:p>
    <w:p w14:paraId="57D15C47">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21AB814B">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（6）供应商之间商定部分供应商放弃参加政府采购活动或者放弃成交；</w:t>
      </w:r>
    </w:p>
    <w:p w14:paraId="35E5F55E">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（7）供应商与采购人或者采购代理机构之间、供应商相互之间，为谋求特定供应商成交或者排斥其他供应商的其他串通行为。</w:t>
      </w:r>
    </w:p>
    <w:p w14:paraId="59FFBF56">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7.8 根据《国务院办公厅关于在政府采购中实施本国产品标准及相关政策的通知》（国办发〔2025〕34号）的规定，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61CBD1DF">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产品在中国境内生产的组件成本占比应当达到规定比例，计算公式为：</w:t>
      </w:r>
    </w:p>
    <w:p w14:paraId="5E1BE8CD">
      <w:pPr>
        <w:widowControl/>
        <w:wordWrap w:val="0"/>
        <w:spacing w:line="400" w:lineRule="exact"/>
        <w:ind w:firstLine="420"/>
        <w:jc w:val="left"/>
        <w:rPr>
          <w:rFonts w:hint="eastAsia" w:ascii="宋体" w:hAnsi="宋体" w:cs="Courier New"/>
          <w:color w:val="auto"/>
          <w:szCs w:val="21"/>
          <w:highlight w:val="none"/>
        </w:rPr>
      </w:pPr>
      <w:r>
        <w:rPr>
          <w:color w:val="auto"/>
          <w:position w:val="-24"/>
          <w:highlight w:val="none"/>
        </w:rPr>
        <w:drawing>
          <wp:anchor distT="0" distB="0" distL="0" distR="0" simplePos="0" relativeHeight="251659264" behindDoc="0" locked="0" layoutInCell="1" allowOverlap="1">
            <wp:simplePos x="0" y="0"/>
            <wp:positionH relativeFrom="column">
              <wp:posOffset>422275</wp:posOffset>
            </wp:positionH>
            <wp:positionV relativeFrom="paragraph">
              <wp:posOffset>168910</wp:posOffset>
            </wp:positionV>
            <wp:extent cx="4829175" cy="762000"/>
            <wp:effectExtent l="0" t="0" r="9525" b="0"/>
            <wp:wrapSquare wrapText="bothSides"/>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16"/>
                    <a:stretch>
                      <a:fillRect/>
                    </a:stretch>
                  </pic:blipFill>
                  <pic:spPr>
                    <a:xfrm>
                      <a:off x="0" y="0"/>
                      <a:ext cx="4829555" cy="762000"/>
                    </a:xfrm>
                    <a:prstGeom prst="rect">
                      <a:avLst/>
                    </a:prstGeom>
                  </pic:spPr>
                </pic:pic>
              </a:graphicData>
            </a:graphic>
          </wp:anchor>
        </w:drawing>
      </w:r>
    </w:p>
    <w:p w14:paraId="2D5987A8">
      <w:pPr>
        <w:widowControl/>
        <w:wordWrap w:val="0"/>
        <w:spacing w:line="400" w:lineRule="exact"/>
        <w:ind w:firstLine="420"/>
        <w:jc w:val="left"/>
        <w:rPr>
          <w:rFonts w:hint="eastAsia" w:ascii="宋体" w:hAnsi="宋体" w:cs="Courier New"/>
          <w:color w:val="auto"/>
          <w:szCs w:val="21"/>
          <w:highlight w:val="none"/>
        </w:rPr>
      </w:pPr>
    </w:p>
    <w:p w14:paraId="3314B0B9">
      <w:pPr>
        <w:widowControl/>
        <w:wordWrap w:val="0"/>
        <w:spacing w:line="400" w:lineRule="exact"/>
        <w:ind w:firstLine="420"/>
        <w:jc w:val="left"/>
        <w:rPr>
          <w:rFonts w:hint="eastAsia" w:ascii="宋体" w:hAnsi="宋体" w:cs="Courier New"/>
          <w:color w:val="auto"/>
          <w:szCs w:val="21"/>
          <w:highlight w:val="none"/>
        </w:rPr>
      </w:pPr>
    </w:p>
    <w:p w14:paraId="63B0266B">
      <w:pPr>
        <w:widowControl/>
        <w:wordWrap w:val="0"/>
        <w:spacing w:line="400" w:lineRule="exact"/>
        <w:ind w:firstLine="420"/>
        <w:jc w:val="left"/>
        <w:rPr>
          <w:rFonts w:hint="eastAsia" w:ascii="宋体" w:hAnsi="宋体" w:cs="Courier New"/>
          <w:color w:val="auto"/>
          <w:szCs w:val="21"/>
          <w:highlight w:val="none"/>
        </w:rPr>
      </w:pPr>
    </w:p>
    <w:p w14:paraId="4493AEA5">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财政部会同有关行业主管部门，分产品确定在中国境内生产的组件成本占比应当达到的规定比例。在分产品的中国境内生产的组件成本占比相关要求实施前，符合《国务院办公厅关于在政府采购中实施本国产品标准及相关政策的通知》第一条第（一）项条件的产品在政府采购活动中视同本国产品。</w:t>
      </w:r>
    </w:p>
    <w:p w14:paraId="764EB1CC">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政府采购活动中既有本国产品又有非本国产品参与竞争的，依法对本国产品给予价格评审优惠，对本国产品的报价给予20%的价格扣除，用扣除后的价格参与评审。</w:t>
      </w:r>
    </w:p>
    <w:p w14:paraId="3A79D7B7">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3A9D8B7F">
      <w:pPr>
        <w:widowControl/>
        <w:wordWrap w:val="0"/>
        <w:spacing w:line="400" w:lineRule="exact"/>
        <w:ind w:firstLine="420"/>
        <w:jc w:val="left"/>
        <w:rPr>
          <w:rFonts w:hint="eastAsia" w:ascii="宋体" w:hAnsi="宋体" w:cs="Courier New"/>
          <w:color w:val="auto"/>
          <w:szCs w:val="21"/>
          <w:highlight w:val="none"/>
        </w:rPr>
      </w:pPr>
    </w:p>
    <w:p w14:paraId="42FF85B9">
      <w:pPr>
        <w:spacing w:line="720" w:lineRule="auto"/>
        <w:jc w:val="center"/>
        <w:rPr>
          <w:rFonts w:hint="eastAsia" w:ascii="仿宋_GB2312" w:hAnsi="宋体" w:eastAsia="仿宋_GB2312"/>
          <w:b/>
          <w:color w:val="auto"/>
          <w:sz w:val="32"/>
          <w:szCs w:val="32"/>
          <w:highlight w:val="none"/>
          <w:lang w:val="en-US" w:eastAsia="zh-CN"/>
        </w:rPr>
      </w:pPr>
      <w:r>
        <w:rPr>
          <w:rFonts w:hint="eastAsia" w:ascii="仿宋_GB2312" w:hAnsi="宋体" w:eastAsia="仿宋_GB2312"/>
          <w:b/>
          <w:color w:val="auto"/>
          <w:sz w:val="32"/>
          <w:szCs w:val="32"/>
          <w:highlight w:val="none"/>
          <w:lang w:val="en-US" w:eastAsia="zh-CN"/>
        </w:rPr>
        <w:t>二、谈判文件</w:t>
      </w:r>
    </w:p>
    <w:p w14:paraId="7E1FB266">
      <w:pPr>
        <w:widowControl/>
        <w:wordWrap w:val="0"/>
        <w:spacing w:line="400" w:lineRule="exact"/>
        <w:ind w:firstLine="420"/>
        <w:jc w:val="left"/>
        <w:rPr>
          <w:rFonts w:hint="eastAsia" w:ascii="宋体" w:hAnsi="宋体" w:cs="Courier New"/>
          <w:color w:val="auto"/>
          <w:szCs w:val="21"/>
          <w:highlight w:val="none"/>
          <w:lang w:val="en-US" w:eastAsia="zh-CN"/>
        </w:rPr>
      </w:pPr>
    </w:p>
    <w:p w14:paraId="1C2FC70E">
      <w:pPr>
        <w:numPr>
          <w:ilvl w:val="0"/>
          <w:numId w:val="0"/>
        </w:numPr>
        <w:spacing w:line="400" w:lineRule="exact"/>
        <w:ind w:firstLine="422" w:firstLineChars="200"/>
        <w:rPr>
          <w:rFonts w:hint="eastAsia" w:ascii="宋体" w:hAnsi="宋体"/>
          <w:b/>
          <w:bCs/>
          <w:color w:val="auto"/>
          <w:szCs w:val="21"/>
          <w:highlight w:val="none"/>
        </w:rPr>
      </w:pPr>
      <w:r>
        <w:rPr>
          <w:rFonts w:hint="eastAsia" w:ascii="宋体" w:hAnsi="宋体"/>
          <w:b/>
          <w:bCs/>
          <w:color w:val="auto"/>
          <w:szCs w:val="21"/>
          <w:highlight w:val="none"/>
        </w:rPr>
        <w:t>8.谈判文件的构成</w:t>
      </w:r>
    </w:p>
    <w:p w14:paraId="0FAD5429">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（1）竞争性谈判公告；</w:t>
      </w:r>
    </w:p>
    <w:p w14:paraId="7AA7B31C">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（2）供应商须知；</w:t>
      </w:r>
    </w:p>
    <w:p w14:paraId="2EABCEF7">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（3）采购需求；</w:t>
      </w:r>
    </w:p>
    <w:p w14:paraId="3FEAE77D">
      <w:pPr>
        <w:widowControl/>
        <w:wordWrap w:val="0"/>
        <w:spacing w:line="400" w:lineRule="exact"/>
        <w:ind w:firstLine="420"/>
        <w:jc w:val="left"/>
        <w:rPr>
          <w:rFonts w:hint="eastAsia" w:ascii="宋体" w:hAnsi="宋体" w:eastAsia="宋体" w:cs="Courier New"/>
          <w:color w:val="auto"/>
          <w:szCs w:val="21"/>
          <w:highlight w:val="none"/>
          <w:lang w:val="en-US" w:eastAsia="zh-CN"/>
        </w:rPr>
      </w:pPr>
      <w:r>
        <w:rPr>
          <w:rFonts w:hint="eastAsia" w:ascii="宋体" w:hAnsi="宋体" w:cs="Courier New"/>
          <w:color w:val="auto"/>
          <w:szCs w:val="21"/>
          <w:highlight w:val="none"/>
        </w:rPr>
        <w:t>（4）评审程序和评定成交的标准</w:t>
      </w:r>
      <w:r>
        <w:rPr>
          <w:rFonts w:hint="eastAsia" w:ascii="宋体" w:hAnsi="宋体" w:cs="Courier New"/>
          <w:color w:val="auto"/>
          <w:szCs w:val="21"/>
          <w:highlight w:val="none"/>
          <w:lang w:val="en-US" w:eastAsia="zh-CN"/>
        </w:rPr>
        <w:t>；</w:t>
      </w:r>
    </w:p>
    <w:p w14:paraId="3526021A">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（5）响应文件格式；</w:t>
      </w:r>
    </w:p>
    <w:p w14:paraId="0EBC346A">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（6）合同文本；</w:t>
      </w:r>
    </w:p>
    <w:p w14:paraId="0DFC4CF2">
      <w:pPr>
        <w:numPr>
          <w:ilvl w:val="0"/>
          <w:numId w:val="0"/>
        </w:numPr>
        <w:spacing w:line="400" w:lineRule="exact"/>
        <w:ind w:firstLine="422" w:firstLineChars="200"/>
        <w:rPr>
          <w:rFonts w:hint="eastAsia" w:ascii="宋体" w:hAnsi="宋体"/>
          <w:b/>
          <w:bCs/>
          <w:color w:val="auto"/>
          <w:szCs w:val="21"/>
          <w:highlight w:val="none"/>
        </w:rPr>
      </w:pPr>
      <w:r>
        <w:rPr>
          <w:rFonts w:hint="eastAsia" w:ascii="宋体" w:hAnsi="宋体"/>
          <w:b/>
          <w:bCs/>
          <w:color w:val="auto"/>
          <w:szCs w:val="21"/>
          <w:highlight w:val="none"/>
        </w:rPr>
        <w:t>9.供应商的询问</w:t>
      </w:r>
    </w:p>
    <w:p w14:paraId="7D127258">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供应商应认真阅读谈判文件的采购需求，如供应商对谈判文件有疑问的，如要求采购人作出澄清或者修改的，供应商尽可能在提交首次响应文件截止之日前，以书面形式向采购人、采购代理机构提出。</w:t>
      </w:r>
    </w:p>
    <w:p w14:paraId="6D125F8F">
      <w:pPr>
        <w:numPr>
          <w:ilvl w:val="0"/>
          <w:numId w:val="0"/>
        </w:numPr>
        <w:spacing w:line="400" w:lineRule="exact"/>
        <w:ind w:firstLine="422" w:firstLineChars="200"/>
        <w:rPr>
          <w:rFonts w:hint="eastAsia" w:ascii="宋体" w:hAnsi="宋体"/>
          <w:b/>
          <w:bCs/>
          <w:color w:val="auto"/>
          <w:szCs w:val="21"/>
          <w:highlight w:val="none"/>
        </w:rPr>
      </w:pPr>
      <w:r>
        <w:rPr>
          <w:rFonts w:hint="eastAsia" w:ascii="宋体" w:hAnsi="宋体"/>
          <w:b/>
          <w:bCs/>
          <w:color w:val="auto"/>
          <w:szCs w:val="21"/>
          <w:highlight w:val="none"/>
        </w:rPr>
        <w:t>10.谈判文件的澄清和修改</w:t>
      </w:r>
    </w:p>
    <w:p w14:paraId="4B23F13E">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提交首次响应文件截止之日前，采购人、采购代理机构或者谈判小组可以对已发出的谈判文件进行必要的澄清或者修改，澄清或者修改的内容作为谈判文件的组成部分。澄清或者修改的内容可能影响响应文件编制的，采购人、采购代理机构或者谈判小组应当在提交首次响应文件截止之日3个工作日前，以书面形式通知所有接收谈判文件的供应商，不足3个工作日的，应当顺延提交首次响应文件截止之日。</w:t>
      </w:r>
    </w:p>
    <w:p w14:paraId="3571F264">
      <w:pPr>
        <w:widowControl/>
        <w:wordWrap w:val="0"/>
        <w:spacing w:line="400" w:lineRule="exact"/>
        <w:ind w:firstLine="420"/>
        <w:jc w:val="left"/>
        <w:rPr>
          <w:rFonts w:hint="eastAsia" w:ascii="宋体" w:hAnsi="宋体" w:cs="Courier New"/>
          <w:color w:val="auto"/>
          <w:szCs w:val="21"/>
          <w:highlight w:val="none"/>
        </w:rPr>
      </w:pPr>
    </w:p>
    <w:p w14:paraId="4D58C8A9">
      <w:pPr>
        <w:spacing w:line="720" w:lineRule="auto"/>
        <w:jc w:val="center"/>
        <w:rPr>
          <w:rFonts w:hint="eastAsia" w:ascii="仿宋_GB2312" w:hAnsi="宋体" w:eastAsia="仿宋_GB2312"/>
          <w:b/>
          <w:color w:val="auto"/>
          <w:sz w:val="32"/>
          <w:szCs w:val="32"/>
          <w:highlight w:val="none"/>
          <w:lang w:val="en-US" w:eastAsia="zh-CN"/>
        </w:rPr>
      </w:pPr>
      <w:r>
        <w:rPr>
          <w:rFonts w:hint="eastAsia" w:ascii="仿宋_GB2312" w:hAnsi="宋体" w:eastAsia="仿宋_GB2312"/>
          <w:b/>
          <w:color w:val="auto"/>
          <w:sz w:val="32"/>
          <w:szCs w:val="32"/>
          <w:highlight w:val="none"/>
          <w:lang w:val="en-US" w:eastAsia="zh-CN"/>
        </w:rPr>
        <w:t>三、响应文件的编制</w:t>
      </w:r>
    </w:p>
    <w:p w14:paraId="72D11567">
      <w:pPr>
        <w:numPr>
          <w:ilvl w:val="0"/>
          <w:numId w:val="0"/>
        </w:numPr>
        <w:spacing w:line="400" w:lineRule="exact"/>
        <w:ind w:firstLine="422" w:firstLineChars="200"/>
        <w:rPr>
          <w:rFonts w:hint="eastAsia" w:ascii="宋体" w:hAnsi="宋体"/>
          <w:b/>
          <w:bCs/>
          <w:color w:val="auto"/>
          <w:szCs w:val="21"/>
          <w:highlight w:val="none"/>
        </w:rPr>
      </w:pPr>
      <w:r>
        <w:rPr>
          <w:rFonts w:hint="eastAsia" w:ascii="宋体" w:hAnsi="宋体"/>
          <w:b/>
          <w:bCs/>
          <w:color w:val="auto"/>
          <w:szCs w:val="21"/>
          <w:highlight w:val="none"/>
        </w:rPr>
        <w:t>11.响应文件的编制原则</w:t>
      </w:r>
    </w:p>
    <w:p w14:paraId="34ED44BF">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供应商必须按照谈判文件的要求编制响应文件，并对其提交的响应文件的真实性、合法性承担法律责任。响应文件必须对谈判文件作出实质性响应。</w:t>
      </w:r>
    </w:p>
    <w:p w14:paraId="20478D7A">
      <w:pPr>
        <w:numPr>
          <w:ilvl w:val="0"/>
          <w:numId w:val="0"/>
        </w:numPr>
        <w:spacing w:line="400" w:lineRule="exact"/>
        <w:ind w:firstLine="422" w:firstLineChars="200"/>
        <w:rPr>
          <w:rFonts w:hint="eastAsia" w:ascii="宋体" w:hAnsi="宋体"/>
          <w:b/>
          <w:bCs/>
          <w:color w:val="auto"/>
          <w:szCs w:val="21"/>
          <w:highlight w:val="none"/>
        </w:rPr>
      </w:pPr>
      <w:r>
        <w:rPr>
          <w:rFonts w:hint="eastAsia" w:ascii="宋体" w:hAnsi="宋体"/>
          <w:b/>
          <w:bCs/>
          <w:color w:val="auto"/>
          <w:szCs w:val="21"/>
          <w:highlight w:val="none"/>
        </w:rPr>
        <w:t>12.响应文件的组成</w:t>
      </w:r>
    </w:p>
    <w:p w14:paraId="03E527A6">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12.1 响应文件由资格证明文件、报价文件、商务技术文件三部分组成。</w:t>
      </w:r>
    </w:p>
    <w:p w14:paraId="5411FEA4">
      <w:pPr>
        <w:widowControl/>
        <w:wordWrap w:val="0"/>
        <w:spacing w:line="400" w:lineRule="exact"/>
        <w:ind w:firstLine="420"/>
        <w:jc w:val="left"/>
        <w:rPr>
          <w:rFonts w:hint="eastAsia" w:ascii="宋体" w:hAnsi="宋体" w:eastAsia="宋体" w:cs="Courier New"/>
          <w:color w:val="auto"/>
          <w:szCs w:val="21"/>
          <w:highlight w:val="none"/>
          <w:lang w:eastAsia="zh-CN"/>
        </w:rPr>
      </w:pPr>
      <w:r>
        <w:rPr>
          <w:rFonts w:hint="eastAsia" w:ascii="宋体" w:hAnsi="宋体" w:cs="Courier New"/>
          <w:color w:val="auto"/>
          <w:szCs w:val="21"/>
          <w:highlight w:val="none"/>
        </w:rPr>
        <w:t>12.1.1 资格证明文件：详见</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供应商须知前附表</w:t>
      </w:r>
      <w:r>
        <w:rPr>
          <w:rFonts w:hint="eastAsia" w:ascii="宋体" w:hAnsi="宋体" w:cs="Courier New"/>
          <w:color w:val="auto"/>
          <w:szCs w:val="21"/>
          <w:highlight w:val="none"/>
          <w:lang w:eastAsia="zh-CN"/>
        </w:rPr>
        <w:t>”</w:t>
      </w:r>
    </w:p>
    <w:p w14:paraId="7E717DA4">
      <w:pPr>
        <w:widowControl/>
        <w:wordWrap w:val="0"/>
        <w:spacing w:line="400" w:lineRule="exact"/>
        <w:ind w:firstLine="420"/>
        <w:jc w:val="left"/>
        <w:rPr>
          <w:rFonts w:hint="eastAsia" w:ascii="宋体" w:hAnsi="宋体" w:eastAsia="宋体" w:cs="Courier New"/>
          <w:color w:val="auto"/>
          <w:szCs w:val="21"/>
          <w:highlight w:val="none"/>
          <w:lang w:eastAsia="zh-CN"/>
        </w:rPr>
      </w:pPr>
      <w:r>
        <w:rPr>
          <w:rFonts w:hint="eastAsia" w:ascii="宋体" w:hAnsi="宋体" w:cs="Courier New"/>
          <w:color w:val="auto"/>
          <w:szCs w:val="21"/>
          <w:highlight w:val="none"/>
        </w:rPr>
        <w:t>12.1.2 报价文件：详见</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供应商须知前附表</w:t>
      </w:r>
      <w:r>
        <w:rPr>
          <w:rFonts w:hint="eastAsia" w:ascii="宋体" w:hAnsi="宋体" w:cs="Courier New"/>
          <w:color w:val="auto"/>
          <w:szCs w:val="21"/>
          <w:highlight w:val="none"/>
          <w:lang w:eastAsia="zh-CN"/>
        </w:rPr>
        <w:t>”</w:t>
      </w:r>
    </w:p>
    <w:p w14:paraId="437CCA08">
      <w:pPr>
        <w:widowControl/>
        <w:wordWrap w:val="0"/>
        <w:spacing w:line="400" w:lineRule="exact"/>
        <w:ind w:firstLine="420"/>
        <w:jc w:val="left"/>
        <w:rPr>
          <w:rFonts w:hint="eastAsia" w:ascii="宋体" w:hAnsi="宋体" w:eastAsia="宋体" w:cs="Courier New"/>
          <w:color w:val="auto"/>
          <w:szCs w:val="21"/>
          <w:highlight w:val="none"/>
          <w:lang w:eastAsia="zh-CN"/>
        </w:rPr>
      </w:pPr>
      <w:r>
        <w:rPr>
          <w:rFonts w:hint="eastAsia" w:ascii="宋体" w:hAnsi="宋体" w:cs="Courier New"/>
          <w:color w:val="auto"/>
          <w:szCs w:val="21"/>
          <w:highlight w:val="none"/>
        </w:rPr>
        <w:t>12.1.3 商务技术文件：详见</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供应商须知前附表</w:t>
      </w:r>
      <w:r>
        <w:rPr>
          <w:rFonts w:hint="eastAsia" w:ascii="宋体" w:hAnsi="宋体" w:cs="Courier New"/>
          <w:color w:val="auto"/>
          <w:szCs w:val="21"/>
          <w:highlight w:val="none"/>
          <w:lang w:eastAsia="zh-CN"/>
        </w:rPr>
        <w:t>”</w:t>
      </w:r>
    </w:p>
    <w:p w14:paraId="11D6E1C4">
      <w:pPr>
        <w:numPr>
          <w:ilvl w:val="0"/>
          <w:numId w:val="0"/>
        </w:numPr>
        <w:spacing w:line="400" w:lineRule="exact"/>
        <w:ind w:firstLine="422" w:firstLineChars="200"/>
        <w:rPr>
          <w:rFonts w:hint="eastAsia" w:ascii="宋体" w:hAnsi="宋体"/>
          <w:b/>
          <w:bCs/>
          <w:color w:val="auto"/>
          <w:szCs w:val="21"/>
          <w:highlight w:val="none"/>
        </w:rPr>
      </w:pPr>
      <w:r>
        <w:rPr>
          <w:rFonts w:hint="eastAsia" w:ascii="宋体" w:hAnsi="宋体"/>
          <w:b/>
          <w:bCs/>
          <w:color w:val="auto"/>
          <w:szCs w:val="21"/>
          <w:highlight w:val="none"/>
        </w:rPr>
        <w:t>13.计量单位</w:t>
      </w:r>
    </w:p>
    <w:p w14:paraId="4110419F">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谈判文件已有明确规定的，使用谈判文件规定的计量单位；谈判文件没有规定的，应采用中华人民共和国法定计量单位，货币种类为人民币，否则视同未响应。</w:t>
      </w:r>
    </w:p>
    <w:p w14:paraId="7EC9C395">
      <w:pPr>
        <w:numPr>
          <w:ilvl w:val="0"/>
          <w:numId w:val="0"/>
        </w:numPr>
        <w:spacing w:line="400" w:lineRule="exact"/>
        <w:ind w:firstLine="422" w:firstLineChars="200"/>
        <w:rPr>
          <w:rFonts w:hint="eastAsia" w:ascii="宋体" w:hAnsi="宋体"/>
          <w:b/>
          <w:bCs/>
          <w:color w:val="auto"/>
          <w:szCs w:val="21"/>
          <w:highlight w:val="none"/>
        </w:rPr>
      </w:pPr>
      <w:r>
        <w:rPr>
          <w:rFonts w:hint="eastAsia" w:ascii="宋体" w:hAnsi="宋体"/>
          <w:b/>
          <w:bCs/>
          <w:color w:val="auto"/>
          <w:szCs w:val="21"/>
          <w:highlight w:val="none"/>
        </w:rPr>
        <w:t>14.竞标的风险</w:t>
      </w:r>
    </w:p>
    <w:p w14:paraId="6367FDFF">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供应商没有按照谈判文件要求提供全部资料，或者供应商没有对谈判文件在各方面作出实质性响应可能导致其响应文件按无效处理，是供应商应当考虑的风险。</w:t>
      </w:r>
    </w:p>
    <w:p w14:paraId="5E255199">
      <w:pPr>
        <w:numPr>
          <w:ilvl w:val="0"/>
          <w:numId w:val="0"/>
        </w:numPr>
        <w:spacing w:line="400" w:lineRule="exact"/>
        <w:ind w:firstLine="422" w:firstLineChars="200"/>
        <w:rPr>
          <w:rFonts w:hint="eastAsia" w:ascii="宋体" w:hAnsi="宋体"/>
          <w:b/>
          <w:bCs/>
          <w:color w:val="auto"/>
          <w:szCs w:val="21"/>
          <w:highlight w:val="none"/>
        </w:rPr>
      </w:pPr>
      <w:r>
        <w:rPr>
          <w:rFonts w:hint="eastAsia" w:ascii="宋体" w:hAnsi="宋体"/>
          <w:b/>
          <w:bCs/>
          <w:color w:val="auto"/>
          <w:szCs w:val="21"/>
          <w:highlight w:val="none"/>
        </w:rPr>
        <w:t>15.竞标报价</w:t>
      </w:r>
    </w:p>
    <w:p w14:paraId="287DA544">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15.1 竞标报价应按谈判文件中</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竞标报价表</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格式填写。</w:t>
      </w:r>
    </w:p>
    <w:p w14:paraId="02D6C114">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15.2 竞标报价要求</w:t>
      </w:r>
    </w:p>
    <w:p w14:paraId="5FBA9434">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15.2.1 供应商的竞标报价应符合以下要求，否则响应文件按无效响应处理：</w:t>
      </w:r>
    </w:p>
    <w:p w14:paraId="44260D5C">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（1）供应商必须就</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采购需求</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中所竞标的每个分标的全部内容分别作完整唯一总价报价，不得存在漏项报价；</w:t>
      </w:r>
    </w:p>
    <w:p w14:paraId="09FA0080">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（2）供应商必须就所竞标的分标的单项内容作唯一报价。</w:t>
      </w:r>
    </w:p>
    <w:p w14:paraId="5FFF9A4E">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15.2.2 竞标报价（包含首次报价、最后报价）超过所竞标分标规定的采购预算金额或者最高限价的，其响应文件将按无效处理。</w:t>
      </w:r>
    </w:p>
    <w:p w14:paraId="34FAC3A8">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15.2.3 竞标报价（包含首次报价、最后报价）超过分项采购预算金额或者最高限价的，其响应文件将按无效处理。</w:t>
      </w:r>
    </w:p>
    <w:p w14:paraId="3E2D18D7">
      <w:pPr>
        <w:numPr>
          <w:ilvl w:val="0"/>
          <w:numId w:val="0"/>
        </w:numPr>
        <w:spacing w:line="400" w:lineRule="exact"/>
        <w:ind w:firstLine="422" w:firstLineChars="200"/>
        <w:rPr>
          <w:rFonts w:hint="eastAsia" w:ascii="宋体" w:hAnsi="宋体"/>
          <w:b/>
          <w:bCs/>
          <w:color w:val="auto"/>
          <w:szCs w:val="21"/>
          <w:highlight w:val="none"/>
        </w:rPr>
      </w:pPr>
      <w:r>
        <w:rPr>
          <w:rFonts w:hint="eastAsia" w:ascii="宋体" w:hAnsi="宋体"/>
          <w:b/>
          <w:bCs/>
          <w:color w:val="auto"/>
          <w:szCs w:val="21"/>
          <w:highlight w:val="none"/>
        </w:rPr>
        <w:t>16.竞标有效期</w:t>
      </w:r>
    </w:p>
    <w:p w14:paraId="5750CBE2">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16.1 竞标有效期是指为保证采购人有足够的时间在提交响应文件后完成评审、确定成交供应商、合同签订等工作而要求供应商提交的响应文件在一定时间内保持有效的期限。</w:t>
      </w:r>
    </w:p>
    <w:p w14:paraId="6FA157F4">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16.2 竞标有效期应由供应商按</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供应商须知前附表</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规定的期限作出响应。承诺的竞标有效期低于采购文件规定期限的，供应商的响应文件作无效处理。</w:t>
      </w:r>
    </w:p>
    <w:p w14:paraId="27FFE7FA">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16.3 供应商的响应文件在竞标有效期内均保持有效。</w:t>
      </w:r>
    </w:p>
    <w:p w14:paraId="48EAC508">
      <w:pPr>
        <w:numPr>
          <w:ilvl w:val="0"/>
          <w:numId w:val="0"/>
        </w:numPr>
        <w:spacing w:line="400" w:lineRule="exact"/>
        <w:ind w:firstLine="422" w:firstLineChars="200"/>
        <w:rPr>
          <w:rFonts w:hint="eastAsia" w:ascii="宋体" w:hAnsi="宋体"/>
          <w:b/>
          <w:bCs/>
          <w:color w:val="auto"/>
          <w:szCs w:val="21"/>
          <w:highlight w:val="none"/>
        </w:rPr>
      </w:pPr>
      <w:r>
        <w:rPr>
          <w:rFonts w:hint="eastAsia" w:ascii="宋体" w:hAnsi="宋体"/>
          <w:b/>
          <w:bCs/>
          <w:color w:val="auto"/>
          <w:szCs w:val="21"/>
          <w:highlight w:val="none"/>
        </w:rPr>
        <w:t>17.竞标保证金</w:t>
      </w:r>
    </w:p>
    <w:p w14:paraId="19288432">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17.1 供应商须按</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供应商须知前附表</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的规定提交竞标保证金。</w:t>
      </w:r>
    </w:p>
    <w:p w14:paraId="7799D8B5">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17.2 竞标保证金的退还</w:t>
      </w:r>
    </w:p>
    <w:p w14:paraId="46352981">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未成交供应商的竞标保证金自成交通知书发出之日起5个工作日内退还；成交供应商的竞标保证金自签订合同之日起5个工作日内退还。</w:t>
      </w:r>
    </w:p>
    <w:p w14:paraId="0F9FADB5">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17.3 竞标保证金不计息。</w:t>
      </w:r>
    </w:p>
    <w:p w14:paraId="095EAE38">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17.4 供应商有下列情形之一的，竞标保证金将不予退还：</w:t>
      </w:r>
    </w:p>
    <w:p w14:paraId="759873FF">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（1）供应商在提交响应文件截止时间后撤回响应文件的；</w:t>
      </w:r>
    </w:p>
    <w:p w14:paraId="149BE48A">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（2）未按规定提交履约保证金的；</w:t>
      </w:r>
    </w:p>
    <w:p w14:paraId="4235CE64">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（3）供应商在响应文件中提供虚假材料的；</w:t>
      </w:r>
    </w:p>
    <w:p w14:paraId="6B73972F">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（4）除因不可抗力或者谈判文件认可的情形以外，成交供应商不与采购人签订合同的；</w:t>
      </w:r>
    </w:p>
    <w:p w14:paraId="01F99303">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（5）供应商与采购人、其他供应商或者采购代理机构恶意串通的；</w:t>
      </w:r>
    </w:p>
    <w:p w14:paraId="7A88C576">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（6）法律法规规定的其他情形。</w:t>
      </w:r>
    </w:p>
    <w:p w14:paraId="74D44788">
      <w:pPr>
        <w:numPr>
          <w:ilvl w:val="0"/>
          <w:numId w:val="0"/>
        </w:numPr>
        <w:spacing w:line="400" w:lineRule="exact"/>
        <w:ind w:firstLine="422" w:firstLineChars="200"/>
        <w:rPr>
          <w:rFonts w:hint="eastAsia" w:ascii="宋体" w:hAnsi="宋体"/>
          <w:b/>
          <w:bCs/>
          <w:color w:val="auto"/>
          <w:szCs w:val="21"/>
          <w:highlight w:val="none"/>
        </w:rPr>
      </w:pPr>
      <w:r>
        <w:rPr>
          <w:rFonts w:hint="eastAsia" w:ascii="宋体" w:hAnsi="宋体"/>
          <w:b/>
          <w:bCs/>
          <w:color w:val="auto"/>
          <w:szCs w:val="21"/>
          <w:highlight w:val="none"/>
        </w:rPr>
        <w:t>18. 响应文件编制的要求</w:t>
      </w:r>
    </w:p>
    <w:p w14:paraId="69F934C1">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18.1 供应商应按照本项目谈判文件规定的格式和顺序和广西政府采购云平台的要求编制并加密。响应文件内容不完整、编排混乱导致响应文件被误读、漏读或者查找不到相关内容的，由此引发的后果由供应商承担。</w:t>
      </w:r>
    </w:p>
    <w:p w14:paraId="657DF5BB">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18.2 为确保网上操作合法、有效和安全，供应商应当在提交响应文件截止时间前完成在广西政府采购云平台的身份认证，确保在电子竞标过程中能够对相关数据电文进行加密和使用电子签章。</w:t>
      </w:r>
    </w:p>
    <w:p w14:paraId="101A1990">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18.3 响应文件须由供应商在规定位置签字、盖章（具体以供应商须知前附表或响应文件格式规定为准），否则按无效响应处理。</w:t>
      </w:r>
    </w:p>
    <w:p w14:paraId="04BF7EB3">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18.4 响应文件中标注的供应商名称应与主体资格证明（如营业执照或者事业单位法人证书或者执业许可证或者登记证书等）及公章一致，供应商为自然人的，标注的供应商名称应与身份证姓名及签名一致，否则其响应文件按无效响应处理。</w:t>
      </w:r>
    </w:p>
    <w:p w14:paraId="65CA5DA5">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18.5 响应文件应尽量避免涂改、行间插字或者删除。如果出现上述情况，改动之处应由供应商的法定代表人或者其委托代理人签字（或者电子签名）或者加盖公章或者加盖电子签章。响应文件因涂改、行间插字或者删除导致字迹潦草或者表达不清所引起的后果由供应商承担。</w:t>
      </w:r>
    </w:p>
    <w:p w14:paraId="75F04FFE">
      <w:pPr>
        <w:numPr>
          <w:ilvl w:val="0"/>
          <w:numId w:val="0"/>
        </w:numPr>
        <w:spacing w:line="400" w:lineRule="exact"/>
        <w:ind w:firstLine="422" w:firstLineChars="200"/>
        <w:rPr>
          <w:rFonts w:hint="eastAsia" w:ascii="宋体" w:hAnsi="宋体"/>
          <w:b/>
          <w:bCs/>
          <w:color w:val="auto"/>
          <w:szCs w:val="21"/>
          <w:highlight w:val="none"/>
        </w:rPr>
      </w:pPr>
      <w:r>
        <w:rPr>
          <w:rFonts w:hint="eastAsia" w:ascii="宋体" w:hAnsi="宋体"/>
          <w:b/>
          <w:bCs/>
          <w:color w:val="auto"/>
          <w:szCs w:val="21"/>
          <w:highlight w:val="none"/>
        </w:rPr>
        <w:t>19.电子备份响应文件</w:t>
      </w:r>
    </w:p>
    <w:p w14:paraId="3DF0177C">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电子备份响应文件是指通过在线编制生成且后缀名为</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bfbs</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的文件，是否接受电子备份响应文件详见</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供应商须知前附表</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w:t>
      </w:r>
    </w:p>
    <w:p w14:paraId="1D45073C">
      <w:pPr>
        <w:numPr>
          <w:ilvl w:val="0"/>
          <w:numId w:val="0"/>
        </w:numPr>
        <w:spacing w:line="400" w:lineRule="exact"/>
        <w:ind w:firstLine="422" w:firstLineChars="200"/>
        <w:rPr>
          <w:rFonts w:hint="eastAsia" w:ascii="宋体" w:hAnsi="宋体"/>
          <w:b/>
          <w:bCs/>
          <w:color w:val="auto"/>
          <w:szCs w:val="21"/>
          <w:highlight w:val="none"/>
        </w:rPr>
      </w:pPr>
      <w:r>
        <w:rPr>
          <w:rFonts w:hint="eastAsia" w:ascii="宋体" w:hAnsi="宋体"/>
          <w:b/>
          <w:bCs/>
          <w:color w:val="auto"/>
          <w:szCs w:val="21"/>
          <w:highlight w:val="none"/>
        </w:rPr>
        <w:t>20.响应文件的提交</w:t>
      </w:r>
    </w:p>
    <w:p w14:paraId="2F1092D2">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20.1 供应商必须按</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供应商须知前附表</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规定的时间及地点提交响应文件。电子响应文件应在制作完成后，在提交响应文件截止时间前通过有效数字证书（CA认证锁）进行电子签章、加密，然后通过网络将加密的电子响应文件提交至广西政府采购云平台。</w:t>
      </w:r>
    </w:p>
    <w:p w14:paraId="0F92E222">
      <w:pPr>
        <w:widowControl/>
        <w:wordWrap w:val="0"/>
        <w:spacing w:line="400" w:lineRule="exact"/>
        <w:ind w:firstLine="420"/>
        <w:jc w:val="left"/>
        <w:rPr>
          <w:rFonts w:hint="eastAsia" w:ascii="宋体" w:hAnsi="宋体" w:cs="Courier New"/>
          <w:b/>
          <w:bCs/>
          <w:color w:val="auto"/>
          <w:szCs w:val="21"/>
          <w:highlight w:val="none"/>
        </w:rPr>
      </w:pPr>
      <w:r>
        <w:rPr>
          <w:rFonts w:hint="eastAsia" w:ascii="宋体" w:hAnsi="宋体" w:cs="Courier New"/>
          <w:b/>
          <w:bCs/>
          <w:color w:val="auto"/>
          <w:szCs w:val="21"/>
          <w:highlight w:val="none"/>
        </w:rPr>
        <w:t>20.2 未在规定时间内提交或者未按照谈判文件要求加密的电子响应文件，广西政府采购云平台将拒收。</w:t>
      </w:r>
    </w:p>
    <w:p w14:paraId="56F9DBD6">
      <w:pPr>
        <w:numPr>
          <w:ilvl w:val="0"/>
          <w:numId w:val="0"/>
        </w:numPr>
        <w:spacing w:line="400" w:lineRule="exact"/>
        <w:ind w:firstLine="422" w:firstLineChars="200"/>
        <w:rPr>
          <w:rFonts w:hint="eastAsia" w:ascii="宋体" w:hAnsi="宋体"/>
          <w:b/>
          <w:bCs/>
          <w:color w:val="auto"/>
          <w:szCs w:val="21"/>
          <w:highlight w:val="none"/>
        </w:rPr>
      </w:pPr>
      <w:r>
        <w:rPr>
          <w:rFonts w:hint="eastAsia" w:ascii="宋体" w:hAnsi="宋体"/>
          <w:b/>
          <w:bCs/>
          <w:color w:val="auto"/>
          <w:szCs w:val="21"/>
          <w:highlight w:val="none"/>
        </w:rPr>
        <w:t>21.首次响应文件的补充、修改与撤回</w:t>
      </w:r>
    </w:p>
    <w:p w14:paraId="4E07AAC2">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21.1 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补充、修改或者撤回方式可登录广西政府采购云平台，进入</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服务中心</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中查看</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电子响应文件制作与投送教程</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w:t>
      </w:r>
    </w:p>
    <w:p w14:paraId="65C243BA">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21.2 在提交响应文件截止时间前，除供应商补充、修改或者撤回响应文件外，任何单位和个人不得解密或提取响应文件。</w:t>
      </w:r>
    </w:p>
    <w:p w14:paraId="0B37BC07">
      <w:pPr>
        <w:numPr>
          <w:ilvl w:val="0"/>
          <w:numId w:val="0"/>
        </w:numPr>
        <w:spacing w:line="400" w:lineRule="exact"/>
        <w:ind w:firstLine="422" w:firstLineChars="200"/>
        <w:rPr>
          <w:rFonts w:hint="eastAsia" w:ascii="宋体" w:hAnsi="宋体"/>
          <w:b/>
          <w:bCs/>
          <w:color w:val="auto"/>
          <w:szCs w:val="21"/>
          <w:highlight w:val="none"/>
        </w:rPr>
      </w:pPr>
      <w:r>
        <w:rPr>
          <w:rFonts w:hint="eastAsia" w:ascii="宋体" w:hAnsi="宋体"/>
          <w:b/>
          <w:bCs/>
          <w:color w:val="auto"/>
          <w:szCs w:val="21"/>
          <w:highlight w:val="none"/>
        </w:rPr>
        <w:t>22.响应文件的退回</w:t>
      </w:r>
    </w:p>
    <w:p w14:paraId="1D3C8FFB">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采购人和采购代理机构对已提交的响应文件概不退回。</w:t>
      </w:r>
    </w:p>
    <w:p w14:paraId="366C73EA">
      <w:pPr>
        <w:numPr>
          <w:ilvl w:val="0"/>
          <w:numId w:val="0"/>
        </w:numPr>
        <w:spacing w:line="400" w:lineRule="exact"/>
        <w:ind w:firstLine="422" w:firstLineChars="200"/>
        <w:rPr>
          <w:rFonts w:hint="eastAsia" w:ascii="宋体" w:hAnsi="宋体"/>
          <w:b/>
          <w:bCs/>
          <w:color w:val="auto"/>
          <w:szCs w:val="21"/>
          <w:highlight w:val="none"/>
        </w:rPr>
      </w:pPr>
      <w:r>
        <w:rPr>
          <w:rFonts w:hint="eastAsia" w:ascii="宋体" w:hAnsi="宋体"/>
          <w:b/>
          <w:bCs/>
          <w:color w:val="auto"/>
          <w:szCs w:val="21"/>
          <w:highlight w:val="none"/>
        </w:rPr>
        <w:t>23.截止时间后的撤回</w:t>
      </w:r>
    </w:p>
    <w:p w14:paraId="5F63CE8D">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供应商在响应文件提交截止时间后向采购人、采购代理机构书面申请撤回响应文件的，将根据本须知正文第17.4条的规定不予退还其竞标保证金。</w:t>
      </w:r>
    </w:p>
    <w:p w14:paraId="6FF0F0B6">
      <w:pPr>
        <w:widowControl/>
        <w:wordWrap w:val="0"/>
        <w:spacing w:line="400" w:lineRule="exact"/>
        <w:ind w:firstLine="420"/>
        <w:jc w:val="left"/>
        <w:rPr>
          <w:rFonts w:hint="eastAsia" w:ascii="宋体" w:hAnsi="宋体" w:cs="Courier New"/>
          <w:color w:val="auto"/>
          <w:szCs w:val="21"/>
          <w:highlight w:val="none"/>
        </w:rPr>
      </w:pPr>
    </w:p>
    <w:p w14:paraId="1FB348BE">
      <w:pPr>
        <w:spacing w:line="720" w:lineRule="auto"/>
        <w:jc w:val="center"/>
        <w:rPr>
          <w:rFonts w:hint="eastAsia" w:ascii="仿宋_GB2312" w:hAnsi="宋体" w:eastAsia="仿宋_GB2312"/>
          <w:b/>
          <w:color w:val="auto"/>
          <w:sz w:val="32"/>
          <w:szCs w:val="32"/>
          <w:highlight w:val="none"/>
          <w:lang w:val="en-US" w:eastAsia="zh-CN"/>
        </w:rPr>
      </w:pPr>
      <w:r>
        <w:rPr>
          <w:rFonts w:hint="eastAsia" w:ascii="仿宋_GB2312" w:hAnsi="宋体" w:eastAsia="仿宋_GB2312"/>
          <w:b/>
          <w:color w:val="auto"/>
          <w:sz w:val="32"/>
          <w:szCs w:val="32"/>
          <w:highlight w:val="none"/>
          <w:lang w:val="en-US" w:eastAsia="zh-CN"/>
        </w:rPr>
        <w:t>四、评审及谈判</w:t>
      </w:r>
    </w:p>
    <w:p w14:paraId="16933CF4">
      <w:pPr>
        <w:numPr>
          <w:ilvl w:val="0"/>
          <w:numId w:val="0"/>
        </w:numPr>
        <w:spacing w:line="400" w:lineRule="exact"/>
        <w:ind w:firstLine="422" w:firstLineChars="200"/>
        <w:rPr>
          <w:rFonts w:hint="eastAsia" w:ascii="宋体" w:hAnsi="宋体"/>
          <w:b/>
          <w:bCs/>
          <w:color w:val="auto"/>
          <w:szCs w:val="21"/>
          <w:highlight w:val="none"/>
        </w:rPr>
      </w:pPr>
      <w:r>
        <w:rPr>
          <w:rFonts w:hint="eastAsia" w:ascii="宋体" w:hAnsi="宋体"/>
          <w:b/>
          <w:bCs/>
          <w:color w:val="auto"/>
          <w:szCs w:val="21"/>
          <w:highlight w:val="none"/>
        </w:rPr>
        <w:t>24.谈判小组成立</w:t>
      </w:r>
    </w:p>
    <w:p w14:paraId="3BC6CD99">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24.1 谈判小组由采购人代表和评审专家共3人以上单数组成，具体人数详见</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供应商须知前附表</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其中评审专家人数不得少于竞争性谈判小组成员总数的2/3。采购人不得以评审专家身份参加本部门或者本单位采购项目的评审。采购代理机构人员不得参加本机构代理的采购项目的评审。达到公开招标数额标准的货物或者服务采购项目，或者达到招标规模标准的政府采购工程，竞争性谈判小组应当由5人以上单数组成。</w:t>
      </w:r>
    </w:p>
    <w:p w14:paraId="040D3489">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24.2 评审专家应当从政府采购评审专家库内相关专业的专家名单中随机抽取。技术复杂、专业性强的竞争性谈判采购项目，通过随机方式难以确定合适的评审专家的，经主管预算单位同意，可以自行选定评审专家。技术复杂、专业性强的竞争性谈判采购项目，评审专家中应当包含1名法律专家。</w:t>
      </w:r>
    </w:p>
    <w:p w14:paraId="66EAF3A1">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24.3 采购代理机构应当基于广西政府采购云平台抽（选）取评审专家。</w:t>
      </w:r>
    </w:p>
    <w:p w14:paraId="20A1FB1C">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24.4 参加过采购项目前期咨询论证的专家，不得参加该采购项目的评审活动。</w:t>
      </w:r>
    </w:p>
    <w:p w14:paraId="64D48EBD">
      <w:pPr>
        <w:numPr>
          <w:ilvl w:val="0"/>
          <w:numId w:val="0"/>
        </w:numPr>
        <w:spacing w:line="400" w:lineRule="exact"/>
        <w:ind w:firstLine="422" w:firstLineChars="200"/>
        <w:rPr>
          <w:rFonts w:hint="eastAsia" w:ascii="宋体" w:hAnsi="宋体"/>
          <w:b/>
          <w:bCs/>
          <w:color w:val="auto"/>
          <w:szCs w:val="21"/>
          <w:highlight w:val="none"/>
        </w:rPr>
      </w:pPr>
      <w:r>
        <w:rPr>
          <w:rFonts w:hint="eastAsia" w:ascii="宋体" w:hAnsi="宋体"/>
          <w:b/>
          <w:bCs/>
          <w:color w:val="auto"/>
          <w:szCs w:val="21"/>
          <w:highlight w:val="none"/>
        </w:rPr>
        <w:t>25. 首次响应文件的开启和解密</w:t>
      </w:r>
    </w:p>
    <w:p w14:paraId="112DD8A7">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采购代理机构将在</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供应商须知前附表</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规定的时间通过电子交易平台组织响应文件开启，供应商的法定代表人或其委托代理人须携带加密时所用的CA锁，按平台提示和谈判文件的规定登录到广西政府采购云平台电子开标大厅签到，采购代理机构依托广西政府采购云平台向各供应商发出电子加密响应文件【开始解密】通知，由供应商按</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供应商须知前附表</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规定的时间内自行进行响应文件解密。供应商未在规定的时间内解密响应文件或者解密失败的，供应商的响应文件作无效处理。</w:t>
      </w:r>
    </w:p>
    <w:p w14:paraId="6B2DBFCE">
      <w:pPr>
        <w:numPr>
          <w:ilvl w:val="0"/>
          <w:numId w:val="0"/>
        </w:numPr>
        <w:spacing w:line="400" w:lineRule="exact"/>
        <w:ind w:firstLine="422" w:firstLineChars="200"/>
        <w:rPr>
          <w:rFonts w:hint="eastAsia" w:ascii="宋体" w:hAnsi="宋体"/>
          <w:b/>
          <w:bCs/>
          <w:color w:val="auto"/>
          <w:szCs w:val="21"/>
          <w:highlight w:val="none"/>
        </w:rPr>
      </w:pPr>
      <w:r>
        <w:rPr>
          <w:rFonts w:hint="eastAsia" w:ascii="宋体" w:hAnsi="宋体"/>
          <w:b/>
          <w:bCs/>
          <w:color w:val="auto"/>
          <w:szCs w:val="21"/>
          <w:highlight w:val="none"/>
        </w:rPr>
        <w:t>26. 评审程序和评定成交的标准</w:t>
      </w:r>
    </w:p>
    <w:p w14:paraId="6EF2AB11">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26.1 谈判小组按照</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第四章 评审程序和评定成交的标准</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规定的评审程序对响应文件进行评审，并按照评定成交的标准推荐成交候选供应商。评审价相同时，成交候选供应商推荐顺序见</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供应商须知前附表</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w:t>
      </w:r>
    </w:p>
    <w:p w14:paraId="0F38DB60">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26.2 商务/技术要求允许负偏离的条款数详见</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供应商须知前附表</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w:t>
      </w:r>
    </w:p>
    <w:p w14:paraId="3464CEA1">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26.3 谈判小组成员要依法独立评审，并对评审意见承担个人责任。谈判小组成员对需要共同认定的事项存在争议的，按照少数服从多数的原则做出结论。持不同意见的谈判小组成员应当在评审报告上签署不同意见并说明理由，否则视为同意。</w:t>
      </w:r>
    </w:p>
    <w:p w14:paraId="01DF2597">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26.4 电子交易活动的中止。采购过程中出现以下情形，导致电子交易平台无法正常运行，或者无法保证电子交易的公平、公正和安全时，采购机构可中止电子交易活动：</w:t>
      </w:r>
    </w:p>
    <w:p w14:paraId="3BB755D7">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（1）电子交易平台发生故障而无法登录访问的；</w:t>
      </w:r>
    </w:p>
    <w:p w14:paraId="03BC4062">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（2）电子交易平台应用或数据库出现错误，不能进行正常操作的；</w:t>
      </w:r>
    </w:p>
    <w:p w14:paraId="32D8054A">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（3）电子交易平台发现严重安全漏洞，有潜在泄密危险的；</w:t>
      </w:r>
    </w:p>
    <w:p w14:paraId="2868C383">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（4）病毒发作导致不能进行正常操作的；</w:t>
      </w:r>
    </w:p>
    <w:p w14:paraId="4AB7C9A8">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（5）其他无法保证电子交易的公平、公正和安全的情况。</w:t>
      </w:r>
    </w:p>
    <w:p w14:paraId="3989E3B4">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26.5 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作出妥善保密处理，并报财政部门备案。</w:t>
      </w:r>
    </w:p>
    <w:p w14:paraId="743C2646">
      <w:pPr>
        <w:numPr>
          <w:ilvl w:val="0"/>
          <w:numId w:val="0"/>
        </w:numPr>
        <w:spacing w:line="400" w:lineRule="exact"/>
        <w:ind w:firstLine="422" w:firstLineChars="200"/>
        <w:rPr>
          <w:rFonts w:hint="eastAsia" w:ascii="宋体" w:hAnsi="宋体"/>
          <w:b/>
          <w:bCs/>
          <w:color w:val="auto"/>
          <w:szCs w:val="21"/>
          <w:highlight w:val="none"/>
        </w:rPr>
      </w:pPr>
      <w:r>
        <w:rPr>
          <w:rFonts w:hint="eastAsia" w:ascii="宋体" w:hAnsi="宋体"/>
          <w:b/>
          <w:bCs/>
          <w:color w:val="auto"/>
          <w:szCs w:val="21"/>
          <w:highlight w:val="none"/>
        </w:rPr>
        <w:t>27.确定成交供应商及结果公告</w:t>
      </w:r>
    </w:p>
    <w:p w14:paraId="1C1ECFCB">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27.1 采购代理机构应当在评审结束后2个工作日内将评审报告送采购人确认。采购人应当在收到评审报告后5个工作日内，将评审报告提出的排名第一的成交候选人确定为成交供应商，也可以书面授权谈判小组直接确定成交供应商。采购人逾期未确定成交供应商且不提出异议的，视为确定评审报告提出的排名第一的成交候选人为成交供应商。</w:t>
      </w:r>
    </w:p>
    <w:p w14:paraId="22D119A3">
      <w:pPr>
        <w:widowControl/>
        <w:wordWrap w:val="0"/>
        <w:spacing w:line="400" w:lineRule="exact"/>
        <w:ind w:firstLine="420"/>
        <w:jc w:val="left"/>
        <w:rPr>
          <w:rFonts w:hint="eastAsia" w:ascii="宋体" w:hAnsi="宋体" w:cs="Courier New"/>
          <w:color w:val="auto"/>
          <w:szCs w:val="21"/>
          <w:highlight w:val="none"/>
        </w:rPr>
        <w:sectPr>
          <w:footerReference r:id="rId7" w:type="default"/>
          <w:pgSz w:w="11910" w:h="16840"/>
          <w:pgMar w:top="1406" w:right="1501" w:bottom="1091" w:left="1687" w:header="0" w:footer="794" w:gutter="0"/>
          <w:pgNumType w:start="1"/>
          <w:cols w:space="720" w:num="1"/>
        </w:sectPr>
      </w:pPr>
      <w:r>
        <w:rPr>
          <w:rFonts w:hint="eastAsia" w:ascii="宋体" w:hAnsi="宋体" w:cs="Courier New"/>
          <w:color w:val="auto"/>
          <w:szCs w:val="21"/>
          <w:highlight w:val="none"/>
        </w:rPr>
        <w:t>27.2 采购代理机构应当在成交供应商确定后2个工作日内，在省级以上财政部门指定的媒体上公告成交结果，同时向成交供应商发出成交通知书。采购人或者采购代理机构发出成交通知书前，应当对成交供应商信用进行查询，对列入失信被执行人、重大税收违法失信主体、政府采购严重违法失信行为记录名单及其他不符合《中华人民共和国政府采购法》第二十二条规定条件</w:t>
      </w:r>
    </w:p>
    <w:p w14:paraId="1945AF65">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的供应商，取消其成交资格，并确定排名第二的成交候选人为成交供应商。排名第二的成交候选人因上述规定的同样原因被取消成交资格的，采购人可以确定排名第三的成交候选人为成交供应商。以上信息查询记录及相关证据与谈判文件一并保存。成交供应商享受《政府采购促进中小企业发展管理办法》（财库〔2020〕46号）规定的中小企业扶持政策的，采购人、采购代理机构应当随成交结果公开成交供应商的《中小企业声明函》。</w:t>
      </w:r>
    </w:p>
    <w:p w14:paraId="1C19B45B">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27.3 采购人、采购代理机构应当随成交结果公开成交供应商的《关于符合本国产品标准的声明函》或有关证明文件。</w:t>
      </w:r>
    </w:p>
    <w:p w14:paraId="089F28AD">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27.4 出现下列情形之一的，采购人或者采购代理机构应当终止竞争性谈判采购活动，发布项目终止公告并说明原因，重新开展采购活动：</w:t>
      </w:r>
    </w:p>
    <w:p w14:paraId="5AD0DB8A">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（1）因情况变化，不再符合规定的竞争性谈判采购方式适用情形的；</w:t>
      </w:r>
    </w:p>
    <w:p w14:paraId="23A93E15">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（2）出现影响采购公正的违法、违规行为的；</w:t>
      </w:r>
    </w:p>
    <w:p w14:paraId="16404A0F">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（3）在采购过程中符合竞争要求的供应商或者报价未超过采购预算的供应商不足3家的，但</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第四章 评审程序和评定成交的标准</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第3.7条规定的情形除外。</w:t>
      </w:r>
    </w:p>
    <w:p w14:paraId="70A9985C">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27.5 在采购活动中因重大变故，采购任务取消的，采购人或者采购代理机构应当终止采购活动，通知所有参加采购活动的供应商，并将项目实施情况和采购任务取消原因报送本级财政部门。</w:t>
      </w:r>
    </w:p>
    <w:p w14:paraId="68C78481">
      <w:pPr>
        <w:numPr>
          <w:ilvl w:val="0"/>
          <w:numId w:val="0"/>
        </w:numPr>
        <w:spacing w:line="400" w:lineRule="exact"/>
        <w:ind w:firstLine="422" w:firstLineChars="200"/>
        <w:rPr>
          <w:rFonts w:hint="eastAsia" w:ascii="宋体" w:hAnsi="宋体"/>
          <w:b/>
          <w:bCs/>
          <w:color w:val="auto"/>
          <w:szCs w:val="21"/>
          <w:highlight w:val="none"/>
        </w:rPr>
      </w:pPr>
      <w:r>
        <w:rPr>
          <w:rFonts w:hint="eastAsia" w:ascii="宋体" w:hAnsi="宋体"/>
          <w:b/>
          <w:bCs/>
          <w:color w:val="auto"/>
          <w:szCs w:val="21"/>
          <w:highlight w:val="none"/>
        </w:rPr>
        <w:t>28.履约保证金</w:t>
      </w:r>
    </w:p>
    <w:p w14:paraId="16D50F4B">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28.1 履约保证金的金额、提交方式、退付的时间和条件详见</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供应商须知前附表</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。成交供应商未按规定提交履约保证金的，视为拒绝与采购人签订合同。</w:t>
      </w:r>
    </w:p>
    <w:p w14:paraId="7294CFE2">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28.2 在履约保证金退还日期前，若成交供应商的开户名称、开户银行、账号有变动的，请以书面形式通知履约保证金收取单位，否则由此产生的后果由成交供应商自负。</w:t>
      </w:r>
    </w:p>
    <w:p w14:paraId="039A8422">
      <w:pPr>
        <w:numPr>
          <w:ilvl w:val="0"/>
          <w:numId w:val="0"/>
        </w:numPr>
        <w:spacing w:line="400" w:lineRule="exact"/>
        <w:ind w:firstLine="422" w:firstLineChars="200"/>
        <w:rPr>
          <w:rFonts w:hint="eastAsia" w:ascii="宋体" w:hAnsi="宋体"/>
          <w:b/>
          <w:bCs/>
          <w:color w:val="auto"/>
          <w:szCs w:val="21"/>
          <w:highlight w:val="none"/>
        </w:rPr>
      </w:pPr>
      <w:r>
        <w:rPr>
          <w:rFonts w:hint="eastAsia" w:ascii="宋体" w:hAnsi="宋体"/>
          <w:b/>
          <w:bCs/>
          <w:color w:val="auto"/>
          <w:szCs w:val="21"/>
          <w:highlight w:val="none"/>
        </w:rPr>
        <w:t>29.签订合同</w:t>
      </w:r>
    </w:p>
    <w:p w14:paraId="3992EF6F">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29.1 签订电子采购合同：成交供应商领取电子成交通知书后，在规定的日期、时间、地点，由法定代表人或其授权代表与采购人代表签订电子采购合同。如成交供应商为联合体的，由联合体成员各方法定代表人或其授权代表与采购人代表签订合同。</w:t>
      </w:r>
    </w:p>
    <w:p w14:paraId="3E049588">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线下签订纸质合同：供应商领取成交通知书后，按</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供应商须知前附表</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规定向采购人出示相关证明材料，经采购人核验合格后方可签订合同。</w:t>
      </w:r>
    </w:p>
    <w:p w14:paraId="6DF66099">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29.2 签订合同时间：按成交通知书规定的时间与采购人签订合同。</w:t>
      </w:r>
    </w:p>
    <w:p w14:paraId="0EF98417">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29.3 成交供应商拒绝签订政府采购合同（包括但不限于放弃成交、因不可抗力不能履行合同而放弃签订合同），采购人可以按照评审报告推荐的成交候选人名单排序，确定下一候选人为成交供应商，也可以重新开展政府采购活动。如采购人无正当理由拒签合同的，给成交供应商造成损失的，成交供应商可追究采购人承担相应的法律责任。</w:t>
      </w:r>
    </w:p>
    <w:p w14:paraId="10DAC7CA">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29.4 政府采购合同是政府采购项目验收的依据，成交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1B4384E2">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29.5 采购人或成交供应商不得单方面向合同另一方提出任何谈判文件没有约定的条件或不合理的要求，作为签订合同的条件；也不得协商另行订立背离谈判文件和合同实质性内容的协议。</w:t>
      </w:r>
    </w:p>
    <w:p w14:paraId="61D8E646">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29.6 如签订合同并生效后，供应商无故拒绝或延期，除按照合同条款处理外，将承担相应的法律责任。</w:t>
      </w:r>
    </w:p>
    <w:p w14:paraId="7FBFDC1C">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29.7 政府采购合同履行中，采购人需追加与合同标的相同的货物、工程或者服务的，在不改变合同其他条款的前提下，可以与供应商协商签订补充合同，但所有补充合同的采购金额不得超过原合同采购金额的10%。</w:t>
      </w:r>
    </w:p>
    <w:p w14:paraId="5CD7464E">
      <w:pPr>
        <w:numPr>
          <w:ilvl w:val="0"/>
          <w:numId w:val="0"/>
        </w:numPr>
        <w:spacing w:line="400" w:lineRule="exact"/>
        <w:ind w:firstLine="422" w:firstLineChars="200"/>
        <w:rPr>
          <w:rFonts w:hint="eastAsia" w:ascii="宋体" w:hAnsi="宋体"/>
          <w:b/>
          <w:bCs/>
          <w:color w:val="auto"/>
          <w:szCs w:val="21"/>
          <w:highlight w:val="none"/>
        </w:rPr>
      </w:pPr>
      <w:r>
        <w:rPr>
          <w:rFonts w:hint="eastAsia" w:ascii="宋体" w:hAnsi="宋体"/>
          <w:b/>
          <w:bCs/>
          <w:color w:val="auto"/>
          <w:szCs w:val="21"/>
          <w:highlight w:val="none"/>
        </w:rPr>
        <w:t>30.政府采购合同公告</w:t>
      </w:r>
    </w:p>
    <w:p w14:paraId="2C756E38">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0555F437">
      <w:pPr>
        <w:numPr>
          <w:ilvl w:val="0"/>
          <w:numId w:val="0"/>
        </w:numPr>
        <w:spacing w:line="400" w:lineRule="exact"/>
        <w:ind w:firstLine="422" w:firstLineChars="200"/>
        <w:rPr>
          <w:rFonts w:hint="eastAsia" w:ascii="宋体" w:hAnsi="宋体"/>
          <w:b/>
          <w:bCs/>
          <w:color w:val="auto"/>
          <w:szCs w:val="21"/>
          <w:highlight w:val="none"/>
        </w:rPr>
      </w:pPr>
      <w:r>
        <w:rPr>
          <w:rFonts w:hint="eastAsia" w:ascii="宋体" w:hAnsi="宋体"/>
          <w:b/>
          <w:bCs/>
          <w:color w:val="auto"/>
          <w:szCs w:val="21"/>
          <w:highlight w:val="none"/>
        </w:rPr>
        <w:t>31. 询问、质疑和投诉</w:t>
      </w:r>
    </w:p>
    <w:p w14:paraId="15BCF000">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31.1 供应商对政府采购活动事项有疑问的，可以向采购人、采购代理机构提出询问，采购人或者采购代理机构应当在3个工作日内对供应商依法提出的询问作出答复，但答复的内容不得涉及商业秘密。</w:t>
      </w:r>
    </w:p>
    <w:p w14:paraId="3A5D6015">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31.2 供应商认为谈判文件、采购过程或者成交结果使自己的合法权益受到损害的，应当在知道或者应知其权益受到损害之日起7个工作日内，以书面形式向采购人、采购代理机构提出质疑，接收质疑函的方式、联系部门、联系电话和通讯地址等信息详见</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供应商须知前附表</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。具体质疑起算时间如下：</w:t>
      </w:r>
    </w:p>
    <w:p w14:paraId="694362AB">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（1）对可以质疑的谈判文件提出质疑的，为获取谈判文件之日；</w:t>
      </w:r>
    </w:p>
    <w:p w14:paraId="380775A9">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（2）对采购过程提出质疑的，为各采购程序环节结束之日；</w:t>
      </w:r>
    </w:p>
    <w:p w14:paraId="225A389E">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（3）对成交结果提出质疑的，为成交结果公告期限届满之日。</w:t>
      </w:r>
    </w:p>
    <w:p w14:paraId="64481F4C">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31.3 供应商提出的询问或者质疑超出采购人对采购代理机构委托授权范围的，采购代理机构应当告知供应商向采购人提出。政府采购评审专家应当配合采购人或者采购代理机构答复供应商的询问和质疑。</w:t>
      </w:r>
    </w:p>
    <w:p w14:paraId="1222AEDF">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31.4 供应商提出质疑应当提交质疑函和必要的证明材料，针对同一采购程序环节的质疑必须在法定质疑期内一次性提出。质疑函应当包括下列内容（质疑函格式后附）：</w:t>
      </w:r>
    </w:p>
    <w:p w14:paraId="0726AF31">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（1）供应商的姓名或者名称、地址、邮编、联系人及联系电话；</w:t>
      </w:r>
    </w:p>
    <w:p w14:paraId="1640C6E6">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（2）质疑项目的名称、编号；</w:t>
      </w:r>
    </w:p>
    <w:p w14:paraId="4689751D">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（3）具体、明确的质疑事项和与质疑事项相关的请求；</w:t>
      </w:r>
    </w:p>
    <w:p w14:paraId="22168EE6">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（4）事实依据；</w:t>
      </w:r>
    </w:p>
    <w:p w14:paraId="40D58FE2">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（5）必要的法律依据；</w:t>
      </w:r>
    </w:p>
    <w:p w14:paraId="1333FAE3">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（6）提出质疑的日期。</w:t>
      </w:r>
    </w:p>
    <w:p w14:paraId="345DEDFC">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供应商为自然人的，应当由本人签字；供应商为法人或者其他组织的，应当由法定代表人、主要负责人，或者其委托代理人签字或者盖章，并加盖公章。</w:t>
      </w:r>
    </w:p>
    <w:p w14:paraId="6E066535">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31.5 采购人、采购代理机构认为供应商质疑不成立，或者成立但未对成交结果构成影响的，继续开展采购活动；认为供应商质疑成立且影响或者可能影响成交结果的，按照下列情况处理：</w:t>
      </w:r>
    </w:p>
    <w:p w14:paraId="6F9ACB37">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（一）对采购文件提出的质疑，依法通过澄清或者修改可以继续开展采购活动的，澄清或者修改采购文件后继续开展采购活动；否则应当修改采购文件后重新开展采购活动。</w:t>
      </w:r>
    </w:p>
    <w:p w14:paraId="1199851E">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（二）对采购过程或者成交结果提出的质疑，合格供应商符合法定数量时，可以从合格的成交候选人中另行确定成交供应商的，应当依法另行确定成交供应商；否则应当重新开展采购活动。</w:t>
      </w:r>
    </w:p>
    <w:p w14:paraId="0C78B32E">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质疑答复导致成交结果改变的，采购人或者采购代理机构应当将有关情况书面报告本级财政部门。</w:t>
      </w:r>
    </w:p>
    <w:p w14:paraId="5F6E0B85">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31.6 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6AE6B426">
      <w:pPr>
        <w:numPr>
          <w:ilvl w:val="0"/>
          <w:numId w:val="0"/>
        </w:numPr>
        <w:spacing w:line="400" w:lineRule="exact"/>
        <w:ind w:firstLine="422" w:firstLineChars="200"/>
        <w:rPr>
          <w:rFonts w:hint="eastAsia" w:ascii="宋体" w:hAnsi="宋体"/>
          <w:b/>
          <w:bCs/>
          <w:color w:val="auto"/>
          <w:szCs w:val="21"/>
          <w:highlight w:val="none"/>
        </w:rPr>
      </w:pPr>
      <w:r>
        <w:rPr>
          <w:rFonts w:hint="eastAsia" w:ascii="宋体" w:hAnsi="宋体"/>
          <w:b/>
          <w:bCs/>
          <w:color w:val="auto"/>
          <w:szCs w:val="21"/>
          <w:highlight w:val="none"/>
        </w:rPr>
        <w:t>32.其他内容</w:t>
      </w:r>
    </w:p>
    <w:p w14:paraId="4107118A">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32.1 代理服务费收取标准详见</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供应商须知前附表</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，供应商为联合体的，可以由联合体中的一方或者多方共同交纳代理服务费：</w:t>
      </w:r>
    </w:p>
    <w:tbl>
      <w:tblPr>
        <w:tblStyle w:val="78"/>
        <w:tblW w:w="89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785"/>
        <w:gridCol w:w="1806"/>
        <w:gridCol w:w="1668"/>
        <w:gridCol w:w="1687"/>
      </w:tblGrid>
      <w:tr w14:paraId="4540BE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6" w:hRule="atLeast"/>
        </w:trPr>
        <w:tc>
          <w:tcPr>
            <w:tcW w:w="3785" w:type="dxa"/>
            <w:vAlign w:val="top"/>
          </w:tcPr>
          <w:p w14:paraId="54FD2300">
            <w:pPr>
              <w:pStyle w:val="77"/>
              <w:spacing w:before="36" w:line="228" w:lineRule="auto"/>
              <w:ind w:left="1701"/>
              <w:rPr>
                <w:color w:val="auto"/>
                <w:highlight w:val="none"/>
              </w:rPr>
            </w:pPr>
            <w:r>
              <w:rPr>
                <w:color w:val="auto"/>
                <w:spacing w:val="-1"/>
                <w:highlight w:val="none"/>
              </w:rPr>
              <w:t>费率</w:t>
            </w:r>
          </w:p>
          <w:p w14:paraId="1C0E4A7A">
            <w:pPr>
              <w:pStyle w:val="77"/>
              <w:spacing w:before="160" w:line="228" w:lineRule="auto"/>
              <w:ind w:left="117"/>
              <w:rPr>
                <w:color w:val="auto"/>
                <w:highlight w:val="none"/>
              </w:rPr>
            </w:pPr>
            <w:r>
              <w:rPr>
                <w:color w:val="auto"/>
                <w:spacing w:val="3"/>
                <w:highlight w:val="none"/>
              </w:rPr>
              <w:t>金额</w:t>
            </w:r>
          </w:p>
        </w:tc>
        <w:tc>
          <w:tcPr>
            <w:tcW w:w="1806" w:type="dxa"/>
            <w:vAlign w:val="top"/>
          </w:tcPr>
          <w:p w14:paraId="59E4708E">
            <w:pPr>
              <w:pStyle w:val="77"/>
              <w:spacing w:before="240" w:line="227" w:lineRule="auto"/>
              <w:ind w:left="651"/>
              <w:rPr>
                <w:color w:val="auto"/>
                <w:highlight w:val="none"/>
              </w:rPr>
            </w:pPr>
            <w:r>
              <w:rPr>
                <w:color w:val="auto"/>
                <w:spacing w:val="5"/>
                <w:highlight w:val="none"/>
              </w:rPr>
              <w:t>货物类</w:t>
            </w:r>
          </w:p>
        </w:tc>
        <w:tc>
          <w:tcPr>
            <w:tcW w:w="1668" w:type="dxa"/>
            <w:vAlign w:val="top"/>
          </w:tcPr>
          <w:p w14:paraId="371A0929">
            <w:pPr>
              <w:pStyle w:val="77"/>
              <w:spacing w:before="240" w:line="228" w:lineRule="auto"/>
              <w:ind w:left="524"/>
              <w:rPr>
                <w:color w:val="auto"/>
                <w:highlight w:val="none"/>
              </w:rPr>
            </w:pPr>
            <w:r>
              <w:rPr>
                <w:color w:val="auto"/>
                <w:spacing w:val="6"/>
                <w:highlight w:val="none"/>
              </w:rPr>
              <w:t>服务类</w:t>
            </w:r>
          </w:p>
        </w:tc>
        <w:tc>
          <w:tcPr>
            <w:tcW w:w="1687" w:type="dxa"/>
            <w:vAlign w:val="top"/>
          </w:tcPr>
          <w:p w14:paraId="1649EEE8">
            <w:pPr>
              <w:pStyle w:val="77"/>
              <w:spacing w:before="240" w:line="228" w:lineRule="auto"/>
              <w:ind w:left="537"/>
              <w:rPr>
                <w:color w:val="auto"/>
                <w:highlight w:val="none"/>
              </w:rPr>
            </w:pPr>
            <w:r>
              <w:rPr>
                <w:color w:val="auto"/>
                <w:spacing w:val="6"/>
                <w:highlight w:val="none"/>
              </w:rPr>
              <w:t>工程类</w:t>
            </w:r>
          </w:p>
        </w:tc>
      </w:tr>
      <w:tr w14:paraId="5C899F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3785" w:type="dxa"/>
            <w:vAlign w:val="top"/>
          </w:tcPr>
          <w:p w14:paraId="5A5CF0E8">
            <w:pPr>
              <w:pStyle w:val="77"/>
              <w:spacing w:before="31" w:line="228" w:lineRule="auto"/>
              <w:ind w:left="131"/>
              <w:rPr>
                <w:color w:val="auto"/>
                <w:highlight w:val="none"/>
              </w:rPr>
            </w:pPr>
            <w:r>
              <w:rPr>
                <w:color w:val="auto"/>
                <w:spacing w:val="2"/>
                <w:highlight w:val="none"/>
              </w:rPr>
              <w:t>100</w:t>
            </w:r>
            <w:r>
              <w:rPr>
                <w:color w:val="auto"/>
                <w:spacing w:val="-34"/>
                <w:highlight w:val="none"/>
              </w:rPr>
              <w:t xml:space="preserve"> </w:t>
            </w:r>
            <w:r>
              <w:rPr>
                <w:color w:val="auto"/>
                <w:spacing w:val="2"/>
                <w:highlight w:val="none"/>
              </w:rPr>
              <w:t>万元以下</w:t>
            </w:r>
          </w:p>
        </w:tc>
        <w:tc>
          <w:tcPr>
            <w:tcW w:w="1806" w:type="dxa"/>
            <w:vAlign w:val="top"/>
          </w:tcPr>
          <w:p w14:paraId="726D7F0C">
            <w:pPr>
              <w:pStyle w:val="77"/>
              <w:spacing w:before="31" w:line="267" w:lineRule="exact"/>
              <w:ind w:left="340"/>
              <w:rPr>
                <w:color w:val="auto"/>
                <w:highlight w:val="none"/>
              </w:rPr>
            </w:pPr>
            <w:r>
              <w:rPr>
                <w:color w:val="auto"/>
                <w:spacing w:val="-2"/>
                <w:position w:val="1"/>
                <w:highlight w:val="none"/>
              </w:rPr>
              <w:t>1.5%</w:t>
            </w:r>
          </w:p>
        </w:tc>
        <w:tc>
          <w:tcPr>
            <w:tcW w:w="1668" w:type="dxa"/>
            <w:vAlign w:val="top"/>
          </w:tcPr>
          <w:p w14:paraId="758A81A6">
            <w:pPr>
              <w:pStyle w:val="77"/>
              <w:spacing w:before="31" w:line="267" w:lineRule="exact"/>
              <w:ind w:left="341"/>
              <w:rPr>
                <w:color w:val="auto"/>
                <w:highlight w:val="none"/>
              </w:rPr>
            </w:pPr>
            <w:r>
              <w:rPr>
                <w:color w:val="auto"/>
                <w:spacing w:val="-2"/>
                <w:position w:val="1"/>
                <w:highlight w:val="none"/>
              </w:rPr>
              <w:t>1.5%</w:t>
            </w:r>
          </w:p>
        </w:tc>
        <w:tc>
          <w:tcPr>
            <w:tcW w:w="1687" w:type="dxa"/>
            <w:vAlign w:val="top"/>
          </w:tcPr>
          <w:p w14:paraId="4E9435F3">
            <w:pPr>
              <w:pStyle w:val="77"/>
              <w:spacing w:before="31" w:line="267" w:lineRule="exact"/>
              <w:ind w:left="341"/>
              <w:rPr>
                <w:color w:val="auto"/>
                <w:highlight w:val="none"/>
              </w:rPr>
            </w:pPr>
            <w:r>
              <w:rPr>
                <w:color w:val="auto"/>
                <w:spacing w:val="-1"/>
                <w:position w:val="1"/>
                <w:highlight w:val="none"/>
              </w:rPr>
              <w:t>1.0%</w:t>
            </w:r>
          </w:p>
        </w:tc>
      </w:tr>
      <w:tr w14:paraId="594816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3785" w:type="dxa"/>
            <w:vAlign w:val="top"/>
          </w:tcPr>
          <w:p w14:paraId="3354E32A">
            <w:pPr>
              <w:pStyle w:val="77"/>
              <w:spacing w:before="33" w:line="228" w:lineRule="auto"/>
              <w:ind w:left="131"/>
              <w:rPr>
                <w:color w:val="auto"/>
                <w:highlight w:val="none"/>
              </w:rPr>
            </w:pPr>
            <w:r>
              <w:rPr>
                <w:color w:val="auto"/>
                <w:spacing w:val="1"/>
                <w:highlight w:val="none"/>
              </w:rPr>
              <w:t>100</w:t>
            </w:r>
            <w:r>
              <w:rPr>
                <w:color w:val="auto"/>
                <w:spacing w:val="-28"/>
                <w:highlight w:val="none"/>
              </w:rPr>
              <w:t xml:space="preserve"> </w:t>
            </w:r>
            <w:r>
              <w:rPr>
                <w:color w:val="auto"/>
                <w:spacing w:val="1"/>
                <w:highlight w:val="none"/>
              </w:rPr>
              <w:t>万～500</w:t>
            </w:r>
            <w:r>
              <w:rPr>
                <w:color w:val="auto"/>
                <w:spacing w:val="-35"/>
                <w:highlight w:val="none"/>
              </w:rPr>
              <w:t xml:space="preserve"> </w:t>
            </w:r>
            <w:r>
              <w:rPr>
                <w:color w:val="auto"/>
                <w:spacing w:val="1"/>
                <w:highlight w:val="none"/>
              </w:rPr>
              <w:t>万元</w:t>
            </w:r>
          </w:p>
        </w:tc>
        <w:tc>
          <w:tcPr>
            <w:tcW w:w="1806" w:type="dxa"/>
            <w:vAlign w:val="top"/>
          </w:tcPr>
          <w:p w14:paraId="51D0E73B">
            <w:pPr>
              <w:pStyle w:val="77"/>
              <w:spacing w:before="33" w:line="267" w:lineRule="exact"/>
              <w:ind w:left="340"/>
              <w:rPr>
                <w:color w:val="auto"/>
                <w:highlight w:val="none"/>
              </w:rPr>
            </w:pPr>
            <w:r>
              <w:rPr>
                <w:color w:val="auto"/>
                <w:spacing w:val="-2"/>
                <w:position w:val="1"/>
                <w:highlight w:val="none"/>
              </w:rPr>
              <w:t>1.1%</w:t>
            </w:r>
          </w:p>
        </w:tc>
        <w:tc>
          <w:tcPr>
            <w:tcW w:w="1668" w:type="dxa"/>
            <w:vAlign w:val="top"/>
          </w:tcPr>
          <w:p w14:paraId="1AA1402E">
            <w:pPr>
              <w:pStyle w:val="77"/>
              <w:spacing w:before="33" w:line="267" w:lineRule="exact"/>
              <w:ind w:left="327"/>
              <w:rPr>
                <w:color w:val="auto"/>
                <w:highlight w:val="none"/>
              </w:rPr>
            </w:pPr>
            <w:r>
              <w:rPr>
                <w:color w:val="auto"/>
                <w:spacing w:val="2"/>
                <w:position w:val="1"/>
                <w:highlight w:val="none"/>
              </w:rPr>
              <w:t>0.8%</w:t>
            </w:r>
          </w:p>
        </w:tc>
        <w:tc>
          <w:tcPr>
            <w:tcW w:w="1687" w:type="dxa"/>
            <w:vAlign w:val="top"/>
          </w:tcPr>
          <w:p w14:paraId="714A4F0A">
            <w:pPr>
              <w:pStyle w:val="77"/>
              <w:spacing w:before="33" w:line="267" w:lineRule="exact"/>
              <w:ind w:left="327"/>
              <w:rPr>
                <w:color w:val="auto"/>
                <w:highlight w:val="none"/>
              </w:rPr>
            </w:pPr>
            <w:r>
              <w:rPr>
                <w:color w:val="auto"/>
                <w:spacing w:val="2"/>
                <w:position w:val="1"/>
                <w:highlight w:val="none"/>
              </w:rPr>
              <w:t>0.7%</w:t>
            </w:r>
          </w:p>
        </w:tc>
      </w:tr>
      <w:tr w14:paraId="36EB0A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3785" w:type="dxa"/>
            <w:vAlign w:val="top"/>
          </w:tcPr>
          <w:p w14:paraId="29900C0C">
            <w:pPr>
              <w:pStyle w:val="77"/>
              <w:spacing w:before="33" w:line="228" w:lineRule="auto"/>
              <w:ind w:left="120"/>
              <w:rPr>
                <w:color w:val="auto"/>
                <w:highlight w:val="none"/>
              </w:rPr>
            </w:pPr>
            <w:r>
              <w:rPr>
                <w:color w:val="auto"/>
                <w:spacing w:val="3"/>
                <w:highlight w:val="none"/>
              </w:rPr>
              <w:t>500</w:t>
            </w:r>
            <w:r>
              <w:rPr>
                <w:color w:val="auto"/>
                <w:spacing w:val="-34"/>
                <w:highlight w:val="none"/>
              </w:rPr>
              <w:t xml:space="preserve"> </w:t>
            </w:r>
            <w:r>
              <w:rPr>
                <w:color w:val="auto"/>
                <w:spacing w:val="3"/>
                <w:highlight w:val="none"/>
              </w:rPr>
              <w:t>万～1000</w:t>
            </w:r>
            <w:r>
              <w:rPr>
                <w:color w:val="auto"/>
                <w:spacing w:val="-35"/>
                <w:highlight w:val="none"/>
              </w:rPr>
              <w:t xml:space="preserve"> </w:t>
            </w:r>
            <w:r>
              <w:rPr>
                <w:color w:val="auto"/>
                <w:spacing w:val="3"/>
                <w:highlight w:val="none"/>
              </w:rPr>
              <w:t>万元</w:t>
            </w:r>
          </w:p>
        </w:tc>
        <w:tc>
          <w:tcPr>
            <w:tcW w:w="1806" w:type="dxa"/>
            <w:vAlign w:val="top"/>
          </w:tcPr>
          <w:p w14:paraId="71C92B6F">
            <w:pPr>
              <w:pStyle w:val="77"/>
              <w:spacing w:before="32" w:line="268" w:lineRule="exact"/>
              <w:ind w:left="326"/>
              <w:rPr>
                <w:color w:val="auto"/>
                <w:highlight w:val="none"/>
              </w:rPr>
            </w:pPr>
            <w:r>
              <w:rPr>
                <w:color w:val="auto"/>
                <w:spacing w:val="2"/>
                <w:position w:val="1"/>
                <w:highlight w:val="none"/>
              </w:rPr>
              <w:t>0.8%</w:t>
            </w:r>
          </w:p>
        </w:tc>
        <w:tc>
          <w:tcPr>
            <w:tcW w:w="1668" w:type="dxa"/>
            <w:vAlign w:val="top"/>
          </w:tcPr>
          <w:p w14:paraId="24641E17">
            <w:pPr>
              <w:pStyle w:val="77"/>
              <w:spacing w:before="32" w:line="268" w:lineRule="exact"/>
              <w:ind w:left="327"/>
              <w:rPr>
                <w:color w:val="auto"/>
                <w:highlight w:val="none"/>
              </w:rPr>
            </w:pPr>
            <w:r>
              <w:rPr>
                <w:color w:val="auto"/>
                <w:spacing w:val="2"/>
                <w:position w:val="1"/>
                <w:highlight w:val="none"/>
              </w:rPr>
              <w:t>0.45%</w:t>
            </w:r>
          </w:p>
        </w:tc>
        <w:tc>
          <w:tcPr>
            <w:tcW w:w="1687" w:type="dxa"/>
            <w:vAlign w:val="top"/>
          </w:tcPr>
          <w:p w14:paraId="740C19A7">
            <w:pPr>
              <w:pStyle w:val="77"/>
              <w:spacing w:before="32" w:line="268" w:lineRule="exact"/>
              <w:ind w:left="327"/>
              <w:rPr>
                <w:color w:val="auto"/>
                <w:highlight w:val="none"/>
              </w:rPr>
            </w:pPr>
            <w:r>
              <w:rPr>
                <w:color w:val="auto"/>
                <w:spacing w:val="2"/>
                <w:position w:val="1"/>
                <w:highlight w:val="none"/>
              </w:rPr>
              <w:t>0.55%</w:t>
            </w:r>
          </w:p>
        </w:tc>
      </w:tr>
      <w:tr w14:paraId="6E79C4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3785" w:type="dxa"/>
            <w:vAlign w:val="top"/>
          </w:tcPr>
          <w:p w14:paraId="3AD269B9">
            <w:pPr>
              <w:pStyle w:val="77"/>
              <w:spacing w:before="32" w:line="228" w:lineRule="auto"/>
              <w:ind w:left="131"/>
              <w:rPr>
                <w:color w:val="auto"/>
                <w:highlight w:val="none"/>
              </w:rPr>
            </w:pPr>
            <w:r>
              <w:rPr>
                <w:color w:val="auto"/>
                <w:spacing w:val="2"/>
                <w:highlight w:val="none"/>
              </w:rPr>
              <w:t>1000</w:t>
            </w:r>
            <w:r>
              <w:rPr>
                <w:color w:val="auto"/>
                <w:spacing w:val="-33"/>
                <w:highlight w:val="none"/>
              </w:rPr>
              <w:t xml:space="preserve"> </w:t>
            </w:r>
            <w:r>
              <w:rPr>
                <w:color w:val="auto"/>
                <w:spacing w:val="2"/>
                <w:highlight w:val="none"/>
              </w:rPr>
              <w:t>万～5000</w:t>
            </w:r>
            <w:r>
              <w:rPr>
                <w:color w:val="auto"/>
                <w:spacing w:val="-33"/>
                <w:highlight w:val="none"/>
              </w:rPr>
              <w:t xml:space="preserve"> </w:t>
            </w:r>
            <w:r>
              <w:rPr>
                <w:color w:val="auto"/>
                <w:spacing w:val="2"/>
                <w:highlight w:val="none"/>
              </w:rPr>
              <w:t>万元</w:t>
            </w:r>
          </w:p>
        </w:tc>
        <w:tc>
          <w:tcPr>
            <w:tcW w:w="1806" w:type="dxa"/>
            <w:vAlign w:val="top"/>
          </w:tcPr>
          <w:p w14:paraId="27F8126F">
            <w:pPr>
              <w:pStyle w:val="77"/>
              <w:spacing w:before="32" w:line="268" w:lineRule="exact"/>
              <w:ind w:left="326"/>
              <w:rPr>
                <w:color w:val="auto"/>
                <w:highlight w:val="none"/>
              </w:rPr>
            </w:pPr>
            <w:r>
              <w:rPr>
                <w:color w:val="auto"/>
                <w:spacing w:val="2"/>
                <w:position w:val="1"/>
                <w:highlight w:val="none"/>
              </w:rPr>
              <w:t>0.5%</w:t>
            </w:r>
          </w:p>
        </w:tc>
        <w:tc>
          <w:tcPr>
            <w:tcW w:w="1668" w:type="dxa"/>
            <w:vAlign w:val="top"/>
          </w:tcPr>
          <w:p w14:paraId="3E0305D9">
            <w:pPr>
              <w:pStyle w:val="77"/>
              <w:spacing w:before="32" w:line="268" w:lineRule="exact"/>
              <w:ind w:left="327"/>
              <w:rPr>
                <w:color w:val="auto"/>
                <w:highlight w:val="none"/>
              </w:rPr>
            </w:pPr>
            <w:r>
              <w:rPr>
                <w:color w:val="auto"/>
                <w:spacing w:val="2"/>
                <w:position w:val="1"/>
                <w:highlight w:val="none"/>
              </w:rPr>
              <w:t>0.25%</w:t>
            </w:r>
          </w:p>
        </w:tc>
        <w:tc>
          <w:tcPr>
            <w:tcW w:w="1687" w:type="dxa"/>
            <w:vAlign w:val="top"/>
          </w:tcPr>
          <w:p w14:paraId="4ABA6009">
            <w:pPr>
              <w:pStyle w:val="77"/>
              <w:spacing w:before="32" w:line="268" w:lineRule="exact"/>
              <w:ind w:left="327"/>
              <w:rPr>
                <w:color w:val="auto"/>
                <w:highlight w:val="none"/>
              </w:rPr>
            </w:pPr>
            <w:r>
              <w:rPr>
                <w:color w:val="auto"/>
                <w:spacing w:val="2"/>
                <w:position w:val="1"/>
                <w:highlight w:val="none"/>
              </w:rPr>
              <w:t>0.35%</w:t>
            </w:r>
          </w:p>
        </w:tc>
      </w:tr>
      <w:tr w14:paraId="54C533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3785" w:type="dxa"/>
            <w:vAlign w:val="top"/>
          </w:tcPr>
          <w:p w14:paraId="22A9FFE0">
            <w:pPr>
              <w:pStyle w:val="77"/>
              <w:spacing w:before="34" w:line="228" w:lineRule="auto"/>
              <w:ind w:left="120"/>
              <w:rPr>
                <w:color w:val="auto"/>
                <w:highlight w:val="none"/>
              </w:rPr>
            </w:pPr>
            <w:r>
              <w:rPr>
                <w:color w:val="auto"/>
                <w:spacing w:val="3"/>
                <w:highlight w:val="none"/>
              </w:rPr>
              <w:t>5000</w:t>
            </w:r>
            <w:r>
              <w:rPr>
                <w:color w:val="auto"/>
                <w:spacing w:val="-29"/>
                <w:highlight w:val="none"/>
              </w:rPr>
              <w:t xml:space="preserve"> </w:t>
            </w:r>
            <w:r>
              <w:rPr>
                <w:color w:val="auto"/>
                <w:spacing w:val="3"/>
                <w:highlight w:val="none"/>
              </w:rPr>
              <w:t>万元～1</w:t>
            </w:r>
            <w:r>
              <w:rPr>
                <w:color w:val="auto"/>
                <w:spacing w:val="-37"/>
                <w:highlight w:val="none"/>
              </w:rPr>
              <w:t xml:space="preserve"> </w:t>
            </w:r>
            <w:r>
              <w:rPr>
                <w:color w:val="auto"/>
                <w:spacing w:val="3"/>
                <w:highlight w:val="none"/>
              </w:rPr>
              <w:t>亿元</w:t>
            </w:r>
          </w:p>
        </w:tc>
        <w:tc>
          <w:tcPr>
            <w:tcW w:w="1806" w:type="dxa"/>
            <w:vAlign w:val="top"/>
          </w:tcPr>
          <w:p w14:paraId="11DFF8D5">
            <w:pPr>
              <w:pStyle w:val="77"/>
              <w:spacing w:before="34" w:line="268" w:lineRule="exact"/>
              <w:ind w:left="326"/>
              <w:rPr>
                <w:color w:val="auto"/>
                <w:highlight w:val="none"/>
              </w:rPr>
            </w:pPr>
            <w:r>
              <w:rPr>
                <w:color w:val="auto"/>
                <w:spacing w:val="2"/>
                <w:position w:val="1"/>
                <w:highlight w:val="none"/>
              </w:rPr>
              <w:t>0.25%</w:t>
            </w:r>
          </w:p>
        </w:tc>
        <w:tc>
          <w:tcPr>
            <w:tcW w:w="1668" w:type="dxa"/>
            <w:vAlign w:val="top"/>
          </w:tcPr>
          <w:p w14:paraId="47D49AFB">
            <w:pPr>
              <w:pStyle w:val="77"/>
              <w:spacing w:before="34" w:line="268" w:lineRule="exact"/>
              <w:ind w:left="327"/>
              <w:rPr>
                <w:color w:val="auto"/>
                <w:highlight w:val="none"/>
              </w:rPr>
            </w:pPr>
            <w:r>
              <w:rPr>
                <w:color w:val="auto"/>
                <w:spacing w:val="2"/>
                <w:position w:val="1"/>
                <w:highlight w:val="none"/>
              </w:rPr>
              <w:t>0.1%</w:t>
            </w:r>
          </w:p>
        </w:tc>
        <w:tc>
          <w:tcPr>
            <w:tcW w:w="1687" w:type="dxa"/>
            <w:vAlign w:val="top"/>
          </w:tcPr>
          <w:p w14:paraId="596AFFDE">
            <w:pPr>
              <w:pStyle w:val="77"/>
              <w:spacing w:before="34" w:line="268" w:lineRule="exact"/>
              <w:ind w:left="327"/>
              <w:rPr>
                <w:color w:val="auto"/>
                <w:highlight w:val="none"/>
              </w:rPr>
            </w:pPr>
            <w:r>
              <w:rPr>
                <w:color w:val="auto"/>
                <w:spacing w:val="2"/>
                <w:position w:val="1"/>
                <w:highlight w:val="none"/>
              </w:rPr>
              <w:t>0.2%</w:t>
            </w:r>
          </w:p>
        </w:tc>
      </w:tr>
      <w:tr w14:paraId="38965C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3785" w:type="dxa"/>
            <w:vAlign w:val="top"/>
          </w:tcPr>
          <w:p w14:paraId="0186ED53">
            <w:pPr>
              <w:pStyle w:val="77"/>
              <w:spacing w:before="34" w:line="228" w:lineRule="auto"/>
              <w:ind w:left="131"/>
              <w:rPr>
                <w:color w:val="auto"/>
                <w:highlight w:val="none"/>
              </w:rPr>
            </w:pPr>
            <w:r>
              <w:rPr>
                <w:color w:val="auto"/>
                <w:highlight w:val="none"/>
              </w:rPr>
              <w:t>1</w:t>
            </w:r>
            <w:r>
              <w:rPr>
                <w:color w:val="auto"/>
                <w:spacing w:val="-36"/>
                <w:highlight w:val="none"/>
              </w:rPr>
              <w:t xml:space="preserve"> </w:t>
            </w:r>
            <w:r>
              <w:rPr>
                <w:color w:val="auto"/>
                <w:highlight w:val="none"/>
              </w:rPr>
              <w:t>亿～5</w:t>
            </w:r>
            <w:r>
              <w:rPr>
                <w:color w:val="auto"/>
                <w:spacing w:val="-37"/>
                <w:highlight w:val="none"/>
              </w:rPr>
              <w:t xml:space="preserve"> </w:t>
            </w:r>
            <w:r>
              <w:rPr>
                <w:color w:val="auto"/>
                <w:highlight w:val="none"/>
              </w:rPr>
              <w:t>亿元</w:t>
            </w:r>
          </w:p>
        </w:tc>
        <w:tc>
          <w:tcPr>
            <w:tcW w:w="1806" w:type="dxa"/>
            <w:vAlign w:val="top"/>
          </w:tcPr>
          <w:p w14:paraId="18282AC9">
            <w:pPr>
              <w:pStyle w:val="77"/>
              <w:spacing w:before="34" w:line="267" w:lineRule="exact"/>
              <w:ind w:left="326"/>
              <w:rPr>
                <w:color w:val="auto"/>
                <w:highlight w:val="none"/>
              </w:rPr>
            </w:pPr>
            <w:r>
              <w:rPr>
                <w:color w:val="auto"/>
                <w:spacing w:val="2"/>
                <w:position w:val="1"/>
                <w:highlight w:val="none"/>
              </w:rPr>
              <w:t>0.05%</w:t>
            </w:r>
          </w:p>
        </w:tc>
        <w:tc>
          <w:tcPr>
            <w:tcW w:w="1668" w:type="dxa"/>
            <w:vAlign w:val="top"/>
          </w:tcPr>
          <w:p w14:paraId="77CBB419">
            <w:pPr>
              <w:pStyle w:val="77"/>
              <w:spacing w:before="34" w:line="267" w:lineRule="exact"/>
              <w:ind w:left="327"/>
              <w:rPr>
                <w:color w:val="auto"/>
                <w:highlight w:val="none"/>
              </w:rPr>
            </w:pPr>
            <w:r>
              <w:rPr>
                <w:color w:val="auto"/>
                <w:spacing w:val="2"/>
                <w:position w:val="1"/>
                <w:highlight w:val="none"/>
              </w:rPr>
              <w:t>0.05%</w:t>
            </w:r>
          </w:p>
        </w:tc>
        <w:tc>
          <w:tcPr>
            <w:tcW w:w="1687" w:type="dxa"/>
            <w:vAlign w:val="top"/>
          </w:tcPr>
          <w:p w14:paraId="099B345B">
            <w:pPr>
              <w:pStyle w:val="77"/>
              <w:spacing w:before="34" w:line="267" w:lineRule="exact"/>
              <w:ind w:left="327"/>
              <w:rPr>
                <w:color w:val="auto"/>
                <w:highlight w:val="none"/>
              </w:rPr>
            </w:pPr>
            <w:r>
              <w:rPr>
                <w:color w:val="auto"/>
                <w:spacing w:val="2"/>
                <w:position w:val="1"/>
                <w:highlight w:val="none"/>
              </w:rPr>
              <w:t>0.05%</w:t>
            </w:r>
          </w:p>
        </w:tc>
      </w:tr>
      <w:tr w14:paraId="05A026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3785" w:type="dxa"/>
            <w:vAlign w:val="top"/>
          </w:tcPr>
          <w:p w14:paraId="59A481A5">
            <w:pPr>
              <w:pStyle w:val="77"/>
              <w:spacing w:before="36" w:line="228" w:lineRule="auto"/>
              <w:ind w:left="120"/>
              <w:rPr>
                <w:color w:val="auto"/>
                <w:highlight w:val="none"/>
              </w:rPr>
            </w:pPr>
            <w:r>
              <w:rPr>
                <w:color w:val="auto"/>
                <w:spacing w:val="3"/>
                <w:highlight w:val="none"/>
              </w:rPr>
              <w:t>5</w:t>
            </w:r>
            <w:r>
              <w:rPr>
                <w:color w:val="auto"/>
                <w:spacing w:val="-40"/>
                <w:highlight w:val="none"/>
              </w:rPr>
              <w:t xml:space="preserve"> </w:t>
            </w:r>
            <w:r>
              <w:rPr>
                <w:color w:val="auto"/>
                <w:spacing w:val="3"/>
                <w:highlight w:val="none"/>
              </w:rPr>
              <w:t>亿～10</w:t>
            </w:r>
            <w:r>
              <w:rPr>
                <w:color w:val="auto"/>
                <w:spacing w:val="-37"/>
                <w:highlight w:val="none"/>
              </w:rPr>
              <w:t xml:space="preserve"> </w:t>
            </w:r>
            <w:r>
              <w:rPr>
                <w:color w:val="auto"/>
                <w:spacing w:val="3"/>
                <w:highlight w:val="none"/>
              </w:rPr>
              <w:t>亿元</w:t>
            </w:r>
          </w:p>
        </w:tc>
        <w:tc>
          <w:tcPr>
            <w:tcW w:w="1806" w:type="dxa"/>
            <w:vAlign w:val="top"/>
          </w:tcPr>
          <w:p w14:paraId="273724DD">
            <w:pPr>
              <w:pStyle w:val="77"/>
              <w:spacing w:before="36" w:line="267" w:lineRule="exact"/>
              <w:ind w:left="220"/>
              <w:rPr>
                <w:color w:val="auto"/>
                <w:highlight w:val="none"/>
              </w:rPr>
            </w:pPr>
            <w:r>
              <w:rPr>
                <w:color w:val="auto"/>
                <w:spacing w:val="3"/>
                <w:position w:val="1"/>
                <w:highlight w:val="none"/>
              </w:rPr>
              <w:t>0.035%</w:t>
            </w:r>
          </w:p>
        </w:tc>
        <w:tc>
          <w:tcPr>
            <w:tcW w:w="1668" w:type="dxa"/>
            <w:vAlign w:val="top"/>
          </w:tcPr>
          <w:p w14:paraId="5A846C39">
            <w:pPr>
              <w:pStyle w:val="77"/>
              <w:spacing w:before="36" w:line="267" w:lineRule="exact"/>
              <w:ind w:left="327"/>
              <w:rPr>
                <w:color w:val="auto"/>
                <w:highlight w:val="none"/>
              </w:rPr>
            </w:pPr>
            <w:r>
              <w:rPr>
                <w:color w:val="auto"/>
                <w:spacing w:val="3"/>
                <w:position w:val="1"/>
                <w:highlight w:val="none"/>
              </w:rPr>
              <w:t>0.035%</w:t>
            </w:r>
          </w:p>
        </w:tc>
        <w:tc>
          <w:tcPr>
            <w:tcW w:w="1687" w:type="dxa"/>
            <w:vAlign w:val="top"/>
          </w:tcPr>
          <w:p w14:paraId="4F430532">
            <w:pPr>
              <w:pStyle w:val="77"/>
              <w:spacing w:before="36" w:line="267" w:lineRule="exact"/>
              <w:ind w:left="221"/>
              <w:rPr>
                <w:color w:val="auto"/>
                <w:highlight w:val="none"/>
              </w:rPr>
            </w:pPr>
            <w:r>
              <w:rPr>
                <w:color w:val="auto"/>
                <w:spacing w:val="3"/>
                <w:position w:val="1"/>
                <w:highlight w:val="none"/>
              </w:rPr>
              <w:t>0.035%</w:t>
            </w:r>
          </w:p>
        </w:tc>
      </w:tr>
      <w:tr w14:paraId="31371E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3785" w:type="dxa"/>
            <w:vAlign w:val="top"/>
          </w:tcPr>
          <w:p w14:paraId="5343CFC8">
            <w:pPr>
              <w:pStyle w:val="77"/>
              <w:spacing w:before="36" w:line="228" w:lineRule="auto"/>
              <w:ind w:left="131"/>
              <w:rPr>
                <w:color w:val="auto"/>
                <w:highlight w:val="none"/>
              </w:rPr>
            </w:pPr>
            <w:r>
              <w:rPr>
                <w:color w:val="auto"/>
                <w:spacing w:val="2"/>
                <w:highlight w:val="none"/>
              </w:rPr>
              <w:t>10</w:t>
            </w:r>
            <w:r>
              <w:rPr>
                <w:color w:val="auto"/>
                <w:spacing w:val="-40"/>
                <w:highlight w:val="none"/>
              </w:rPr>
              <w:t xml:space="preserve"> </w:t>
            </w:r>
            <w:r>
              <w:rPr>
                <w:color w:val="auto"/>
                <w:spacing w:val="2"/>
                <w:highlight w:val="none"/>
              </w:rPr>
              <w:t>亿～50</w:t>
            </w:r>
            <w:r>
              <w:rPr>
                <w:color w:val="auto"/>
                <w:spacing w:val="-38"/>
                <w:highlight w:val="none"/>
              </w:rPr>
              <w:t xml:space="preserve"> </w:t>
            </w:r>
            <w:r>
              <w:rPr>
                <w:color w:val="auto"/>
                <w:spacing w:val="2"/>
                <w:highlight w:val="none"/>
              </w:rPr>
              <w:t>亿元</w:t>
            </w:r>
          </w:p>
        </w:tc>
        <w:tc>
          <w:tcPr>
            <w:tcW w:w="1806" w:type="dxa"/>
            <w:vAlign w:val="top"/>
          </w:tcPr>
          <w:p w14:paraId="4DC2F2DA">
            <w:pPr>
              <w:pStyle w:val="77"/>
              <w:spacing w:before="35" w:line="268" w:lineRule="exact"/>
              <w:ind w:left="220"/>
              <w:rPr>
                <w:color w:val="auto"/>
                <w:highlight w:val="none"/>
              </w:rPr>
            </w:pPr>
            <w:r>
              <w:rPr>
                <w:color w:val="auto"/>
                <w:spacing w:val="3"/>
                <w:position w:val="1"/>
                <w:highlight w:val="none"/>
              </w:rPr>
              <w:t>0.008%</w:t>
            </w:r>
          </w:p>
        </w:tc>
        <w:tc>
          <w:tcPr>
            <w:tcW w:w="1668" w:type="dxa"/>
            <w:vAlign w:val="top"/>
          </w:tcPr>
          <w:p w14:paraId="12350733">
            <w:pPr>
              <w:pStyle w:val="77"/>
              <w:spacing w:before="35" w:line="268" w:lineRule="exact"/>
              <w:ind w:left="327"/>
              <w:rPr>
                <w:color w:val="auto"/>
                <w:highlight w:val="none"/>
              </w:rPr>
            </w:pPr>
            <w:r>
              <w:rPr>
                <w:color w:val="auto"/>
                <w:spacing w:val="3"/>
                <w:position w:val="1"/>
                <w:highlight w:val="none"/>
              </w:rPr>
              <w:t>0.008%</w:t>
            </w:r>
          </w:p>
        </w:tc>
        <w:tc>
          <w:tcPr>
            <w:tcW w:w="1687" w:type="dxa"/>
            <w:vAlign w:val="top"/>
          </w:tcPr>
          <w:p w14:paraId="5915EBEB">
            <w:pPr>
              <w:pStyle w:val="77"/>
              <w:spacing w:before="35" w:line="268" w:lineRule="exact"/>
              <w:ind w:left="221"/>
              <w:rPr>
                <w:color w:val="auto"/>
                <w:highlight w:val="none"/>
              </w:rPr>
            </w:pPr>
            <w:r>
              <w:rPr>
                <w:color w:val="auto"/>
                <w:spacing w:val="3"/>
                <w:position w:val="1"/>
                <w:highlight w:val="none"/>
              </w:rPr>
              <w:t>0.008%</w:t>
            </w:r>
          </w:p>
        </w:tc>
      </w:tr>
      <w:tr w14:paraId="6D6C56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3785" w:type="dxa"/>
            <w:vAlign w:val="top"/>
          </w:tcPr>
          <w:p w14:paraId="3020FBAE">
            <w:pPr>
              <w:pStyle w:val="77"/>
              <w:spacing w:before="35" w:line="228" w:lineRule="auto"/>
              <w:ind w:left="120"/>
              <w:rPr>
                <w:color w:val="auto"/>
                <w:highlight w:val="none"/>
              </w:rPr>
            </w:pPr>
            <w:r>
              <w:rPr>
                <w:color w:val="auto"/>
                <w:spacing w:val="3"/>
                <w:highlight w:val="none"/>
              </w:rPr>
              <w:t>50</w:t>
            </w:r>
            <w:r>
              <w:rPr>
                <w:color w:val="auto"/>
                <w:spacing w:val="-35"/>
                <w:highlight w:val="none"/>
              </w:rPr>
              <w:t xml:space="preserve"> </w:t>
            </w:r>
            <w:r>
              <w:rPr>
                <w:color w:val="auto"/>
                <w:spacing w:val="3"/>
                <w:highlight w:val="none"/>
              </w:rPr>
              <w:t>亿～100</w:t>
            </w:r>
            <w:r>
              <w:rPr>
                <w:color w:val="auto"/>
                <w:spacing w:val="-39"/>
                <w:highlight w:val="none"/>
              </w:rPr>
              <w:t xml:space="preserve"> </w:t>
            </w:r>
            <w:r>
              <w:rPr>
                <w:color w:val="auto"/>
                <w:spacing w:val="3"/>
                <w:highlight w:val="none"/>
              </w:rPr>
              <w:t>亿元</w:t>
            </w:r>
          </w:p>
        </w:tc>
        <w:tc>
          <w:tcPr>
            <w:tcW w:w="1806" w:type="dxa"/>
            <w:vAlign w:val="top"/>
          </w:tcPr>
          <w:p w14:paraId="0C667901">
            <w:pPr>
              <w:pStyle w:val="77"/>
              <w:spacing w:before="35" w:line="267" w:lineRule="exact"/>
              <w:ind w:left="220"/>
              <w:rPr>
                <w:color w:val="auto"/>
                <w:highlight w:val="none"/>
              </w:rPr>
            </w:pPr>
            <w:r>
              <w:rPr>
                <w:color w:val="auto"/>
                <w:spacing w:val="3"/>
                <w:position w:val="1"/>
                <w:highlight w:val="none"/>
              </w:rPr>
              <w:t>0.006%</w:t>
            </w:r>
          </w:p>
        </w:tc>
        <w:tc>
          <w:tcPr>
            <w:tcW w:w="1668" w:type="dxa"/>
            <w:vAlign w:val="top"/>
          </w:tcPr>
          <w:p w14:paraId="25607A48">
            <w:pPr>
              <w:pStyle w:val="77"/>
              <w:spacing w:before="35" w:line="267" w:lineRule="exact"/>
              <w:ind w:left="327"/>
              <w:rPr>
                <w:color w:val="auto"/>
                <w:highlight w:val="none"/>
              </w:rPr>
            </w:pPr>
            <w:r>
              <w:rPr>
                <w:color w:val="auto"/>
                <w:spacing w:val="3"/>
                <w:position w:val="1"/>
                <w:highlight w:val="none"/>
              </w:rPr>
              <w:t>0.006%</w:t>
            </w:r>
          </w:p>
        </w:tc>
        <w:tc>
          <w:tcPr>
            <w:tcW w:w="1687" w:type="dxa"/>
            <w:vAlign w:val="top"/>
          </w:tcPr>
          <w:p w14:paraId="4E0AE8AF">
            <w:pPr>
              <w:pStyle w:val="77"/>
              <w:spacing w:before="35" w:line="267" w:lineRule="exact"/>
              <w:ind w:left="221"/>
              <w:rPr>
                <w:color w:val="auto"/>
                <w:highlight w:val="none"/>
              </w:rPr>
            </w:pPr>
            <w:r>
              <w:rPr>
                <w:color w:val="auto"/>
                <w:spacing w:val="3"/>
                <w:position w:val="1"/>
                <w:highlight w:val="none"/>
              </w:rPr>
              <w:t>0.006%</w:t>
            </w:r>
          </w:p>
        </w:tc>
      </w:tr>
      <w:tr w14:paraId="6255EF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3785" w:type="dxa"/>
            <w:vAlign w:val="top"/>
          </w:tcPr>
          <w:p w14:paraId="5242C540">
            <w:pPr>
              <w:pStyle w:val="77"/>
              <w:spacing w:before="36" w:line="228" w:lineRule="auto"/>
              <w:ind w:left="131"/>
              <w:rPr>
                <w:color w:val="auto"/>
                <w:highlight w:val="none"/>
              </w:rPr>
            </w:pPr>
            <w:r>
              <w:rPr>
                <w:color w:val="auto"/>
                <w:spacing w:val="2"/>
                <w:highlight w:val="none"/>
              </w:rPr>
              <w:t>100</w:t>
            </w:r>
            <w:r>
              <w:rPr>
                <w:color w:val="auto"/>
                <w:spacing w:val="-34"/>
                <w:highlight w:val="none"/>
              </w:rPr>
              <w:t xml:space="preserve"> </w:t>
            </w:r>
            <w:r>
              <w:rPr>
                <w:color w:val="auto"/>
                <w:spacing w:val="2"/>
                <w:highlight w:val="none"/>
              </w:rPr>
              <w:t>亿元以上</w:t>
            </w:r>
          </w:p>
        </w:tc>
        <w:tc>
          <w:tcPr>
            <w:tcW w:w="1806" w:type="dxa"/>
            <w:vAlign w:val="top"/>
          </w:tcPr>
          <w:p w14:paraId="5E6D93BE">
            <w:pPr>
              <w:pStyle w:val="77"/>
              <w:spacing w:before="36" w:line="267" w:lineRule="exact"/>
              <w:ind w:left="220"/>
              <w:rPr>
                <w:color w:val="auto"/>
                <w:highlight w:val="none"/>
              </w:rPr>
            </w:pPr>
            <w:r>
              <w:rPr>
                <w:color w:val="auto"/>
                <w:spacing w:val="3"/>
                <w:position w:val="1"/>
                <w:highlight w:val="none"/>
              </w:rPr>
              <w:t>0.004%</w:t>
            </w:r>
          </w:p>
        </w:tc>
        <w:tc>
          <w:tcPr>
            <w:tcW w:w="1668" w:type="dxa"/>
            <w:vAlign w:val="top"/>
          </w:tcPr>
          <w:p w14:paraId="0C94CE37">
            <w:pPr>
              <w:pStyle w:val="77"/>
              <w:spacing w:before="36" w:line="267" w:lineRule="exact"/>
              <w:ind w:left="327"/>
              <w:rPr>
                <w:color w:val="auto"/>
                <w:highlight w:val="none"/>
              </w:rPr>
            </w:pPr>
            <w:r>
              <w:rPr>
                <w:color w:val="auto"/>
                <w:spacing w:val="3"/>
                <w:position w:val="1"/>
                <w:highlight w:val="none"/>
              </w:rPr>
              <w:t>0.004%</w:t>
            </w:r>
          </w:p>
        </w:tc>
        <w:tc>
          <w:tcPr>
            <w:tcW w:w="1687" w:type="dxa"/>
            <w:vAlign w:val="top"/>
          </w:tcPr>
          <w:p w14:paraId="6B2E28DD">
            <w:pPr>
              <w:pStyle w:val="77"/>
              <w:spacing w:before="36" w:line="267" w:lineRule="exact"/>
              <w:ind w:left="221"/>
              <w:rPr>
                <w:color w:val="auto"/>
                <w:highlight w:val="none"/>
              </w:rPr>
            </w:pPr>
            <w:r>
              <w:rPr>
                <w:color w:val="auto"/>
                <w:spacing w:val="3"/>
                <w:position w:val="1"/>
                <w:highlight w:val="none"/>
              </w:rPr>
              <w:t>0.004%</w:t>
            </w:r>
          </w:p>
        </w:tc>
      </w:tr>
    </w:tbl>
    <w:p w14:paraId="16E7ED85">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注：</w:t>
      </w:r>
    </w:p>
    <w:p w14:paraId="77AE7EFC">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（1）按本表费率计算的收费为采购代理的收费基准价格；</w:t>
      </w:r>
    </w:p>
    <w:p w14:paraId="517DFE45">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（2）采购代理收费按差额定率累进法计算。</w:t>
      </w:r>
    </w:p>
    <w:p w14:paraId="13E71A9F">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例如：某货物采购代理业务成交金额或者暂定价为150万元，计算采购代理收费额如下：</w:t>
      </w:r>
    </w:p>
    <w:p w14:paraId="366227D3">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100万元×l.5%＝1.5万元</w:t>
      </w:r>
    </w:p>
    <w:p w14:paraId="0CAFA4BF">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（150－100）万元×1.1%＝0.55万元</w:t>
      </w:r>
    </w:p>
    <w:p w14:paraId="5BDD7A97">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合计收费＝1.5＋0.55＝2.05（万元）</w:t>
      </w:r>
    </w:p>
    <w:p w14:paraId="7BB84446">
      <w:pPr>
        <w:numPr>
          <w:ilvl w:val="0"/>
          <w:numId w:val="0"/>
        </w:numPr>
        <w:spacing w:line="400" w:lineRule="exact"/>
        <w:ind w:firstLine="422" w:firstLineChars="200"/>
        <w:rPr>
          <w:rFonts w:hint="eastAsia" w:ascii="宋体" w:hAnsi="宋体"/>
          <w:b/>
          <w:bCs/>
          <w:color w:val="auto"/>
          <w:szCs w:val="21"/>
          <w:highlight w:val="none"/>
        </w:rPr>
      </w:pPr>
      <w:r>
        <w:rPr>
          <w:rFonts w:hint="eastAsia" w:ascii="宋体" w:hAnsi="宋体"/>
          <w:b/>
          <w:bCs/>
          <w:color w:val="auto"/>
          <w:szCs w:val="21"/>
          <w:highlight w:val="none"/>
        </w:rPr>
        <w:t>33. 需要补充的其他内容</w:t>
      </w:r>
    </w:p>
    <w:p w14:paraId="0820618F">
      <w:pPr>
        <w:numPr>
          <w:ilvl w:val="0"/>
          <w:numId w:val="0"/>
        </w:numPr>
        <w:spacing w:line="400" w:lineRule="exact"/>
        <w:ind w:firstLine="420" w:firstLineChars="200"/>
        <w:rPr>
          <w:rFonts w:hint="eastAsia" w:ascii="宋体" w:hAnsi="宋体" w:cs="Courier New"/>
          <w:color w:val="auto"/>
          <w:szCs w:val="21"/>
          <w:highlight w:val="none"/>
        </w:rPr>
      </w:pPr>
      <w:r>
        <w:rPr>
          <w:rFonts w:hint="eastAsia" w:ascii="宋体" w:hAnsi="宋体" w:cs="Courier New"/>
          <w:color w:val="auto"/>
          <w:szCs w:val="21"/>
          <w:highlight w:val="none"/>
        </w:rPr>
        <w:t>33.1 本谈判文件解释规则详见</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供应商须知前附表</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w:t>
      </w:r>
    </w:p>
    <w:p w14:paraId="1B49F116">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33.2 其他事项详见</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供应商须知前附表</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w:t>
      </w:r>
    </w:p>
    <w:p w14:paraId="27415ABD">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33.3 本谈判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谈判文件规定的中小企业扶持政策：</w:t>
      </w:r>
    </w:p>
    <w:p w14:paraId="1DCF2495">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（1）在货物采购项目中，货物由中小企业制造，即货物由中小企业生产且使用该中小企业商号或者注册商标，不对其中涉及的工程承建商和服务的承接商作出要求；</w:t>
      </w:r>
    </w:p>
    <w:p w14:paraId="2571AA13">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（2）在工程采购项目中，工程由中小企业承建，即工程施工单位为中小企业，不对其中涉及的货物的制造商和服务的承接商作出要求；</w:t>
      </w:r>
    </w:p>
    <w:p w14:paraId="07CE5790">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7A7ECC6E">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在货物采购项目中，供应商提供的货物既有中小企业制造货物，也有大型企业制造货物的，不享受本谈判文件规定的中小企业扶持政策。以联合体形式参加政府采购活动，联合体各方均为中小企业的，联合体视同中小企业。其中，联合体各方均为小微企业的，联合体视同小微企业。</w:t>
      </w:r>
    </w:p>
    <w:p w14:paraId="726B0FDB">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依据本谈判文件规定享受扶持政策获得政府采购合同的，小微企业不得将合同分包给大中型企业，中型企业不得将合同分包给大型企业。</w:t>
      </w:r>
    </w:p>
    <w:p w14:paraId="341D7B83">
      <w:pPr>
        <w:widowControl/>
        <w:wordWrap w:val="0"/>
        <w:spacing w:line="400" w:lineRule="exact"/>
        <w:ind w:firstLine="420"/>
        <w:jc w:val="left"/>
        <w:rPr>
          <w:rFonts w:hint="eastAsia" w:ascii="宋体" w:hAnsi="宋体" w:cs="Courier New"/>
          <w:color w:val="auto"/>
          <w:szCs w:val="21"/>
          <w:highlight w:val="none"/>
        </w:rPr>
      </w:pPr>
    </w:p>
    <w:p w14:paraId="7B512C84">
      <w:pPr>
        <w:widowControl/>
        <w:wordWrap w:val="0"/>
        <w:spacing w:line="400" w:lineRule="exact"/>
        <w:ind w:firstLine="420"/>
        <w:jc w:val="left"/>
        <w:rPr>
          <w:rFonts w:hint="eastAsia" w:ascii="宋体" w:hAnsi="宋体" w:cs="Courier New"/>
          <w:color w:val="auto"/>
          <w:szCs w:val="21"/>
          <w:highlight w:val="none"/>
        </w:rPr>
      </w:pPr>
    </w:p>
    <w:p w14:paraId="2CA5CCED">
      <w:pPr>
        <w:widowControl/>
        <w:wordWrap w:val="0"/>
        <w:spacing w:line="400" w:lineRule="exact"/>
        <w:ind w:firstLine="420"/>
        <w:jc w:val="left"/>
        <w:rPr>
          <w:rFonts w:hint="eastAsia" w:ascii="宋体" w:hAnsi="宋体" w:cs="Courier New"/>
          <w:color w:val="auto"/>
          <w:szCs w:val="21"/>
          <w:highlight w:val="none"/>
        </w:rPr>
      </w:pPr>
    </w:p>
    <w:p w14:paraId="528512ED">
      <w:pPr>
        <w:widowControl/>
        <w:wordWrap w:val="0"/>
        <w:spacing w:line="400" w:lineRule="exact"/>
        <w:ind w:firstLine="420"/>
        <w:jc w:val="left"/>
        <w:rPr>
          <w:rFonts w:hint="eastAsia" w:ascii="宋体" w:hAnsi="宋体" w:cs="Courier New"/>
          <w:color w:val="auto"/>
          <w:szCs w:val="21"/>
          <w:highlight w:val="none"/>
        </w:rPr>
      </w:pPr>
    </w:p>
    <w:p w14:paraId="40D40D80">
      <w:pPr>
        <w:widowControl/>
        <w:wordWrap w:val="0"/>
        <w:spacing w:line="400" w:lineRule="exact"/>
        <w:ind w:firstLine="420"/>
        <w:jc w:val="left"/>
        <w:rPr>
          <w:rFonts w:hint="eastAsia" w:ascii="宋体" w:hAnsi="宋体" w:cs="Courier New"/>
          <w:color w:val="auto"/>
          <w:szCs w:val="21"/>
          <w:highlight w:val="none"/>
        </w:rPr>
      </w:pPr>
    </w:p>
    <w:p w14:paraId="2BFA1B25">
      <w:pPr>
        <w:widowControl/>
        <w:wordWrap w:val="0"/>
        <w:spacing w:line="400" w:lineRule="exact"/>
        <w:ind w:firstLine="420"/>
        <w:jc w:val="left"/>
        <w:rPr>
          <w:rFonts w:hint="eastAsia" w:ascii="宋体" w:hAnsi="宋体" w:cs="Courier New"/>
          <w:color w:val="auto"/>
          <w:szCs w:val="21"/>
          <w:highlight w:val="none"/>
        </w:rPr>
      </w:pPr>
    </w:p>
    <w:p w14:paraId="3E6CD793">
      <w:pPr>
        <w:widowControl/>
        <w:wordWrap w:val="0"/>
        <w:spacing w:line="400" w:lineRule="exact"/>
        <w:ind w:firstLine="420"/>
        <w:jc w:val="left"/>
        <w:rPr>
          <w:rFonts w:hint="eastAsia" w:ascii="宋体" w:hAnsi="宋体" w:cs="Courier New"/>
          <w:color w:val="auto"/>
          <w:szCs w:val="21"/>
          <w:highlight w:val="none"/>
        </w:rPr>
      </w:pPr>
    </w:p>
    <w:p w14:paraId="5943273D">
      <w:pPr>
        <w:widowControl/>
        <w:wordWrap w:val="0"/>
        <w:spacing w:line="400" w:lineRule="exact"/>
        <w:ind w:firstLine="420"/>
        <w:jc w:val="left"/>
        <w:rPr>
          <w:rFonts w:hint="eastAsia" w:ascii="宋体" w:hAnsi="宋体" w:cs="Courier New"/>
          <w:color w:val="auto"/>
          <w:szCs w:val="21"/>
          <w:highlight w:val="none"/>
        </w:rPr>
      </w:pPr>
    </w:p>
    <w:p w14:paraId="52AA0882">
      <w:pPr>
        <w:widowControl/>
        <w:wordWrap w:val="0"/>
        <w:spacing w:line="400" w:lineRule="exact"/>
        <w:ind w:firstLine="420"/>
        <w:jc w:val="left"/>
        <w:rPr>
          <w:rFonts w:hint="eastAsia" w:ascii="宋体" w:hAnsi="宋体" w:cs="Courier New"/>
          <w:color w:val="auto"/>
          <w:szCs w:val="21"/>
          <w:highlight w:val="none"/>
        </w:rPr>
      </w:pPr>
    </w:p>
    <w:p w14:paraId="1F93DF22">
      <w:pPr>
        <w:rPr>
          <w:rFonts w:hint="eastAsia" w:ascii="宋体" w:hAnsi="宋体" w:cs="Courier New"/>
          <w:color w:val="auto"/>
          <w:szCs w:val="21"/>
          <w:highlight w:val="none"/>
        </w:rPr>
      </w:pPr>
    </w:p>
    <w:p w14:paraId="7D836327">
      <w:pPr>
        <w:rPr>
          <w:rFonts w:hint="eastAsia" w:ascii="宋体" w:hAnsi="宋体" w:cs="Courier New"/>
          <w:color w:val="auto"/>
          <w:szCs w:val="21"/>
          <w:highlight w:val="none"/>
        </w:rPr>
      </w:pPr>
    </w:p>
    <w:p w14:paraId="402D7E84">
      <w:pPr>
        <w:rPr>
          <w:rFonts w:hint="eastAsia"/>
          <w:color w:val="auto"/>
          <w:sz w:val="44"/>
          <w:szCs w:val="44"/>
          <w:highlight w:val="none"/>
        </w:rPr>
      </w:pPr>
      <w:bookmarkStart w:id="36" w:name="_Toc476258664"/>
      <w:bookmarkStart w:id="37" w:name="_Toc2304"/>
      <w:r>
        <w:rPr>
          <w:rFonts w:hint="eastAsia"/>
          <w:color w:val="auto"/>
          <w:sz w:val="44"/>
          <w:szCs w:val="44"/>
          <w:highlight w:val="none"/>
        </w:rPr>
        <w:br w:type="page"/>
      </w:r>
    </w:p>
    <w:p w14:paraId="7BF8B10E">
      <w:pPr>
        <w:pStyle w:val="33"/>
        <w:rPr>
          <w:rFonts w:hint="eastAsia"/>
          <w:color w:val="auto"/>
          <w:sz w:val="44"/>
          <w:szCs w:val="44"/>
          <w:highlight w:val="none"/>
        </w:rPr>
      </w:pPr>
      <w:r>
        <w:rPr>
          <w:rFonts w:hint="eastAsia"/>
          <w:color w:val="auto"/>
          <w:sz w:val="44"/>
          <w:szCs w:val="44"/>
          <w:highlight w:val="none"/>
        </w:rPr>
        <w:t>第三章  采购需求</w:t>
      </w:r>
      <w:bookmarkEnd w:id="36"/>
      <w:bookmarkEnd w:id="37"/>
    </w:p>
    <w:p w14:paraId="0CC7B0D5">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说明：</w:t>
      </w:r>
    </w:p>
    <w:p w14:paraId="22E7768C">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1.为落实政府采购政策需满足的要求</w:t>
      </w:r>
    </w:p>
    <w:p w14:paraId="38D59C30">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（1）本竞争性谈判采购文件所称中小企业必须符合《政府采购促进中小企业发展管理办法》（财库〔2020〕46号）的规定。</w:t>
      </w:r>
    </w:p>
    <w:p w14:paraId="2C0C7417">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（2）根据《财政部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的，供应商必须在响应文件中提供所竞标产品的节能产品认证证书复印件（加盖供应商电子签章），否则响应文件按无效处理。如本项目包含的货物属于品目清单内非标注</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的产品时，应优先采购，具体详见</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第四章 评审程序和评定成交的标准</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w:t>
      </w:r>
    </w:p>
    <w:p w14:paraId="202FEBB3">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3）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131B38FB">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4）根据《关于调整网络安全专用产品安全管理有关事项的公告》（2023年第1号）规定，本项目采购需求中的产品如果包括《网络关键设备和网络安全专用产品目录》的网络安全专用产品，供应商在响应文件中应主动列明供货范围中属于网络安全专用产品的响应产品，并在响应文件（商务及技术文件）中提供由中国网信网（</w:t>
      </w:r>
      <w:r>
        <w:rPr>
          <w:rFonts w:hint="eastAsia" w:ascii="宋体" w:hAnsi="宋体" w:cs="Courier New"/>
          <w:color w:val="auto"/>
          <w:szCs w:val="21"/>
          <w:highlight w:val="none"/>
        </w:rPr>
        <w:fldChar w:fldCharType="begin"/>
      </w:r>
      <w:r>
        <w:rPr>
          <w:rFonts w:hint="eastAsia" w:ascii="宋体" w:hAnsi="宋体" w:cs="Courier New"/>
          <w:color w:val="auto"/>
          <w:szCs w:val="21"/>
          <w:highlight w:val="none"/>
        </w:rPr>
        <w:instrText xml:space="preserve"> HYPERLINK "http://www.cac.gov.cn/index.htm" </w:instrText>
      </w:r>
      <w:r>
        <w:rPr>
          <w:rFonts w:hint="eastAsia" w:ascii="宋体" w:hAnsi="宋体" w:cs="Courier New"/>
          <w:color w:val="auto"/>
          <w:szCs w:val="21"/>
          <w:highlight w:val="none"/>
        </w:rPr>
        <w:fldChar w:fldCharType="separate"/>
      </w:r>
      <w:r>
        <w:rPr>
          <w:rFonts w:hint="eastAsia" w:ascii="宋体" w:hAnsi="宋体" w:cs="Courier New"/>
          <w:color w:val="auto"/>
          <w:szCs w:val="21"/>
          <w:highlight w:val="none"/>
        </w:rPr>
        <w:t>http</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//www.cac.gov.cn/index.htm</w:t>
      </w:r>
      <w:r>
        <w:rPr>
          <w:rFonts w:hint="eastAsia" w:ascii="宋体" w:hAnsi="宋体" w:cs="Courier New"/>
          <w:color w:val="auto"/>
          <w:szCs w:val="21"/>
          <w:highlight w:val="none"/>
        </w:rPr>
        <w:fldChar w:fldCharType="end"/>
      </w:r>
      <w:r>
        <w:rPr>
          <w:rFonts w:hint="eastAsia" w:ascii="宋体" w:hAnsi="宋体" w:cs="Courier New"/>
          <w:color w:val="auto"/>
          <w:szCs w:val="21"/>
          <w:highlight w:val="none"/>
        </w:rPr>
        <w:t>）最新发布的《网络关键设备和网络安全专用产品安全认证和安全检测结果》截图证明材料，不在《网络关键设备和网络安全专用产品安全认证和安全检测结果》中或不在有效期内或未提供有效的《计算机信息系统安全专用产品销售许可证》的，响应文件按无效处理。如属于《网络关键设备和网络安全专用产品目录》中</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二、网络安全专用产品</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内</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产品类别</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 xml:space="preserve"> 中所描述的产品，但不属于所列</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产品描述</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情形的，应提供相应的说明及证明材料。</w:t>
      </w:r>
    </w:p>
    <w:p w14:paraId="30B92C57">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2.</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实质性要求</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是指采购需求中带</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的条款或者不能负偏离的条款或者已经指明不满足按响应文件按无效处理的条款。未标注</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号的项目条款或技术要求有负偏离（或未作响应）达3项（含） 以上的竞标无效。</w:t>
      </w:r>
    </w:p>
    <w:p w14:paraId="43F34FF8">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3.采购需求中出现的品牌、型号或者生产供应商仅起参考作用，不属于指定品牌、型号或者生产供应商的情形。供应商可参照或者选用其他相当的品牌、型号或者生产供应商替代。</w:t>
      </w:r>
    </w:p>
    <w:p w14:paraId="264B775A">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4.供应商应根据自身实际情况如实响应谈判文件，对谈判文件提出的要求和条件作出明确响应，否则将作无效响应处理。对于重要技术条款或技术参数应当在响应文件中提供技术支持资料，技术支持资料以谈判文件中规定的形式为准，否则将视为无效技术支持资料。</w:t>
      </w:r>
    </w:p>
    <w:p w14:paraId="1772ED95">
      <w:pPr>
        <w:spacing w:line="500" w:lineRule="exact"/>
        <w:ind w:firstLine="420" w:firstLineChars="200"/>
        <w:rPr>
          <w:rFonts w:hint="eastAsia"/>
          <w:b/>
          <w:color w:val="auto"/>
          <w:highlight w:val="none"/>
        </w:rPr>
      </w:pPr>
      <w:r>
        <w:rPr>
          <w:rFonts w:hint="eastAsia" w:ascii="宋体" w:hAnsi="宋体" w:cs="Courier New"/>
          <w:color w:val="auto"/>
          <w:szCs w:val="21"/>
          <w:highlight w:val="none"/>
        </w:rPr>
        <w:t>5.供应商必须自行为其竞标产品侵犯他人的知识产权或者专利成果的行为承担相应法律责任。</w:t>
      </w:r>
      <w:r>
        <w:rPr>
          <w:rFonts w:ascii="仿宋_GB2312" w:hAnsi="宋体" w:eastAsia="仿宋_GB2312"/>
          <w:b/>
          <w:color w:val="auto"/>
          <w:sz w:val="32"/>
          <w:szCs w:val="32"/>
          <w:highlight w:val="none"/>
        </w:rPr>
        <w:br w:type="page"/>
      </w:r>
    </w:p>
    <w:p w14:paraId="736BA795">
      <w:pPr>
        <w:spacing w:line="400" w:lineRule="exact"/>
        <w:jc w:val="center"/>
        <w:rPr>
          <w:rFonts w:hint="eastAsia" w:ascii="宋体" w:hAnsi="宋体"/>
          <w:b/>
          <w:color w:val="auto"/>
          <w:sz w:val="32"/>
          <w:szCs w:val="32"/>
          <w:highlight w:val="none"/>
        </w:rPr>
      </w:pPr>
    </w:p>
    <w:tbl>
      <w:tblPr>
        <w:tblStyle w:val="78"/>
        <w:tblW w:w="878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27"/>
        <w:gridCol w:w="791"/>
        <w:gridCol w:w="709"/>
        <w:gridCol w:w="736"/>
        <w:gridCol w:w="6123"/>
      </w:tblGrid>
      <w:tr w14:paraId="792567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8786" w:type="dxa"/>
            <w:gridSpan w:val="5"/>
            <w:vAlign w:val="top"/>
          </w:tcPr>
          <w:p w14:paraId="3C944949">
            <w:pPr>
              <w:pStyle w:val="77"/>
              <w:spacing w:before="135" w:line="227" w:lineRule="auto"/>
              <w:ind w:left="119"/>
              <w:rPr>
                <w:color w:val="auto"/>
                <w:highlight w:val="none"/>
              </w:rPr>
            </w:pPr>
            <w:r>
              <w:rPr>
                <w:b/>
                <w:bCs/>
                <w:color w:val="auto"/>
                <w:spacing w:val="6"/>
                <w:highlight w:val="none"/>
              </w:rPr>
              <w:t>一、采购清单</w:t>
            </w:r>
          </w:p>
        </w:tc>
      </w:tr>
      <w:tr w14:paraId="58FEFA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427" w:type="dxa"/>
            <w:vAlign w:val="center"/>
          </w:tcPr>
          <w:p w14:paraId="0D37FDBD">
            <w:pPr>
              <w:widowControl/>
              <w:wordWrap w:val="0"/>
              <w:spacing w:line="400" w:lineRule="exact"/>
              <w:jc w:val="center"/>
              <w:rPr>
                <w:rFonts w:hint="eastAsia" w:ascii="宋体" w:hAnsi="宋体" w:cs="Courier New"/>
                <w:color w:val="auto"/>
                <w:szCs w:val="21"/>
                <w:highlight w:val="none"/>
              </w:rPr>
            </w:pPr>
            <w:r>
              <w:rPr>
                <w:rFonts w:hint="eastAsia" w:ascii="宋体" w:hAnsi="宋体" w:cs="Courier New"/>
                <w:color w:val="auto"/>
                <w:szCs w:val="21"/>
                <w:highlight w:val="none"/>
              </w:rPr>
              <w:t>序号</w:t>
            </w:r>
          </w:p>
        </w:tc>
        <w:tc>
          <w:tcPr>
            <w:tcW w:w="791" w:type="dxa"/>
            <w:vAlign w:val="center"/>
          </w:tcPr>
          <w:p w14:paraId="056184A3">
            <w:pPr>
              <w:widowControl/>
              <w:wordWrap w:val="0"/>
              <w:spacing w:line="240" w:lineRule="auto"/>
              <w:jc w:val="center"/>
              <w:rPr>
                <w:rFonts w:hint="eastAsia" w:ascii="宋体" w:hAnsi="宋体" w:cs="Courier New"/>
                <w:color w:val="auto"/>
                <w:szCs w:val="21"/>
                <w:highlight w:val="none"/>
              </w:rPr>
            </w:pPr>
            <w:r>
              <w:rPr>
                <w:rFonts w:hint="eastAsia" w:ascii="宋体" w:hAnsi="宋体" w:cs="Courier New"/>
                <w:color w:val="auto"/>
                <w:szCs w:val="21"/>
                <w:highlight w:val="none"/>
              </w:rPr>
              <w:t>标的的名称</w:t>
            </w:r>
          </w:p>
        </w:tc>
        <w:tc>
          <w:tcPr>
            <w:tcW w:w="709" w:type="dxa"/>
            <w:vAlign w:val="center"/>
          </w:tcPr>
          <w:p w14:paraId="7B46913B">
            <w:pPr>
              <w:widowControl/>
              <w:wordWrap w:val="0"/>
              <w:spacing w:line="240" w:lineRule="auto"/>
              <w:jc w:val="center"/>
              <w:rPr>
                <w:rFonts w:hint="eastAsia" w:ascii="宋体" w:hAnsi="宋体" w:cs="Courier New"/>
                <w:color w:val="auto"/>
                <w:szCs w:val="21"/>
                <w:highlight w:val="none"/>
              </w:rPr>
            </w:pPr>
            <w:r>
              <w:rPr>
                <w:rFonts w:hint="eastAsia" w:ascii="宋体" w:hAnsi="宋体" w:cs="Courier New"/>
                <w:color w:val="auto"/>
                <w:szCs w:val="21"/>
                <w:highlight w:val="none"/>
              </w:rPr>
              <w:t>数量及单位</w:t>
            </w:r>
          </w:p>
        </w:tc>
        <w:tc>
          <w:tcPr>
            <w:tcW w:w="736" w:type="dxa"/>
            <w:vAlign w:val="center"/>
          </w:tcPr>
          <w:p w14:paraId="36F48A96">
            <w:pPr>
              <w:widowControl/>
              <w:wordWrap w:val="0"/>
              <w:spacing w:line="240" w:lineRule="auto"/>
              <w:jc w:val="center"/>
              <w:rPr>
                <w:rFonts w:hint="eastAsia" w:ascii="宋体" w:hAnsi="宋体" w:cs="Courier New"/>
                <w:color w:val="auto"/>
                <w:szCs w:val="21"/>
                <w:highlight w:val="none"/>
              </w:rPr>
            </w:pPr>
            <w:r>
              <w:rPr>
                <w:rFonts w:hint="eastAsia" w:ascii="宋体" w:hAnsi="宋体" w:cs="Courier New"/>
                <w:color w:val="auto"/>
                <w:szCs w:val="21"/>
                <w:highlight w:val="none"/>
              </w:rPr>
              <w:t>所属行业</w:t>
            </w:r>
          </w:p>
        </w:tc>
        <w:tc>
          <w:tcPr>
            <w:tcW w:w="6123" w:type="dxa"/>
            <w:vAlign w:val="center"/>
          </w:tcPr>
          <w:p w14:paraId="67630FD5">
            <w:pPr>
              <w:widowControl/>
              <w:wordWrap w:val="0"/>
              <w:spacing w:line="400" w:lineRule="exact"/>
              <w:jc w:val="center"/>
              <w:rPr>
                <w:rFonts w:hint="eastAsia" w:ascii="宋体" w:hAnsi="宋体" w:cs="Courier New"/>
                <w:color w:val="auto"/>
                <w:szCs w:val="21"/>
                <w:highlight w:val="none"/>
              </w:rPr>
            </w:pPr>
            <w:r>
              <w:rPr>
                <w:rFonts w:hint="eastAsia" w:ascii="宋体" w:hAnsi="宋体" w:cs="Courier New"/>
                <w:color w:val="auto"/>
                <w:szCs w:val="21"/>
                <w:highlight w:val="none"/>
              </w:rPr>
              <w:t>技术要求</w:t>
            </w:r>
          </w:p>
        </w:tc>
      </w:tr>
      <w:tr w14:paraId="1456D4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427" w:type="dxa"/>
            <w:vAlign w:val="center"/>
          </w:tcPr>
          <w:p w14:paraId="6090F6EA">
            <w:pPr>
              <w:pStyle w:val="77"/>
              <w:spacing w:before="65" w:line="270" w:lineRule="exact"/>
              <w:jc w:val="center"/>
              <w:rPr>
                <w:color w:val="auto"/>
                <w:highlight w:val="none"/>
              </w:rPr>
            </w:pPr>
            <w:r>
              <w:rPr>
                <w:color w:val="auto"/>
                <w:position w:val="1"/>
                <w:highlight w:val="none"/>
              </w:rPr>
              <w:t>1</w:t>
            </w:r>
          </w:p>
        </w:tc>
        <w:tc>
          <w:tcPr>
            <w:tcW w:w="791" w:type="dxa"/>
            <w:vAlign w:val="center"/>
          </w:tcPr>
          <w:p w14:paraId="252FE5AF">
            <w:pPr>
              <w:widowControl/>
              <w:wordWrap w:val="0"/>
              <w:spacing w:line="400" w:lineRule="exact"/>
              <w:jc w:val="center"/>
              <w:rPr>
                <w:rFonts w:hint="eastAsia" w:ascii="宋体" w:hAnsi="宋体" w:cs="Courier New"/>
                <w:color w:val="auto"/>
                <w:szCs w:val="21"/>
                <w:highlight w:val="none"/>
              </w:rPr>
            </w:pPr>
            <w:r>
              <w:rPr>
                <w:rFonts w:hint="eastAsia" w:ascii="宋体" w:hAnsi="宋体" w:cs="Courier New"/>
                <w:color w:val="auto"/>
                <w:szCs w:val="21"/>
                <w:highlight w:val="none"/>
                <w:lang w:val="en-US" w:eastAsia="zh-CN"/>
              </w:rPr>
              <w:t>高速高精三轴加工中心</w:t>
            </w:r>
          </w:p>
        </w:tc>
        <w:tc>
          <w:tcPr>
            <w:tcW w:w="709" w:type="dxa"/>
            <w:vAlign w:val="center"/>
          </w:tcPr>
          <w:p w14:paraId="1CC9A48D">
            <w:pPr>
              <w:widowControl/>
              <w:wordWrap w:val="0"/>
              <w:spacing w:line="400" w:lineRule="exact"/>
              <w:jc w:val="center"/>
              <w:rPr>
                <w:rFonts w:hint="default" w:ascii="宋体" w:hAnsi="宋体" w:cs="Courier New"/>
                <w:color w:val="auto"/>
                <w:szCs w:val="21"/>
                <w:highlight w:val="none"/>
                <w:lang w:val="en-US"/>
              </w:rPr>
            </w:pPr>
            <w:r>
              <w:rPr>
                <w:rFonts w:hint="eastAsia" w:ascii="宋体" w:hAnsi="宋体" w:cs="Courier New"/>
                <w:color w:val="auto"/>
                <w:szCs w:val="21"/>
                <w:highlight w:val="none"/>
                <w:lang w:val="en-US" w:eastAsia="zh-CN"/>
              </w:rPr>
              <w:t>2台</w:t>
            </w:r>
          </w:p>
        </w:tc>
        <w:tc>
          <w:tcPr>
            <w:tcW w:w="736" w:type="dxa"/>
            <w:vAlign w:val="center"/>
          </w:tcPr>
          <w:p w14:paraId="11883AC1">
            <w:pPr>
              <w:widowControl/>
              <w:wordWrap w:val="0"/>
              <w:spacing w:line="400" w:lineRule="exact"/>
              <w:jc w:val="center"/>
              <w:rPr>
                <w:color w:val="auto"/>
                <w:highlight w:val="none"/>
              </w:rPr>
            </w:pPr>
            <w:r>
              <w:rPr>
                <w:rFonts w:hint="eastAsia" w:ascii="宋体" w:hAnsi="宋体" w:cs="Courier New"/>
                <w:color w:val="auto"/>
                <w:szCs w:val="21"/>
                <w:highlight w:val="none"/>
              </w:rPr>
              <w:t>工业</w:t>
            </w:r>
          </w:p>
        </w:tc>
        <w:tc>
          <w:tcPr>
            <w:tcW w:w="6123" w:type="dxa"/>
            <w:vAlign w:val="top"/>
          </w:tcPr>
          <w:p w14:paraId="4FA3D30A">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216" w:leftChars="103" w:firstLine="0" w:firstLineChars="0"/>
              <w:jc w:val="left"/>
              <w:textAlignment w:val="auto"/>
              <w:rPr>
                <w:rFonts w:hint="eastAsia"/>
                <w:color w:val="auto"/>
                <w:highlight w:val="none"/>
              </w:rPr>
            </w:pPr>
            <w:r>
              <w:rPr>
                <w:rFonts w:hint="eastAsia" w:ascii="Times New Roman" w:hAnsi="Times New Roman" w:eastAsia="宋体" w:cs="Times New Roman"/>
                <w:color w:val="auto"/>
                <w:kern w:val="2"/>
                <w:sz w:val="21"/>
                <w:szCs w:val="24"/>
                <w:highlight w:val="none"/>
                <w:lang w:val="en-US" w:eastAsia="zh-CN" w:bidi="ar-SA"/>
              </w:rPr>
              <w:t>一、</w:t>
            </w:r>
            <w:r>
              <w:rPr>
                <w:rFonts w:hint="eastAsia"/>
                <w:b/>
                <w:bCs/>
                <w:color w:val="auto"/>
                <w:highlight w:val="none"/>
              </w:rPr>
              <w:t>机床配置</w:t>
            </w:r>
            <w:r>
              <w:rPr>
                <w:rFonts w:hint="eastAsia"/>
                <w:color w:val="auto"/>
                <w:highlight w:val="none"/>
              </w:rPr>
              <w:br w:type="textWrapping"/>
            </w:r>
            <w:r>
              <w:rPr>
                <w:rFonts w:hint="eastAsia"/>
                <w:color w:val="auto"/>
                <w:highlight w:val="none"/>
              </w:rPr>
              <w:t>（一）机床技术参数：</w:t>
            </w:r>
            <w:r>
              <w:rPr>
                <w:rFonts w:hint="eastAsia"/>
                <w:color w:val="auto"/>
                <w:highlight w:val="none"/>
              </w:rPr>
              <w:br w:type="textWrapping"/>
            </w:r>
            <w:r>
              <w:rPr>
                <w:rFonts w:hint="eastAsia"/>
                <w:color w:val="auto"/>
                <w:highlight w:val="none"/>
              </w:rPr>
              <w:t>1.工作台面尺寸：≥1000×</w:t>
            </w:r>
            <w:r>
              <w:rPr>
                <w:rFonts w:hint="eastAsia"/>
                <w:color w:val="auto"/>
                <w:highlight w:val="none"/>
                <w:lang w:val="en-US" w:eastAsia="zh-CN"/>
              </w:rPr>
              <w:t>5</w:t>
            </w:r>
            <w:r>
              <w:rPr>
                <w:rFonts w:hint="eastAsia"/>
                <w:color w:val="auto"/>
                <w:highlight w:val="none"/>
              </w:rPr>
              <w:t>40mm；</w:t>
            </w:r>
            <w:r>
              <w:rPr>
                <w:rFonts w:hint="eastAsia"/>
                <w:color w:val="auto"/>
                <w:highlight w:val="none"/>
              </w:rPr>
              <w:br w:type="textWrapping"/>
            </w:r>
            <w:r>
              <w:rPr>
                <w:rFonts w:hint="eastAsia"/>
                <w:color w:val="auto"/>
                <w:highlight w:val="none"/>
              </w:rPr>
              <w:t>2.T型槽（数目-尺寸</w:t>
            </w:r>
            <w:r>
              <w:rPr>
                <w:rFonts w:hint="eastAsia"/>
                <w:color w:val="auto"/>
                <w:highlight w:val="none"/>
                <w:lang w:eastAsia="zh-CN"/>
              </w:rPr>
              <w:t>×</w:t>
            </w:r>
            <w:r>
              <w:rPr>
                <w:rFonts w:hint="eastAsia"/>
                <w:color w:val="auto"/>
                <w:highlight w:val="none"/>
              </w:rPr>
              <w:t>距离）：≥5-18×</w:t>
            </w:r>
            <w:r>
              <w:rPr>
                <w:rFonts w:hint="eastAsia"/>
                <w:color w:val="auto"/>
                <w:highlight w:val="none"/>
                <w:lang w:val="en-US" w:eastAsia="zh-CN"/>
              </w:rPr>
              <w:t>9</w:t>
            </w:r>
            <w:r>
              <w:rPr>
                <w:rFonts w:hint="eastAsia"/>
                <w:color w:val="auto"/>
                <w:highlight w:val="none"/>
              </w:rPr>
              <w:t>0mm；</w:t>
            </w:r>
            <w:r>
              <w:rPr>
                <w:rFonts w:hint="eastAsia"/>
                <w:color w:val="auto"/>
                <w:highlight w:val="none"/>
              </w:rPr>
              <w:br w:type="textWrapping"/>
            </w:r>
            <w:r>
              <w:rPr>
                <w:rFonts w:hint="eastAsia"/>
                <w:color w:val="auto"/>
                <w:highlight w:val="none"/>
              </w:rPr>
              <w:t>3.主轴端面至工作台面距离：≥70～500mm；</w:t>
            </w:r>
            <w:r>
              <w:rPr>
                <w:rFonts w:hint="eastAsia"/>
                <w:color w:val="auto"/>
                <w:highlight w:val="none"/>
              </w:rPr>
              <w:br w:type="textWrapping"/>
            </w:r>
            <w:r>
              <w:rPr>
                <w:rFonts w:hint="eastAsia"/>
                <w:color w:val="auto"/>
                <w:highlight w:val="none"/>
              </w:rPr>
              <w:t>4.台面最大承重：≥</w:t>
            </w:r>
            <w:r>
              <w:rPr>
                <w:rFonts w:hint="eastAsia"/>
                <w:color w:val="auto"/>
                <w:highlight w:val="none"/>
                <w:lang w:val="en-US" w:eastAsia="zh-CN"/>
              </w:rPr>
              <w:t>4</w:t>
            </w:r>
            <w:r>
              <w:rPr>
                <w:rFonts w:hint="eastAsia"/>
                <w:color w:val="auto"/>
                <w:highlight w:val="none"/>
              </w:rPr>
              <w:t>00kg；</w:t>
            </w:r>
            <w:r>
              <w:rPr>
                <w:rFonts w:hint="eastAsia"/>
                <w:color w:val="auto"/>
                <w:highlight w:val="none"/>
              </w:rPr>
              <w:br w:type="textWrapping"/>
            </w:r>
            <w:r>
              <w:rPr>
                <w:rFonts w:hint="eastAsia"/>
                <w:color w:val="auto"/>
                <w:highlight w:val="none"/>
              </w:rPr>
              <w:t>5.主轴中心距立柱导轨面距离：≥</w:t>
            </w:r>
            <w:r>
              <w:rPr>
                <w:rFonts w:hint="eastAsia"/>
                <w:color w:val="auto"/>
                <w:highlight w:val="none"/>
                <w:lang w:val="en-US" w:eastAsia="zh-CN"/>
              </w:rPr>
              <w:t>5</w:t>
            </w:r>
            <w:r>
              <w:rPr>
                <w:rFonts w:hint="eastAsia"/>
                <w:color w:val="auto"/>
                <w:highlight w:val="none"/>
              </w:rPr>
              <w:t>50mm；</w:t>
            </w:r>
            <w:r>
              <w:rPr>
                <w:rFonts w:hint="eastAsia"/>
                <w:color w:val="auto"/>
                <w:highlight w:val="none"/>
              </w:rPr>
              <w:br w:type="textWrapping"/>
            </w:r>
            <w:r>
              <w:rPr>
                <w:rFonts w:hint="eastAsia"/>
                <w:color w:val="auto"/>
                <w:highlight w:val="none"/>
              </w:rPr>
              <w:t>6.锥孔型式/安装尺寸：BT40/150mm；</w:t>
            </w:r>
            <w:r>
              <w:rPr>
                <w:rFonts w:hint="eastAsia"/>
                <w:color w:val="auto"/>
                <w:highlight w:val="none"/>
              </w:rPr>
              <w:br w:type="textWrapping"/>
            </w:r>
            <w:r>
              <w:rPr>
                <w:rFonts w:hint="eastAsia"/>
                <w:color w:val="auto"/>
                <w:highlight w:val="none"/>
              </w:rPr>
              <w:t>7.转速范围：≥50～8000r/min</w:t>
            </w:r>
            <w:r>
              <w:rPr>
                <w:rFonts w:hint="eastAsia"/>
                <w:color w:val="auto"/>
                <w:highlight w:val="none"/>
                <w:lang w:val="en-US" w:eastAsia="zh-CN"/>
              </w:rPr>
              <w:t>；</w:t>
            </w:r>
            <w:r>
              <w:rPr>
                <w:rFonts w:hint="eastAsia"/>
                <w:color w:val="auto"/>
                <w:highlight w:val="none"/>
              </w:rPr>
              <w:br w:type="textWrapping"/>
            </w:r>
            <w:r>
              <w:rPr>
                <w:rFonts w:hint="eastAsia"/>
                <w:color w:val="auto"/>
                <w:highlight w:val="none"/>
              </w:rPr>
              <w:t>8.驱动方式：皮带</w:t>
            </w:r>
            <w:r>
              <w:rPr>
                <w:rFonts w:hint="eastAsia"/>
                <w:color w:val="auto"/>
                <w:highlight w:val="none"/>
                <w:lang w:val="en-US" w:eastAsia="zh-CN"/>
              </w:rPr>
              <w:t>或静音、稳定性、精准度相当于或优于皮带的其它</w:t>
            </w:r>
            <w:r>
              <w:rPr>
                <w:rFonts w:hint="eastAsia"/>
                <w:color w:val="auto"/>
                <w:highlight w:val="none"/>
              </w:rPr>
              <w:t>驱动方式</w:t>
            </w:r>
            <w:r>
              <w:rPr>
                <w:rFonts w:hint="eastAsia"/>
                <w:color w:val="auto"/>
                <w:highlight w:val="none"/>
                <w:lang w:val="en-US" w:eastAsia="zh-CN"/>
              </w:rPr>
              <w:t>；</w:t>
            </w:r>
            <w:r>
              <w:rPr>
                <w:rFonts w:hint="eastAsia"/>
                <w:color w:val="auto"/>
                <w:highlight w:val="none"/>
              </w:rPr>
              <w:br w:type="textWrapping"/>
            </w:r>
            <w:r>
              <w:rPr>
                <w:rFonts w:hint="eastAsia"/>
                <w:color w:val="auto"/>
                <w:highlight w:val="none"/>
              </w:rPr>
              <w:t>9.定位精度X、Y、Z轴：≤0.0</w:t>
            </w:r>
            <w:r>
              <w:rPr>
                <w:rFonts w:hint="eastAsia"/>
                <w:color w:val="auto"/>
                <w:highlight w:val="none"/>
                <w:lang w:val="en-US" w:eastAsia="zh-CN"/>
              </w:rPr>
              <w:t>1</w:t>
            </w:r>
            <w:r>
              <w:rPr>
                <w:rFonts w:hint="eastAsia"/>
                <w:color w:val="auto"/>
                <w:highlight w:val="none"/>
              </w:rPr>
              <w:t>mm；</w:t>
            </w:r>
            <w:r>
              <w:rPr>
                <w:rFonts w:hint="eastAsia"/>
                <w:color w:val="auto"/>
                <w:highlight w:val="none"/>
              </w:rPr>
              <w:br w:type="textWrapping"/>
            </w:r>
            <w:r>
              <w:rPr>
                <w:rFonts w:hint="eastAsia"/>
                <w:color w:val="auto"/>
                <w:highlight w:val="none"/>
              </w:rPr>
              <w:t>10.X、Y、Z轴行程：≥</w:t>
            </w:r>
            <w:r>
              <w:rPr>
                <w:rFonts w:hint="eastAsia"/>
                <w:color w:val="auto"/>
                <w:highlight w:val="none"/>
                <w:lang w:val="en-US" w:eastAsia="zh-CN"/>
              </w:rPr>
              <w:t>8</w:t>
            </w:r>
            <w:r>
              <w:rPr>
                <w:rFonts w:hint="eastAsia"/>
                <w:color w:val="auto"/>
                <w:highlight w:val="none"/>
              </w:rPr>
              <w:t>00-</w:t>
            </w:r>
            <w:r>
              <w:rPr>
                <w:rFonts w:hint="eastAsia"/>
                <w:color w:val="auto"/>
                <w:highlight w:val="none"/>
                <w:lang w:val="en-US" w:eastAsia="zh-CN"/>
              </w:rPr>
              <w:t>5</w:t>
            </w:r>
            <w:r>
              <w:rPr>
                <w:rFonts w:hint="eastAsia"/>
                <w:color w:val="auto"/>
                <w:highlight w:val="none"/>
              </w:rPr>
              <w:t>20-</w:t>
            </w:r>
            <w:r>
              <w:rPr>
                <w:rFonts w:hint="eastAsia"/>
                <w:color w:val="auto"/>
                <w:highlight w:val="none"/>
                <w:lang w:val="en-US" w:eastAsia="zh-CN"/>
              </w:rPr>
              <w:t>5</w:t>
            </w:r>
            <w:r>
              <w:rPr>
                <w:rFonts w:hint="eastAsia"/>
                <w:color w:val="auto"/>
                <w:highlight w:val="none"/>
              </w:rPr>
              <w:t>50mm；</w:t>
            </w:r>
            <w:r>
              <w:rPr>
                <w:rFonts w:hint="eastAsia"/>
                <w:color w:val="auto"/>
                <w:highlight w:val="none"/>
              </w:rPr>
              <w:br w:type="textWrapping"/>
            </w:r>
            <w:r>
              <w:rPr>
                <w:rFonts w:hint="eastAsia"/>
                <w:color w:val="auto"/>
                <w:highlight w:val="none"/>
              </w:rPr>
              <w:t>11.重复定位精度X、Y、Z轴：≤0.0</w:t>
            </w:r>
            <w:r>
              <w:rPr>
                <w:rFonts w:hint="eastAsia"/>
                <w:color w:val="auto"/>
                <w:highlight w:val="none"/>
                <w:lang w:val="en-US" w:eastAsia="zh-CN"/>
              </w:rPr>
              <w:t>0</w:t>
            </w:r>
            <w:r>
              <w:rPr>
                <w:rFonts w:hint="eastAsia"/>
                <w:color w:val="auto"/>
                <w:highlight w:val="none"/>
              </w:rPr>
              <w:t>8mm</w:t>
            </w:r>
            <w:r>
              <w:rPr>
                <w:rFonts w:hint="eastAsia"/>
                <w:color w:val="auto"/>
                <w:highlight w:val="none"/>
                <w:lang w:eastAsia="zh-CN"/>
              </w:rPr>
              <w:t>；</w:t>
            </w:r>
            <w:r>
              <w:rPr>
                <w:rFonts w:hint="eastAsia"/>
                <w:color w:val="auto"/>
                <w:highlight w:val="none"/>
              </w:rPr>
              <w:br w:type="textWrapping"/>
            </w:r>
            <w:r>
              <w:rPr>
                <w:rFonts w:hint="eastAsia"/>
                <w:color w:val="auto"/>
                <w:highlight w:val="none"/>
              </w:rPr>
              <w:t>12.快移速度X、Y、Z轴：≥16m/min；</w:t>
            </w:r>
            <w:r>
              <w:rPr>
                <w:rFonts w:hint="eastAsia"/>
                <w:color w:val="auto"/>
                <w:highlight w:val="none"/>
              </w:rPr>
              <w:br w:type="textWrapping"/>
            </w:r>
            <w:r>
              <w:rPr>
                <w:rFonts w:hint="eastAsia"/>
                <w:color w:val="auto"/>
                <w:highlight w:val="none"/>
              </w:rPr>
              <w:t>13.电源总容量：≤20KVA；</w:t>
            </w:r>
            <w:r>
              <w:rPr>
                <w:rFonts w:hint="eastAsia"/>
                <w:color w:val="auto"/>
                <w:highlight w:val="none"/>
              </w:rPr>
              <w:br w:type="textWrapping"/>
            </w:r>
            <w:r>
              <w:rPr>
                <w:rFonts w:hint="eastAsia"/>
                <w:color w:val="auto"/>
                <w:highlight w:val="none"/>
              </w:rPr>
              <w:t>14.机床外形尺寸长宽高</w:t>
            </w:r>
            <w:r>
              <w:rPr>
                <w:rFonts w:hint="eastAsia"/>
                <w:color w:val="auto"/>
                <w:highlight w:val="none"/>
                <w:lang w:eastAsia="zh-CN"/>
              </w:rPr>
              <w:t>：</w:t>
            </w:r>
            <w:r>
              <w:rPr>
                <w:rFonts w:hint="eastAsia"/>
                <w:color w:val="auto"/>
                <w:highlight w:val="none"/>
              </w:rPr>
              <w:t>2</w:t>
            </w:r>
            <w:r>
              <w:rPr>
                <w:rFonts w:hint="eastAsia"/>
                <w:color w:val="auto"/>
                <w:highlight w:val="none"/>
                <w:lang w:val="en-US" w:eastAsia="zh-CN"/>
              </w:rPr>
              <w:t>90</w:t>
            </w:r>
            <w:r>
              <w:rPr>
                <w:rFonts w:hint="eastAsia"/>
                <w:color w:val="auto"/>
                <w:highlight w:val="none"/>
              </w:rPr>
              <w:t>0</w:t>
            </w:r>
            <w:r>
              <w:rPr>
                <w:rFonts w:hint="eastAsia"/>
                <w:color w:val="auto"/>
                <w:highlight w:val="none"/>
                <w:lang w:eastAsia="zh-CN"/>
              </w:rPr>
              <w:t>×</w:t>
            </w:r>
            <w:r>
              <w:rPr>
                <w:rFonts w:hint="eastAsia"/>
                <w:color w:val="auto"/>
                <w:highlight w:val="none"/>
                <w:lang w:val="en-US" w:eastAsia="zh-CN"/>
              </w:rPr>
              <w:t>260</w:t>
            </w:r>
            <w:r>
              <w:rPr>
                <w:rFonts w:hint="eastAsia"/>
                <w:color w:val="auto"/>
                <w:highlight w:val="none"/>
              </w:rPr>
              <w:t>0</w:t>
            </w:r>
            <w:r>
              <w:rPr>
                <w:rFonts w:hint="eastAsia"/>
                <w:color w:val="auto"/>
                <w:highlight w:val="none"/>
                <w:lang w:eastAsia="zh-CN"/>
              </w:rPr>
              <w:t>×</w:t>
            </w:r>
            <w:r>
              <w:rPr>
                <w:rFonts w:hint="eastAsia"/>
                <w:color w:val="auto"/>
                <w:highlight w:val="none"/>
                <w:lang w:val="en-US" w:eastAsia="zh-CN"/>
              </w:rPr>
              <w:t>308</w:t>
            </w:r>
            <w:r>
              <w:rPr>
                <w:rFonts w:hint="eastAsia"/>
                <w:color w:val="auto"/>
                <w:highlight w:val="none"/>
              </w:rPr>
              <w:t>0mm（±10%）</w:t>
            </w:r>
            <w:r>
              <w:rPr>
                <w:rFonts w:hint="eastAsia"/>
                <w:color w:val="auto"/>
                <w:highlight w:val="none"/>
                <w:lang w:val="en-US" w:eastAsia="zh-CN"/>
              </w:rPr>
              <w:t>；</w:t>
            </w:r>
            <w:r>
              <w:rPr>
                <w:rFonts w:hint="eastAsia"/>
                <w:color w:val="auto"/>
                <w:highlight w:val="none"/>
              </w:rPr>
              <w:br w:type="textWrapping"/>
            </w:r>
            <w:r>
              <w:rPr>
                <w:rFonts w:hint="eastAsia"/>
                <w:color w:val="auto"/>
                <w:highlight w:val="none"/>
              </w:rPr>
              <w:t>15.机床净重：</w:t>
            </w:r>
            <w:r>
              <w:rPr>
                <w:rFonts w:hint="eastAsia"/>
                <w:color w:val="auto"/>
                <w:highlight w:val="none"/>
                <w:lang w:val="en-US" w:eastAsia="zh-CN"/>
              </w:rPr>
              <w:t>55</w:t>
            </w:r>
            <w:r>
              <w:rPr>
                <w:rFonts w:hint="eastAsia"/>
                <w:color w:val="auto"/>
                <w:highlight w:val="none"/>
              </w:rPr>
              <w:t>00kg（±10%）；</w:t>
            </w:r>
            <w:r>
              <w:rPr>
                <w:rFonts w:hint="eastAsia"/>
                <w:color w:val="auto"/>
                <w:highlight w:val="none"/>
              </w:rPr>
              <w:br w:type="textWrapping"/>
            </w:r>
            <w:r>
              <w:rPr>
                <w:rFonts w:hint="eastAsia"/>
                <w:color w:val="auto"/>
                <w:highlight w:val="none"/>
              </w:rPr>
              <w:t>16.电压/频率：≥AC380/50V/Hz</w:t>
            </w:r>
            <w:r>
              <w:rPr>
                <w:rFonts w:hint="eastAsia"/>
                <w:color w:val="auto"/>
                <w:highlight w:val="none"/>
                <w:lang w:val="en-US" w:eastAsia="zh-CN"/>
              </w:rPr>
              <w:t>；</w:t>
            </w:r>
            <w:r>
              <w:rPr>
                <w:rFonts w:hint="eastAsia"/>
                <w:color w:val="auto"/>
                <w:highlight w:val="none"/>
              </w:rPr>
              <w:br w:type="textWrapping"/>
            </w:r>
            <w:r>
              <w:rPr>
                <w:rFonts w:hint="eastAsia"/>
                <w:b/>
                <w:bCs/>
                <w:color w:val="auto"/>
                <w:highlight w:val="none"/>
              </w:rPr>
              <w:t>二、数控系统要求：</w:t>
            </w:r>
            <w:r>
              <w:rPr>
                <w:rFonts w:hint="eastAsia"/>
                <w:color w:val="auto"/>
                <w:highlight w:val="none"/>
              </w:rPr>
              <w:br w:type="textWrapping"/>
            </w:r>
            <w:r>
              <w:rPr>
                <w:rFonts w:hint="eastAsia"/>
                <w:color w:val="auto"/>
                <w:highlight w:val="none"/>
              </w:rPr>
              <w:t>1. 最小插补周期：≤0.5ms</w:t>
            </w:r>
            <w:r>
              <w:rPr>
                <w:rFonts w:hint="eastAsia"/>
                <w:color w:val="auto"/>
                <w:highlight w:val="none"/>
                <w:lang w:val="en-US" w:eastAsia="zh-CN"/>
              </w:rPr>
              <w:t>；</w:t>
            </w:r>
            <w:r>
              <w:rPr>
                <w:rFonts w:hint="eastAsia"/>
                <w:color w:val="auto"/>
                <w:highlight w:val="none"/>
              </w:rPr>
              <w:br w:type="textWrapping"/>
            </w:r>
            <w:r>
              <w:rPr>
                <w:rFonts w:hint="eastAsia"/>
                <w:color w:val="auto"/>
                <w:highlight w:val="none"/>
              </w:rPr>
              <w:t>2. 总线方式：NCUC总线式</w:t>
            </w:r>
            <w:r>
              <w:rPr>
                <w:rFonts w:hint="eastAsia"/>
                <w:color w:val="auto"/>
                <w:highlight w:val="none"/>
                <w:lang w:val="en-US" w:eastAsia="zh-CN"/>
              </w:rPr>
              <w:t>或性能、处理效率相当于或优于</w:t>
            </w:r>
            <w:r>
              <w:rPr>
                <w:rFonts w:hint="eastAsia"/>
                <w:color w:val="auto"/>
                <w:highlight w:val="none"/>
              </w:rPr>
              <w:t>NCUC</w:t>
            </w:r>
            <w:r>
              <w:rPr>
                <w:rFonts w:hint="eastAsia"/>
                <w:color w:val="auto"/>
                <w:highlight w:val="none"/>
                <w:lang w:val="en-US" w:eastAsia="zh-CN"/>
              </w:rPr>
              <w:t>的其它</w:t>
            </w:r>
            <w:r>
              <w:rPr>
                <w:rFonts w:hint="eastAsia"/>
                <w:color w:val="auto"/>
                <w:highlight w:val="none"/>
              </w:rPr>
              <w:t>总线式</w:t>
            </w:r>
            <w:r>
              <w:rPr>
                <w:rFonts w:hint="eastAsia"/>
                <w:color w:val="auto"/>
                <w:highlight w:val="none"/>
                <w:lang w:val="en-US" w:eastAsia="zh-CN"/>
              </w:rPr>
              <w:t>；</w:t>
            </w:r>
            <w:r>
              <w:rPr>
                <w:rFonts w:hint="eastAsia"/>
                <w:color w:val="auto"/>
                <w:highlight w:val="none"/>
              </w:rPr>
              <w:br w:type="textWrapping"/>
            </w:r>
            <w:r>
              <w:rPr>
                <w:rFonts w:hint="eastAsia"/>
                <w:color w:val="auto"/>
                <w:highlight w:val="none"/>
              </w:rPr>
              <w:t>3. 数控系统需具</w:t>
            </w:r>
            <w:r>
              <w:rPr>
                <w:rFonts w:hint="eastAsia"/>
                <w:color w:val="auto"/>
                <w:highlight w:val="none"/>
                <w:lang w:val="en-US" w:eastAsia="zh-CN"/>
              </w:rPr>
              <w:t>备</w:t>
            </w:r>
            <w:r>
              <w:rPr>
                <w:rFonts w:hint="eastAsia"/>
                <w:color w:val="auto"/>
                <w:highlight w:val="none"/>
              </w:rPr>
              <w:t>网络初始化和连接、获取和设置寄存器、获取和设置变量、获取、设置参数、载入以及保存参数、获取系统、通道、轴以及坐标系数据、获取和设置刀具数据、获取报警数据、订阅消息事件、获取和设置采样数据、设置MDI、获取和设置PLC、其它接口数据、NC-LINK接口数据、文件接口数据、组态式HMI二次开发等二次开发功能，功能要求满足数控车铣</w:t>
            </w:r>
            <w:r>
              <w:rPr>
                <w:rFonts w:hint="eastAsia"/>
                <w:color w:val="auto"/>
                <w:highlight w:val="none"/>
                <w:lang w:val="en-US" w:eastAsia="zh-CN"/>
              </w:rPr>
              <w:t>技能</w:t>
            </w:r>
            <w:r>
              <w:rPr>
                <w:rFonts w:hint="eastAsia"/>
                <w:color w:val="auto"/>
                <w:highlight w:val="none"/>
              </w:rPr>
              <w:t>考证要求。</w:t>
            </w:r>
            <w:r>
              <w:rPr>
                <w:rFonts w:hint="eastAsia"/>
                <w:color w:val="auto"/>
                <w:highlight w:val="none"/>
              </w:rPr>
              <w:br w:type="textWrapping"/>
            </w:r>
            <w:r>
              <w:rPr>
                <w:rFonts w:hint="eastAsia"/>
                <w:color w:val="auto"/>
                <w:highlight w:val="none"/>
              </w:rPr>
              <w:t>4. 数控系统需具备机床调试辅助工具功能</w:t>
            </w:r>
            <w:r>
              <w:rPr>
                <w:rFonts w:hint="eastAsia"/>
                <w:color w:val="auto"/>
                <w:highlight w:val="none"/>
                <w:lang w:val="en-US" w:eastAsia="zh-CN"/>
              </w:rPr>
              <w:t>；</w:t>
            </w:r>
            <w:r>
              <w:rPr>
                <w:rFonts w:hint="eastAsia"/>
                <w:color w:val="auto"/>
                <w:highlight w:val="none"/>
              </w:rPr>
              <w:br w:type="textWrapping"/>
            </w:r>
            <w:r>
              <w:rPr>
                <w:rFonts w:hint="eastAsia"/>
                <w:color w:val="auto"/>
                <w:highlight w:val="none"/>
              </w:rPr>
              <w:t>5. 数控系统需具备并行控制两类以上工业以太网总线从站设备的功能</w:t>
            </w:r>
            <w:r>
              <w:rPr>
                <w:rFonts w:hint="eastAsia"/>
                <w:color w:val="auto"/>
                <w:highlight w:val="none"/>
                <w:lang w:val="en-US" w:eastAsia="zh-CN"/>
              </w:rPr>
              <w:t>；</w:t>
            </w:r>
            <w:r>
              <w:rPr>
                <w:rFonts w:hint="eastAsia"/>
                <w:color w:val="auto"/>
                <w:highlight w:val="none"/>
              </w:rPr>
              <w:br w:type="textWrapping"/>
            </w:r>
            <w:r>
              <w:rPr>
                <w:rFonts w:hint="eastAsia"/>
                <w:color w:val="auto"/>
                <w:highlight w:val="none"/>
              </w:rPr>
              <w:t>6. 数控系统需具备数控机床热误差补偿功能</w:t>
            </w:r>
            <w:r>
              <w:rPr>
                <w:rFonts w:hint="eastAsia"/>
                <w:color w:val="auto"/>
                <w:highlight w:val="none"/>
                <w:lang w:val="en-US" w:eastAsia="zh-CN"/>
              </w:rPr>
              <w:t>；</w:t>
            </w:r>
            <w:r>
              <w:rPr>
                <w:rFonts w:hint="eastAsia"/>
                <w:color w:val="auto"/>
                <w:highlight w:val="none"/>
              </w:rPr>
              <w:br w:type="textWrapping"/>
            </w:r>
            <w:r>
              <w:rPr>
                <w:rFonts w:hint="eastAsia"/>
                <w:color w:val="auto"/>
                <w:highlight w:val="none"/>
              </w:rPr>
              <w:t>7. 数控系统支持网络通讯，开通数控系统联网功能，可实时采集数控系统核心参数</w:t>
            </w:r>
            <w:r>
              <w:rPr>
                <w:rFonts w:hint="eastAsia"/>
                <w:color w:val="auto"/>
                <w:highlight w:val="none"/>
                <w:lang w:val="en-US" w:eastAsia="zh-CN"/>
              </w:rPr>
              <w:t>；</w:t>
            </w:r>
            <w:r>
              <w:rPr>
                <w:rFonts w:hint="eastAsia"/>
                <w:color w:val="auto"/>
                <w:highlight w:val="none"/>
              </w:rPr>
              <w:br w:type="textWrapping"/>
            </w:r>
            <w:r>
              <w:rPr>
                <w:rFonts w:hint="eastAsia"/>
                <w:color w:val="auto"/>
                <w:highlight w:val="none"/>
              </w:rPr>
              <w:t>8.</w:t>
            </w:r>
            <w:r>
              <w:rPr>
                <w:rFonts w:hint="eastAsia"/>
                <w:color w:val="auto"/>
                <w:highlight w:val="none"/>
                <w:lang w:val="en-US" w:eastAsia="zh-CN"/>
              </w:rPr>
              <w:t xml:space="preserve"> </w:t>
            </w:r>
            <w:r>
              <w:rPr>
                <w:rFonts w:hint="eastAsia"/>
                <w:color w:val="auto"/>
                <w:highlight w:val="none"/>
              </w:rPr>
              <w:t>数控系统IPC控制器运行环境配置要求：</w:t>
            </w:r>
            <w:r>
              <w:rPr>
                <w:rFonts w:hint="eastAsia"/>
                <w:color w:val="auto"/>
                <w:highlight w:val="none"/>
              </w:rPr>
              <w:br w:type="textWrapping"/>
            </w:r>
            <w:r>
              <w:rPr>
                <w:rFonts w:hint="eastAsia"/>
                <w:color w:val="auto"/>
                <w:highlight w:val="none"/>
              </w:rPr>
              <w:t>①处理器：CPU主频不低于1.46G</w:t>
            </w:r>
            <w:r>
              <w:rPr>
                <w:rFonts w:hint="eastAsia"/>
                <w:color w:val="auto"/>
                <w:highlight w:val="none"/>
                <w:lang w:val="en-US" w:eastAsia="zh-CN"/>
              </w:rPr>
              <w:t>；</w:t>
            </w:r>
            <w:r>
              <w:rPr>
                <w:rFonts w:hint="eastAsia"/>
                <w:color w:val="auto"/>
                <w:highlight w:val="none"/>
              </w:rPr>
              <w:br w:type="textWrapping"/>
            </w:r>
            <w:r>
              <w:rPr>
                <w:rFonts w:hint="eastAsia"/>
                <w:color w:val="auto"/>
                <w:highlight w:val="none"/>
              </w:rPr>
              <w:t>②电源：+24V电源输入，</w:t>
            </w:r>
            <w:r>
              <w:rPr>
                <w:rFonts w:hint="eastAsia"/>
                <w:color w:val="auto"/>
                <w:highlight w:val="none"/>
                <w:lang w:val="en-US" w:eastAsia="zh-CN"/>
              </w:rPr>
              <w:t>支持</w:t>
            </w:r>
            <w:r>
              <w:rPr>
                <w:rFonts w:hint="eastAsia"/>
                <w:color w:val="auto"/>
                <w:highlight w:val="none"/>
              </w:rPr>
              <w:t>带掉电检测功能</w:t>
            </w:r>
            <w:r>
              <w:rPr>
                <w:rFonts w:hint="eastAsia"/>
                <w:color w:val="auto"/>
                <w:highlight w:val="none"/>
                <w:lang w:val="en-US" w:eastAsia="zh-CN"/>
              </w:rPr>
              <w:t>；</w:t>
            </w:r>
            <w:r>
              <w:rPr>
                <w:rFonts w:hint="eastAsia"/>
                <w:color w:val="auto"/>
                <w:highlight w:val="none"/>
              </w:rPr>
              <w:br w:type="textWrapping"/>
            </w:r>
            <w:r>
              <w:rPr>
                <w:rFonts w:hint="eastAsia"/>
                <w:color w:val="auto"/>
                <w:highlight w:val="none"/>
              </w:rPr>
              <w:t>③总线协议接口：EtherCAT+NCUC或EtherCAT+M3</w:t>
            </w:r>
            <w:r>
              <w:rPr>
                <w:rFonts w:hint="eastAsia"/>
                <w:color w:val="auto"/>
                <w:highlight w:val="none"/>
                <w:lang w:val="en-US" w:eastAsia="zh-CN"/>
              </w:rPr>
              <w:t>；</w:t>
            </w:r>
            <w:r>
              <w:rPr>
                <w:rFonts w:hint="eastAsia"/>
                <w:color w:val="auto"/>
                <w:highlight w:val="none"/>
              </w:rPr>
              <w:br w:type="textWrapping"/>
            </w:r>
            <w:r>
              <w:rPr>
                <w:rFonts w:hint="eastAsia"/>
                <w:color w:val="auto"/>
                <w:highlight w:val="none"/>
              </w:rPr>
              <w:t>④磁盘容量：不低于8G固态盘，预留mSATA接口</w:t>
            </w:r>
            <w:r>
              <w:rPr>
                <w:rFonts w:hint="eastAsia"/>
                <w:color w:val="auto"/>
                <w:highlight w:val="none"/>
                <w:lang w:val="en-US" w:eastAsia="zh-CN"/>
              </w:rPr>
              <w:t>；</w:t>
            </w:r>
            <w:r>
              <w:rPr>
                <w:rFonts w:hint="eastAsia"/>
                <w:color w:val="auto"/>
                <w:highlight w:val="none"/>
              </w:rPr>
              <w:br w:type="textWrapping"/>
            </w:r>
            <w:r>
              <w:rPr>
                <w:rFonts w:hint="eastAsia"/>
                <w:color w:val="auto"/>
                <w:highlight w:val="none"/>
              </w:rPr>
              <w:t>⑤内存空间：不低于1G</w:t>
            </w:r>
            <w:r>
              <w:rPr>
                <w:rFonts w:hint="eastAsia"/>
                <w:color w:val="auto"/>
                <w:highlight w:val="none"/>
                <w:lang w:val="en-US" w:eastAsia="zh-CN"/>
              </w:rPr>
              <w:t>；</w:t>
            </w:r>
            <w:r>
              <w:rPr>
                <w:rFonts w:hint="eastAsia"/>
                <w:color w:val="auto"/>
                <w:highlight w:val="none"/>
              </w:rPr>
              <w:br w:type="textWrapping"/>
            </w:r>
            <w:r>
              <w:rPr>
                <w:rFonts w:hint="eastAsia"/>
                <w:color w:val="auto"/>
                <w:highlight w:val="none"/>
              </w:rPr>
              <w:t>⑥网口：不少于1个1000Mbps千兆网口</w:t>
            </w:r>
            <w:r>
              <w:rPr>
                <w:rFonts w:hint="eastAsia"/>
                <w:color w:val="auto"/>
                <w:highlight w:val="none"/>
                <w:lang w:val="en-US" w:eastAsia="zh-CN"/>
              </w:rPr>
              <w:t>；</w:t>
            </w:r>
            <w:r>
              <w:rPr>
                <w:rFonts w:hint="eastAsia"/>
                <w:color w:val="auto"/>
                <w:highlight w:val="none"/>
              </w:rPr>
              <w:br w:type="textWrapping"/>
            </w:r>
            <w:r>
              <w:rPr>
                <w:rFonts w:hint="eastAsia"/>
                <w:color w:val="auto"/>
                <w:highlight w:val="none"/>
              </w:rPr>
              <w:t>9.数控系统具备的功能：</w:t>
            </w:r>
            <w:r>
              <w:rPr>
                <w:rFonts w:hint="eastAsia"/>
                <w:color w:val="auto"/>
                <w:highlight w:val="none"/>
              </w:rPr>
              <w:br w:type="textWrapping"/>
            </w:r>
            <w:r>
              <w:rPr>
                <w:rFonts w:hint="eastAsia"/>
                <w:color w:val="auto"/>
                <w:highlight w:val="none"/>
              </w:rPr>
              <w:t>(1)</w:t>
            </w:r>
            <w:r>
              <w:rPr>
                <w:rFonts w:hint="eastAsia"/>
                <w:color w:val="auto"/>
                <w:highlight w:val="none"/>
                <w:lang w:val="en-US" w:eastAsia="zh-CN"/>
              </w:rPr>
              <w:t>支持</w:t>
            </w:r>
            <w:r>
              <w:rPr>
                <w:rFonts w:hint="eastAsia"/>
                <w:color w:val="auto"/>
                <w:highlight w:val="none"/>
              </w:rPr>
              <w:t>用户宏设置功能；</w:t>
            </w:r>
            <w:r>
              <w:rPr>
                <w:rFonts w:hint="eastAsia"/>
                <w:color w:val="auto"/>
                <w:highlight w:val="none"/>
              </w:rPr>
              <w:br w:type="textWrapping"/>
            </w:r>
            <w:r>
              <w:rPr>
                <w:rFonts w:hint="eastAsia"/>
                <w:color w:val="auto"/>
                <w:highlight w:val="none"/>
              </w:rPr>
              <w:t>(2)</w:t>
            </w:r>
            <w:r>
              <w:rPr>
                <w:rFonts w:hint="eastAsia"/>
                <w:color w:val="auto"/>
                <w:highlight w:val="none"/>
                <w:lang w:val="en-US" w:eastAsia="zh-CN"/>
              </w:rPr>
              <w:t>支持</w:t>
            </w:r>
            <w:r>
              <w:rPr>
                <w:rFonts w:hint="eastAsia"/>
                <w:color w:val="auto"/>
                <w:highlight w:val="none"/>
              </w:rPr>
              <w:t>轨迹设置功能：①视图切换：不少于5个视图切换；②图形还原；③刀具路径颜色配置：不少于100个刀具轨迹颜色配置以及有不少于20种颜色选择的颜色表；④图形中心设置：具备选择不同坐标系为图形中心功能；⑤图形设置：图形中心X设置、图形中心Y设置、图形中心Z设置以及缩放比例设置；</w:t>
            </w:r>
            <w:r>
              <w:rPr>
                <w:rFonts w:hint="eastAsia"/>
                <w:color w:val="auto"/>
                <w:highlight w:val="none"/>
              </w:rPr>
              <w:br w:type="textWrapping"/>
            </w:r>
            <w:r>
              <w:rPr>
                <w:rFonts w:hint="eastAsia"/>
                <w:color w:val="auto"/>
                <w:highlight w:val="none"/>
              </w:rPr>
              <w:t>(3)</w:t>
            </w:r>
            <w:r>
              <w:rPr>
                <w:rFonts w:hint="eastAsia"/>
                <w:color w:val="auto"/>
                <w:highlight w:val="none"/>
                <w:lang w:val="en-US" w:eastAsia="zh-CN"/>
              </w:rPr>
              <w:t>支持</w:t>
            </w:r>
            <w:r>
              <w:rPr>
                <w:rFonts w:hint="eastAsia"/>
                <w:color w:val="auto"/>
                <w:highlight w:val="none"/>
              </w:rPr>
              <w:t>系统盘、U盘、用户盘程序管理、存储；</w:t>
            </w:r>
            <w:r>
              <w:rPr>
                <w:rFonts w:hint="eastAsia"/>
                <w:color w:val="auto"/>
                <w:highlight w:val="none"/>
              </w:rPr>
              <w:br w:type="textWrapping"/>
            </w:r>
            <w:r>
              <w:rPr>
                <w:rFonts w:hint="eastAsia"/>
                <w:color w:val="auto"/>
                <w:highlight w:val="none"/>
              </w:rPr>
              <w:t>(4)</w:t>
            </w:r>
            <w:r>
              <w:rPr>
                <w:rFonts w:hint="eastAsia"/>
                <w:color w:val="auto"/>
                <w:highlight w:val="none"/>
                <w:lang w:val="en-US" w:eastAsia="zh-CN"/>
              </w:rPr>
              <w:t>支持</w:t>
            </w:r>
            <w:r>
              <w:rPr>
                <w:rFonts w:hint="eastAsia"/>
                <w:color w:val="auto"/>
                <w:highlight w:val="none"/>
              </w:rPr>
              <w:t>梯图监控功能：梯图在线监控功能；</w:t>
            </w:r>
            <w:r>
              <w:rPr>
                <w:rFonts w:hint="eastAsia"/>
                <w:color w:val="auto"/>
                <w:highlight w:val="none"/>
              </w:rPr>
              <w:br w:type="textWrapping"/>
            </w:r>
            <w:r>
              <w:rPr>
                <w:rFonts w:hint="eastAsia"/>
                <w:color w:val="auto"/>
                <w:highlight w:val="none"/>
              </w:rPr>
              <w:t>(5)</w:t>
            </w:r>
            <w:r>
              <w:rPr>
                <w:rFonts w:hint="eastAsia"/>
                <w:color w:val="auto"/>
                <w:highlight w:val="none"/>
                <w:lang w:val="en-US" w:eastAsia="zh-CN"/>
              </w:rPr>
              <w:t>支持</w:t>
            </w:r>
            <w:r>
              <w:rPr>
                <w:rFonts w:hint="eastAsia"/>
                <w:color w:val="auto"/>
                <w:highlight w:val="none"/>
              </w:rPr>
              <w:t>梯图编辑功能：梯图在线编辑功能；</w:t>
            </w:r>
            <w:r>
              <w:rPr>
                <w:rFonts w:hint="eastAsia"/>
                <w:color w:val="auto"/>
                <w:highlight w:val="none"/>
              </w:rPr>
              <w:br w:type="textWrapping"/>
            </w:r>
            <w:r>
              <w:rPr>
                <w:rFonts w:hint="eastAsia"/>
                <w:color w:val="auto"/>
                <w:highlight w:val="none"/>
              </w:rPr>
              <w:t>(6)</w:t>
            </w:r>
            <w:r>
              <w:rPr>
                <w:rFonts w:hint="eastAsia"/>
                <w:color w:val="auto"/>
                <w:highlight w:val="none"/>
                <w:lang w:val="en-US" w:eastAsia="zh-CN"/>
              </w:rPr>
              <w:t>支持</w:t>
            </w:r>
            <w:r>
              <w:rPr>
                <w:rFonts w:hint="eastAsia"/>
                <w:color w:val="auto"/>
                <w:highlight w:val="none"/>
              </w:rPr>
              <w:t>梯图信息功能：</w:t>
            </w:r>
          </w:p>
          <w:p w14:paraId="249ED16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216" w:leftChars="103" w:firstLine="0" w:firstLineChars="0"/>
              <w:jc w:val="left"/>
              <w:textAlignment w:val="auto"/>
              <w:rPr>
                <w:rFonts w:hint="eastAsia"/>
                <w:color w:val="auto"/>
                <w:highlight w:val="none"/>
              </w:rPr>
            </w:pPr>
            <w:r>
              <w:rPr>
                <w:rFonts w:hint="eastAsia"/>
                <w:color w:val="auto"/>
                <w:highlight w:val="none"/>
              </w:rPr>
              <w:t>①梯图标题：梯图相关信息显示；</w:t>
            </w:r>
          </w:p>
          <w:p w14:paraId="56DAE9C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216" w:leftChars="103" w:firstLine="0" w:firstLineChars="0"/>
              <w:jc w:val="left"/>
              <w:textAlignment w:val="auto"/>
              <w:rPr>
                <w:rFonts w:hint="eastAsia"/>
                <w:color w:val="auto"/>
                <w:highlight w:val="none"/>
              </w:rPr>
            </w:pPr>
            <w:r>
              <w:rPr>
                <w:rFonts w:hint="eastAsia"/>
                <w:color w:val="auto"/>
                <w:highlight w:val="none"/>
              </w:rPr>
              <w:t>②符号表设置：含有寄存器、符号名以及注释栏，能对符号表进行增加、删除、查找、更新修改以及放弃修改；</w:t>
            </w:r>
          </w:p>
          <w:p w14:paraId="31722F4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216" w:leftChars="103" w:firstLine="0" w:firstLineChars="0"/>
              <w:jc w:val="left"/>
              <w:textAlignment w:val="auto"/>
              <w:rPr>
                <w:rFonts w:hint="eastAsia"/>
                <w:color w:val="auto"/>
                <w:highlight w:val="none"/>
              </w:rPr>
            </w:pPr>
            <w:r>
              <w:rPr>
                <w:rFonts w:hint="eastAsia"/>
                <w:color w:val="auto"/>
                <w:highlight w:val="none"/>
              </w:rPr>
              <w:t>③IO对照表设置：含有寄存器（I/Q）、IO点（X/Y）、电平、周期、符号名以及注释栏，能对IO对照表（包含用户IO和面板IO）进行增加、删除、查找、查找下一个、更新修改以及放弃修改；</w:t>
            </w:r>
          </w:p>
          <w:p w14:paraId="3D8E73B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216" w:leftChars="103" w:firstLine="0" w:firstLineChars="0"/>
              <w:jc w:val="left"/>
              <w:textAlignment w:val="auto"/>
              <w:rPr>
                <w:rFonts w:hint="eastAsia"/>
                <w:color w:val="auto"/>
                <w:highlight w:val="none"/>
              </w:rPr>
            </w:pPr>
            <w:r>
              <w:rPr>
                <w:rFonts w:hint="eastAsia"/>
                <w:color w:val="auto"/>
                <w:highlight w:val="none"/>
              </w:rPr>
              <w:t>④K参数设置：具有设定有效开关，可对不少于16个K参数进行ON或OFF设置；</w:t>
            </w:r>
          </w:p>
          <w:p w14:paraId="41C681A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216" w:leftChars="103" w:firstLine="0" w:firstLineChars="0"/>
              <w:jc w:val="left"/>
              <w:textAlignment w:val="auto"/>
              <w:rPr>
                <w:rFonts w:hint="eastAsia"/>
                <w:color w:val="auto"/>
                <w:highlight w:val="none"/>
              </w:rPr>
            </w:pPr>
            <w:r>
              <w:rPr>
                <w:rFonts w:hint="eastAsia"/>
                <w:color w:val="auto"/>
                <w:highlight w:val="none"/>
              </w:rPr>
              <w:t>⑤定时器设置：含有索引、地址、指令字、当前值、预设值、符号名以及注释栏，可对不少于512个定时器进行设置、查找、更新修改以及放弃修改；</w:t>
            </w:r>
          </w:p>
          <w:p w14:paraId="5D665C1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216" w:leftChars="103" w:firstLine="0" w:firstLineChars="0"/>
              <w:jc w:val="left"/>
              <w:textAlignment w:val="auto"/>
              <w:rPr>
                <w:rFonts w:hint="eastAsia"/>
                <w:color w:val="auto"/>
                <w:highlight w:val="none"/>
              </w:rPr>
            </w:pPr>
            <w:r>
              <w:rPr>
                <w:rFonts w:hint="eastAsia"/>
                <w:color w:val="auto"/>
                <w:highlight w:val="none"/>
              </w:rPr>
              <w:t>⑥计数器设置：含有索引、地址、指令字、当前值、预设值、符号名以及注释栏，可对不少于512个计数器进行设置、查找、更新修改以及放弃修改；</w:t>
            </w:r>
            <w:r>
              <w:rPr>
                <w:rFonts w:hint="eastAsia"/>
                <w:color w:val="auto"/>
                <w:highlight w:val="none"/>
              </w:rPr>
              <w:br w:type="textWrapping"/>
            </w:r>
            <w:r>
              <w:rPr>
                <w:rFonts w:hint="eastAsia"/>
                <w:color w:val="auto"/>
                <w:highlight w:val="none"/>
              </w:rPr>
              <w:t>⑦</w:t>
            </w:r>
            <w:r>
              <w:rPr>
                <w:rFonts w:hint="eastAsia"/>
                <w:color w:val="auto"/>
                <w:highlight w:val="none"/>
                <w:lang w:val="en-US" w:eastAsia="zh-CN"/>
              </w:rPr>
              <w:t>支持</w:t>
            </w:r>
            <w:r>
              <w:rPr>
                <w:rFonts w:hint="eastAsia"/>
                <w:color w:val="auto"/>
                <w:highlight w:val="none"/>
              </w:rPr>
              <w:t>报警设置：可对不少于256个报警地址进行报警内容定义、查找、更新修改以及放弃修改；可对不少于384个提示地址进行提示内容定义、查找、更新修改以及放弃修改；</w:t>
            </w:r>
          </w:p>
          <w:p w14:paraId="290EA4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216" w:leftChars="103" w:firstLine="0" w:firstLineChars="0"/>
              <w:jc w:val="left"/>
              <w:textAlignment w:val="auto"/>
              <w:rPr>
                <w:rFonts w:hint="eastAsia"/>
                <w:color w:val="auto"/>
                <w:highlight w:val="none"/>
              </w:rPr>
            </w:pPr>
            <w:r>
              <w:rPr>
                <w:rFonts w:hint="eastAsia"/>
                <w:color w:val="auto"/>
                <w:highlight w:val="none"/>
              </w:rPr>
              <w:t>⑧可对PLC进行运行停止设置；</w:t>
            </w:r>
            <w:r>
              <w:rPr>
                <w:rFonts w:hint="eastAsia"/>
                <w:color w:val="auto"/>
                <w:highlight w:val="none"/>
              </w:rPr>
              <w:br w:type="textWrapping"/>
            </w:r>
            <w:r>
              <w:rPr>
                <w:rFonts w:hint="eastAsia"/>
                <w:color w:val="auto"/>
                <w:highlight w:val="none"/>
              </w:rPr>
              <w:t>(7)</w:t>
            </w:r>
            <w:r>
              <w:rPr>
                <w:rFonts w:hint="eastAsia"/>
                <w:color w:val="auto"/>
                <w:highlight w:val="none"/>
                <w:lang w:val="en-US" w:eastAsia="zh-CN"/>
              </w:rPr>
              <w:t>支持</w:t>
            </w:r>
            <w:r>
              <w:rPr>
                <w:rFonts w:hint="eastAsia"/>
                <w:color w:val="auto"/>
                <w:highlight w:val="none"/>
              </w:rPr>
              <w:t>导入工艺文件功能；</w:t>
            </w:r>
            <w:r>
              <w:rPr>
                <w:rFonts w:hint="eastAsia"/>
                <w:color w:val="auto"/>
                <w:highlight w:val="none"/>
              </w:rPr>
              <w:br w:type="textWrapping"/>
            </w:r>
            <w:r>
              <w:rPr>
                <w:rFonts w:hint="eastAsia"/>
                <w:color w:val="auto"/>
                <w:highlight w:val="none"/>
              </w:rPr>
              <w:t>(8)</w:t>
            </w:r>
            <w:r>
              <w:rPr>
                <w:rFonts w:hint="eastAsia"/>
                <w:color w:val="auto"/>
                <w:highlight w:val="none"/>
                <w:lang w:val="en-US" w:eastAsia="zh-CN"/>
              </w:rPr>
              <w:t>支持</w:t>
            </w:r>
            <w:r>
              <w:rPr>
                <w:rFonts w:hint="eastAsia"/>
                <w:color w:val="auto"/>
                <w:highlight w:val="none"/>
              </w:rPr>
              <w:t>编程引导功能；</w:t>
            </w:r>
            <w:r>
              <w:rPr>
                <w:rFonts w:hint="eastAsia"/>
                <w:color w:val="auto"/>
                <w:highlight w:val="none"/>
              </w:rPr>
              <w:br w:type="textWrapping"/>
            </w:r>
            <w:r>
              <w:rPr>
                <w:rFonts w:hint="eastAsia"/>
                <w:color w:val="auto"/>
                <w:highlight w:val="none"/>
              </w:rPr>
              <w:t>(9)</w:t>
            </w:r>
            <w:r>
              <w:rPr>
                <w:rFonts w:hint="eastAsia"/>
                <w:color w:val="auto"/>
                <w:highlight w:val="none"/>
                <w:lang w:val="en-US" w:eastAsia="zh-CN"/>
              </w:rPr>
              <w:t>支持</w:t>
            </w:r>
            <w:r>
              <w:rPr>
                <w:rFonts w:hint="eastAsia"/>
                <w:color w:val="auto"/>
                <w:highlight w:val="none"/>
              </w:rPr>
              <w:t>加工统计功能；</w:t>
            </w:r>
            <w:r>
              <w:rPr>
                <w:rFonts w:hint="eastAsia"/>
                <w:color w:val="auto"/>
                <w:highlight w:val="none"/>
              </w:rPr>
              <w:br w:type="textWrapping"/>
            </w:r>
            <w:r>
              <w:rPr>
                <w:rFonts w:hint="eastAsia"/>
                <w:color w:val="auto"/>
                <w:highlight w:val="none"/>
              </w:rPr>
              <w:t>(10)</w:t>
            </w:r>
            <w:r>
              <w:rPr>
                <w:rFonts w:hint="eastAsia"/>
                <w:color w:val="auto"/>
                <w:highlight w:val="none"/>
                <w:lang w:val="en-US" w:eastAsia="zh-CN"/>
              </w:rPr>
              <w:t>支持</w:t>
            </w:r>
            <w:r>
              <w:rPr>
                <w:rFonts w:hint="eastAsia"/>
                <w:color w:val="auto"/>
                <w:highlight w:val="none"/>
              </w:rPr>
              <w:t>机床状态二维码功能：包含机床状态二维码、工件统计二维码、报警历史二维码、故障诊断二维码、调机报表二维码、手机APP二维码以及健康保障二维码，通过手机扫描实时、快捷了解机床状态。</w:t>
            </w:r>
            <w:r>
              <w:rPr>
                <w:rFonts w:hint="eastAsia"/>
                <w:color w:val="auto"/>
                <w:highlight w:val="none"/>
              </w:rPr>
              <w:br w:type="textWrapping"/>
            </w:r>
            <w:r>
              <w:rPr>
                <w:rFonts w:hint="eastAsia"/>
                <w:color w:val="auto"/>
                <w:highlight w:val="none"/>
              </w:rPr>
              <w:t>(11)</w:t>
            </w:r>
            <w:r>
              <w:rPr>
                <w:rFonts w:hint="eastAsia"/>
                <w:color w:val="auto"/>
                <w:highlight w:val="none"/>
                <w:lang w:val="en-US" w:eastAsia="zh-CN"/>
              </w:rPr>
              <w:t>支持</w:t>
            </w:r>
            <w:r>
              <w:rPr>
                <w:rFonts w:hint="eastAsia"/>
                <w:color w:val="auto"/>
                <w:highlight w:val="none"/>
              </w:rPr>
              <w:t>断点运行功能；</w:t>
            </w:r>
            <w:r>
              <w:rPr>
                <w:rFonts w:hint="eastAsia"/>
                <w:color w:val="auto"/>
                <w:highlight w:val="none"/>
              </w:rPr>
              <w:br w:type="textWrapping"/>
            </w:r>
            <w:r>
              <w:rPr>
                <w:rFonts w:hint="eastAsia"/>
                <w:color w:val="auto"/>
                <w:highlight w:val="none"/>
              </w:rPr>
              <w:t>(12)</w:t>
            </w:r>
            <w:r>
              <w:rPr>
                <w:rFonts w:hint="eastAsia"/>
                <w:color w:val="auto"/>
                <w:highlight w:val="none"/>
                <w:lang w:val="en-US" w:eastAsia="zh-CN"/>
              </w:rPr>
              <w:t>支持</w:t>
            </w:r>
            <w:r>
              <w:rPr>
                <w:rFonts w:hint="eastAsia"/>
                <w:color w:val="auto"/>
                <w:highlight w:val="none"/>
              </w:rPr>
              <w:t>刀库配置功能；</w:t>
            </w:r>
            <w:r>
              <w:rPr>
                <w:rFonts w:hint="eastAsia"/>
                <w:color w:val="auto"/>
                <w:highlight w:val="none"/>
              </w:rPr>
              <w:br w:type="textWrapping"/>
            </w:r>
            <w:r>
              <w:rPr>
                <w:rFonts w:hint="eastAsia"/>
                <w:color w:val="auto"/>
                <w:highlight w:val="none"/>
              </w:rPr>
              <w:t>(13)</w:t>
            </w:r>
            <w:r>
              <w:rPr>
                <w:rFonts w:hint="eastAsia"/>
                <w:color w:val="auto"/>
                <w:highlight w:val="none"/>
                <w:lang w:val="en-US" w:eastAsia="zh-CN"/>
              </w:rPr>
              <w:t>支持</w:t>
            </w:r>
            <w:r>
              <w:rPr>
                <w:rFonts w:hint="eastAsia"/>
                <w:color w:val="auto"/>
                <w:highlight w:val="none"/>
              </w:rPr>
              <w:t>刀具寿命管理功能；</w:t>
            </w:r>
            <w:r>
              <w:rPr>
                <w:rFonts w:hint="eastAsia"/>
                <w:color w:val="auto"/>
                <w:highlight w:val="none"/>
              </w:rPr>
              <w:br w:type="textWrapping"/>
            </w:r>
            <w:r>
              <w:rPr>
                <w:rFonts w:hint="eastAsia"/>
                <w:color w:val="auto"/>
                <w:highlight w:val="none"/>
              </w:rPr>
              <w:t>(14)</w:t>
            </w:r>
            <w:r>
              <w:rPr>
                <w:rFonts w:hint="eastAsia"/>
                <w:color w:val="auto"/>
                <w:highlight w:val="none"/>
                <w:lang w:val="en-US" w:eastAsia="zh-CN"/>
              </w:rPr>
              <w:t>支持</w:t>
            </w:r>
            <w:r>
              <w:rPr>
                <w:rFonts w:hint="eastAsia"/>
                <w:color w:val="auto"/>
                <w:highlight w:val="none"/>
              </w:rPr>
              <w:t>断刀监测功能；具备通过实际功率和断刀空跑功率实时比较检测加工刀具是否断裂功能</w:t>
            </w:r>
            <w:r>
              <w:rPr>
                <w:rFonts w:hint="eastAsia"/>
                <w:color w:val="auto"/>
                <w:highlight w:val="none"/>
                <w:lang w:val="en-US" w:eastAsia="zh-CN"/>
              </w:rPr>
              <w:t>；</w:t>
            </w:r>
            <w:r>
              <w:rPr>
                <w:rFonts w:hint="eastAsia"/>
                <w:color w:val="auto"/>
                <w:highlight w:val="none"/>
              </w:rPr>
              <w:br w:type="textWrapping"/>
            </w:r>
            <w:r>
              <w:rPr>
                <w:rFonts w:hint="eastAsia"/>
                <w:color w:val="auto"/>
                <w:highlight w:val="none"/>
              </w:rPr>
              <w:t>(15)</w:t>
            </w:r>
            <w:r>
              <w:rPr>
                <w:rFonts w:hint="eastAsia"/>
                <w:color w:val="auto"/>
                <w:highlight w:val="none"/>
                <w:lang w:val="en-US" w:eastAsia="zh-CN"/>
              </w:rPr>
              <w:t>支持</w:t>
            </w:r>
            <w:r>
              <w:rPr>
                <w:rFonts w:hint="eastAsia"/>
                <w:color w:val="auto"/>
                <w:highlight w:val="none"/>
              </w:rPr>
              <w:t>刀具测量功能；</w:t>
            </w:r>
            <w:r>
              <w:rPr>
                <w:rFonts w:hint="eastAsia"/>
                <w:color w:val="auto"/>
                <w:highlight w:val="none"/>
              </w:rPr>
              <w:br w:type="textWrapping"/>
            </w:r>
            <w:r>
              <w:rPr>
                <w:rFonts w:hint="eastAsia"/>
                <w:color w:val="auto"/>
                <w:highlight w:val="none"/>
              </w:rPr>
              <w:t>(16)</w:t>
            </w:r>
            <w:r>
              <w:rPr>
                <w:rFonts w:hint="eastAsia"/>
                <w:color w:val="auto"/>
                <w:highlight w:val="none"/>
                <w:lang w:val="en-US" w:eastAsia="zh-CN"/>
              </w:rPr>
              <w:t>支持</w:t>
            </w:r>
            <w:r>
              <w:rPr>
                <w:rFonts w:hint="eastAsia"/>
                <w:color w:val="auto"/>
                <w:highlight w:val="none"/>
              </w:rPr>
              <w:t>自检功能：具备通过运行自检程序进行机床健康状态诊断功能并通过雷达图将机床系统当前健康状态显示出来；</w:t>
            </w:r>
            <w:r>
              <w:rPr>
                <w:rFonts w:hint="eastAsia"/>
                <w:color w:val="auto"/>
                <w:highlight w:val="none"/>
              </w:rPr>
              <w:br w:type="textWrapping"/>
            </w:r>
            <w:r>
              <w:rPr>
                <w:rFonts w:hint="eastAsia"/>
                <w:color w:val="auto"/>
                <w:highlight w:val="none"/>
              </w:rPr>
              <w:t>(17)</w:t>
            </w:r>
            <w:r>
              <w:rPr>
                <w:rFonts w:hint="eastAsia"/>
                <w:color w:val="auto"/>
                <w:highlight w:val="none"/>
                <w:lang w:val="en-US" w:eastAsia="zh-CN"/>
              </w:rPr>
              <w:t>支持</w:t>
            </w:r>
            <w:r>
              <w:rPr>
                <w:rFonts w:hint="eastAsia"/>
                <w:color w:val="auto"/>
                <w:highlight w:val="none"/>
              </w:rPr>
              <w:t>故障录像功能：具备通过记录故障前≥10s的采样数据，通过对录像数据的回放和分析，诊断出故障产生的原因；</w:t>
            </w:r>
            <w:r>
              <w:rPr>
                <w:rFonts w:hint="eastAsia"/>
                <w:color w:val="auto"/>
                <w:highlight w:val="none"/>
              </w:rPr>
              <w:br w:type="textWrapping"/>
            </w:r>
            <w:r>
              <w:rPr>
                <w:rFonts w:hint="eastAsia"/>
                <w:color w:val="auto"/>
                <w:highlight w:val="none"/>
              </w:rPr>
              <w:t>(18)</w:t>
            </w:r>
            <w:r>
              <w:rPr>
                <w:rFonts w:hint="eastAsia"/>
                <w:color w:val="auto"/>
                <w:highlight w:val="none"/>
                <w:lang w:val="en-US" w:eastAsia="zh-CN"/>
              </w:rPr>
              <w:t>支持</w:t>
            </w:r>
            <w:r>
              <w:rPr>
                <w:rFonts w:hint="eastAsia"/>
                <w:color w:val="auto"/>
                <w:highlight w:val="none"/>
              </w:rPr>
              <w:t>伺服自整定功能：具备通过运行整定过程配置参数达到机电调试最优提升零件加工质量和加工效率；</w:t>
            </w:r>
            <w:r>
              <w:rPr>
                <w:rFonts w:hint="eastAsia"/>
                <w:color w:val="auto"/>
                <w:highlight w:val="none"/>
              </w:rPr>
              <w:br w:type="textWrapping"/>
            </w:r>
            <w:r>
              <w:rPr>
                <w:rFonts w:hint="eastAsia"/>
                <w:color w:val="auto"/>
                <w:highlight w:val="none"/>
              </w:rPr>
              <w:t>(19)</w:t>
            </w:r>
            <w:r>
              <w:rPr>
                <w:rFonts w:hint="eastAsia"/>
                <w:color w:val="auto"/>
                <w:highlight w:val="none"/>
                <w:lang w:val="en-US" w:eastAsia="zh-CN"/>
              </w:rPr>
              <w:t>支持</w:t>
            </w:r>
            <w:r>
              <w:rPr>
                <w:rFonts w:hint="eastAsia"/>
                <w:color w:val="auto"/>
                <w:highlight w:val="none"/>
              </w:rPr>
              <w:t>丝杠负荷检查功能：具备检测机床丝杠各区间点丝杠负荷值功能以便快速检测出装配质量以及丝杠当前状态；</w:t>
            </w:r>
            <w:r>
              <w:rPr>
                <w:rFonts w:hint="eastAsia"/>
                <w:color w:val="auto"/>
                <w:highlight w:val="none"/>
              </w:rPr>
              <w:br w:type="textWrapping"/>
            </w:r>
            <w:r>
              <w:rPr>
                <w:rFonts w:hint="eastAsia"/>
                <w:color w:val="auto"/>
                <w:highlight w:val="none"/>
              </w:rPr>
              <w:t>(20)</w:t>
            </w:r>
            <w:r>
              <w:rPr>
                <w:rFonts w:hint="eastAsia"/>
                <w:color w:val="auto"/>
                <w:highlight w:val="none"/>
                <w:lang w:val="en-US" w:eastAsia="zh-CN"/>
              </w:rPr>
              <w:t>支持</w:t>
            </w:r>
            <w:r>
              <w:rPr>
                <w:rFonts w:hint="eastAsia"/>
                <w:color w:val="auto"/>
                <w:highlight w:val="none"/>
              </w:rPr>
              <w:t>工艺评估功能：具备对G代码进行工艺参数评估功能，并能给出评估结果、评估建议；</w:t>
            </w:r>
            <w:r>
              <w:rPr>
                <w:rFonts w:hint="eastAsia"/>
                <w:color w:val="auto"/>
                <w:highlight w:val="none"/>
              </w:rPr>
              <w:br w:type="textWrapping"/>
            </w:r>
            <w:r>
              <w:rPr>
                <w:rFonts w:hint="eastAsia"/>
                <w:color w:val="auto"/>
                <w:highlight w:val="none"/>
              </w:rPr>
              <w:t>(21)</w:t>
            </w:r>
            <w:r>
              <w:rPr>
                <w:rFonts w:hint="eastAsia"/>
                <w:color w:val="auto"/>
                <w:highlight w:val="none"/>
                <w:lang w:val="en-US" w:eastAsia="zh-CN"/>
              </w:rPr>
              <w:t>支持</w:t>
            </w:r>
            <w:r>
              <w:rPr>
                <w:rFonts w:hint="eastAsia"/>
                <w:color w:val="auto"/>
                <w:highlight w:val="none"/>
              </w:rPr>
              <w:t>P参数设置功能：对用户参数进行设置、查找、更新修改以及放弃修改；</w:t>
            </w:r>
            <w:r>
              <w:rPr>
                <w:rFonts w:hint="eastAsia"/>
                <w:color w:val="auto"/>
                <w:highlight w:val="none"/>
              </w:rPr>
              <w:br w:type="textWrapping"/>
            </w:r>
            <w:r>
              <w:rPr>
                <w:rFonts w:hint="eastAsia"/>
                <w:color w:val="auto"/>
                <w:highlight w:val="none"/>
              </w:rPr>
              <w:t>(22)</w:t>
            </w:r>
            <w:r>
              <w:rPr>
                <w:rFonts w:hint="eastAsia"/>
                <w:color w:val="auto"/>
                <w:highlight w:val="none"/>
                <w:lang w:val="en-US" w:eastAsia="zh-CN"/>
              </w:rPr>
              <w:t>支持</w:t>
            </w:r>
            <w:r>
              <w:rPr>
                <w:rFonts w:hint="eastAsia"/>
                <w:color w:val="auto"/>
                <w:highlight w:val="none"/>
              </w:rPr>
              <w:t>M代码设置功能：对不少于999个M代码进行设置以及查找；</w:t>
            </w:r>
            <w:r>
              <w:rPr>
                <w:rFonts w:hint="eastAsia"/>
                <w:color w:val="auto"/>
                <w:highlight w:val="none"/>
              </w:rPr>
              <w:br w:type="textWrapping"/>
            </w:r>
            <w:r>
              <w:rPr>
                <w:rFonts w:hint="eastAsia"/>
                <w:color w:val="auto"/>
                <w:highlight w:val="none"/>
              </w:rPr>
              <w:t>(23)</w:t>
            </w:r>
            <w:r>
              <w:rPr>
                <w:rFonts w:hint="eastAsia"/>
                <w:color w:val="auto"/>
                <w:highlight w:val="none"/>
                <w:lang w:val="en-US" w:eastAsia="zh-CN"/>
              </w:rPr>
              <w:t>支持</w:t>
            </w:r>
            <w:r>
              <w:rPr>
                <w:rFonts w:hint="eastAsia"/>
                <w:color w:val="auto"/>
                <w:highlight w:val="none"/>
              </w:rPr>
              <w:t>PLC开关设置功能：含有设定有效开关，对PLC地址位进行ON和OFF设置；</w:t>
            </w:r>
            <w:r>
              <w:rPr>
                <w:rFonts w:hint="eastAsia"/>
                <w:color w:val="auto"/>
                <w:highlight w:val="none"/>
              </w:rPr>
              <w:br w:type="textWrapping"/>
            </w:r>
            <w:r>
              <w:rPr>
                <w:rFonts w:hint="eastAsia"/>
                <w:color w:val="auto"/>
                <w:highlight w:val="none"/>
              </w:rPr>
              <w:t>(24)</w:t>
            </w:r>
            <w:r>
              <w:rPr>
                <w:rFonts w:hint="eastAsia"/>
                <w:color w:val="auto"/>
                <w:highlight w:val="none"/>
                <w:lang w:val="en-US" w:eastAsia="zh-CN"/>
              </w:rPr>
              <w:t>支持</w:t>
            </w:r>
            <w:r>
              <w:rPr>
                <w:rFonts w:hint="eastAsia"/>
                <w:color w:val="auto"/>
                <w:highlight w:val="none"/>
              </w:rPr>
              <w:t>通讯设定功能：可对本地、共享盘、FTP、云盘进行网络通讯参数设置，具有网络连接、网络断开以及网络PING功能；</w:t>
            </w:r>
            <w:r>
              <w:rPr>
                <w:rFonts w:hint="eastAsia"/>
                <w:color w:val="auto"/>
                <w:highlight w:val="none"/>
              </w:rPr>
              <w:br w:type="textWrapping"/>
            </w:r>
            <w:r>
              <w:rPr>
                <w:rFonts w:hint="eastAsia"/>
                <w:color w:val="auto"/>
                <w:highlight w:val="none"/>
              </w:rPr>
              <w:t>(25)</w:t>
            </w:r>
            <w:r>
              <w:rPr>
                <w:rFonts w:hint="eastAsia"/>
                <w:color w:val="auto"/>
                <w:highlight w:val="none"/>
                <w:lang w:val="en-US" w:eastAsia="zh-CN"/>
              </w:rPr>
              <w:t>支持</w:t>
            </w:r>
            <w:r>
              <w:rPr>
                <w:rFonts w:hint="eastAsia"/>
                <w:color w:val="auto"/>
                <w:highlight w:val="none"/>
              </w:rPr>
              <w:t>个性化设定功能：</w:t>
            </w:r>
          </w:p>
          <w:p w14:paraId="35698A67">
            <w:pPr>
              <w:keepNext w:val="0"/>
              <w:keepLines w:val="0"/>
              <w:pageBreakBefore w:val="0"/>
              <w:widowControl/>
              <w:kinsoku/>
              <w:wordWrap w:val="0"/>
              <w:overflowPunct/>
              <w:topLinePunct w:val="0"/>
              <w:autoSpaceDE/>
              <w:autoSpaceDN/>
              <w:bidi w:val="0"/>
              <w:adjustRightInd/>
              <w:snapToGrid/>
              <w:spacing w:line="360" w:lineRule="auto"/>
              <w:ind w:left="216" w:leftChars="103" w:firstLine="0" w:firstLineChars="0"/>
              <w:jc w:val="left"/>
              <w:textAlignment w:val="auto"/>
              <w:rPr>
                <w:rFonts w:hint="eastAsia"/>
                <w:color w:val="auto"/>
                <w:highlight w:val="none"/>
              </w:rPr>
            </w:pPr>
            <w:r>
              <w:rPr>
                <w:rFonts w:hint="eastAsia"/>
                <w:color w:val="auto"/>
                <w:highlight w:val="none"/>
              </w:rPr>
              <w:t>①语言设定：</w:t>
            </w:r>
            <w:r>
              <w:rPr>
                <w:rFonts w:hint="eastAsia"/>
                <w:color w:val="auto"/>
                <w:highlight w:val="none"/>
                <w:lang w:val="en-US" w:eastAsia="zh-CN"/>
              </w:rPr>
              <w:t>不少于</w:t>
            </w:r>
            <w:r>
              <w:rPr>
                <w:rFonts w:hint="eastAsia"/>
                <w:color w:val="auto"/>
                <w:highlight w:val="none"/>
              </w:rPr>
              <w:t>中文、english</w:t>
            </w:r>
            <w:r>
              <w:rPr>
                <w:rFonts w:hint="eastAsia"/>
                <w:color w:val="auto"/>
                <w:highlight w:val="none"/>
                <w:lang w:eastAsia="zh-CN"/>
              </w:rPr>
              <w:t>、</w:t>
            </w:r>
            <w:r>
              <w:rPr>
                <w:rFonts w:hint="eastAsia"/>
                <w:color w:val="auto"/>
                <w:highlight w:val="none"/>
              </w:rPr>
              <w:t>russia；</w:t>
            </w:r>
          </w:p>
          <w:p w14:paraId="422C53EA">
            <w:pPr>
              <w:keepNext w:val="0"/>
              <w:keepLines w:val="0"/>
              <w:pageBreakBefore w:val="0"/>
              <w:widowControl/>
              <w:kinsoku/>
              <w:wordWrap w:val="0"/>
              <w:overflowPunct/>
              <w:topLinePunct w:val="0"/>
              <w:autoSpaceDE/>
              <w:autoSpaceDN/>
              <w:bidi w:val="0"/>
              <w:adjustRightInd/>
              <w:snapToGrid/>
              <w:spacing w:line="360" w:lineRule="auto"/>
              <w:ind w:left="216" w:leftChars="103" w:firstLine="0" w:firstLineChars="0"/>
              <w:jc w:val="left"/>
              <w:textAlignment w:val="auto"/>
              <w:rPr>
                <w:rFonts w:hint="eastAsia"/>
                <w:color w:val="auto"/>
                <w:highlight w:val="none"/>
              </w:rPr>
            </w:pPr>
            <w:r>
              <w:rPr>
                <w:rFonts w:hint="eastAsia"/>
                <w:color w:val="auto"/>
                <w:highlight w:val="none"/>
              </w:rPr>
              <w:t>②分辨率设置：</w:t>
            </w:r>
            <w:r>
              <w:rPr>
                <w:rFonts w:hint="eastAsia"/>
                <w:color w:val="auto"/>
                <w:highlight w:val="none"/>
                <w:lang w:val="en-US" w:eastAsia="zh-CN"/>
              </w:rPr>
              <w:t>不少于</w:t>
            </w:r>
            <w:r>
              <w:rPr>
                <w:rFonts w:hint="eastAsia"/>
                <w:color w:val="auto"/>
                <w:highlight w:val="none"/>
              </w:rPr>
              <w:t>800</w:t>
            </w:r>
            <w:r>
              <w:rPr>
                <w:rFonts w:hint="eastAsia"/>
                <w:color w:val="auto"/>
                <w:highlight w:val="none"/>
                <w:lang w:eastAsia="zh-CN"/>
              </w:rPr>
              <w:t>×</w:t>
            </w:r>
            <w:r>
              <w:rPr>
                <w:rFonts w:hint="eastAsia"/>
                <w:color w:val="auto"/>
                <w:highlight w:val="none"/>
              </w:rPr>
              <w:t>600、1024</w:t>
            </w:r>
            <w:r>
              <w:rPr>
                <w:rFonts w:hint="eastAsia"/>
                <w:color w:val="auto"/>
                <w:highlight w:val="none"/>
                <w:lang w:eastAsia="zh-CN"/>
              </w:rPr>
              <w:t>×</w:t>
            </w:r>
            <w:r>
              <w:rPr>
                <w:rFonts w:hint="eastAsia"/>
                <w:color w:val="auto"/>
                <w:highlight w:val="none"/>
              </w:rPr>
              <w:t>768、1280</w:t>
            </w:r>
            <w:r>
              <w:rPr>
                <w:rFonts w:hint="eastAsia"/>
                <w:color w:val="auto"/>
                <w:highlight w:val="none"/>
                <w:lang w:eastAsia="zh-CN"/>
              </w:rPr>
              <w:t>×</w:t>
            </w:r>
            <w:r>
              <w:rPr>
                <w:rFonts w:hint="eastAsia"/>
                <w:color w:val="auto"/>
                <w:highlight w:val="none"/>
              </w:rPr>
              <w:t>1024；</w:t>
            </w:r>
          </w:p>
          <w:p w14:paraId="641655C9">
            <w:pPr>
              <w:keepNext w:val="0"/>
              <w:keepLines w:val="0"/>
              <w:pageBreakBefore w:val="0"/>
              <w:widowControl/>
              <w:kinsoku/>
              <w:wordWrap w:val="0"/>
              <w:overflowPunct/>
              <w:topLinePunct w:val="0"/>
              <w:autoSpaceDE/>
              <w:autoSpaceDN/>
              <w:bidi w:val="0"/>
              <w:adjustRightInd/>
              <w:snapToGrid/>
              <w:spacing w:line="360" w:lineRule="auto"/>
              <w:ind w:left="216" w:leftChars="103" w:firstLine="0" w:firstLineChars="0"/>
              <w:jc w:val="left"/>
              <w:textAlignment w:val="auto"/>
              <w:rPr>
                <w:rFonts w:hint="eastAsia"/>
                <w:color w:val="auto"/>
                <w:highlight w:val="none"/>
              </w:rPr>
            </w:pPr>
            <w:r>
              <w:rPr>
                <w:rFonts w:hint="eastAsia"/>
                <w:color w:val="auto"/>
                <w:highlight w:val="none"/>
              </w:rPr>
              <w:t>③皮肤设置：</w:t>
            </w:r>
            <w:r>
              <w:rPr>
                <w:rFonts w:hint="eastAsia"/>
                <w:color w:val="auto"/>
                <w:highlight w:val="none"/>
                <w:lang w:val="en-US" w:eastAsia="zh-CN"/>
              </w:rPr>
              <w:t>不少于</w:t>
            </w:r>
            <w:r>
              <w:rPr>
                <w:rFonts w:hint="eastAsia"/>
                <w:color w:val="auto"/>
                <w:highlight w:val="none"/>
              </w:rPr>
              <w:t>蓝色皮肤、灰色皮肤、黑色皮肤、绿色皮肤；</w:t>
            </w:r>
          </w:p>
          <w:p w14:paraId="0EDCC6CE">
            <w:pPr>
              <w:keepNext w:val="0"/>
              <w:keepLines w:val="0"/>
              <w:pageBreakBefore w:val="0"/>
              <w:widowControl/>
              <w:kinsoku/>
              <w:wordWrap w:val="0"/>
              <w:overflowPunct/>
              <w:topLinePunct w:val="0"/>
              <w:autoSpaceDE/>
              <w:autoSpaceDN/>
              <w:bidi w:val="0"/>
              <w:adjustRightInd/>
              <w:snapToGrid/>
              <w:spacing w:line="360" w:lineRule="auto"/>
              <w:ind w:left="216" w:leftChars="103" w:firstLine="0" w:firstLineChars="0"/>
              <w:jc w:val="left"/>
              <w:textAlignment w:val="auto"/>
              <w:rPr>
                <w:rFonts w:hint="eastAsia"/>
                <w:color w:val="auto"/>
                <w:highlight w:val="none"/>
              </w:rPr>
            </w:pPr>
            <w:r>
              <w:rPr>
                <w:rFonts w:hint="eastAsia"/>
                <w:color w:val="auto"/>
                <w:highlight w:val="none"/>
              </w:rPr>
              <w:t>④</w:t>
            </w:r>
            <w:r>
              <w:rPr>
                <w:rFonts w:hint="eastAsia"/>
                <w:color w:val="auto"/>
                <w:highlight w:val="none"/>
                <w:lang w:val="en-US" w:eastAsia="zh-CN"/>
              </w:rPr>
              <w:t>支持</w:t>
            </w:r>
            <w:r>
              <w:rPr>
                <w:rFonts w:hint="eastAsia"/>
                <w:color w:val="auto"/>
                <w:highlight w:val="none"/>
              </w:rPr>
              <w:t>载入LOGO设置：可载入自定义开机LOGO；</w:t>
            </w:r>
          </w:p>
          <w:p w14:paraId="5015582C">
            <w:pPr>
              <w:keepNext w:val="0"/>
              <w:keepLines w:val="0"/>
              <w:pageBreakBefore w:val="0"/>
              <w:widowControl/>
              <w:kinsoku/>
              <w:wordWrap w:val="0"/>
              <w:overflowPunct/>
              <w:topLinePunct w:val="0"/>
              <w:autoSpaceDE/>
              <w:autoSpaceDN/>
              <w:bidi w:val="0"/>
              <w:adjustRightInd/>
              <w:snapToGrid/>
              <w:spacing w:line="360" w:lineRule="auto"/>
              <w:ind w:left="216" w:leftChars="103" w:firstLine="0" w:firstLineChars="0"/>
              <w:jc w:val="left"/>
              <w:textAlignment w:val="auto"/>
              <w:rPr>
                <w:rFonts w:hint="eastAsia"/>
                <w:color w:val="auto"/>
                <w:highlight w:val="none"/>
              </w:rPr>
            </w:pPr>
            <w:r>
              <w:rPr>
                <w:rFonts w:hint="eastAsia"/>
                <w:color w:val="auto"/>
                <w:highlight w:val="none"/>
              </w:rPr>
              <w:t>⑤菜单排序设置：用户可根据个人操作习惯自定义菜单栏排序；</w:t>
            </w:r>
            <w:r>
              <w:rPr>
                <w:rFonts w:hint="eastAsia"/>
                <w:color w:val="auto"/>
                <w:highlight w:val="none"/>
              </w:rPr>
              <w:br w:type="textWrapping"/>
            </w:r>
            <w:r>
              <w:rPr>
                <w:rFonts w:hint="eastAsia"/>
                <w:color w:val="auto"/>
                <w:highlight w:val="none"/>
              </w:rPr>
              <w:t>(26)</w:t>
            </w:r>
            <w:r>
              <w:rPr>
                <w:rFonts w:hint="eastAsia"/>
                <w:color w:val="auto"/>
                <w:highlight w:val="none"/>
                <w:lang w:val="en-US" w:eastAsia="zh-CN"/>
              </w:rPr>
              <w:t>支持</w:t>
            </w:r>
            <w:r>
              <w:rPr>
                <w:rFonts w:hint="eastAsia"/>
                <w:color w:val="auto"/>
                <w:highlight w:val="none"/>
              </w:rPr>
              <w:t>闭环切换功能；</w:t>
            </w:r>
            <w:r>
              <w:rPr>
                <w:rFonts w:hint="eastAsia"/>
                <w:color w:val="auto"/>
                <w:highlight w:val="none"/>
              </w:rPr>
              <w:br w:type="textWrapping"/>
            </w:r>
            <w:r>
              <w:rPr>
                <w:rFonts w:hint="eastAsia"/>
                <w:color w:val="auto"/>
                <w:highlight w:val="none"/>
              </w:rPr>
              <w:t>(27)</w:t>
            </w:r>
            <w:r>
              <w:rPr>
                <w:rFonts w:hint="eastAsia"/>
                <w:color w:val="auto"/>
                <w:highlight w:val="none"/>
                <w:lang w:val="en-US" w:eastAsia="zh-CN"/>
              </w:rPr>
              <w:t>支持</w:t>
            </w:r>
            <w:r>
              <w:rPr>
                <w:rFonts w:hint="eastAsia"/>
                <w:color w:val="auto"/>
                <w:highlight w:val="none"/>
              </w:rPr>
              <w:t>空间补偿功能；</w:t>
            </w:r>
            <w:r>
              <w:rPr>
                <w:rFonts w:hint="eastAsia"/>
                <w:color w:val="auto"/>
                <w:highlight w:val="none"/>
              </w:rPr>
              <w:br w:type="textWrapping"/>
            </w:r>
            <w:r>
              <w:rPr>
                <w:rFonts w:hint="eastAsia"/>
                <w:color w:val="auto"/>
                <w:highlight w:val="none"/>
              </w:rPr>
              <w:t>(28)</w:t>
            </w:r>
            <w:r>
              <w:rPr>
                <w:rFonts w:hint="eastAsia"/>
                <w:color w:val="auto"/>
                <w:highlight w:val="none"/>
                <w:lang w:val="en-US" w:eastAsia="zh-CN"/>
              </w:rPr>
              <w:t>支持</w:t>
            </w:r>
            <w:r>
              <w:rPr>
                <w:rFonts w:hint="eastAsia"/>
                <w:color w:val="auto"/>
                <w:highlight w:val="none"/>
              </w:rPr>
              <w:t>工艺包功能：具有从系统盘、U盘、用户盘以及网盘对工艺包进行载入、备份以及重命名功能；</w:t>
            </w:r>
            <w:r>
              <w:rPr>
                <w:rFonts w:hint="eastAsia"/>
                <w:color w:val="auto"/>
                <w:highlight w:val="none"/>
              </w:rPr>
              <w:br w:type="textWrapping"/>
            </w:r>
            <w:r>
              <w:rPr>
                <w:rFonts w:hint="eastAsia"/>
                <w:color w:val="auto"/>
                <w:highlight w:val="none"/>
              </w:rPr>
              <w:t>(29)</w:t>
            </w:r>
            <w:r>
              <w:rPr>
                <w:rFonts w:hint="eastAsia"/>
                <w:color w:val="auto"/>
                <w:highlight w:val="none"/>
                <w:lang w:val="en-US" w:eastAsia="zh-CN"/>
              </w:rPr>
              <w:t>支持</w:t>
            </w:r>
            <w:r>
              <w:rPr>
                <w:rFonts w:hint="eastAsia"/>
                <w:color w:val="auto"/>
                <w:highlight w:val="none"/>
              </w:rPr>
              <w:t>加工匀顺功能：快速有效地对加工轨迹中的缺陷处进行平滑光顺，提升速度及加速度平顺性，获得更优的加工表面质量；</w:t>
            </w:r>
            <w:r>
              <w:rPr>
                <w:rFonts w:hint="eastAsia"/>
                <w:color w:val="auto"/>
                <w:highlight w:val="none"/>
              </w:rPr>
              <w:br w:type="textWrapping"/>
            </w:r>
            <w:r>
              <w:rPr>
                <w:rFonts w:hint="eastAsia"/>
                <w:color w:val="auto"/>
                <w:highlight w:val="none"/>
              </w:rPr>
              <w:t>(30)</w:t>
            </w:r>
            <w:r>
              <w:rPr>
                <w:rFonts w:hint="eastAsia"/>
                <w:color w:val="auto"/>
                <w:highlight w:val="none"/>
                <w:lang w:val="en-US" w:eastAsia="zh-CN"/>
              </w:rPr>
              <w:t>支持</w:t>
            </w:r>
            <w:r>
              <w:rPr>
                <w:rFonts w:hint="eastAsia"/>
                <w:color w:val="auto"/>
                <w:highlight w:val="none"/>
              </w:rPr>
              <w:t>示教编程功能：具有插入、快速定位、插补直线、三点圆模式、半径圆模式、进给速度、删除行以及窗口切换功能；</w:t>
            </w:r>
            <w:r>
              <w:rPr>
                <w:rFonts w:hint="eastAsia"/>
                <w:color w:val="auto"/>
                <w:highlight w:val="none"/>
              </w:rPr>
              <w:br w:type="textWrapping"/>
            </w:r>
            <w:r>
              <w:rPr>
                <w:rFonts w:hint="eastAsia"/>
                <w:color w:val="auto"/>
                <w:highlight w:val="none"/>
              </w:rPr>
              <w:t>(31)</w:t>
            </w:r>
            <w:r>
              <w:rPr>
                <w:rFonts w:hint="eastAsia"/>
                <w:color w:val="auto"/>
                <w:highlight w:val="none"/>
                <w:lang w:val="en-US" w:eastAsia="zh-CN"/>
              </w:rPr>
              <w:t>支持</w:t>
            </w:r>
            <w:r>
              <w:rPr>
                <w:rFonts w:hint="eastAsia"/>
                <w:color w:val="auto"/>
                <w:highlight w:val="none"/>
              </w:rPr>
              <w:t>辅助编程功能：</w:t>
            </w:r>
          </w:p>
          <w:p w14:paraId="7FAF6C4C">
            <w:pPr>
              <w:keepNext w:val="0"/>
              <w:keepLines w:val="0"/>
              <w:pageBreakBefore w:val="0"/>
              <w:widowControl/>
              <w:kinsoku/>
              <w:wordWrap w:val="0"/>
              <w:overflowPunct/>
              <w:topLinePunct w:val="0"/>
              <w:autoSpaceDE/>
              <w:autoSpaceDN/>
              <w:bidi w:val="0"/>
              <w:adjustRightInd/>
              <w:snapToGrid/>
              <w:spacing w:line="360" w:lineRule="auto"/>
              <w:ind w:left="216" w:leftChars="103" w:firstLine="0" w:firstLineChars="0"/>
              <w:jc w:val="left"/>
              <w:textAlignment w:val="auto"/>
              <w:rPr>
                <w:rFonts w:hint="eastAsia"/>
                <w:color w:val="auto"/>
                <w:highlight w:val="none"/>
              </w:rPr>
            </w:pPr>
            <w:r>
              <w:rPr>
                <w:rFonts w:hint="eastAsia"/>
                <w:color w:val="auto"/>
                <w:highlight w:val="none"/>
              </w:rPr>
              <w:t>插入循环：程序头能选择加工平面、坐标系、编程方式等参数；</w:t>
            </w:r>
          </w:p>
          <w:p w14:paraId="2AC9B218">
            <w:pPr>
              <w:keepNext w:val="0"/>
              <w:keepLines w:val="0"/>
              <w:pageBreakBefore w:val="0"/>
              <w:widowControl/>
              <w:kinsoku/>
              <w:wordWrap w:val="0"/>
              <w:overflowPunct/>
              <w:topLinePunct w:val="0"/>
              <w:autoSpaceDE/>
              <w:autoSpaceDN/>
              <w:bidi w:val="0"/>
              <w:adjustRightInd/>
              <w:snapToGrid/>
              <w:spacing w:line="360" w:lineRule="auto"/>
              <w:ind w:left="216" w:leftChars="103" w:firstLine="0" w:firstLineChars="0"/>
              <w:jc w:val="left"/>
              <w:textAlignment w:val="auto"/>
              <w:rPr>
                <w:rFonts w:hint="eastAsia"/>
                <w:color w:val="auto"/>
                <w:highlight w:val="none"/>
              </w:rPr>
            </w:pPr>
            <w:r>
              <w:rPr>
                <w:rFonts w:hint="eastAsia"/>
                <w:color w:val="auto"/>
                <w:highlight w:val="none"/>
              </w:rPr>
              <w:t>钻削具备不少于1</w:t>
            </w:r>
            <w:r>
              <w:rPr>
                <w:rFonts w:hint="eastAsia"/>
                <w:color w:val="auto"/>
                <w:highlight w:val="none"/>
                <w:lang w:val="en-US" w:eastAsia="zh-CN"/>
              </w:rPr>
              <w:t>3</w:t>
            </w:r>
            <w:r>
              <w:rPr>
                <w:rFonts w:hint="eastAsia"/>
                <w:color w:val="auto"/>
                <w:highlight w:val="none"/>
              </w:rPr>
              <w:t>种指令选择和参数设置；</w:t>
            </w:r>
          </w:p>
          <w:p w14:paraId="159D3F1E">
            <w:pPr>
              <w:keepNext w:val="0"/>
              <w:keepLines w:val="0"/>
              <w:pageBreakBefore w:val="0"/>
              <w:widowControl/>
              <w:kinsoku/>
              <w:wordWrap w:val="0"/>
              <w:overflowPunct/>
              <w:topLinePunct w:val="0"/>
              <w:autoSpaceDE/>
              <w:autoSpaceDN/>
              <w:bidi w:val="0"/>
              <w:adjustRightInd/>
              <w:snapToGrid/>
              <w:spacing w:line="360" w:lineRule="auto"/>
              <w:ind w:left="216" w:leftChars="103" w:firstLine="0" w:firstLineChars="0"/>
              <w:jc w:val="left"/>
              <w:textAlignment w:val="auto"/>
              <w:rPr>
                <w:rFonts w:hint="eastAsia"/>
                <w:color w:val="auto"/>
                <w:highlight w:val="none"/>
              </w:rPr>
            </w:pPr>
            <w:r>
              <w:rPr>
                <w:rFonts w:hint="eastAsia"/>
                <w:color w:val="auto"/>
                <w:highlight w:val="none"/>
              </w:rPr>
              <w:t>复合钻削具备不少于1</w:t>
            </w:r>
            <w:r>
              <w:rPr>
                <w:rFonts w:hint="eastAsia"/>
                <w:color w:val="auto"/>
                <w:highlight w:val="none"/>
                <w:lang w:val="en-US" w:eastAsia="zh-CN"/>
              </w:rPr>
              <w:t>0</w:t>
            </w:r>
            <w:r>
              <w:rPr>
                <w:rFonts w:hint="eastAsia"/>
                <w:color w:val="auto"/>
                <w:highlight w:val="none"/>
              </w:rPr>
              <w:t>种指令选择和参数设置；</w:t>
            </w:r>
          </w:p>
          <w:p w14:paraId="3E3917A3">
            <w:pPr>
              <w:keepNext w:val="0"/>
              <w:keepLines w:val="0"/>
              <w:pageBreakBefore w:val="0"/>
              <w:widowControl/>
              <w:kinsoku/>
              <w:wordWrap w:val="0"/>
              <w:overflowPunct/>
              <w:topLinePunct w:val="0"/>
              <w:autoSpaceDE/>
              <w:autoSpaceDN/>
              <w:bidi w:val="0"/>
              <w:adjustRightInd/>
              <w:snapToGrid/>
              <w:spacing w:line="360" w:lineRule="auto"/>
              <w:ind w:left="216" w:leftChars="103" w:firstLine="0" w:firstLineChars="0"/>
              <w:jc w:val="left"/>
              <w:textAlignment w:val="auto"/>
              <w:rPr>
                <w:rFonts w:hint="eastAsia"/>
                <w:color w:val="auto"/>
                <w:highlight w:val="none"/>
              </w:rPr>
            </w:pPr>
            <w:r>
              <w:rPr>
                <w:rFonts w:hint="eastAsia"/>
                <w:color w:val="auto"/>
                <w:highlight w:val="none"/>
              </w:rPr>
              <w:t>平面铣槽具备不少于</w:t>
            </w:r>
            <w:r>
              <w:rPr>
                <w:rFonts w:hint="eastAsia"/>
                <w:color w:val="auto"/>
                <w:highlight w:val="none"/>
                <w:lang w:val="en-US" w:eastAsia="zh-CN"/>
              </w:rPr>
              <w:t>6</w:t>
            </w:r>
            <w:r>
              <w:rPr>
                <w:rFonts w:hint="eastAsia"/>
                <w:color w:val="auto"/>
                <w:highlight w:val="none"/>
              </w:rPr>
              <w:t>种指令选择和参数设置；</w:t>
            </w:r>
          </w:p>
          <w:p w14:paraId="42513DD3">
            <w:pPr>
              <w:keepNext w:val="0"/>
              <w:keepLines w:val="0"/>
              <w:pageBreakBefore w:val="0"/>
              <w:widowControl/>
              <w:kinsoku/>
              <w:wordWrap w:val="0"/>
              <w:overflowPunct/>
              <w:topLinePunct w:val="0"/>
              <w:autoSpaceDE/>
              <w:autoSpaceDN/>
              <w:bidi w:val="0"/>
              <w:adjustRightInd/>
              <w:snapToGrid/>
              <w:spacing w:line="360" w:lineRule="auto"/>
              <w:ind w:left="216" w:leftChars="103" w:firstLine="0" w:firstLineChars="0"/>
              <w:jc w:val="left"/>
              <w:textAlignment w:val="auto"/>
              <w:rPr>
                <w:rFonts w:hint="eastAsia"/>
                <w:b/>
                <w:bCs/>
                <w:color w:val="auto"/>
                <w:highlight w:val="none"/>
              </w:rPr>
            </w:pPr>
            <w:r>
              <w:rPr>
                <w:rFonts w:hint="eastAsia"/>
                <w:color w:val="auto"/>
                <w:highlight w:val="none"/>
              </w:rPr>
              <w:t>设置完成后能直接输出NC。</w:t>
            </w:r>
            <w:r>
              <w:rPr>
                <w:rFonts w:hint="eastAsia"/>
                <w:color w:val="auto"/>
                <w:highlight w:val="none"/>
              </w:rPr>
              <w:br w:type="textWrapping"/>
            </w:r>
            <w:r>
              <w:rPr>
                <w:rFonts w:hint="eastAsia"/>
                <w:b/>
                <w:bCs/>
                <w:color w:val="auto"/>
                <w:highlight w:val="none"/>
              </w:rPr>
              <w:t>三、数控系统开通数控在线数据管理功能：</w:t>
            </w:r>
          </w:p>
          <w:p w14:paraId="2FD17B79">
            <w:pPr>
              <w:keepNext w:val="0"/>
              <w:keepLines w:val="0"/>
              <w:pageBreakBefore w:val="0"/>
              <w:widowControl/>
              <w:kinsoku/>
              <w:wordWrap w:val="0"/>
              <w:overflowPunct/>
              <w:topLinePunct w:val="0"/>
              <w:autoSpaceDE/>
              <w:autoSpaceDN/>
              <w:bidi w:val="0"/>
              <w:adjustRightInd/>
              <w:snapToGrid/>
              <w:spacing w:line="360" w:lineRule="auto"/>
              <w:ind w:left="216" w:leftChars="103" w:firstLine="0" w:firstLineChars="0"/>
              <w:jc w:val="left"/>
              <w:textAlignment w:val="auto"/>
              <w:rPr>
                <w:rFonts w:hint="eastAsia"/>
                <w:color w:val="auto"/>
                <w:highlight w:val="none"/>
              </w:rPr>
            </w:pPr>
            <w:r>
              <w:rPr>
                <w:rFonts w:hint="eastAsia"/>
                <w:color w:val="auto"/>
                <w:highlight w:val="none"/>
              </w:rPr>
              <w:t>数控在线数据管理功能是运用工业以太物联网、大数据、云数控等关键技术，围绕数控机床加工效率和质量的提升以及机床的智能化管理，整合国内各项技术而开发出的车间信息化管理系统。有</w:t>
            </w:r>
            <w:r>
              <w:rPr>
                <w:rFonts w:hint="eastAsia"/>
                <w:color w:val="auto"/>
                <w:highlight w:val="none"/>
                <w:lang w:eastAsia="zh-CN"/>
              </w:rPr>
              <w:t>“</w:t>
            </w:r>
            <w:r>
              <w:rPr>
                <w:rFonts w:hint="eastAsia"/>
                <w:color w:val="auto"/>
                <w:highlight w:val="none"/>
              </w:rPr>
              <w:t>设备运维、生产管理、最新资讯</w:t>
            </w:r>
            <w:r>
              <w:rPr>
                <w:rFonts w:hint="eastAsia"/>
                <w:color w:val="auto"/>
                <w:highlight w:val="none"/>
                <w:lang w:eastAsia="zh-CN"/>
              </w:rPr>
              <w:t>”</w:t>
            </w:r>
            <w:r>
              <w:rPr>
                <w:rFonts w:hint="eastAsia"/>
                <w:color w:val="auto"/>
                <w:highlight w:val="none"/>
              </w:rPr>
              <w:t>三大功能，实现制造设备从日常生产到维护保养、改造优化的全生命周期管理，为用户提供设备及产品相关信息的</w:t>
            </w:r>
            <w:r>
              <w:rPr>
                <w:rFonts w:hint="eastAsia"/>
                <w:color w:val="auto"/>
                <w:highlight w:val="none"/>
                <w:lang w:eastAsia="zh-CN"/>
              </w:rPr>
              <w:t>“</w:t>
            </w:r>
            <w:r>
              <w:rPr>
                <w:rFonts w:hint="eastAsia"/>
                <w:color w:val="auto"/>
                <w:highlight w:val="none"/>
              </w:rPr>
              <w:t>大数据</w:t>
            </w:r>
            <w:r>
              <w:rPr>
                <w:rFonts w:hint="eastAsia"/>
                <w:color w:val="auto"/>
                <w:highlight w:val="none"/>
                <w:lang w:eastAsia="zh-CN"/>
              </w:rPr>
              <w:t>”</w:t>
            </w:r>
            <w:r>
              <w:rPr>
                <w:rFonts w:hint="eastAsia"/>
                <w:color w:val="auto"/>
                <w:highlight w:val="none"/>
              </w:rPr>
              <w:t>。</w:t>
            </w:r>
            <w:r>
              <w:rPr>
                <w:rFonts w:hint="eastAsia"/>
                <w:color w:val="auto"/>
                <w:highlight w:val="none"/>
              </w:rPr>
              <w:br w:type="textWrapping"/>
            </w:r>
            <w:r>
              <w:rPr>
                <w:rFonts w:hint="eastAsia"/>
                <w:color w:val="auto"/>
                <w:highlight w:val="none"/>
                <w:lang w:val="en-US" w:eastAsia="zh-CN"/>
              </w:rPr>
              <w:t>支持</w:t>
            </w:r>
            <w:r>
              <w:rPr>
                <w:rFonts w:hint="eastAsia"/>
                <w:color w:val="auto"/>
                <w:highlight w:val="none"/>
              </w:rPr>
              <w:t>数控在线数据管理功能：</w:t>
            </w:r>
            <w:r>
              <w:rPr>
                <w:rFonts w:hint="eastAsia"/>
                <w:color w:val="auto"/>
                <w:highlight w:val="none"/>
              </w:rPr>
              <w:br w:type="textWrapping"/>
            </w:r>
            <w:r>
              <w:rPr>
                <w:rFonts w:hint="eastAsia"/>
                <w:color w:val="auto"/>
                <w:highlight w:val="none"/>
              </w:rPr>
              <w:t>通过大数据平台对数控机床进行定期的</w:t>
            </w:r>
            <w:r>
              <w:rPr>
                <w:rFonts w:hint="eastAsia"/>
                <w:color w:val="auto"/>
                <w:highlight w:val="none"/>
                <w:lang w:eastAsia="zh-CN"/>
              </w:rPr>
              <w:t>“</w:t>
            </w:r>
            <w:r>
              <w:rPr>
                <w:rFonts w:hint="eastAsia"/>
                <w:color w:val="auto"/>
                <w:highlight w:val="none"/>
              </w:rPr>
              <w:t>体检</w:t>
            </w:r>
            <w:r>
              <w:rPr>
                <w:rFonts w:hint="eastAsia"/>
                <w:color w:val="auto"/>
                <w:highlight w:val="none"/>
                <w:lang w:eastAsia="zh-CN"/>
              </w:rPr>
              <w:t>”</w:t>
            </w:r>
            <w:r>
              <w:rPr>
                <w:rFonts w:hint="eastAsia"/>
                <w:color w:val="auto"/>
                <w:highlight w:val="none"/>
              </w:rPr>
              <w:t>，采集运行过程中的数据，通过单机历史数据的纵向比较和机床集群数据的横向比较，掌握机床健康变化，实现数控机床的健康保障。</w:t>
            </w:r>
            <w:r>
              <w:rPr>
                <w:rFonts w:hint="eastAsia"/>
                <w:color w:val="auto"/>
                <w:highlight w:val="none"/>
              </w:rPr>
              <w:br w:type="textWrapping"/>
            </w:r>
            <w:r>
              <w:rPr>
                <w:rFonts w:hint="eastAsia"/>
                <w:color w:val="auto"/>
                <w:highlight w:val="none"/>
              </w:rPr>
              <w:t>1.</w:t>
            </w:r>
            <w:r>
              <w:rPr>
                <w:rFonts w:hint="eastAsia"/>
                <w:color w:val="auto"/>
                <w:highlight w:val="none"/>
                <w:lang w:val="en-US" w:eastAsia="zh-CN"/>
              </w:rPr>
              <w:t>支持</w:t>
            </w:r>
            <w:r>
              <w:rPr>
                <w:rFonts w:hint="eastAsia"/>
                <w:color w:val="auto"/>
                <w:highlight w:val="none"/>
              </w:rPr>
              <w:t>设备运维功能包括但不限于</w:t>
            </w:r>
            <w:r>
              <w:rPr>
                <w:rFonts w:hint="eastAsia"/>
                <w:color w:val="auto"/>
                <w:highlight w:val="none"/>
                <w:lang w:eastAsia="zh-CN"/>
              </w:rPr>
              <w:t>：</w:t>
            </w:r>
            <w:r>
              <w:rPr>
                <w:rFonts w:hint="eastAsia"/>
                <w:color w:val="auto"/>
                <w:highlight w:val="none"/>
              </w:rPr>
              <w:br w:type="textWrapping"/>
            </w:r>
            <w:r>
              <w:rPr>
                <w:rFonts w:hint="eastAsia"/>
                <w:color w:val="auto"/>
                <w:highlight w:val="none"/>
              </w:rPr>
              <w:t>(1)新建工单模块：具有故障信息描述、上传图片以及填写报修信息功能；</w:t>
            </w:r>
            <w:r>
              <w:rPr>
                <w:rFonts w:hint="eastAsia"/>
                <w:color w:val="auto"/>
                <w:highlight w:val="none"/>
              </w:rPr>
              <w:br w:type="textWrapping"/>
            </w:r>
            <w:r>
              <w:rPr>
                <w:rFonts w:hint="eastAsia"/>
                <w:color w:val="auto"/>
                <w:highlight w:val="none"/>
              </w:rPr>
              <w:t>(2)我的工单模块：可查看已报单、已指派、待评价、已关闭、进行中以及工单暂停等功能，具备直接输入订单编号或客户单位信息直接快速查看功能；</w:t>
            </w:r>
            <w:r>
              <w:rPr>
                <w:rFonts w:hint="eastAsia"/>
                <w:color w:val="auto"/>
                <w:highlight w:val="none"/>
              </w:rPr>
              <w:br w:type="textWrapping"/>
            </w:r>
            <w:r>
              <w:rPr>
                <w:rFonts w:hint="eastAsia"/>
                <w:color w:val="auto"/>
                <w:highlight w:val="none"/>
              </w:rPr>
              <w:t>(3)历史工单模块：可查看历史工单信息，具备直接输入订单编号、系统SN码、客户单位或人员名称信息直接快速查看功能；</w:t>
            </w:r>
            <w:r>
              <w:rPr>
                <w:rFonts w:hint="eastAsia"/>
                <w:color w:val="auto"/>
                <w:highlight w:val="none"/>
              </w:rPr>
              <w:br w:type="textWrapping"/>
            </w:r>
            <w:r>
              <w:rPr>
                <w:rFonts w:hint="eastAsia"/>
                <w:color w:val="auto"/>
                <w:highlight w:val="none"/>
              </w:rPr>
              <w:t>(4)返修工单模块：可查看返修工单信息，包含返厂中、已收货、已指派、维修收货、维修中、维修完成、返修完成以及废单信息，具备直接输入订单编号、返修件类型、返修件编号或客户单号信息直接快速查看功能；</w:t>
            </w:r>
            <w:r>
              <w:rPr>
                <w:rFonts w:hint="eastAsia"/>
                <w:color w:val="auto"/>
                <w:highlight w:val="none"/>
              </w:rPr>
              <w:br w:type="textWrapping"/>
            </w:r>
            <w:r>
              <w:rPr>
                <w:rFonts w:hint="eastAsia"/>
                <w:color w:val="auto"/>
                <w:highlight w:val="none"/>
              </w:rPr>
              <w:t>(5)打卡签到模块：具备输入用户位置信息及用户备注信息进行打卡功能；</w:t>
            </w:r>
            <w:r>
              <w:rPr>
                <w:rFonts w:hint="eastAsia"/>
                <w:color w:val="auto"/>
                <w:highlight w:val="none"/>
              </w:rPr>
              <w:br w:type="textWrapping"/>
            </w:r>
            <w:r>
              <w:rPr>
                <w:rFonts w:hint="eastAsia"/>
                <w:color w:val="auto"/>
                <w:highlight w:val="none"/>
              </w:rPr>
              <w:t>(6)案例库模块：具备全部案例、调试案例、故障案例以及工艺案例查看功能，每个案例均能查看案例详情，包含案例名称、适用范围、调试目标、解决方案以及案例标签。</w:t>
            </w:r>
            <w:r>
              <w:rPr>
                <w:rFonts w:hint="eastAsia"/>
                <w:color w:val="auto"/>
                <w:highlight w:val="none"/>
              </w:rPr>
              <w:br w:type="textWrapping"/>
            </w:r>
            <w:r>
              <w:rPr>
                <w:rFonts w:hint="eastAsia"/>
                <w:color w:val="auto"/>
                <w:highlight w:val="none"/>
              </w:rPr>
              <w:t>2.</w:t>
            </w:r>
            <w:r>
              <w:rPr>
                <w:rFonts w:hint="eastAsia"/>
                <w:color w:val="auto"/>
                <w:highlight w:val="none"/>
                <w:lang w:val="en-US" w:eastAsia="zh-CN"/>
              </w:rPr>
              <w:t>支持</w:t>
            </w:r>
            <w:r>
              <w:rPr>
                <w:rFonts w:hint="eastAsia"/>
                <w:color w:val="auto"/>
                <w:highlight w:val="none"/>
              </w:rPr>
              <w:t>生产管理功能包括但不限于</w:t>
            </w:r>
            <w:r>
              <w:rPr>
                <w:rFonts w:hint="eastAsia"/>
                <w:color w:val="auto"/>
                <w:highlight w:val="none"/>
                <w:lang w:eastAsia="zh-CN"/>
              </w:rPr>
              <w:t>：</w:t>
            </w:r>
            <w:r>
              <w:rPr>
                <w:rFonts w:hint="eastAsia"/>
                <w:color w:val="auto"/>
                <w:highlight w:val="none"/>
              </w:rPr>
              <w:br w:type="textWrapping"/>
            </w:r>
            <w:r>
              <w:rPr>
                <w:rFonts w:hint="eastAsia"/>
                <w:color w:val="auto"/>
                <w:highlight w:val="none"/>
              </w:rPr>
              <w:t>(1)生产管理模块：</w:t>
            </w:r>
            <w:r>
              <w:rPr>
                <w:rFonts w:hint="eastAsia"/>
                <w:color w:val="auto"/>
                <w:highlight w:val="none"/>
              </w:rPr>
              <w:br w:type="textWrapping"/>
            </w:r>
            <w:r>
              <w:rPr>
                <w:rFonts w:hint="eastAsia"/>
                <w:color w:val="auto"/>
                <w:highlight w:val="none"/>
              </w:rPr>
              <w:t>①可查看设备厂列表功能；</w:t>
            </w:r>
            <w:r>
              <w:rPr>
                <w:rFonts w:hint="eastAsia"/>
                <w:color w:val="auto"/>
                <w:highlight w:val="none"/>
              </w:rPr>
              <w:br w:type="textWrapping"/>
            </w:r>
            <w:r>
              <w:rPr>
                <w:rFonts w:hint="eastAsia"/>
                <w:color w:val="auto"/>
                <w:highlight w:val="none"/>
              </w:rPr>
              <w:t>②具备查看设备详情功能：包含设备离线、待机、加工、报警状态；开机时间、加工时间、待机时间、报警时间、离线时间统计；加工加工信息统计、显示功能；</w:t>
            </w:r>
            <w:r>
              <w:rPr>
                <w:rFonts w:hint="eastAsia"/>
                <w:color w:val="auto"/>
                <w:highlight w:val="none"/>
              </w:rPr>
              <w:br w:type="textWrapping"/>
            </w:r>
            <w:r>
              <w:rPr>
                <w:rFonts w:hint="eastAsia"/>
                <w:color w:val="auto"/>
                <w:highlight w:val="none"/>
              </w:rPr>
              <w:t>③具备运行统计功能：包含状态统计图、时间统计、产量统计功能；</w:t>
            </w:r>
            <w:r>
              <w:rPr>
                <w:rFonts w:hint="eastAsia"/>
                <w:color w:val="auto"/>
                <w:highlight w:val="none"/>
              </w:rPr>
              <w:br w:type="textWrapping"/>
            </w:r>
            <w:r>
              <w:rPr>
                <w:rFonts w:hint="eastAsia"/>
                <w:color w:val="auto"/>
                <w:highlight w:val="none"/>
              </w:rPr>
              <w:t>④具备报警历史功能：包含报警列表、报警等级筛选功能；</w:t>
            </w:r>
            <w:r>
              <w:rPr>
                <w:rFonts w:hint="eastAsia"/>
                <w:color w:val="auto"/>
                <w:highlight w:val="none"/>
              </w:rPr>
              <w:br w:type="textWrapping"/>
            </w:r>
            <w:r>
              <w:rPr>
                <w:rFonts w:hint="eastAsia"/>
                <w:color w:val="auto"/>
                <w:highlight w:val="none"/>
              </w:rPr>
              <w:t>⑤具备报警统计功能；包含报警频次和参数修改记录。</w:t>
            </w:r>
            <w:r>
              <w:rPr>
                <w:rFonts w:hint="eastAsia"/>
                <w:color w:val="auto"/>
                <w:highlight w:val="none"/>
              </w:rPr>
              <w:br w:type="textWrapping"/>
            </w:r>
            <w:r>
              <w:rPr>
                <w:rFonts w:hint="eastAsia"/>
                <w:color w:val="auto"/>
                <w:highlight w:val="none"/>
              </w:rPr>
              <w:t>(2)在线编程模块包括但不限于：</w:t>
            </w:r>
            <w:r>
              <w:rPr>
                <w:rFonts w:hint="eastAsia"/>
                <w:color w:val="auto"/>
                <w:highlight w:val="none"/>
              </w:rPr>
              <w:br w:type="textWrapping"/>
            </w:r>
            <w:r>
              <w:rPr>
                <w:rFonts w:hint="eastAsia"/>
                <w:color w:val="auto"/>
                <w:highlight w:val="none"/>
              </w:rPr>
              <w:t>①具备查看G代码详情功能；</w:t>
            </w:r>
            <w:r>
              <w:rPr>
                <w:rFonts w:hint="eastAsia"/>
                <w:color w:val="auto"/>
                <w:highlight w:val="none"/>
              </w:rPr>
              <w:br w:type="textWrapping"/>
            </w:r>
            <w:r>
              <w:rPr>
                <w:rFonts w:hint="eastAsia"/>
                <w:color w:val="auto"/>
                <w:highlight w:val="none"/>
              </w:rPr>
              <w:t>②具备生成复合工艺G代码功能，包含通过工艺列表配置参数工艺生成G代码功能；</w:t>
            </w:r>
            <w:r>
              <w:rPr>
                <w:rFonts w:hint="eastAsia"/>
                <w:color w:val="auto"/>
                <w:highlight w:val="none"/>
              </w:rPr>
              <w:br w:type="textWrapping"/>
            </w:r>
            <w:r>
              <w:rPr>
                <w:rFonts w:hint="eastAsia"/>
                <w:color w:val="auto"/>
                <w:highlight w:val="none"/>
              </w:rPr>
              <w:t>③简单工艺并生成G代码功能，包含通过选择工艺配置参数工艺生成G代码功能；</w:t>
            </w:r>
            <w:r>
              <w:rPr>
                <w:rFonts w:hint="eastAsia"/>
                <w:color w:val="auto"/>
                <w:highlight w:val="none"/>
              </w:rPr>
              <w:br w:type="textWrapping"/>
            </w:r>
            <w:r>
              <w:rPr>
                <w:rFonts w:hint="eastAsia"/>
                <w:b/>
                <w:bCs/>
                <w:color w:val="auto"/>
                <w:highlight w:val="none"/>
              </w:rPr>
              <w:t>四、配套数控系统仿真软件（10节点/套）。（供货时提供系统生产厂家出具的正版证明文件和软件著作权证书</w:t>
            </w:r>
            <w:r>
              <w:rPr>
                <w:rFonts w:hint="eastAsia"/>
                <w:b/>
                <w:bCs/>
                <w:color w:val="auto"/>
                <w:highlight w:val="none"/>
                <w:lang w:val="en-US" w:eastAsia="zh-CN"/>
              </w:rPr>
              <w:t>复印</w:t>
            </w:r>
            <w:r>
              <w:rPr>
                <w:rFonts w:hint="eastAsia"/>
                <w:b/>
                <w:bCs/>
                <w:color w:val="auto"/>
                <w:highlight w:val="none"/>
              </w:rPr>
              <w:t>件（加盖软件开发商公章）</w:t>
            </w:r>
            <w:r>
              <w:rPr>
                <w:rFonts w:hint="eastAsia"/>
                <w:b/>
                <w:bCs/>
                <w:color w:val="auto"/>
                <w:highlight w:val="none"/>
                <w:lang w:val="en-US" w:eastAsia="zh-CN"/>
              </w:rPr>
              <w:t>或</w:t>
            </w:r>
            <w:r>
              <w:rPr>
                <w:rFonts w:hint="eastAsia"/>
                <w:b/>
                <w:bCs/>
                <w:color w:val="auto"/>
                <w:highlight w:val="none"/>
              </w:rPr>
              <w:t>能够证明软件合法来源的授权文件，并提供针对本项目的正版软件使用授权书原件及系统生产厂家出具的正版证明文件，否则不予验收）。</w:t>
            </w:r>
            <w:r>
              <w:rPr>
                <w:rFonts w:hint="eastAsia"/>
                <w:color w:val="auto"/>
                <w:highlight w:val="none"/>
              </w:rPr>
              <w:br w:type="textWrapping"/>
            </w:r>
            <w:r>
              <w:rPr>
                <w:rFonts w:hint="eastAsia" w:ascii="宋体" w:hAnsi="宋体" w:cs="Courier New"/>
                <w:color w:val="auto"/>
                <w:szCs w:val="21"/>
                <w:highlight w:val="none"/>
              </w:rPr>
              <w:t>▲</w:t>
            </w:r>
            <w:r>
              <w:rPr>
                <w:rFonts w:hint="eastAsia"/>
                <w:color w:val="auto"/>
                <w:highlight w:val="none"/>
              </w:rPr>
              <w:t>（1）配置数控加工中心相同系统界面编程仿真软件</w:t>
            </w:r>
            <w:r>
              <w:rPr>
                <w:rFonts w:hint="eastAsia"/>
                <w:color w:val="auto"/>
                <w:highlight w:val="none"/>
                <w:lang w:val="en-US" w:eastAsia="zh-CN"/>
              </w:rPr>
              <w:t>；</w:t>
            </w:r>
            <w:r>
              <w:rPr>
                <w:rFonts w:hint="eastAsia"/>
                <w:color w:val="auto"/>
                <w:highlight w:val="none"/>
              </w:rPr>
              <w:br w:type="textWrapping"/>
            </w:r>
            <w:r>
              <w:rPr>
                <w:rFonts w:hint="eastAsia" w:ascii="宋体" w:hAnsi="宋体" w:cs="Courier New"/>
                <w:color w:val="auto"/>
                <w:szCs w:val="21"/>
                <w:highlight w:val="none"/>
              </w:rPr>
              <w:t>▲</w:t>
            </w:r>
            <w:r>
              <w:rPr>
                <w:rFonts w:hint="eastAsia"/>
                <w:color w:val="auto"/>
                <w:highlight w:val="none"/>
              </w:rPr>
              <w:t>（2）软件具备九轴九联动的系统运行界面，可以实现在电脑上模拟系统的程序加工和编程，依此来实现对程序的校验，保证程序的正确性和安全性；</w:t>
            </w:r>
            <w:r>
              <w:rPr>
                <w:rFonts w:hint="eastAsia"/>
                <w:color w:val="auto"/>
                <w:highlight w:val="none"/>
              </w:rPr>
              <w:br w:type="textWrapping"/>
            </w:r>
            <w:r>
              <w:rPr>
                <w:rFonts w:hint="eastAsia"/>
                <w:color w:val="auto"/>
                <w:highlight w:val="none"/>
              </w:rPr>
              <w:t>（3）可以实现在多台电脑上实现程序的编写和程序的校验，模拟软件可以实现对数控系统内部的参数进行修改和编辑；</w:t>
            </w:r>
            <w:r>
              <w:rPr>
                <w:rFonts w:hint="eastAsia"/>
                <w:color w:val="auto"/>
                <w:highlight w:val="none"/>
              </w:rPr>
              <w:br w:type="textWrapping"/>
            </w:r>
            <w:r>
              <w:rPr>
                <w:rFonts w:hint="eastAsia"/>
                <w:color w:val="auto"/>
                <w:highlight w:val="none"/>
              </w:rPr>
              <w:t>（4）具备自动、单段、回零，手动等加工方式以及键盘PLC控制等功能；</w:t>
            </w:r>
            <w:r>
              <w:rPr>
                <w:rFonts w:hint="eastAsia"/>
                <w:color w:val="auto"/>
                <w:highlight w:val="none"/>
              </w:rPr>
              <w:br w:type="textWrapping"/>
            </w:r>
            <w:r>
              <w:rPr>
                <w:rFonts w:hint="eastAsia"/>
                <w:color w:val="auto"/>
                <w:highlight w:val="none"/>
              </w:rPr>
              <w:t>（5）支持具备系统界面在执行系统程序时，各轴数据值会根据执行程序而发生变化，系统界面中的所有九轴数据值都可以变化；</w:t>
            </w:r>
            <w:r>
              <w:rPr>
                <w:rFonts w:hint="eastAsia"/>
                <w:color w:val="auto"/>
                <w:highlight w:val="none"/>
              </w:rPr>
              <w:br w:type="textWrapping"/>
            </w:r>
            <w:r>
              <w:rPr>
                <w:rFonts w:hint="eastAsia"/>
                <w:color w:val="auto"/>
                <w:highlight w:val="none"/>
              </w:rPr>
              <w:t>（6）模拟软件在系统运行程序时，可以显示运行轨迹两维和三维模拟界面，界面可以单独显示也可以同时显示，可以放大缩小画面；</w:t>
            </w:r>
            <w:r>
              <w:rPr>
                <w:rFonts w:hint="eastAsia"/>
                <w:color w:val="auto"/>
                <w:highlight w:val="none"/>
              </w:rPr>
              <w:br w:type="textWrapping"/>
            </w:r>
            <w:r>
              <w:rPr>
                <w:rFonts w:hint="eastAsia" w:ascii="宋体" w:hAnsi="宋体" w:cs="Courier New"/>
                <w:color w:val="auto"/>
                <w:szCs w:val="21"/>
                <w:highlight w:val="none"/>
              </w:rPr>
              <w:t>▲</w:t>
            </w:r>
            <w:r>
              <w:rPr>
                <w:rFonts w:hint="eastAsia"/>
                <w:color w:val="auto"/>
                <w:highlight w:val="none"/>
              </w:rPr>
              <w:t>（7）支持具备读取自动生成的代码，可减少大量编程工作。对已有的轨迹进行过程模拟，以检查轨迹的正确性。支持生成的轨迹不满意时可以修改参数值，可以把轨迹状态进行调整，以生成符合需求的运行轨迹；</w:t>
            </w:r>
            <w:r>
              <w:rPr>
                <w:rFonts w:hint="eastAsia"/>
                <w:color w:val="auto"/>
                <w:highlight w:val="none"/>
              </w:rPr>
              <w:br w:type="textWrapping"/>
            </w:r>
            <w:r>
              <w:rPr>
                <w:rFonts w:hint="eastAsia"/>
                <w:color w:val="auto"/>
                <w:highlight w:val="none"/>
              </w:rPr>
              <w:t>（8）仿真软件在编辑程序时包含以下功能：查找、替换、删除、复制、粘贴等功能；</w:t>
            </w:r>
            <w:r>
              <w:rPr>
                <w:rFonts w:hint="eastAsia"/>
                <w:color w:val="auto"/>
                <w:highlight w:val="none"/>
              </w:rPr>
              <w:br w:type="textWrapping"/>
            </w:r>
            <w:r>
              <w:rPr>
                <w:rFonts w:hint="eastAsia"/>
                <w:color w:val="auto"/>
                <w:highlight w:val="none"/>
              </w:rPr>
              <w:t>（9）软件具备用户可以二次升级系统功能和备份系统全部资料；</w:t>
            </w:r>
            <w:r>
              <w:rPr>
                <w:rFonts w:hint="eastAsia"/>
                <w:color w:val="auto"/>
                <w:highlight w:val="none"/>
              </w:rPr>
              <w:br w:type="textWrapping"/>
            </w:r>
            <w:r>
              <w:rPr>
                <w:rFonts w:hint="eastAsia"/>
                <w:color w:val="auto"/>
                <w:highlight w:val="none"/>
              </w:rPr>
              <w:t>（10）仿真软件具备可以修改内部设置参数，可以让用户熟悉系统参数定义和修改参数；</w:t>
            </w:r>
            <w:r>
              <w:rPr>
                <w:rFonts w:hint="eastAsia"/>
                <w:color w:val="auto"/>
                <w:highlight w:val="none"/>
              </w:rPr>
              <w:br w:type="textWrapping"/>
            </w:r>
            <w:r>
              <w:rPr>
                <w:rFonts w:hint="eastAsia" w:ascii="宋体" w:hAnsi="宋体" w:cs="Courier New"/>
                <w:color w:val="auto"/>
                <w:szCs w:val="21"/>
                <w:highlight w:val="none"/>
              </w:rPr>
              <w:t>▲</w:t>
            </w:r>
            <w:r>
              <w:rPr>
                <w:rFonts w:hint="eastAsia"/>
                <w:color w:val="auto"/>
                <w:highlight w:val="none"/>
              </w:rPr>
              <w:t>（11）仿真软件参数模块包含以下模块：用户参数，通道参数，轴参数，设备接口参数，数据表参数等；</w:t>
            </w:r>
            <w:r>
              <w:rPr>
                <w:rFonts w:hint="eastAsia"/>
                <w:color w:val="auto"/>
                <w:highlight w:val="none"/>
              </w:rPr>
              <w:br w:type="textWrapping"/>
            </w:r>
            <w:r>
              <w:rPr>
                <w:rFonts w:hint="eastAsia"/>
                <w:color w:val="auto"/>
                <w:highlight w:val="none"/>
              </w:rPr>
              <w:t>（12）仿真软件具备拥有检测信号的输入输出显示功能；</w:t>
            </w:r>
            <w:r>
              <w:rPr>
                <w:rFonts w:hint="eastAsia"/>
                <w:color w:val="auto"/>
                <w:highlight w:val="none"/>
              </w:rPr>
              <w:br w:type="textWrapping"/>
            </w:r>
            <w:r>
              <w:rPr>
                <w:rFonts w:hint="eastAsia"/>
                <w:color w:val="auto"/>
                <w:highlight w:val="none"/>
              </w:rPr>
              <w:t>（13）仿真软件具备可以查询报警信息；</w:t>
            </w:r>
            <w:r>
              <w:rPr>
                <w:rFonts w:hint="eastAsia"/>
                <w:color w:val="auto"/>
                <w:highlight w:val="none"/>
              </w:rPr>
              <w:br w:type="textWrapping"/>
            </w:r>
            <w:r>
              <w:rPr>
                <w:rFonts w:hint="eastAsia"/>
                <w:color w:val="auto"/>
                <w:highlight w:val="none"/>
              </w:rPr>
              <w:t>（14）仿真软件具备能够实现效验编辑好的程序，通过效验功能检查程序是否存在错误；</w:t>
            </w:r>
            <w:r>
              <w:rPr>
                <w:rFonts w:hint="eastAsia"/>
                <w:color w:val="auto"/>
                <w:highlight w:val="none"/>
              </w:rPr>
              <w:br w:type="textWrapping"/>
            </w:r>
            <w:r>
              <w:rPr>
                <w:rFonts w:hint="eastAsia"/>
                <w:color w:val="auto"/>
                <w:highlight w:val="none"/>
              </w:rPr>
              <w:t>（15）数控系统PLC编程软件需具备离线读取编辑PLC和在线读取编辑PLC功能；</w:t>
            </w:r>
            <w:r>
              <w:rPr>
                <w:rFonts w:hint="eastAsia"/>
                <w:color w:val="auto"/>
                <w:highlight w:val="none"/>
              </w:rPr>
              <w:br w:type="textWrapping"/>
            </w:r>
            <w:r>
              <w:rPr>
                <w:rFonts w:hint="eastAsia"/>
                <w:color w:val="auto"/>
                <w:highlight w:val="none"/>
              </w:rPr>
              <w:t>（16）PLC编程软件需具备和数控系统通讯功能，通过设置IP地址，连接数控系统，实现PLC在线调试；</w:t>
            </w:r>
            <w:r>
              <w:rPr>
                <w:rFonts w:hint="eastAsia"/>
                <w:color w:val="auto"/>
                <w:highlight w:val="none"/>
              </w:rPr>
              <w:br w:type="textWrapping"/>
            </w:r>
            <w:r>
              <w:rPr>
                <w:rFonts w:hint="eastAsia" w:ascii="宋体" w:hAnsi="宋体" w:cs="Courier New"/>
                <w:color w:val="auto"/>
                <w:szCs w:val="21"/>
                <w:highlight w:val="none"/>
              </w:rPr>
              <w:t>▲</w:t>
            </w:r>
            <w:r>
              <w:rPr>
                <w:rFonts w:hint="eastAsia"/>
                <w:color w:val="auto"/>
                <w:highlight w:val="none"/>
              </w:rPr>
              <w:t>（17）PLC功能模块中不少于100个功能单元，每个功能单元还需有对应的帮助说明。功能模块中至少包含：数据查找、T获取、用户自定义、逻辑异或、数据交换、数据获取、数据复位、热误差补偿、T响应等功能单元；</w:t>
            </w:r>
            <w:r>
              <w:rPr>
                <w:rFonts w:hint="eastAsia"/>
                <w:color w:val="auto"/>
                <w:highlight w:val="none"/>
              </w:rPr>
              <w:br w:type="textWrapping"/>
            </w:r>
            <w:r>
              <w:rPr>
                <w:rFonts w:hint="eastAsia"/>
                <w:color w:val="auto"/>
                <w:highlight w:val="none"/>
              </w:rPr>
              <w:t>（18）支持通过PLC编程软件plc编写，可直接给系统定义一些新的控制逻辑，便于后期自主开发时使用。</w:t>
            </w:r>
            <w:r>
              <w:rPr>
                <w:rFonts w:hint="eastAsia"/>
                <w:color w:val="auto"/>
                <w:highlight w:val="none"/>
              </w:rPr>
              <w:br w:type="textWrapping"/>
            </w:r>
            <w:r>
              <w:rPr>
                <w:rFonts w:hint="eastAsia"/>
                <w:b/>
                <w:bCs/>
                <w:color w:val="auto"/>
                <w:highlight w:val="none"/>
              </w:rPr>
              <w:t>五、提供数控车铣</w:t>
            </w:r>
            <w:r>
              <w:rPr>
                <w:rFonts w:hint="eastAsia"/>
                <w:b/>
                <w:bCs/>
                <w:color w:val="auto"/>
                <w:highlight w:val="none"/>
                <w:lang w:val="en-US" w:eastAsia="zh-CN"/>
              </w:rPr>
              <w:t>技能</w:t>
            </w:r>
            <w:r>
              <w:rPr>
                <w:rFonts w:hint="eastAsia"/>
                <w:b/>
                <w:bCs/>
                <w:color w:val="auto"/>
                <w:highlight w:val="none"/>
              </w:rPr>
              <w:t>考核案例：不少于5个（</w:t>
            </w:r>
            <w:r>
              <w:rPr>
                <w:rFonts w:hint="eastAsia"/>
                <w:b/>
                <w:bCs/>
                <w:color w:val="auto"/>
                <w:highlight w:val="none"/>
                <w:lang w:val="en-US" w:eastAsia="zh-CN"/>
              </w:rPr>
              <w:t>竞</w:t>
            </w:r>
            <w:r>
              <w:rPr>
                <w:rFonts w:hint="eastAsia"/>
                <w:b/>
                <w:bCs/>
                <w:color w:val="auto"/>
                <w:highlight w:val="none"/>
              </w:rPr>
              <w:t>标时提供至少5个数控车铣</w:t>
            </w:r>
            <w:r>
              <w:rPr>
                <w:rFonts w:hint="eastAsia"/>
                <w:b/>
                <w:bCs/>
                <w:color w:val="auto"/>
                <w:highlight w:val="none"/>
                <w:lang w:val="en-US" w:eastAsia="zh-CN"/>
              </w:rPr>
              <w:t>技能</w:t>
            </w:r>
            <w:r>
              <w:rPr>
                <w:rFonts w:hint="eastAsia"/>
                <w:b/>
                <w:bCs/>
                <w:color w:val="auto"/>
                <w:highlight w:val="none"/>
              </w:rPr>
              <w:t>考核案例）。</w:t>
            </w:r>
            <w:r>
              <w:rPr>
                <w:rFonts w:hint="eastAsia"/>
                <w:b/>
                <w:bCs/>
                <w:color w:val="auto"/>
                <w:highlight w:val="none"/>
              </w:rPr>
              <w:br w:type="textWrapping"/>
            </w:r>
            <w:r>
              <w:rPr>
                <w:rFonts w:hint="default"/>
                <w:b/>
                <w:bCs/>
                <w:color w:val="auto"/>
                <w:highlight w:val="none"/>
                <w:lang w:val="en-US"/>
              </w:rPr>
              <w:t>六</w:t>
            </w:r>
            <w:r>
              <w:rPr>
                <w:rFonts w:hint="eastAsia"/>
                <w:b/>
                <w:bCs/>
                <w:color w:val="auto"/>
                <w:highlight w:val="none"/>
              </w:rPr>
              <w:t>、培训要求：</w:t>
            </w:r>
            <w:r>
              <w:rPr>
                <w:rFonts w:hint="eastAsia"/>
                <w:b/>
                <w:bCs/>
                <w:color w:val="auto"/>
                <w:highlight w:val="none"/>
              </w:rPr>
              <w:br w:type="textWrapping"/>
            </w:r>
            <w:r>
              <w:rPr>
                <w:rFonts w:hint="eastAsia"/>
                <w:color w:val="auto"/>
                <w:highlight w:val="none"/>
              </w:rPr>
              <w:t>（1）</w:t>
            </w:r>
            <w:r>
              <w:rPr>
                <w:rFonts w:hint="eastAsia"/>
                <w:color w:val="auto"/>
                <w:highlight w:val="none"/>
                <w:lang w:val="en-US" w:eastAsia="zh-CN"/>
              </w:rPr>
              <w:t>成交供应商</w:t>
            </w:r>
            <w:r>
              <w:rPr>
                <w:rFonts w:hint="eastAsia"/>
                <w:color w:val="auto"/>
                <w:highlight w:val="none"/>
              </w:rPr>
              <w:t>应根据新仪器特点，免费对采购人技术人员、管理人员进行操作、维修、保养等方面的专业培训，培训不少于10个工作日。</w:t>
            </w:r>
            <w:r>
              <w:rPr>
                <w:rFonts w:hint="eastAsia"/>
                <w:color w:val="auto"/>
                <w:highlight w:val="none"/>
                <w:lang w:val="en-US" w:eastAsia="zh-CN"/>
              </w:rPr>
              <w:t>成交供应商</w:t>
            </w:r>
            <w:r>
              <w:rPr>
                <w:rFonts w:hint="eastAsia"/>
                <w:color w:val="auto"/>
                <w:highlight w:val="none"/>
              </w:rPr>
              <w:t>委派的专业技术人员所需费用均由</w:t>
            </w:r>
            <w:r>
              <w:rPr>
                <w:rFonts w:hint="eastAsia"/>
                <w:color w:val="auto"/>
                <w:highlight w:val="none"/>
                <w:lang w:val="en-US" w:eastAsia="zh-CN"/>
              </w:rPr>
              <w:t>成交供应商</w:t>
            </w:r>
            <w:r>
              <w:rPr>
                <w:rFonts w:hint="eastAsia"/>
                <w:color w:val="auto"/>
                <w:highlight w:val="none"/>
              </w:rPr>
              <w:t>承担。</w:t>
            </w:r>
            <w:r>
              <w:rPr>
                <w:rFonts w:hint="eastAsia"/>
                <w:color w:val="auto"/>
                <w:highlight w:val="none"/>
              </w:rPr>
              <w:br w:type="textWrapping"/>
            </w:r>
            <w:r>
              <w:rPr>
                <w:rFonts w:hint="eastAsia"/>
                <w:color w:val="auto"/>
                <w:highlight w:val="none"/>
              </w:rPr>
              <w:t>（2）提供现场培训，可根据用户需求举办不少于二期培训，人数学院安排。帮助提高日常维护和设备的操作、编程满足大赛的需要。</w:t>
            </w:r>
            <w:r>
              <w:rPr>
                <w:rFonts w:hint="eastAsia"/>
                <w:color w:val="auto"/>
                <w:highlight w:val="none"/>
              </w:rPr>
              <w:br w:type="textWrapping"/>
            </w:r>
            <w:r>
              <w:rPr>
                <w:rFonts w:hint="default"/>
                <w:b/>
                <w:bCs/>
                <w:color w:val="auto"/>
                <w:highlight w:val="none"/>
                <w:lang w:val="en-US"/>
              </w:rPr>
              <w:t>七</w:t>
            </w:r>
            <w:r>
              <w:rPr>
                <w:rFonts w:hint="eastAsia"/>
                <w:b/>
                <w:bCs/>
                <w:color w:val="auto"/>
                <w:highlight w:val="none"/>
              </w:rPr>
              <w:t>、配套加工教学资源（微课视频+PPT）</w:t>
            </w:r>
            <w:r>
              <w:rPr>
                <w:rFonts w:hint="eastAsia"/>
                <w:color w:val="auto"/>
                <w:highlight w:val="none"/>
              </w:rPr>
              <w:br w:type="textWrapping"/>
            </w:r>
            <w:r>
              <w:rPr>
                <w:rFonts w:hint="eastAsia"/>
                <w:color w:val="auto"/>
                <w:highlight w:val="none"/>
              </w:rPr>
              <w:t>第一章：软件安装和简介</w:t>
            </w:r>
            <w:r>
              <w:rPr>
                <w:rFonts w:hint="eastAsia"/>
                <w:color w:val="auto"/>
                <w:highlight w:val="none"/>
                <w:lang w:val="en-US" w:eastAsia="zh-CN"/>
              </w:rPr>
              <w:t>；</w:t>
            </w:r>
            <w:r>
              <w:rPr>
                <w:rFonts w:hint="eastAsia"/>
                <w:color w:val="auto"/>
                <w:highlight w:val="none"/>
              </w:rPr>
              <w:br w:type="textWrapping"/>
            </w:r>
            <w:r>
              <w:rPr>
                <w:rFonts w:hint="eastAsia"/>
                <w:color w:val="auto"/>
                <w:highlight w:val="none"/>
                <w:lang w:val="en-US" w:eastAsia="zh-CN"/>
              </w:rPr>
              <w:t>1</w:t>
            </w:r>
            <w:r>
              <w:rPr>
                <w:rFonts w:hint="eastAsia"/>
                <w:color w:val="auto"/>
                <w:highlight w:val="none"/>
              </w:rPr>
              <w:t>.机床分类</w:t>
            </w:r>
            <w:r>
              <w:rPr>
                <w:rFonts w:hint="eastAsia"/>
                <w:color w:val="auto"/>
                <w:highlight w:val="none"/>
                <w:lang w:eastAsia="zh-CN"/>
              </w:rPr>
              <w:t>；</w:t>
            </w:r>
          </w:p>
          <w:p w14:paraId="0E8B55FD">
            <w:pPr>
              <w:keepNext w:val="0"/>
              <w:keepLines w:val="0"/>
              <w:pageBreakBefore w:val="0"/>
              <w:widowControl/>
              <w:kinsoku/>
              <w:wordWrap w:val="0"/>
              <w:overflowPunct/>
              <w:topLinePunct w:val="0"/>
              <w:autoSpaceDE/>
              <w:autoSpaceDN/>
              <w:bidi w:val="0"/>
              <w:adjustRightInd/>
              <w:snapToGrid/>
              <w:spacing w:line="360" w:lineRule="auto"/>
              <w:ind w:left="216" w:leftChars="103" w:firstLine="0" w:firstLineChars="0"/>
              <w:jc w:val="left"/>
              <w:textAlignment w:val="auto"/>
              <w:rPr>
                <w:rFonts w:hint="eastAsia" w:eastAsia="宋体"/>
                <w:color w:val="auto"/>
                <w:highlight w:val="none"/>
                <w:lang w:eastAsia="zh-CN"/>
              </w:rPr>
            </w:pPr>
            <w:r>
              <w:rPr>
                <w:rFonts w:hint="eastAsia"/>
                <w:color w:val="auto"/>
                <w:highlight w:val="none"/>
                <w:lang w:val="en-US" w:eastAsia="zh-CN"/>
              </w:rPr>
              <w:t>2.软件安装方法；</w:t>
            </w:r>
            <w:r>
              <w:rPr>
                <w:rFonts w:hint="eastAsia"/>
                <w:color w:val="auto"/>
                <w:highlight w:val="none"/>
              </w:rPr>
              <w:br w:type="textWrapping"/>
            </w:r>
            <w:r>
              <w:rPr>
                <w:rFonts w:hint="eastAsia"/>
                <w:color w:val="auto"/>
                <w:highlight w:val="none"/>
              </w:rPr>
              <w:t>第二章：定面和替换轴加工</w:t>
            </w:r>
            <w:r>
              <w:rPr>
                <w:rFonts w:hint="eastAsia"/>
                <w:color w:val="auto"/>
                <w:highlight w:val="none"/>
                <w:lang w:val="en-US" w:eastAsia="zh-CN"/>
              </w:rPr>
              <w:t>；</w:t>
            </w:r>
            <w:r>
              <w:rPr>
                <w:rFonts w:hint="eastAsia"/>
                <w:color w:val="auto"/>
                <w:highlight w:val="none"/>
              </w:rPr>
              <w:br w:type="textWrapping"/>
            </w:r>
            <w:r>
              <w:rPr>
                <w:rFonts w:hint="eastAsia"/>
                <w:color w:val="auto"/>
                <w:highlight w:val="none"/>
              </w:rPr>
              <w:t>1.定面加工；</w:t>
            </w:r>
            <w:r>
              <w:rPr>
                <w:rFonts w:hint="eastAsia"/>
                <w:color w:val="auto"/>
                <w:highlight w:val="none"/>
              </w:rPr>
              <w:br w:type="textWrapping"/>
            </w:r>
            <w:r>
              <w:rPr>
                <w:rFonts w:hint="eastAsia"/>
                <w:color w:val="auto"/>
                <w:highlight w:val="none"/>
              </w:rPr>
              <w:t>2.定面加工导入西莫科仿真；</w:t>
            </w:r>
            <w:r>
              <w:rPr>
                <w:rFonts w:hint="eastAsia"/>
                <w:color w:val="auto"/>
                <w:highlight w:val="none"/>
              </w:rPr>
              <w:br w:type="textWrapping"/>
            </w:r>
            <w:r>
              <w:rPr>
                <w:rFonts w:hint="eastAsia"/>
                <w:color w:val="auto"/>
                <w:highlight w:val="none"/>
              </w:rPr>
              <w:t>3.定面加工和替换轴；</w:t>
            </w:r>
            <w:r>
              <w:rPr>
                <w:rFonts w:hint="eastAsia"/>
                <w:color w:val="auto"/>
                <w:highlight w:val="none"/>
              </w:rPr>
              <w:br w:type="textWrapping"/>
            </w:r>
            <w:r>
              <w:rPr>
                <w:rFonts w:hint="eastAsia"/>
                <w:color w:val="auto"/>
                <w:highlight w:val="none"/>
              </w:rPr>
              <w:t>4.替换轴联动加工的劣势；</w:t>
            </w:r>
            <w:r>
              <w:rPr>
                <w:rFonts w:hint="eastAsia"/>
                <w:color w:val="auto"/>
                <w:highlight w:val="none"/>
              </w:rPr>
              <w:br w:type="textWrapping"/>
            </w:r>
            <w:r>
              <w:rPr>
                <w:rFonts w:hint="eastAsia"/>
                <w:color w:val="auto"/>
                <w:highlight w:val="none"/>
                <w:lang w:val="en-US" w:eastAsia="zh-CN"/>
              </w:rPr>
              <w:t>5</w:t>
            </w:r>
            <w:r>
              <w:rPr>
                <w:rFonts w:hint="eastAsia"/>
                <w:color w:val="auto"/>
                <w:highlight w:val="none"/>
              </w:rPr>
              <w:t>.机床如何对刀找中心</w:t>
            </w:r>
            <w:r>
              <w:rPr>
                <w:rFonts w:hint="eastAsia"/>
                <w:color w:val="auto"/>
                <w:highlight w:val="none"/>
                <w:lang w:val="en-US" w:eastAsia="zh-CN"/>
              </w:rPr>
              <w:t>；</w:t>
            </w:r>
            <w:r>
              <w:rPr>
                <w:rFonts w:hint="eastAsia"/>
                <w:color w:val="auto"/>
                <w:highlight w:val="none"/>
              </w:rPr>
              <w:br w:type="textWrapping"/>
            </w:r>
            <w:r>
              <w:rPr>
                <w:rFonts w:hint="eastAsia"/>
                <w:color w:val="auto"/>
                <w:highlight w:val="none"/>
                <w:lang w:val="en-US" w:eastAsia="zh-CN"/>
              </w:rPr>
              <w:t>6</w:t>
            </w:r>
            <w:r>
              <w:rPr>
                <w:rFonts w:hint="eastAsia"/>
                <w:color w:val="auto"/>
                <w:highlight w:val="none"/>
              </w:rPr>
              <w:t>.腔体实例加工</w:t>
            </w:r>
            <w:r>
              <w:rPr>
                <w:rFonts w:hint="eastAsia"/>
                <w:color w:val="auto"/>
                <w:highlight w:val="none"/>
                <w:lang w:val="en-US" w:eastAsia="zh-CN"/>
              </w:rPr>
              <w:t>；</w:t>
            </w:r>
            <w:r>
              <w:rPr>
                <w:rFonts w:hint="eastAsia"/>
                <w:color w:val="auto"/>
                <w:highlight w:val="none"/>
              </w:rPr>
              <w:br w:type="textWrapping"/>
            </w:r>
            <w:r>
              <w:rPr>
                <w:rFonts w:hint="eastAsia"/>
                <w:color w:val="auto"/>
                <w:highlight w:val="none"/>
                <w:lang w:val="en-US" w:eastAsia="zh-CN"/>
              </w:rPr>
              <w:t>7</w:t>
            </w:r>
            <w:r>
              <w:rPr>
                <w:rFonts w:hint="eastAsia"/>
                <w:color w:val="auto"/>
                <w:highlight w:val="none"/>
              </w:rPr>
              <w:t>.加工实例操作；</w:t>
            </w:r>
            <w:r>
              <w:rPr>
                <w:rFonts w:hint="eastAsia"/>
                <w:color w:val="auto"/>
                <w:highlight w:val="none"/>
              </w:rPr>
              <w:br w:type="textWrapping"/>
            </w:r>
            <w:r>
              <w:rPr>
                <w:rFonts w:hint="eastAsia"/>
                <w:color w:val="auto"/>
                <w:highlight w:val="none"/>
              </w:rPr>
              <w:t>第三章：钻孔</w:t>
            </w:r>
            <w:r>
              <w:rPr>
                <w:rFonts w:hint="eastAsia"/>
                <w:color w:val="auto"/>
                <w:highlight w:val="none"/>
                <w:lang w:val="en-US" w:eastAsia="zh-CN"/>
              </w:rPr>
              <w:t>；</w:t>
            </w:r>
            <w:r>
              <w:rPr>
                <w:rFonts w:hint="eastAsia"/>
                <w:color w:val="auto"/>
                <w:highlight w:val="none"/>
              </w:rPr>
              <w:br w:type="textWrapping"/>
            </w:r>
            <w:r>
              <w:rPr>
                <w:rFonts w:hint="eastAsia"/>
                <w:color w:val="auto"/>
                <w:highlight w:val="none"/>
              </w:rPr>
              <w:t>1.钻孔的参数设置；</w:t>
            </w:r>
            <w:r>
              <w:rPr>
                <w:rFonts w:hint="eastAsia"/>
                <w:color w:val="auto"/>
                <w:highlight w:val="none"/>
              </w:rPr>
              <w:br w:type="textWrapping"/>
            </w:r>
            <w:r>
              <w:rPr>
                <w:rFonts w:hint="eastAsia"/>
                <w:color w:val="auto"/>
                <w:highlight w:val="none"/>
              </w:rPr>
              <w:t>2.钻孔功能的参数设置</w:t>
            </w:r>
            <w:r>
              <w:rPr>
                <w:rFonts w:hint="eastAsia"/>
                <w:color w:val="auto"/>
                <w:highlight w:val="none"/>
                <w:lang w:val="en-US" w:eastAsia="zh-CN"/>
              </w:rPr>
              <w:t>；</w:t>
            </w:r>
            <w:r>
              <w:rPr>
                <w:rFonts w:hint="eastAsia"/>
                <w:color w:val="auto"/>
                <w:highlight w:val="none"/>
              </w:rPr>
              <w:br w:type="textWrapping"/>
            </w:r>
            <w:r>
              <w:rPr>
                <w:rFonts w:hint="eastAsia"/>
                <w:color w:val="auto"/>
                <w:highlight w:val="none"/>
              </w:rPr>
              <w:t>第四章：传统刀路命令讲解和应用</w:t>
            </w:r>
            <w:r>
              <w:rPr>
                <w:rFonts w:hint="eastAsia"/>
                <w:color w:val="auto"/>
                <w:highlight w:val="none"/>
                <w:lang w:val="en-US" w:eastAsia="zh-CN"/>
              </w:rPr>
              <w:t>；</w:t>
            </w:r>
            <w:r>
              <w:rPr>
                <w:rFonts w:hint="eastAsia"/>
                <w:color w:val="auto"/>
                <w:highlight w:val="none"/>
              </w:rPr>
              <w:br w:type="textWrapping"/>
            </w:r>
            <w:r>
              <w:rPr>
                <w:rFonts w:hint="eastAsia"/>
                <w:color w:val="auto"/>
                <w:highlight w:val="none"/>
              </w:rPr>
              <w:t>1.加工中刀轴控制的原理；</w:t>
            </w:r>
            <w:r>
              <w:rPr>
                <w:rFonts w:hint="eastAsia"/>
                <w:color w:val="auto"/>
                <w:highlight w:val="none"/>
              </w:rPr>
              <w:br w:type="textWrapping"/>
            </w:r>
            <w:r>
              <w:rPr>
                <w:rFonts w:hint="eastAsia"/>
                <w:color w:val="auto"/>
                <w:highlight w:val="none"/>
              </w:rPr>
              <w:t>2.刀轴控制原理和应用场景；</w:t>
            </w:r>
            <w:r>
              <w:rPr>
                <w:rFonts w:hint="eastAsia"/>
                <w:color w:val="auto"/>
                <w:highlight w:val="none"/>
              </w:rPr>
              <w:br w:type="textWrapping"/>
            </w:r>
            <w:r>
              <w:rPr>
                <w:rFonts w:hint="eastAsia"/>
                <w:color w:val="auto"/>
                <w:highlight w:val="none"/>
              </w:rPr>
              <w:t>3.加工之沿边；</w:t>
            </w:r>
            <w:r>
              <w:rPr>
                <w:rFonts w:hint="eastAsia"/>
                <w:color w:val="auto"/>
                <w:highlight w:val="none"/>
              </w:rPr>
              <w:br w:type="textWrapping"/>
            </w:r>
            <w:r>
              <w:rPr>
                <w:rFonts w:hint="eastAsia"/>
                <w:color w:val="auto"/>
                <w:highlight w:val="none"/>
              </w:rPr>
              <w:t>4.实例刀轴控制的应用；</w:t>
            </w:r>
            <w:r>
              <w:rPr>
                <w:rFonts w:hint="eastAsia"/>
                <w:color w:val="auto"/>
                <w:highlight w:val="none"/>
              </w:rPr>
              <w:br w:type="textWrapping"/>
            </w:r>
            <w:r>
              <w:rPr>
                <w:rFonts w:hint="eastAsia"/>
                <w:color w:val="auto"/>
                <w:highlight w:val="none"/>
              </w:rPr>
              <w:t>5.实例和刀轴控制应用</w:t>
            </w:r>
            <w:r>
              <w:rPr>
                <w:rFonts w:hint="eastAsia"/>
                <w:color w:val="auto"/>
                <w:highlight w:val="none"/>
                <w:lang w:val="en-US" w:eastAsia="zh-CN"/>
              </w:rPr>
              <w:t>；</w:t>
            </w:r>
            <w:r>
              <w:rPr>
                <w:rFonts w:hint="eastAsia"/>
                <w:color w:val="auto"/>
                <w:highlight w:val="none"/>
              </w:rPr>
              <w:br w:type="textWrapping"/>
            </w:r>
            <w:r>
              <w:rPr>
                <w:rFonts w:hint="eastAsia"/>
                <w:color w:val="auto"/>
                <w:highlight w:val="none"/>
              </w:rPr>
              <w:t>6.沿面刀路的生成和刀轴控制应用；</w:t>
            </w:r>
            <w:r>
              <w:rPr>
                <w:rFonts w:hint="eastAsia"/>
                <w:color w:val="auto"/>
                <w:highlight w:val="none"/>
              </w:rPr>
              <w:br w:type="textWrapping"/>
            </w:r>
            <w:r>
              <w:rPr>
                <w:rFonts w:hint="eastAsia"/>
                <w:color w:val="auto"/>
                <w:highlight w:val="none"/>
              </w:rPr>
              <w:t>7.沿面驱动面制作和刀轴控制方法；</w:t>
            </w:r>
            <w:r>
              <w:rPr>
                <w:rFonts w:hint="eastAsia"/>
                <w:color w:val="auto"/>
                <w:highlight w:val="none"/>
              </w:rPr>
              <w:br w:type="textWrapping"/>
            </w:r>
            <w:r>
              <w:rPr>
                <w:rFonts w:hint="eastAsia"/>
                <w:color w:val="auto"/>
                <w:highlight w:val="none"/>
              </w:rPr>
              <w:t>8.联动之加工；</w:t>
            </w:r>
            <w:r>
              <w:rPr>
                <w:rFonts w:hint="eastAsia"/>
                <w:color w:val="auto"/>
                <w:highlight w:val="none"/>
              </w:rPr>
              <w:br w:type="textWrapping"/>
            </w:r>
            <w:r>
              <w:rPr>
                <w:rFonts w:hint="eastAsia"/>
                <w:color w:val="auto"/>
                <w:highlight w:val="none"/>
              </w:rPr>
              <w:t>9.加工中基本联动刀路的应用场景</w:t>
            </w:r>
            <w:r>
              <w:rPr>
                <w:rFonts w:hint="eastAsia"/>
                <w:color w:val="auto"/>
                <w:highlight w:val="none"/>
                <w:lang w:val="en-US" w:eastAsia="zh-CN"/>
              </w:rPr>
              <w:t>；</w:t>
            </w:r>
            <w:r>
              <w:rPr>
                <w:rFonts w:hint="eastAsia"/>
                <w:color w:val="auto"/>
                <w:highlight w:val="none"/>
              </w:rPr>
              <w:br w:type="textWrapping"/>
            </w:r>
            <w:r>
              <w:rPr>
                <w:rFonts w:hint="eastAsia"/>
                <w:color w:val="auto"/>
                <w:highlight w:val="none"/>
              </w:rPr>
              <w:t>10.基础实例加工讲解；</w:t>
            </w:r>
            <w:r>
              <w:rPr>
                <w:rFonts w:hint="eastAsia"/>
                <w:color w:val="auto"/>
                <w:highlight w:val="none"/>
              </w:rPr>
              <w:br w:type="textWrapping"/>
            </w:r>
            <w:r>
              <w:rPr>
                <w:rFonts w:hint="eastAsia"/>
                <w:color w:val="auto"/>
                <w:highlight w:val="none"/>
              </w:rPr>
              <w:t>11.联动之通道命令讲解；</w:t>
            </w:r>
            <w:r>
              <w:rPr>
                <w:rFonts w:hint="eastAsia"/>
                <w:color w:val="auto"/>
                <w:highlight w:val="none"/>
              </w:rPr>
              <w:br w:type="textWrapping"/>
            </w:r>
            <w:r>
              <w:rPr>
                <w:rFonts w:hint="eastAsia"/>
                <w:color w:val="auto"/>
                <w:highlight w:val="none"/>
              </w:rPr>
              <w:t>第五章：高级刀路命令讲解和应用</w:t>
            </w:r>
            <w:r>
              <w:rPr>
                <w:rFonts w:hint="eastAsia"/>
                <w:color w:val="auto"/>
                <w:highlight w:val="none"/>
                <w:lang w:val="en-US" w:eastAsia="zh-CN"/>
              </w:rPr>
              <w:t>；</w:t>
            </w:r>
            <w:r>
              <w:rPr>
                <w:rFonts w:hint="eastAsia"/>
                <w:color w:val="auto"/>
                <w:highlight w:val="none"/>
              </w:rPr>
              <w:br w:type="textWrapping"/>
            </w:r>
            <w:r>
              <w:rPr>
                <w:rFonts w:hint="eastAsia"/>
                <w:color w:val="auto"/>
                <w:highlight w:val="none"/>
              </w:rPr>
              <w:t>1.高级联动刀路的切削参数设置；</w:t>
            </w:r>
            <w:r>
              <w:rPr>
                <w:rFonts w:hint="eastAsia"/>
                <w:color w:val="auto"/>
                <w:highlight w:val="none"/>
              </w:rPr>
              <w:br w:type="textWrapping"/>
            </w:r>
            <w:r>
              <w:rPr>
                <w:rFonts w:hint="eastAsia"/>
                <w:color w:val="auto"/>
                <w:highlight w:val="none"/>
              </w:rPr>
              <w:t>2.潮变刀路在三轴机床中的使用；</w:t>
            </w:r>
            <w:r>
              <w:rPr>
                <w:rFonts w:hint="eastAsia"/>
                <w:color w:val="auto"/>
                <w:highlight w:val="none"/>
              </w:rPr>
              <w:br w:type="textWrapping"/>
            </w:r>
            <w:r>
              <w:rPr>
                <w:rFonts w:hint="eastAsia"/>
                <w:color w:val="auto"/>
                <w:highlight w:val="none"/>
              </w:rPr>
              <w:t>3.沛变刀路在三轴机床中的使用</w:t>
            </w:r>
            <w:r>
              <w:rPr>
                <w:rFonts w:hint="eastAsia"/>
                <w:color w:val="auto"/>
                <w:highlight w:val="none"/>
                <w:lang w:eastAsia="zh-CN"/>
              </w:rPr>
              <w:t>；</w:t>
            </w:r>
            <w:r>
              <w:rPr>
                <w:rFonts w:hint="eastAsia"/>
                <w:color w:val="auto"/>
                <w:highlight w:val="none"/>
              </w:rPr>
              <w:br w:type="textWrapping"/>
            </w:r>
            <w:r>
              <w:rPr>
                <w:rFonts w:hint="eastAsia"/>
                <w:color w:val="auto"/>
                <w:highlight w:val="none"/>
              </w:rPr>
              <w:t>4.淅变刀路的具体应用；</w:t>
            </w:r>
            <w:r>
              <w:rPr>
                <w:rFonts w:hint="eastAsia"/>
                <w:color w:val="auto"/>
                <w:highlight w:val="none"/>
              </w:rPr>
              <w:br w:type="textWrapping"/>
            </w:r>
            <w:r>
              <w:rPr>
                <w:rFonts w:hint="eastAsia"/>
                <w:color w:val="auto"/>
                <w:highlight w:val="none"/>
              </w:rPr>
              <w:t>5.沿面刀路的应用；</w:t>
            </w:r>
            <w:r>
              <w:rPr>
                <w:rFonts w:hint="eastAsia"/>
                <w:color w:val="auto"/>
                <w:highlight w:val="none"/>
              </w:rPr>
              <w:br w:type="textWrapping"/>
            </w:r>
            <w:r>
              <w:rPr>
                <w:rFonts w:hint="eastAsia"/>
                <w:color w:val="auto"/>
                <w:highlight w:val="none"/>
              </w:rPr>
              <w:t>6.高级淅变刀路的各项参数设置应用；</w:t>
            </w:r>
            <w:r>
              <w:rPr>
                <w:rFonts w:hint="eastAsia"/>
                <w:color w:val="auto"/>
                <w:highlight w:val="none"/>
              </w:rPr>
              <w:br w:type="textWrapping"/>
            </w:r>
            <w:r>
              <w:rPr>
                <w:rFonts w:hint="eastAsia"/>
                <w:color w:val="auto"/>
                <w:highlight w:val="none"/>
              </w:rPr>
              <w:t>7.高级刀路之平行刀路的应用；</w:t>
            </w:r>
            <w:r>
              <w:rPr>
                <w:rFonts w:hint="eastAsia"/>
                <w:color w:val="auto"/>
                <w:highlight w:val="none"/>
              </w:rPr>
              <w:br w:type="textWrapping"/>
            </w:r>
            <w:r>
              <w:rPr>
                <w:rFonts w:hint="eastAsia"/>
                <w:color w:val="auto"/>
                <w:highlight w:val="none"/>
              </w:rPr>
              <w:t>8.高级刀路之侧刃铢削的应用；</w:t>
            </w:r>
            <w:r>
              <w:rPr>
                <w:rFonts w:hint="eastAsia"/>
                <w:color w:val="auto"/>
                <w:highlight w:val="none"/>
              </w:rPr>
              <w:br w:type="textWrapping"/>
            </w:r>
            <w:r>
              <w:rPr>
                <w:rFonts w:hint="eastAsia"/>
                <w:color w:val="auto"/>
                <w:highlight w:val="none"/>
              </w:rPr>
              <w:t>9.高级刀路之沿曲线加工；</w:t>
            </w:r>
            <w:r>
              <w:rPr>
                <w:rFonts w:hint="eastAsia"/>
                <w:color w:val="auto"/>
                <w:highlight w:val="none"/>
              </w:rPr>
              <w:br w:type="textWrapping"/>
            </w:r>
            <w:r>
              <w:rPr>
                <w:rFonts w:hint="eastAsia"/>
                <w:color w:val="auto"/>
                <w:highlight w:val="none"/>
              </w:rPr>
              <w:t xml:space="preserve">10.高级刀路之旋转刀路应用； </w:t>
            </w:r>
            <w:r>
              <w:rPr>
                <w:rFonts w:hint="eastAsia"/>
                <w:color w:val="auto"/>
                <w:highlight w:val="none"/>
              </w:rPr>
              <w:br w:type="textWrapping"/>
            </w:r>
            <w:r>
              <w:rPr>
                <w:rFonts w:hint="eastAsia"/>
                <w:color w:val="auto"/>
                <w:highlight w:val="none"/>
              </w:rPr>
              <w:t xml:space="preserve">11.联动加工之动态开粗； </w:t>
            </w:r>
            <w:r>
              <w:rPr>
                <w:rFonts w:hint="eastAsia"/>
                <w:color w:val="auto"/>
                <w:highlight w:val="none"/>
              </w:rPr>
              <w:br w:type="textWrapping"/>
            </w:r>
            <w:r>
              <w:rPr>
                <w:rFonts w:hint="eastAsia"/>
                <w:color w:val="auto"/>
                <w:highlight w:val="none"/>
              </w:rPr>
              <w:t xml:space="preserve">12.三轴刀路如何转换成刀路的方法； </w:t>
            </w:r>
            <w:r>
              <w:rPr>
                <w:rFonts w:hint="eastAsia"/>
                <w:color w:val="auto"/>
                <w:highlight w:val="none"/>
              </w:rPr>
              <w:br w:type="textWrapping"/>
            </w:r>
            <w:r>
              <w:rPr>
                <w:rFonts w:hint="eastAsia"/>
                <w:color w:val="auto"/>
                <w:highlight w:val="none"/>
              </w:rPr>
              <w:t>1</w:t>
            </w:r>
            <w:r>
              <w:rPr>
                <w:rFonts w:hint="eastAsia"/>
                <w:color w:val="auto"/>
                <w:highlight w:val="none"/>
                <w:lang w:val="en-US" w:eastAsia="zh-CN"/>
              </w:rPr>
              <w:t>3</w:t>
            </w:r>
            <w:r>
              <w:rPr>
                <w:rFonts w:hint="eastAsia"/>
                <w:color w:val="auto"/>
                <w:highlight w:val="none"/>
              </w:rPr>
              <w:t>.刀路之通道专家开粗的应用；</w:t>
            </w:r>
            <w:r>
              <w:rPr>
                <w:rFonts w:hint="eastAsia"/>
                <w:color w:val="auto"/>
                <w:highlight w:val="none"/>
              </w:rPr>
              <w:br w:type="textWrapping"/>
            </w:r>
            <w:r>
              <w:rPr>
                <w:rFonts w:hint="eastAsia"/>
                <w:color w:val="auto"/>
                <w:highlight w:val="none"/>
              </w:rPr>
              <w:t>1</w:t>
            </w:r>
            <w:r>
              <w:rPr>
                <w:rFonts w:hint="eastAsia"/>
                <w:color w:val="auto"/>
                <w:highlight w:val="none"/>
                <w:lang w:val="en-US" w:eastAsia="zh-CN"/>
              </w:rPr>
              <w:t>4</w:t>
            </w:r>
            <w:r>
              <w:rPr>
                <w:rFonts w:hint="eastAsia"/>
                <w:color w:val="auto"/>
                <w:highlight w:val="none"/>
              </w:rPr>
              <w:t>.刀路之通道专家精加工参数设置及应用；</w:t>
            </w:r>
            <w:r>
              <w:rPr>
                <w:rFonts w:hint="eastAsia"/>
                <w:color w:val="auto"/>
                <w:highlight w:val="none"/>
              </w:rPr>
              <w:br w:type="textWrapping"/>
            </w:r>
            <w:r>
              <w:rPr>
                <w:rFonts w:hint="eastAsia"/>
                <w:color w:val="auto"/>
                <w:highlight w:val="none"/>
              </w:rPr>
              <w:t>1</w:t>
            </w:r>
            <w:r>
              <w:rPr>
                <w:rFonts w:hint="eastAsia"/>
                <w:color w:val="auto"/>
                <w:highlight w:val="none"/>
                <w:lang w:val="en-US" w:eastAsia="zh-CN"/>
              </w:rPr>
              <w:t>5</w:t>
            </w:r>
            <w:r>
              <w:rPr>
                <w:rFonts w:hint="eastAsia"/>
                <w:color w:val="auto"/>
                <w:highlight w:val="none"/>
              </w:rPr>
              <w:t>.刀路之粗切功能的设置与应用；</w:t>
            </w:r>
            <w:r>
              <w:rPr>
                <w:rFonts w:hint="eastAsia"/>
                <w:color w:val="auto"/>
                <w:highlight w:val="none"/>
              </w:rPr>
              <w:br w:type="textWrapping"/>
            </w:r>
            <w:r>
              <w:rPr>
                <w:rFonts w:hint="eastAsia"/>
                <w:color w:val="auto"/>
                <w:highlight w:val="none"/>
              </w:rPr>
              <w:t>1</w:t>
            </w:r>
            <w:r>
              <w:rPr>
                <w:rFonts w:hint="eastAsia"/>
                <w:color w:val="auto"/>
                <w:highlight w:val="none"/>
                <w:lang w:val="en-US" w:eastAsia="zh-CN"/>
              </w:rPr>
              <w:t>6</w:t>
            </w:r>
            <w:r>
              <w:rPr>
                <w:rFonts w:hint="eastAsia"/>
                <w:color w:val="auto"/>
                <w:highlight w:val="none"/>
              </w:rPr>
              <w:t>.刀路之精加工；</w:t>
            </w:r>
            <w:r>
              <w:rPr>
                <w:rFonts w:hint="eastAsia"/>
                <w:color w:val="auto"/>
                <w:highlight w:val="none"/>
              </w:rPr>
              <w:br w:type="textWrapping"/>
            </w:r>
            <w:r>
              <w:rPr>
                <w:rFonts w:hint="eastAsia"/>
                <w:color w:val="auto"/>
                <w:highlight w:val="none"/>
              </w:rPr>
              <w:t>1</w:t>
            </w:r>
            <w:r>
              <w:rPr>
                <w:rFonts w:hint="eastAsia"/>
                <w:color w:val="auto"/>
                <w:highlight w:val="none"/>
                <w:lang w:val="en-US" w:eastAsia="zh-CN"/>
              </w:rPr>
              <w:t>7</w:t>
            </w:r>
            <w:r>
              <w:rPr>
                <w:rFonts w:hint="eastAsia"/>
                <w:color w:val="auto"/>
                <w:highlight w:val="none"/>
              </w:rPr>
              <w:t>.刻字</w:t>
            </w:r>
            <w:r>
              <w:rPr>
                <w:rFonts w:hint="eastAsia"/>
                <w:color w:val="auto"/>
                <w:highlight w:val="none"/>
                <w:lang w:val="en-US" w:eastAsia="zh-CN"/>
              </w:rPr>
              <w:t>；</w:t>
            </w:r>
            <w:r>
              <w:rPr>
                <w:rFonts w:hint="eastAsia"/>
                <w:color w:val="auto"/>
                <w:highlight w:val="none"/>
              </w:rPr>
              <w:br w:type="textWrapping"/>
            </w:r>
            <w:r>
              <w:rPr>
                <w:rFonts w:hint="eastAsia"/>
                <w:color w:val="auto"/>
                <w:highlight w:val="none"/>
              </w:rPr>
              <w:t>1</w:t>
            </w:r>
            <w:r>
              <w:rPr>
                <w:rFonts w:hint="eastAsia"/>
                <w:color w:val="auto"/>
                <w:highlight w:val="none"/>
                <w:lang w:val="en-US" w:eastAsia="zh-CN"/>
              </w:rPr>
              <w:t>8</w:t>
            </w:r>
            <w:r>
              <w:rPr>
                <w:rFonts w:hint="eastAsia"/>
                <w:color w:val="auto"/>
                <w:highlight w:val="none"/>
              </w:rPr>
              <w:t>.刀路之投影刀路的使用；</w:t>
            </w:r>
            <w:r>
              <w:rPr>
                <w:rFonts w:hint="eastAsia"/>
                <w:color w:val="auto"/>
                <w:highlight w:val="none"/>
              </w:rPr>
              <w:br w:type="textWrapping"/>
            </w:r>
            <w:r>
              <w:rPr>
                <w:rFonts w:hint="eastAsia"/>
                <w:color w:val="auto"/>
                <w:highlight w:val="none"/>
              </w:rPr>
              <w:t>第六章：加工实例</w:t>
            </w:r>
            <w:r>
              <w:rPr>
                <w:rFonts w:hint="eastAsia"/>
                <w:color w:val="auto"/>
                <w:highlight w:val="none"/>
                <w:lang w:val="en-US" w:eastAsia="zh-CN"/>
              </w:rPr>
              <w:t>；</w:t>
            </w:r>
            <w:r>
              <w:rPr>
                <w:rFonts w:hint="eastAsia"/>
                <w:color w:val="auto"/>
                <w:highlight w:val="none"/>
              </w:rPr>
              <w:br w:type="textWrapping"/>
            </w:r>
            <w:r>
              <w:rPr>
                <w:rFonts w:hint="eastAsia"/>
                <w:color w:val="auto"/>
                <w:highlight w:val="none"/>
              </w:rPr>
              <w:t>1.淅变刀路加工辐轴；</w:t>
            </w:r>
            <w:r>
              <w:rPr>
                <w:rFonts w:hint="eastAsia"/>
                <w:color w:val="auto"/>
                <w:highlight w:val="none"/>
              </w:rPr>
              <w:br w:type="textWrapping"/>
            </w:r>
            <w:r>
              <w:rPr>
                <w:rFonts w:hint="eastAsia"/>
                <w:color w:val="auto"/>
                <w:highlight w:val="none"/>
              </w:rPr>
              <w:t>2.实例动态开粗的应用；</w:t>
            </w:r>
            <w:r>
              <w:rPr>
                <w:rFonts w:hint="eastAsia"/>
                <w:color w:val="auto"/>
                <w:highlight w:val="none"/>
              </w:rPr>
              <w:br w:type="textWrapping"/>
            </w:r>
            <w:r>
              <w:rPr>
                <w:rFonts w:hint="eastAsia"/>
                <w:color w:val="auto"/>
                <w:highlight w:val="none"/>
              </w:rPr>
              <w:t>3.实例精加工；</w:t>
            </w:r>
            <w:r>
              <w:rPr>
                <w:rFonts w:hint="eastAsia"/>
                <w:color w:val="auto"/>
                <w:highlight w:val="none"/>
              </w:rPr>
              <w:br w:type="textWrapping"/>
            </w:r>
            <w:r>
              <w:rPr>
                <w:rFonts w:hint="default"/>
                <w:b/>
                <w:bCs/>
                <w:color w:val="auto"/>
                <w:highlight w:val="none"/>
                <w:lang w:val="en-US"/>
              </w:rPr>
              <w:t>八</w:t>
            </w:r>
            <w:r>
              <w:rPr>
                <w:rFonts w:hint="eastAsia"/>
                <w:b/>
                <w:bCs/>
                <w:color w:val="auto"/>
                <w:highlight w:val="none"/>
              </w:rPr>
              <w:t>、配套脚踏板</w:t>
            </w:r>
            <w:r>
              <w:rPr>
                <w:rFonts w:hint="eastAsia"/>
                <w:color w:val="auto"/>
                <w:highlight w:val="none"/>
              </w:rPr>
              <w:br w:type="textWrapping"/>
            </w:r>
            <w:r>
              <w:rPr>
                <w:rFonts w:hint="eastAsia"/>
                <w:color w:val="auto"/>
                <w:highlight w:val="none"/>
              </w:rPr>
              <w:t>1.边框1.2mm（±</w:t>
            </w:r>
            <w:r>
              <w:rPr>
                <w:rFonts w:hint="eastAsia"/>
                <w:color w:val="auto"/>
                <w:highlight w:val="none"/>
                <w:lang w:val="en-US" w:eastAsia="zh-CN"/>
              </w:rPr>
              <w:t>0.5mm</w:t>
            </w:r>
            <w:r>
              <w:rPr>
                <w:rFonts w:hint="eastAsia"/>
                <w:color w:val="auto"/>
                <w:highlight w:val="none"/>
              </w:rPr>
              <w:t>）厚度钢板</w:t>
            </w:r>
            <w:r>
              <w:rPr>
                <w:rFonts w:hint="eastAsia"/>
                <w:color w:val="auto"/>
                <w:highlight w:val="none"/>
                <w:lang w:val="en-US" w:eastAsia="zh-CN"/>
              </w:rPr>
              <w:t>或硬度、钢性相当于或优于</w:t>
            </w:r>
            <w:r>
              <w:rPr>
                <w:rFonts w:hint="eastAsia"/>
                <w:color w:val="auto"/>
                <w:highlight w:val="none"/>
              </w:rPr>
              <w:t>钢板</w:t>
            </w:r>
            <w:r>
              <w:rPr>
                <w:rFonts w:hint="eastAsia"/>
                <w:color w:val="auto"/>
                <w:highlight w:val="none"/>
                <w:lang w:val="en-US" w:eastAsia="zh-CN"/>
              </w:rPr>
              <w:t>的其它材质</w:t>
            </w:r>
            <w:r>
              <w:rPr>
                <w:rFonts w:hint="eastAsia"/>
                <w:color w:val="auto"/>
                <w:highlight w:val="none"/>
              </w:rPr>
              <w:t>，一体折弯；</w:t>
            </w:r>
            <w:r>
              <w:rPr>
                <w:rFonts w:hint="eastAsia"/>
                <w:color w:val="auto"/>
                <w:highlight w:val="none"/>
              </w:rPr>
              <w:br w:type="textWrapping"/>
            </w:r>
            <w:r>
              <w:rPr>
                <w:rFonts w:hint="eastAsia"/>
                <w:color w:val="auto"/>
                <w:highlight w:val="none"/>
              </w:rPr>
              <w:t>2.中间</w:t>
            </w:r>
            <w:r>
              <w:rPr>
                <w:rFonts w:hint="eastAsia"/>
                <w:color w:val="auto"/>
                <w:highlight w:val="none"/>
                <w:lang w:val="en-US" w:eastAsia="zh-CN"/>
              </w:rPr>
              <w:t>不少于</w:t>
            </w:r>
            <w:r>
              <w:rPr>
                <w:rFonts w:hint="eastAsia"/>
                <w:color w:val="auto"/>
                <w:highlight w:val="none"/>
              </w:rPr>
              <w:t>三根3</w:t>
            </w:r>
            <w:r>
              <w:rPr>
                <w:rFonts w:hint="eastAsia"/>
                <w:color w:val="auto"/>
                <w:highlight w:val="none"/>
                <w:lang w:eastAsia="zh-CN"/>
              </w:rPr>
              <w:t>×</w:t>
            </w:r>
            <w:r>
              <w:rPr>
                <w:rFonts w:hint="eastAsia"/>
                <w:color w:val="auto"/>
                <w:highlight w:val="none"/>
              </w:rPr>
              <w:t>2mm横梁，静载承重可达到</w:t>
            </w:r>
            <w:r>
              <w:rPr>
                <w:rFonts w:hint="eastAsia"/>
                <w:color w:val="auto"/>
                <w:highlight w:val="none"/>
                <w:lang w:val="en-US" w:eastAsia="zh-CN"/>
              </w:rPr>
              <w:t>≥</w:t>
            </w:r>
            <w:r>
              <w:rPr>
                <w:rFonts w:hint="eastAsia"/>
                <w:color w:val="auto"/>
                <w:highlight w:val="none"/>
              </w:rPr>
              <w:t>1500公斤；</w:t>
            </w:r>
            <w:r>
              <w:rPr>
                <w:rFonts w:hint="eastAsia"/>
                <w:color w:val="auto"/>
                <w:highlight w:val="none"/>
              </w:rPr>
              <w:br w:type="textWrapping"/>
            </w:r>
            <w:r>
              <w:rPr>
                <w:rFonts w:hint="eastAsia"/>
                <w:color w:val="auto"/>
                <w:highlight w:val="none"/>
              </w:rPr>
              <w:t>3.站脚采用</w:t>
            </w:r>
            <w:r>
              <w:rPr>
                <w:rFonts w:hint="eastAsia"/>
                <w:color w:val="auto"/>
                <w:highlight w:val="none"/>
                <w:lang w:val="en-US" w:eastAsia="zh-CN"/>
              </w:rPr>
              <w:t>不少于</w:t>
            </w:r>
            <w:r>
              <w:rPr>
                <w:rFonts w:hint="eastAsia"/>
                <w:color w:val="auto"/>
                <w:highlight w:val="none"/>
              </w:rPr>
              <w:t>6只</w:t>
            </w:r>
            <w:r>
              <w:rPr>
                <w:rFonts w:hint="eastAsia"/>
                <w:color w:val="auto"/>
                <w:highlight w:val="none"/>
                <w:lang w:val="en-US" w:eastAsia="zh-CN"/>
              </w:rPr>
              <w:t>≥</w:t>
            </w:r>
            <w:r>
              <w:rPr>
                <w:rFonts w:hint="eastAsia"/>
                <w:color w:val="auto"/>
                <w:highlight w:val="none"/>
              </w:rPr>
              <w:t>M16螺杆，底盘70</w:t>
            </w:r>
            <w:r>
              <w:rPr>
                <w:rFonts w:hint="eastAsia"/>
                <w:color w:val="auto"/>
                <w:highlight w:val="none"/>
                <w:lang w:val="en-US" w:eastAsia="zh-CN"/>
              </w:rPr>
              <w:t>mm</w:t>
            </w:r>
            <w:r>
              <w:rPr>
                <w:rFonts w:hint="eastAsia"/>
                <w:color w:val="auto"/>
                <w:highlight w:val="none"/>
              </w:rPr>
              <w:t>（±</w:t>
            </w:r>
            <w:r>
              <w:rPr>
                <w:rFonts w:hint="eastAsia"/>
                <w:color w:val="auto"/>
                <w:highlight w:val="none"/>
                <w:lang w:val="en-US" w:eastAsia="zh-CN"/>
              </w:rPr>
              <w:t>5mm</w:t>
            </w:r>
            <w:r>
              <w:rPr>
                <w:rFonts w:hint="eastAsia"/>
                <w:color w:val="auto"/>
                <w:highlight w:val="none"/>
              </w:rPr>
              <w:t>）全包胶防滑站脚；</w:t>
            </w:r>
            <w:r>
              <w:rPr>
                <w:rFonts w:hint="eastAsia"/>
                <w:color w:val="auto"/>
                <w:highlight w:val="none"/>
              </w:rPr>
              <w:br w:type="textWrapping"/>
            </w:r>
            <w:r>
              <w:rPr>
                <w:rFonts w:hint="eastAsia"/>
                <w:color w:val="auto"/>
                <w:highlight w:val="none"/>
              </w:rPr>
              <w:t>4.产品重量不低于：25公斤；</w:t>
            </w:r>
            <w:r>
              <w:rPr>
                <w:rFonts w:hint="eastAsia"/>
                <w:color w:val="auto"/>
                <w:highlight w:val="none"/>
              </w:rPr>
              <w:br w:type="textWrapping"/>
            </w:r>
            <w:r>
              <w:rPr>
                <w:rFonts w:hint="eastAsia"/>
                <w:color w:val="auto"/>
                <w:highlight w:val="none"/>
              </w:rPr>
              <w:t>5.产品尺寸：长1650mm</w:t>
            </w:r>
            <w:r>
              <w:rPr>
                <w:rFonts w:hint="eastAsia"/>
                <w:color w:val="auto"/>
                <w:highlight w:val="none"/>
                <w:lang w:eastAsia="zh-CN"/>
              </w:rPr>
              <w:t>×</w:t>
            </w:r>
            <w:r>
              <w:rPr>
                <w:rFonts w:hint="eastAsia"/>
                <w:color w:val="auto"/>
                <w:highlight w:val="none"/>
              </w:rPr>
              <w:t>宽650mm</w:t>
            </w:r>
            <w:r>
              <w:rPr>
                <w:rFonts w:hint="eastAsia"/>
                <w:color w:val="auto"/>
                <w:highlight w:val="none"/>
                <w:lang w:eastAsia="zh-CN"/>
              </w:rPr>
              <w:t>×</w:t>
            </w:r>
            <w:r>
              <w:rPr>
                <w:rFonts w:hint="eastAsia"/>
                <w:color w:val="auto"/>
                <w:highlight w:val="none"/>
              </w:rPr>
              <w:t>高（130-160mm可调）（±</w:t>
            </w:r>
            <w:r>
              <w:rPr>
                <w:rFonts w:hint="eastAsia"/>
                <w:color w:val="auto"/>
                <w:highlight w:val="none"/>
                <w:lang w:val="en-US" w:eastAsia="zh-CN"/>
              </w:rPr>
              <w:t>2mm</w:t>
            </w:r>
            <w:r>
              <w:rPr>
                <w:rFonts w:hint="eastAsia"/>
                <w:color w:val="auto"/>
                <w:highlight w:val="none"/>
              </w:rPr>
              <w:t>）</w:t>
            </w:r>
            <w:r>
              <w:rPr>
                <w:rFonts w:hint="eastAsia"/>
                <w:color w:val="auto"/>
                <w:highlight w:val="none"/>
                <w:lang w:val="en-US" w:eastAsia="zh-CN"/>
              </w:rPr>
              <w:t>；</w:t>
            </w:r>
            <w:r>
              <w:rPr>
                <w:rFonts w:hint="eastAsia"/>
                <w:color w:val="auto"/>
                <w:highlight w:val="none"/>
              </w:rPr>
              <w:br w:type="textWrapping"/>
            </w:r>
            <w:r>
              <w:rPr>
                <w:rFonts w:hint="default"/>
                <w:b/>
                <w:bCs/>
                <w:color w:val="auto"/>
                <w:highlight w:val="none"/>
                <w:lang w:val="en-US"/>
              </w:rPr>
              <w:t>九</w:t>
            </w:r>
            <w:r>
              <w:rPr>
                <w:rFonts w:hint="eastAsia"/>
                <w:b/>
                <w:bCs/>
                <w:color w:val="auto"/>
                <w:highlight w:val="none"/>
              </w:rPr>
              <w:t>、配套机床托盘</w:t>
            </w:r>
            <w:r>
              <w:rPr>
                <w:rFonts w:hint="eastAsia"/>
                <w:color w:val="auto"/>
                <w:highlight w:val="none"/>
              </w:rPr>
              <w:br w:type="textWrapping"/>
            </w:r>
            <w:r>
              <w:rPr>
                <w:rFonts w:hint="eastAsia"/>
                <w:color w:val="auto"/>
                <w:highlight w:val="none"/>
              </w:rPr>
              <w:t>1.整体</w:t>
            </w:r>
            <w:r>
              <w:rPr>
                <w:rFonts w:hint="eastAsia"/>
                <w:color w:val="auto"/>
                <w:highlight w:val="none"/>
                <w:lang w:val="en-US" w:eastAsia="zh-CN"/>
              </w:rPr>
              <w:t>为奥氏体304不绣钢或抗腐蚀与耐候性相当于或优于304不绣钢的其它</w:t>
            </w:r>
            <w:r>
              <w:rPr>
                <w:rFonts w:hint="eastAsia"/>
                <w:color w:val="auto"/>
                <w:highlight w:val="none"/>
              </w:rPr>
              <w:t>材质；</w:t>
            </w:r>
            <w:r>
              <w:rPr>
                <w:rFonts w:hint="eastAsia"/>
                <w:color w:val="auto"/>
                <w:highlight w:val="none"/>
              </w:rPr>
              <w:br w:type="textWrapping"/>
            </w:r>
            <w:r>
              <w:rPr>
                <w:rFonts w:hint="eastAsia"/>
                <w:color w:val="auto"/>
                <w:highlight w:val="none"/>
              </w:rPr>
              <w:t>2.托盘长宽</w:t>
            </w:r>
            <w:r>
              <w:rPr>
                <w:rFonts w:hint="eastAsia"/>
                <w:color w:val="auto"/>
                <w:highlight w:val="none"/>
                <w:lang w:val="en-US" w:eastAsia="zh-CN"/>
              </w:rPr>
              <w:t>尺寸</w:t>
            </w:r>
            <w:r>
              <w:rPr>
                <w:rFonts w:hint="eastAsia"/>
                <w:color w:val="auto"/>
                <w:highlight w:val="none"/>
              </w:rPr>
              <w:t>2550</w:t>
            </w:r>
            <w:r>
              <w:rPr>
                <w:rFonts w:hint="eastAsia"/>
                <w:color w:val="auto"/>
                <w:highlight w:val="none"/>
                <w:lang w:eastAsia="zh-CN"/>
              </w:rPr>
              <w:t>×</w:t>
            </w:r>
            <w:r>
              <w:rPr>
                <w:rFonts w:hint="eastAsia"/>
                <w:color w:val="auto"/>
                <w:highlight w:val="none"/>
              </w:rPr>
              <w:t>1750</w:t>
            </w:r>
            <w:r>
              <w:rPr>
                <w:rFonts w:hint="eastAsia"/>
                <w:color w:val="auto"/>
                <w:highlight w:val="none"/>
                <w:lang w:val="en-US" w:eastAsia="zh-CN"/>
              </w:rPr>
              <w:t>mm，</w:t>
            </w:r>
            <w:r>
              <w:rPr>
                <w:rFonts w:hint="eastAsia"/>
                <w:color w:val="auto"/>
                <w:highlight w:val="none"/>
              </w:rPr>
              <w:t>允许±</w:t>
            </w:r>
            <w:r>
              <w:rPr>
                <w:rFonts w:hint="eastAsia"/>
                <w:color w:val="auto"/>
                <w:highlight w:val="none"/>
                <w:lang w:val="en-US" w:eastAsia="zh-CN"/>
              </w:rPr>
              <w:t>10</w:t>
            </w:r>
            <w:r>
              <w:rPr>
                <w:rFonts w:hint="eastAsia"/>
                <w:color w:val="auto"/>
                <w:highlight w:val="none"/>
              </w:rPr>
              <w:t>%的误差偏离</w:t>
            </w:r>
            <w:r>
              <w:rPr>
                <w:rFonts w:hint="eastAsia"/>
                <w:color w:val="auto"/>
                <w:highlight w:val="none"/>
                <w:lang w:val="en-US" w:eastAsia="zh-CN"/>
              </w:rPr>
              <w:t>；</w:t>
            </w:r>
            <w:r>
              <w:rPr>
                <w:rFonts w:hint="eastAsia"/>
                <w:color w:val="auto"/>
                <w:highlight w:val="none"/>
              </w:rPr>
              <w:br w:type="textWrapping"/>
            </w:r>
            <w:r>
              <w:rPr>
                <w:rFonts w:hint="default"/>
                <w:b/>
                <w:bCs/>
                <w:color w:val="auto"/>
                <w:highlight w:val="none"/>
                <w:lang w:val="en-US"/>
              </w:rPr>
              <w:t>十</w:t>
            </w:r>
            <w:r>
              <w:rPr>
                <w:rFonts w:hint="eastAsia"/>
                <w:b/>
                <w:bCs/>
                <w:color w:val="auto"/>
                <w:highlight w:val="none"/>
              </w:rPr>
              <w:t>、工具车</w:t>
            </w:r>
            <w:r>
              <w:rPr>
                <w:rFonts w:hint="eastAsia"/>
                <w:color w:val="auto"/>
                <w:highlight w:val="none"/>
              </w:rPr>
              <w:br w:type="textWrapping"/>
            </w:r>
            <w:r>
              <w:rPr>
                <w:rFonts w:hint="eastAsia"/>
                <w:color w:val="auto"/>
                <w:highlight w:val="none"/>
              </w:rPr>
              <w:t>1.材质：采用不小于1.2mm（±</w:t>
            </w:r>
            <w:r>
              <w:rPr>
                <w:rFonts w:hint="eastAsia"/>
                <w:color w:val="auto"/>
                <w:highlight w:val="none"/>
                <w:lang w:val="en-US" w:eastAsia="zh-CN"/>
              </w:rPr>
              <w:t>0.5mm</w:t>
            </w:r>
            <w:r>
              <w:rPr>
                <w:rFonts w:hint="eastAsia"/>
                <w:color w:val="auto"/>
                <w:highlight w:val="none"/>
              </w:rPr>
              <w:t>）厚的冷轧钢板</w:t>
            </w:r>
            <w:r>
              <w:rPr>
                <w:rFonts w:hint="eastAsia"/>
                <w:color w:val="auto"/>
                <w:highlight w:val="none"/>
                <w:lang w:val="en-US" w:eastAsia="zh-CN"/>
              </w:rPr>
              <w:t>或硬度、钢性相当于或优于冷轧</w:t>
            </w:r>
            <w:r>
              <w:rPr>
                <w:rFonts w:hint="eastAsia"/>
                <w:color w:val="auto"/>
                <w:highlight w:val="none"/>
              </w:rPr>
              <w:t>钢板</w:t>
            </w:r>
            <w:r>
              <w:rPr>
                <w:rFonts w:hint="eastAsia"/>
                <w:color w:val="auto"/>
                <w:highlight w:val="none"/>
                <w:lang w:val="en-US" w:eastAsia="zh-CN"/>
              </w:rPr>
              <w:t>的其它材质</w:t>
            </w:r>
            <w:r>
              <w:rPr>
                <w:rFonts w:hint="eastAsia"/>
                <w:color w:val="auto"/>
                <w:highlight w:val="none"/>
              </w:rPr>
              <w:t>；</w:t>
            </w:r>
            <w:r>
              <w:rPr>
                <w:rFonts w:hint="eastAsia"/>
                <w:color w:val="auto"/>
                <w:highlight w:val="none"/>
              </w:rPr>
              <w:br w:type="textWrapping"/>
            </w:r>
            <w:r>
              <w:rPr>
                <w:rFonts w:hint="eastAsia"/>
                <w:color w:val="auto"/>
                <w:highlight w:val="none"/>
              </w:rPr>
              <w:t>2.内侧隔板高度可调，可根据使用情况随意调整；</w:t>
            </w:r>
            <w:r>
              <w:rPr>
                <w:rFonts w:hint="eastAsia"/>
                <w:color w:val="auto"/>
                <w:highlight w:val="none"/>
              </w:rPr>
              <w:br w:type="textWrapping"/>
            </w:r>
            <w:r>
              <w:rPr>
                <w:rFonts w:hint="eastAsia"/>
                <w:color w:val="auto"/>
                <w:highlight w:val="none"/>
              </w:rPr>
              <w:t>3.一体折弯工艺，承重不小于500公斤；</w:t>
            </w:r>
            <w:r>
              <w:rPr>
                <w:rFonts w:hint="eastAsia"/>
                <w:color w:val="auto"/>
                <w:highlight w:val="none"/>
              </w:rPr>
              <w:br w:type="textWrapping"/>
            </w:r>
            <w:r>
              <w:rPr>
                <w:rFonts w:hint="eastAsia"/>
                <w:color w:val="auto"/>
                <w:highlight w:val="none"/>
              </w:rPr>
              <w:t>4.方孔背板设计，可配挂钩挂工具；</w:t>
            </w:r>
            <w:r>
              <w:rPr>
                <w:rFonts w:hint="eastAsia"/>
                <w:color w:val="auto"/>
                <w:highlight w:val="none"/>
              </w:rPr>
              <w:br w:type="textWrapping"/>
            </w:r>
            <w:r>
              <w:rPr>
                <w:rFonts w:hint="eastAsia"/>
                <w:color w:val="auto"/>
                <w:highlight w:val="none"/>
              </w:rPr>
              <w:t>5.侧边可加装锁刀座，方便装刀卸刀；</w:t>
            </w:r>
            <w:r>
              <w:rPr>
                <w:rFonts w:hint="eastAsia"/>
                <w:color w:val="auto"/>
                <w:highlight w:val="none"/>
              </w:rPr>
              <w:br w:type="textWrapping"/>
            </w:r>
            <w:r>
              <w:rPr>
                <w:rFonts w:hint="eastAsia"/>
                <w:color w:val="auto"/>
                <w:highlight w:val="none"/>
              </w:rPr>
              <w:t>6.工具车侧面采用增强型大把手，推拉方便，强度高；</w:t>
            </w:r>
            <w:r>
              <w:rPr>
                <w:rFonts w:hint="eastAsia"/>
                <w:color w:val="auto"/>
                <w:highlight w:val="none"/>
              </w:rPr>
              <w:br w:type="textWrapping"/>
            </w:r>
            <w:r>
              <w:rPr>
                <w:rFonts w:hint="eastAsia"/>
                <w:color w:val="auto"/>
                <w:highlight w:val="none"/>
              </w:rPr>
              <w:t>7.侧面新增图纸袋功能，可存放图纸文件等；</w:t>
            </w:r>
            <w:r>
              <w:rPr>
                <w:rFonts w:hint="eastAsia"/>
                <w:color w:val="auto"/>
                <w:highlight w:val="none"/>
              </w:rPr>
              <w:br w:type="textWrapping"/>
            </w:r>
            <w:r>
              <w:rPr>
                <w:rFonts w:hint="eastAsia"/>
                <w:color w:val="auto"/>
                <w:highlight w:val="none"/>
              </w:rPr>
              <w:t>8.柜体配备万向聚酯轻音轮，耐磨防滑易推拉；</w:t>
            </w:r>
            <w:r>
              <w:rPr>
                <w:rFonts w:hint="eastAsia"/>
                <w:color w:val="auto"/>
                <w:highlight w:val="none"/>
              </w:rPr>
              <w:br w:type="textWrapping"/>
            </w:r>
            <w:r>
              <w:rPr>
                <w:rFonts w:hint="eastAsia"/>
                <w:color w:val="auto"/>
                <w:highlight w:val="none"/>
              </w:rPr>
              <w:t>9.整车尺寸：720×420×1390mm，允许±5%的误差偏离</w:t>
            </w:r>
            <w:r>
              <w:rPr>
                <w:rFonts w:hint="eastAsia"/>
                <w:color w:val="auto"/>
                <w:highlight w:val="none"/>
                <w:lang w:val="en-US" w:eastAsia="zh-CN"/>
              </w:rPr>
              <w:t>；</w:t>
            </w:r>
            <w:r>
              <w:rPr>
                <w:rFonts w:hint="eastAsia"/>
                <w:color w:val="auto"/>
                <w:highlight w:val="none"/>
              </w:rPr>
              <w:br w:type="textWrapping"/>
            </w:r>
            <w:r>
              <w:rPr>
                <w:rFonts w:hint="eastAsia"/>
                <w:b/>
                <w:bCs/>
                <w:color w:val="auto"/>
                <w:highlight w:val="none"/>
              </w:rPr>
              <w:t>十</w:t>
            </w:r>
            <w:r>
              <w:rPr>
                <w:rFonts w:hint="eastAsia"/>
                <w:b/>
                <w:bCs/>
                <w:color w:val="auto"/>
                <w:highlight w:val="none"/>
                <w:lang w:val="en-US" w:eastAsia="zh-CN"/>
              </w:rPr>
              <w:t>一</w:t>
            </w:r>
            <w:r>
              <w:rPr>
                <w:rFonts w:hint="eastAsia"/>
                <w:b/>
                <w:bCs/>
                <w:color w:val="auto"/>
                <w:highlight w:val="none"/>
              </w:rPr>
              <w:t>、仿真操作台</w:t>
            </w:r>
            <w:r>
              <w:rPr>
                <w:rFonts w:hint="eastAsia"/>
                <w:color w:val="auto"/>
                <w:highlight w:val="none"/>
              </w:rPr>
              <w:br w:type="textWrapping"/>
            </w:r>
            <w:r>
              <w:rPr>
                <w:rFonts w:hint="eastAsia"/>
                <w:color w:val="auto"/>
                <w:highlight w:val="none"/>
              </w:rPr>
              <w:t>1.桌子长宽高尺寸：800</w:t>
            </w:r>
            <w:r>
              <w:rPr>
                <w:rFonts w:hint="eastAsia"/>
                <w:color w:val="auto"/>
                <w:highlight w:val="none"/>
                <w:lang w:eastAsia="zh-CN"/>
              </w:rPr>
              <w:t>×</w:t>
            </w:r>
            <w:r>
              <w:rPr>
                <w:rFonts w:hint="eastAsia"/>
                <w:color w:val="auto"/>
                <w:highlight w:val="none"/>
              </w:rPr>
              <w:t>600</w:t>
            </w:r>
            <w:r>
              <w:rPr>
                <w:rFonts w:hint="eastAsia"/>
                <w:color w:val="auto"/>
                <w:highlight w:val="none"/>
                <w:lang w:eastAsia="zh-CN"/>
              </w:rPr>
              <w:t>×</w:t>
            </w:r>
            <w:r>
              <w:rPr>
                <w:rFonts w:hint="eastAsia"/>
                <w:color w:val="auto"/>
                <w:highlight w:val="none"/>
              </w:rPr>
              <w:t>750mm(±5%）</w:t>
            </w:r>
            <w:r>
              <w:rPr>
                <w:rFonts w:hint="eastAsia"/>
                <w:color w:val="auto"/>
                <w:highlight w:val="none"/>
                <w:lang w:val="en-US" w:eastAsia="zh-CN"/>
              </w:rPr>
              <w:t>；</w:t>
            </w:r>
            <w:r>
              <w:rPr>
                <w:rFonts w:hint="eastAsia"/>
                <w:color w:val="auto"/>
                <w:highlight w:val="none"/>
              </w:rPr>
              <w:br w:type="textWrapping"/>
            </w:r>
            <w:r>
              <w:rPr>
                <w:rFonts w:hint="eastAsia"/>
                <w:color w:val="auto"/>
                <w:highlight w:val="none"/>
              </w:rPr>
              <w:t>2.材质：台面板采用E1级25mm三聚氰胺板，PVC封边</w:t>
            </w:r>
            <w:r>
              <w:rPr>
                <w:rFonts w:hint="eastAsia"/>
                <w:color w:val="auto"/>
                <w:highlight w:val="none"/>
                <w:lang w:val="en-US" w:eastAsia="zh-CN"/>
              </w:rPr>
              <w:t>或表面硬度、耐刮擦、耐烫、耐一般酸碱腐蚀相当于或优于</w:t>
            </w:r>
            <w:r>
              <w:rPr>
                <w:rFonts w:hint="eastAsia"/>
                <w:color w:val="auto"/>
                <w:highlight w:val="none"/>
              </w:rPr>
              <w:t>三聚氰胺板</w:t>
            </w:r>
            <w:r>
              <w:rPr>
                <w:rFonts w:hint="eastAsia"/>
                <w:color w:val="auto"/>
                <w:highlight w:val="none"/>
                <w:lang w:val="en-US" w:eastAsia="zh-CN"/>
              </w:rPr>
              <w:t>的其它材质；</w:t>
            </w:r>
            <w:r>
              <w:rPr>
                <w:rFonts w:hint="eastAsia"/>
                <w:color w:val="auto"/>
                <w:highlight w:val="none"/>
              </w:rPr>
              <w:br w:type="textWrapping"/>
            </w:r>
            <w:r>
              <w:rPr>
                <w:rFonts w:hint="eastAsia"/>
                <w:color w:val="auto"/>
                <w:highlight w:val="none"/>
              </w:rPr>
              <w:t>3.金属桌架四脚为50</w:t>
            </w:r>
            <w:r>
              <w:rPr>
                <w:rFonts w:hint="eastAsia"/>
                <w:color w:val="auto"/>
                <w:highlight w:val="none"/>
                <w:lang w:eastAsia="zh-CN"/>
              </w:rPr>
              <w:t>×</w:t>
            </w:r>
            <w:r>
              <w:rPr>
                <w:rFonts w:hint="eastAsia"/>
                <w:color w:val="auto"/>
                <w:highlight w:val="none"/>
              </w:rPr>
              <w:t>25</w:t>
            </w:r>
            <w:r>
              <w:rPr>
                <w:rFonts w:hint="eastAsia"/>
                <w:color w:val="auto"/>
                <w:highlight w:val="none"/>
                <w:lang w:eastAsia="zh-CN"/>
              </w:rPr>
              <w:t>×</w:t>
            </w:r>
            <w:r>
              <w:rPr>
                <w:rFonts w:hint="eastAsia"/>
                <w:color w:val="auto"/>
                <w:highlight w:val="none"/>
              </w:rPr>
              <w:t>1.2mm(±5%）</w:t>
            </w:r>
            <w:r>
              <w:rPr>
                <w:rFonts w:hint="eastAsia"/>
                <w:color w:val="auto"/>
                <w:highlight w:val="none"/>
                <w:lang w:eastAsia="zh-CN"/>
              </w:rPr>
              <w:t>，</w:t>
            </w:r>
            <w:r>
              <w:rPr>
                <w:rFonts w:hint="eastAsia"/>
                <w:color w:val="auto"/>
                <w:highlight w:val="none"/>
              </w:rPr>
              <w:t>横杆：40</w:t>
            </w:r>
            <w:r>
              <w:rPr>
                <w:rFonts w:hint="eastAsia"/>
                <w:color w:val="auto"/>
                <w:highlight w:val="none"/>
                <w:lang w:eastAsia="zh-CN"/>
              </w:rPr>
              <w:t>×</w:t>
            </w:r>
            <w:r>
              <w:rPr>
                <w:rFonts w:hint="eastAsia"/>
                <w:color w:val="auto"/>
                <w:highlight w:val="none"/>
              </w:rPr>
              <w:t>20</w:t>
            </w:r>
            <w:r>
              <w:rPr>
                <w:rFonts w:hint="eastAsia"/>
                <w:color w:val="auto"/>
                <w:highlight w:val="none"/>
                <w:lang w:eastAsia="zh-CN"/>
              </w:rPr>
              <w:t>×</w:t>
            </w:r>
            <w:r>
              <w:rPr>
                <w:rFonts w:hint="eastAsia"/>
                <w:color w:val="auto"/>
                <w:highlight w:val="none"/>
              </w:rPr>
              <w:t>1.2mm(±5%）</w:t>
            </w:r>
            <w:r>
              <w:rPr>
                <w:rFonts w:hint="eastAsia"/>
                <w:color w:val="auto"/>
                <w:highlight w:val="none"/>
                <w:lang w:val="en-US" w:eastAsia="zh-CN"/>
              </w:rPr>
              <w:t>；</w:t>
            </w:r>
            <w:r>
              <w:rPr>
                <w:rFonts w:hint="eastAsia"/>
                <w:color w:val="auto"/>
                <w:highlight w:val="none"/>
              </w:rPr>
              <w:br w:type="textWrapping"/>
            </w:r>
            <w:r>
              <w:rPr>
                <w:rFonts w:hint="eastAsia"/>
                <w:color w:val="auto"/>
                <w:highlight w:val="none"/>
              </w:rPr>
              <w:t>4.凳子长宽高尺寸：330</w:t>
            </w:r>
            <w:r>
              <w:rPr>
                <w:rFonts w:hint="eastAsia"/>
                <w:color w:val="auto"/>
                <w:highlight w:val="none"/>
                <w:lang w:eastAsia="zh-CN"/>
              </w:rPr>
              <w:t>×</w:t>
            </w:r>
            <w:r>
              <w:rPr>
                <w:rFonts w:hint="eastAsia"/>
                <w:color w:val="auto"/>
                <w:highlight w:val="none"/>
              </w:rPr>
              <w:t>240</w:t>
            </w:r>
            <w:r>
              <w:rPr>
                <w:rFonts w:hint="eastAsia"/>
                <w:color w:val="auto"/>
                <w:highlight w:val="none"/>
                <w:lang w:eastAsia="zh-CN"/>
              </w:rPr>
              <w:t>×</w:t>
            </w:r>
            <w:r>
              <w:rPr>
                <w:rFonts w:hint="eastAsia"/>
                <w:color w:val="auto"/>
                <w:highlight w:val="none"/>
              </w:rPr>
              <w:t>440mm(±5%）</w:t>
            </w:r>
            <w:r>
              <w:rPr>
                <w:rFonts w:hint="eastAsia"/>
                <w:color w:val="auto"/>
                <w:highlight w:val="none"/>
                <w:lang w:val="en-US" w:eastAsia="zh-CN"/>
              </w:rPr>
              <w:t>；</w:t>
            </w:r>
            <w:r>
              <w:rPr>
                <w:rFonts w:hint="eastAsia"/>
                <w:color w:val="auto"/>
                <w:highlight w:val="none"/>
              </w:rPr>
              <w:br w:type="textWrapping"/>
            </w:r>
            <w:r>
              <w:rPr>
                <w:rFonts w:hint="eastAsia"/>
                <w:color w:val="auto"/>
                <w:highlight w:val="none"/>
              </w:rPr>
              <w:t>5.1.2mm（±</w:t>
            </w:r>
            <w:r>
              <w:rPr>
                <w:rFonts w:hint="eastAsia"/>
                <w:color w:val="auto"/>
                <w:highlight w:val="none"/>
                <w:lang w:val="en-US" w:eastAsia="zh-CN"/>
              </w:rPr>
              <w:t>0.5mm</w:t>
            </w:r>
            <w:r>
              <w:rPr>
                <w:rFonts w:hint="eastAsia"/>
                <w:color w:val="auto"/>
                <w:highlight w:val="none"/>
              </w:rPr>
              <w:t>）壁厚冷扎钢管脚架</w:t>
            </w:r>
            <w:r>
              <w:rPr>
                <w:rFonts w:hint="eastAsia"/>
                <w:color w:val="auto"/>
                <w:highlight w:val="none"/>
                <w:lang w:val="en-US" w:eastAsia="zh-CN"/>
              </w:rPr>
              <w:t>或硬度、钢性相当于或优于冷扎</w:t>
            </w:r>
            <w:r>
              <w:rPr>
                <w:rFonts w:hint="eastAsia"/>
                <w:color w:val="auto"/>
                <w:highlight w:val="none"/>
              </w:rPr>
              <w:t>钢</w:t>
            </w:r>
            <w:r>
              <w:rPr>
                <w:rFonts w:hint="eastAsia"/>
                <w:color w:val="auto"/>
                <w:highlight w:val="none"/>
                <w:lang w:val="en-US" w:eastAsia="zh-CN"/>
              </w:rPr>
              <w:t>管的其它材质</w:t>
            </w:r>
            <w:r>
              <w:rPr>
                <w:rFonts w:hint="eastAsia"/>
                <w:color w:val="auto"/>
                <w:highlight w:val="none"/>
              </w:rPr>
              <w:t>，25mm（±</w:t>
            </w:r>
            <w:r>
              <w:rPr>
                <w:rFonts w:hint="eastAsia"/>
                <w:color w:val="auto"/>
                <w:highlight w:val="none"/>
                <w:lang w:val="en-US" w:eastAsia="zh-CN"/>
              </w:rPr>
              <w:t>2mm</w:t>
            </w:r>
            <w:r>
              <w:rPr>
                <w:rFonts w:hint="eastAsia"/>
                <w:color w:val="auto"/>
                <w:highlight w:val="none"/>
              </w:rPr>
              <w:t>）厚刨花板凳面板</w:t>
            </w:r>
            <w:r>
              <w:rPr>
                <w:rFonts w:hint="eastAsia"/>
                <w:color w:val="auto"/>
                <w:highlight w:val="none"/>
                <w:lang w:val="en-US" w:eastAsia="zh-CN"/>
              </w:rPr>
              <w:t>或变形度、防潮、结实度相当于或优于刨花板的其它材质；</w:t>
            </w:r>
            <w:r>
              <w:rPr>
                <w:rFonts w:hint="eastAsia"/>
                <w:color w:val="auto"/>
                <w:highlight w:val="none"/>
              </w:rPr>
              <w:br w:type="textWrapping"/>
            </w:r>
            <w:r>
              <w:rPr>
                <w:rFonts w:hint="eastAsia"/>
                <w:b/>
                <w:bCs/>
                <w:color w:val="auto"/>
                <w:highlight w:val="none"/>
              </w:rPr>
              <w:t>十</w:t>
            </w:r>
            <w:r>
              <w:rPr>
                <w:rFonts w:hint="default"/>
                <w:b/>
                <w:bCs/>
                <w:color w:val="auto"/>
                <w:highlight w:val="none"/>
                <w:lang w:val="en-US" w:eastAsia="zh-CN"/>
              </w:rPr>
              <w:t>二</w:t>
            </w:r>
            <w:r>
              <w:rPr>
                <w:rFonts w:hint="eastAsia"/>
                <w:b/>
                <w:bCs/>
                <w:color w:val="auto"/>
                <w:highlight w:val="none"/>
              </w:rPr>
              <w:t>、套刀量具</w:t>
            </w:r>
            <w:r>
              <w:rPr>
                <w:rFonts w:hint="eastAsia"/>
                <w:color w:val="auto"/>
                <w:highlight w:val="none"/>
              </w:rPr>
              <w:br w:type="textWrapping"/>
            </w:r>
            <w:r>
              <w:rPr>
                <w:rFonts w:hint="eastAsia"/>
                <w:color w:val="auto"/>
                <w:highlight w:val="none"/>
              </w:rPr>
              <w:t>1.数控刀柄BT40-ER25：5把；</w:t>
            </w:r>
            <w:r>
              <w:rPr>
                <w:rFonts w:hint="eastAsia"/>
                <w:color w:val="auto"/>
                <w:highlight w:val="none"/>
              </w:rPr>
              <w:br w:type="textWrapping"/>
            </w:r>
            <w:r>
              <w:rPr>
                <w:rFonts w:hint="eastAsia"/>
                <w:color w:val="auto"/>
                <w:highlight w:val="none"/>
              </w:rPr>
              <w:t>2.BT40-45度拉钉：5个；</w:t>
            </w:r>
            <w:r>
              <w:rPr>
                <w:rFonts w:hint="eastAsia"/>
                <w:color w:val="auto"/>
                <w:highlight w:val="none"/>
              </w:rPr>
              <w:br w:type="textWrapping"/>
            </w:r>
            <w:r>
              <w:rPr>
                <w:rFonts w:hint="eastAsia"/>
                <w:color w:val="auto"/>
                <w:highlight w:val="none"/>
              </w:rPr>
              <w:t>3.Ø6钨钢铝用立铣刀：10把；</w:t>
            </w:r>
            <w:r>
              <w:rPr>
                <w:rFonts w:hint="eastAsia"/>
                <w:color w:val="auto"/>
                <w:highlight w:val="none"/>
              </w:rPr>
              <w:br w:type="textWrapping"/>
            </w:r>
            <w:r>
              <w:rPr>
                <w:rFonts w:hint="eastAsia"/>
                <w:color w:val="auto"/>
                <w:highlight w:val="none"/>
              </w:rPr>
              <w:t>4.ø8钨钢铝用立铣刀：10把；</w:t>
            </w:r>
            <w:r>
              <w:rPr>
                <w:rFonts w:hint="eastAsia"/>
                <w:color w:val="auto"/>
                <w:highlight w:val="none"/>
              </w:rPr>
              <w:br w:type="textWrapping"/>
            </w:r>
            <w:r>
              <w:rPr>
                <w:rFonts w:hint="eastAsia"/>
                <w:color w:val="auto"/>
                <w:highlight w:val="none"/>
              </w:rPr>
              <w:t>5.ø10钨钢铝用立铣刀：10把；</w:t>
            </w:r>
            <w:r>
              <w:rPr>
                <w:rFonts w:hint="eastAsia"/>
                <w:color w:val="auto"/>
                <w:highlight w:val="none"/>
              </w:rPr>
              <w:br w:type="textWrapping"/>
            </w:r>
            <w:r>
              <w:rPr>
                <w:rFonts w:hint="eastAsia"/>
                <w:color w:val="auto"/>
                <w:highlight w:val="none"/>
              </w:rPr>
              <w:t>6.ø8钨钢铝用球刀：10把；</w:t>
            </w:r>
            <w:r>
              <w:rPr>
                <w:rFonts w:hint="eastAsia"/>
                <w:color w:val="auto"/>
                <w:highlight w:val="none"/>
              </w:rPr>
              <w:br w:type="textWrapping"/>
            </w:r>
            <w:r>
              <w:rPr>
                <w:rFonts w:hint="eastAsia"/>
                <w:color w:val="auto"/>
                <w:highlight w:val="none"/>
              </w:rPr>
              <w:t>7.ø10钨钢铝用球刀：10把；</w:t>
            </w:r>
            <w:r>
              <w:rPr>
                <w:rFonts w:hint="eastAsia"/>
                <w:color w:val="auto"/>
                <w:highlight w:val="none"/>
              </w:rPr>
              <w:br w:type="textWrapping"/>
            </w:r>
            <w:r>
              <w:rPr>
                <w:rFonts w:hint="eastAsia"/>
                <w:color w:val="auto"/>
                <w:highlight w:val="none"/>
              </w:rPr>
              <w:t>8.Ø6弹簧夹头：5个；</w:t>
            </w:r>
            <w:r>
              <w:rPr>
                <w:rFonts w:hint="eastAsia"/>
                <w:color w:val="auto"/>
                <w:highlight w:val="none"/>
              </w:rPr>
              <w:br w:type="textWrapping"/>
            </w:r>
            <w:r>
              <w:rPr>
                <w:rFonts w:hint="eastAsia"/>
                <w:color w:val="auto"/>
                <w:highlight w:val="none"/>
              </w:rPr>
              <w:t>9.Ø8弹簧夹头：5个；</w:t>
            </w:r>
            <w:r>
              <w:rPr>
                <w:rFonts w:hint="eastAsia"/>
                <w:color w:val="auto"/>
                <w:highlight w:val="none"/>
              </w:rPr>
              <w:br w:type="textWrapping"/>
            </w:r>
            <w:r>
              <w:rPr>
                <w:rFonts w:hint="eastAsia"/>
                <w:color w:val="auto"/>
                <w:highlight w:val="none"/>
              </w:rPr>
              <w:t>10.Ø10弹簧夹头：5个；</w:t>
            </w:r>
            <w:r>
              <w:rPr>
                <w:rFonts w:hint="eastAsia"/>
                <w:color w:val="auto"/>
                <w:highlight w:val="none"/>
              </w:rPr>
              <w:br w:type="textWrapping"/>
            </w:r>
            <w:r>
              <w:rPr>
                <w:rFonts w:hint="eastAsia"/>
                <w:color w:val="auto"/>
                <w:highlight w:val="none"/>
              </w:rPr>
              <w:t>11.钻夹头刀柄：1把；</w:t>
            </w:r>
            <w:r>
              <w:rPr>
                <w:rFonts w:hint="eastAsia"/>
                <w:color w:val="auto"/>
                <w:highlight w:val="none"/>
              </w:rPr>
              <w:br w:type="textWrapping"/>
            </w:r>
            <w:r>
              <w:rPr>
                <w:rFonts w:hint="eastAsia"/>
                <w:color w:val="auto"/>
                <w:highlight w:val="none"/>
              </w:rPr>
              <w:t>12.钻头：φ5</w:t>
            </w:r>
            <w:r>
              <w:rPr>
                <w:rFonts w:hint="eastAsia"/>
                <w:color w:val="auto"/>
                <w:highlight w:val="none"/>
                <w:lang w:eastAsia="zh-CN"/>
              </w:rPr>
              <w:t>，</w:t>
            </w:r>
            <w:r>
              <w:rPr>
                <w:rFonts w:hint="eastAsia"/>
                <w:color w:val="auto"/>
                <w:highlight w:val="none"/>
              </w:rPr>
              <w:t>φ7</w:t>
            </w:r>
            <w:r>
              <w:rPr>
                <w:rFonts w:hint="eastAsia"/>
                <w:color w:val="auto"/>
                <w:highlight w:val="none"/>
                <w:lang w:eastAsia="zh-CN"/>
              </w:rPr>
              <w:t>，</w:t>
            </w:r>
            <w:r>
              <w:rPr>
                <w:rFonts w:hint="eastAsia"/>
                <w:color w:val="auto"/>
                <w:highlight w:val="none"/>
              </w:rPr>
              <w:t>φ9</w:t>
            </w:r>
            <w:r>
              <w:rPr>
                <w:rFonts w:hint="eastAsia"/>
                <w:color w:val="auto"/>
                <w:highlight w:val="none"/>
                <w:lang w:eastAsia="zh-CN"/>
              </w:rPr>
              <w:t>，</w:t>
            </w:r>
            <w:r>
              <w:rPr>
                <w:rFonts w:hint="eastAsia"/>
                <w:color w:val="auto"/>
                <w:highlight w:val="none"/>
              </w:rPr>
              <w:t>φ11各一把：2套；</w:t>
            </w:r>
            <w:r>
              <w:rPr>
                <w:rFonts w:hint="eastAsia"/>
                <w:color w:val="auto"/>
                <w:highlight w:val="none"/>
              </w:rPr>
              <w:br w:type="textWrapping"/>
            </w:r>
            <w:r>
              <w:rPr>
                <w:rFonts w:hint="eastAsia"/>
                <w:color w:val="auto"/>
                <w:highlight w:val="none"/>
              </w:rPr>
              <w:t>13.毛刺刮刀杆：2把；</w:t>
            </w:r>
            <w:r>
              <w:rPr>
                <w:rFonts w:hint="eastAsia"/>
                <w:color w:val="auto"/>
                <w:highlight w:val="none"/>
              </w:rPr>
              <w:br w:type="textWrapping"/>
            </w:r>
            <w:r>
              <w:rPr>
                <w:rFonts w:hint="eastAsia"/>
                <w:color w:val="auto"/>
                <w:highlight w:val="none"/>
              </w:rPr>
              <w:t>14.毛刷：2把；</w:t>
            </w:r>
            <w:r>
              <w:rPr>
                <w:rFonts w:hint="eastAsia"/>
                <w:color w:val="auto"/>
                <w:highlight w:val="none"/>
              </w:rPr>
              <w:br w:type="textWrapping"/>
            </w:r>
            <w:r>
              <w:rPr>
                <w:rFonts w:hint="eastAsia"/>
                <w:color w:val="auto"/>
                <w:highlight w:val="none"/>
              </w:rPr>
              <w:t>15.刀柄扳手：1把；</w:t>
            </w:r>
            <w:r>
              <w:rPr>
                <w:rFonts w:hint="eastAsia"/>
                <w:color w:val="auto"/>
                <w:highlight w:val="none"/>
              </w:rPr>
              <w:br w:type="textWrapping"/>
            </w:r>
            <w:r>
              <w:rPr>
                <w:rFonts w:hint="eastAsia"/>
                <w:color w:val="auto"/>
                <w:highlight w:val="none"/>
              </w:rPr>
              <w:t>16.偏心式寻边器：2个；</w:t>
            </w:r>
            <w:r>
              <w:rPr>
                <w:rFonts w:hint="eastAsia"/>
                <w:color w:val="auto"/>
                <w:highlight w:val="none"/>
              </w:rPr>
              <w:br w:type="textWrapping"/>
            </w:r>
            <w:r>
              <w:rPr>
                <w:rFonts w:hint="eastAsia"/>
                <w:color w:val="auto"/>
                <w:highlight w:val="none"/>
              </w:rPr>
              <w:t>17.精密6寸虎钳：1套</w:t>
            </w:r>
            <w:r>
              <w:rPr>
                <w:rFonts w:hint="eastAsia"/>
                <w:color w:val="auto"/>
                <w:highlight w:val="none"/>
              </w:rPr>
              <w:br w:type="textWrapping"/>
            </w:r>
            <w:r>
              <w:rPr>
                <w:rFonts w:hint="eastAsia"/>
                <w:color w:val="auto"/>
                <w:highlight w:val="none"/>
              </w:rPr>
              <w:t>18.精密垫铁4块：1套；</w:t>
            </w:r>
            <w:r>
              <w:rPr>
                <w:rFonts w:hint="eastAsia"/>
                <w:color w:val="auto"/>
                <w:highlight w:val="none"/>
              </w:rPr>
              <w:br w:type="textWrapping"/>
            </w:r>
            <w:r>
              <w:rPr>
                <w:rFonts w:hint="eastAsia"/>
                <w:color w:val="auto"/>
                <w:highlight w:val="none"/>
              </w:rPr>
              <w:t>19.冷却液：10L；</w:t>
            </w:r>
            <w:r>
              <w:rPr>
                <w:rFonts w:hint="eastAsia"/>
                <w:color w:val="auto"/>
                <w:highlight w:val="none"/>
              </w:rPr>
              <w:br w:type="textWrapping"/>
            </w:r>
            <w:r>
              <w:rPr>
                <w:rFonts w:hint="eastAsia"/>
                <w:color w:val="auto"/>
                <w:highlight w:val="none"/>
              </w:rPr>
              <w:t>20.润滑油：10L；</w:t>
            </w:r>
            <w:r>
              <w:rPr>
                <w:rFonts w:hint="eastAsia"/>
                <w:color w:val="auto"/>
                <w:highlight w:val="none"/>
              </w:rPr>
              <w:br w:type="textWrapping"/>
            </w:r>
            <w:r>
              <w:rPr>
                <w:rFonts w:hint="eastAsia"/>
                <w:color w:val="auto"/>
                <w:highlight w:val="none"/>
              </w:rPr>
              <w:t>21.120</w:t>
            </w:r>
            <w:r>
              <w:rPr>
                <w:rFonts w:hint="eastAsia"/>
                <w:color w:val="auto"/>
                <w:highlight w:val="none"/>
                <w:lang w:eastAsia="zh-CN"/>
              </w:rPr>
              <w:t>×</w:t>
            </w:r>
            <w:r>
              <w:rPr>
                <w:rFonts w:hint="eastAsia"/>
                <w:color w:val="auto"/>
                <w:highlight w:val="none"/>
              </w:rPr>
              <w:t>120</w:t>
            </w:r>
            <w:r>
              <w:rPr>
                <w:rFonts w:hint="eastAsia"/>
                <w:color w:val="auto"/>
                <w:highlight w:val="none"/>
                <w:lang w:eastAsia="zh-CN"/>
              </w:rPr>
              <w:t>×</w:t>
            </w:r>
            <w:r>
              <w:rPr>
                <w:rFonts w:hint="eastAsia"/>
                <w:color w:val="auto"/>
                <w:highlight w:val="none"/>
              </w:rPr>
              <w:t>80mm（±</w:t>
            </w:r>
            <w:r>
              <w:rPr>
                <w:rFonts w:hint="eastAsia"/>
                <w:color w:val="auto"/>
                <w:highlight w:val="none"/>
                <w:lang w:val="en-US" w:eastAsia="zh-CN"/>
              </w:rPr>
              <w:t>2mm</w:t>
            </w:r>
            <w:r>
              <w:rPr>
                <w:rFonts w:hint="eastAsia"/>
                <w:color w:val="auto"/>
                <w:highlight w:val="none"/>
              </w:rPr>
              <w:t>）PP块：100块</w:t>
            </w:r>
            <w:r>
              <w:rPr>
                <w:rFonts w:hint="eastAsia"/>
                <w:color w:val="auto"/>
                <w:highlight w:val="none"/>
                <w:lang w:val="en-US" w:eastAsia="zh-CN"/>
              </w:rPr>
              <w:t>；</w:t>
            </w:r>
            <w:r>
              <w:rPr>
                <w:rFonts w:hint="eastAsia"/>
                <w:color w:val="auto"/>
                <w:highlight w:val="none"/>
              </w:rPr>
              <w:br w:type="textWrapping"/>
            </w:r>
            <w:r>
              <w:rPr>
                <w:rFonts w:hint="eastAsia"/>
                <w:b/>
                <w:bCs/>
                <w:color w:val="auto"/>
                <w:highlight w:val="none"/>
              </w:rPr>
              <w:t>十</w:t>
            </w:r>
            <w:r>
              <w:rPr>
                <w:rFonts w:hint="default"/>
                <w:b/>
                <w:bCs/>
                <w:color w:val="auto"/>
                <w:highlight w:val="none"/>
                <w:lang w:val="en-US" w:eastAsia="zh-CN"/>
              </w:rPr>
              <w:t>三</w:t>
            </w:r>
            <w:r>
              <w:rPr>
                <w:rFonts w:hint="eastAsia"/>
                <w:b/>
                <w:bCs/>
                <w:color w:val="auto"/>
                <w:highlight w:val="none"/>
              </w:rPr>
              <w:t>、CAM 软件</w:t>
            </w:r>
            <w:r>
              <w:rPr>
                <w:rFonts w:hint="eastAsia"/>
                <w:color w:val="auto"/>
                <w:highlight w:val="none"/>
              </w:rPr>
              <w:br w:type="textWrapping"/>
            </w:r>
            <w:r>
              <w:rPr>
                <w:rFonts w:hint="eastAsia"/>
                <w:color w:val="auto"/>
                <w:highlight w:val="none"/>
              </w:rPr>
              <w:t>（一）CAD模块</w:t>
            </w:r>
            <w:r>
              <w:rPr>
                <w:rFonts w:hint="eastAsia"/>
                <w:color w:val="auto"/>
                <w:highlight w:val="none"/>
              </w:rPr>
              <w:br w:type="textWrapping"/>
            </w:r>
            <w:r>
              <w:rPr>
                <w:rFonts w:hint="eastAsia" w:ascii="宋体" w:hAnsi="宋体" w:cs="Courier New"/>
                <w:color w:val="auto"/>
                <w:szCs w:val="21"/>
                <w:highlight w:val="none"/>
              </w:rPr>
              <w:t>▲</w:t>
            </w:r>
            <w:r>
              <w:rPr>
                <w:rFonts w:hint="eastAsia"/>
                <w:color w:val="auto"/>
                <w:highlight w:val="none"/>
              </w:rPr>
              <w:t>1.具有叶片建模、流道建模、过渡圆角建模等较强的涡轮构造能力，解决模型表面不光滑、参数不均匀的问题</w:t>
            </w:r>
            <w:r>
              <w:rPr>
                <w:rFonts w:hint="eastAsia"/>
                <w:color w:val="auto"/>
                <w:highlight w:val="none"/>
                <w:lang w:val="en-US" w:eastAsia="zh-CN"/>
              </w:rPr>
              <w:t>；</w:t>
            </w:r>
            <w:r>
              <w:rPr>
                <w:rFonts w:hint="eastAsia"/>
                <w:color w:val="auto"/>
                <w:highlight w:val="none"/>
              </w:rPr>
              <w:br w:type="textWrapping"/>
            </w:r>
            <w:r>
              <w:rPr>
                <w:rFonts w:hint="eastAsia"/>
                <w:color w:val="auto"/>
                <w:highlight w:val="none"/>
              </w:rPr>
              <w:t>2.支持NREC文件导入建模</w:t>
            </w:r>
            <w:r>
              <w:rPr>
                <w:rFonts w:hint="eastAsia"/>
                <w:color w:val="auto"/>
                <w:highlight w:val="none"/>
                <w:lang w:val="en-US" w:eastAsia="zh-CN"/>
              </w:rPr>
              <w:t>；</w:t>
            </w:r>
            <w:r>
              <w:rPr>
                <w:rFonts w:hint="eastAsia"/>
                <w:color w:val="auto"/>
                <w:highlight w:val="none"/>
              </w:rPr>
              <w:br w:type="textWrapping"/>
            </w:r>
            <w:r>
              <w:rPr>
                <w:rFonts w:hint="eastAsia"/>
                <w:color w:val="auto"/>
                <w:highlight w:val="none"/>
              </w:rPr>
              <w:t>3.支持分析、修改、替换曲面模型上的UV方向</w:t>
            </w:r>
            <w:r>
              <w:rPr>
                <w:rFonts w:hint="eastAsia"/>
                <w:color w:val="auto"/>
                <w:highlight w:val="none"/>
                <w:lang w:val="en-US" w:eastAsia="zh-CN"/>
              </w:rPr>
              <w:t>；</w:t>
            </w:r>
            <w:r>
              <w:rPr>
                <w:rFonts w:hint="eastAsia"/>
                <w:color w:val="auto"/>
                <w:highlight w:val="none"/>
              </w:rPr>
              <w:br w:type="textWrapping"/>
            </w:r>
            <w:r>
              <w:rPr>
                <w:rFonts w:hint="eastAsia"/>
                <w:color w:val="auto"/>
                <w:highlight w:val="none"/>
              </w:rPr>
              <w:t>4.具有较强的曲面设计功能，包括曲面新建、裁剪、扩展、偏置等，实现修改原始曲面以及比较误差</w:t>
            </w:r>
            <w:r>
              <w:rPr>
                <w:rFonts w:hint="eastAsia"/>
                <w:color w:val="auto"/>
                <w:highlight w:val="none"/>
                <w:lang w:val="en-US" w:eastAsia="zh-CN"/>
              </w:rPr>
              <w:t>；</w:t>
            </w:r>
            <w:r>
              <w:rPr>
                <w:rFonts w:hint="eastAsia"/>
                <w:color w:val="auto"/>
                <w:highlight w:val="none"/>
              </w:rPr>
              <w:br w:type="textWrapping"/>
            </w:r>
            <w:r>
              <w:rPr>
                <w:rFonts w:hint="eastAsia"/>
                <w:color w:val="auto"/>
                <w:highlight w:val="none"/>
              </w:rPr>
              <w:t>5.支持沿串联线阵列分布线框、曲面、实体等图素</w:t>
            </w:r>
            <w:r>
              <w:rPr>
                <w:rFonts w:hint="eastAsia"/>
                <w:color w:val="auto"/>
                <w:highlight w:val="none"/>
                <w:lang w:val="en-US" w:eastAsia="zh-CN"/>
              </w:rPr>
              <w:t>；</w:t>
            </w:r>
            <w:r>
              <w:rPr>
                <w:rFonts w:hint="eastAsia"/>
                <w:color w:val="auto"/>
                <w:highlight w:val="none"/>
              </w:rPr>
              <w:br w:type="textWrapping"/>
            </w:r>
            <w:r>
              <w:rPr>
                <w:rFonts w:hint="eastAsia"/>
                <w:color w:val="auto"/>
                <w:highlight w:val="none"/>
              </w:rPr>
              <w:t>6.能够实现曲线拼接、打断、倒角、倒圆角等操作</w:t>
            </w:r>
            <w:r>
              <w:rPr>
                <w:rFonts w:hint="eastAsia"/>
                <w:color w:val="auto"/>
                <w:highlight w:val="none"/>
                <w:lang w:val="en-US" w:eastAsia="zh-CN"/>
              </w:rPr>
              <w:t>；</w:t>
            </w:r>
            <w:r>
              <w:rPr>
                <w:rFonts w:hint="eastAsia"/>
                <w:color w:val="auto"/>
                <w:highlight w:val="none"/>
              </w:rPr>
              <w:br w:type="textWrapping"/>
            </w:r>
            <w:r>
              <w:rPr>
                <w:rFonts w:hint="eastAsia"/>
                <w:color w:val="auto"/>
                <w:highlight w:val="none"/>
              </w:rPr>
              <w:t>7.具有测量功能，包括距离测量、角度测量、长度测量、直径测量、半径测量等</w:t>
            </w:r>
            <w:r>
              <w:rPr>
                <w:rFonts w:hint="eastAsia"/>
                <w:color w:val="auto"/>
                <w:highlight w:val="none"/>
                <w:lang w:val="en-US" w:eastAsia="zh-CN"/>
              </w:rPr>
              <w:t>；</w:t>
            </w:r>
            <w:r>
              <w:rPr>
                <w:rFonts w:hint="eastAsia"/>
                <w:color w:val="auto"/>
                <w:highlight w:val="none"/>
              </w:rPr>
              <w:br w:type="textWrapping"/>
            </w:r>
            <w:r>
              <w:rPr>
                <w:rFonts w:hint="eastAsia"/>
                <w:color w:val="auto"/>
                <w:highlight w:val="none"/>
              </w:rPr>
              <w:t>8.具有较强的复杂模型的细化和分析能力，支持提取模型的实体、面、线、点等</w:t>
            </w:r>
            <w:r>
              <w:rPr>
                <w:rFonts w:hint="eastAsia"/>
                <w:color w:val="auto"/>
                <w:highlight w:val="none"/>
                <w:lang w:val="en-US" w:eastAsia="zh-CN"/>
              </w:rPr>
              <w:t>；</w:t>
            </w:r>
            <w:r>
              <w:rPr>
                <w:rFonts w:hint="eastAsia"/>
                <w:color w:val="auto"/>
                <w:highlight w:val="none"/>
              </w:rPr>
              <w:br w:type="textWrapping"/>
            </w:r>
            <w:r>
              <w:rPr>
                <w:rFonts w:hint="eastAsia"/>
                <w:color w:val="auto"/>
                <w:highlight w:val="none"/>
              </w:rPr>
              <w:t>9.具有模型修复功能，包括重建面、替换面、填充面、缝合面等</w:t>
            </w:r>
            <w:r>
              <w:rPr>
                <w:rFonts w:hint="eastAsia"/>
                <w:color w:val="auto"/>
                <w:highlight w:val="none"/>
                <w:lang w:val="en-US" w:eastAsia="zh-CN"/>
              </w:rPr>
              <w:t>；</w:t>
            </w:r>
            <w:r>
              <w:rPr>
                <w:rFonts w:hint="eastAsia"/>
                <w:color w:val="auto"/>
                <w:highlight w:val="none"/>
              </w:rPr>
              <w:br w:type="textWrapping"/>
            </w:r>
            <w:r>
              <w:rPr>
                <w:rFonts w:hint="eastAsia"/>
                <w:color w:val="auto"/>
                <w:highlight w:val="none"/>
              </w:rPr>
              <w:t>10.支持标注，包括注释和引导线，增强表达清晰度和提升效率的能力</w:t>
            </w:r>
            <w:r>
              <w:rPr>
                <w:rFonts w:hint="eastAsia"/>
                <w:color w:val="auto"/>
                <w:highlight w:val="none"/>
                <w:lang w:val="en-US" w:eastAsia="zh-CN"/>
              </w:rPr>
              <w:t>；</w:t>
            </w:r>
            <w:r>
              <w:rPr>
                <w:rFonts w:hint="eastAsia"/>
                <w:color w:val="auto"/>
                <w:highlight w:val="none"/>
              </w:rPr>
              <w:br w:type="textWrapping"/>
            </w:r>
            <w:r>
              <w:rPr>
                <w:rFonts w:hint="eastAsia"/>
                <w:color w:val="auto"/>
                <w:highlight w:val="none"/>
              </w:rPr>
              <w:t>（二）刀具库</w:t>
            </w:r>
            <w:r>
              <w:rPr>
                <w:rFonts w:hint="eastAsia"/>
                <w:color w:val="auto"/>
                <w:highlight w:val="none"/>
              </w:rPr>
              <w:br w:type="textWrapping"/>
            </w:r>
            <w:r>
              <w:rPr>
                <w:rFonts w:hint="eastAsia" w:ascii="宋体" w:hAnsi="宋体" w:cs="Courier New"/>
                <w:color w:val="auto"/>
                <w:szCs w:val="21"/>
                <w:highlight w:val="none"/>
              </w:rPr>
              <w:t>▲</w:t>
            </w:r>
            <w:r>
              <w:rPr>
                <w:rFonts w:hint="eastAsia"/>
                <w:color w:val="auto"/>
                <w:highlight w:val="none"/>
              </w:rPr>
              <w:t>1.支持</w:t>
            </w:r>
            <w:r>
              <w:rPr>
                <w:rFonts w:hint="eastAsia"/>
                <w:color w:val="auto"/>
                <w:highlight w:val="none"/>
                <w:lang w:val="en-US" w:eastAsia="zh-CN"/>
              </w:rPr>
              <w:t>不少于</w:t>
            </w:r>
            <w:r>
              <w:rPr>
                <w:rFonts w:hint="eastAsia"/>
                <w:color w:val="auto"/>
                <w:highlight w:val="none"/>
              </w:rPr>
              <w:t>二十余种刀具，可根据不同策略选择刀具以及调配参数</w:t>
            </w:r>
            <w:r>
              <w:rPr>
                <w:rFonts w:hint="eastAsia"/>
                <w:color w:val="auto"/>
                <w:highlight w:val="none"/>
                <w:lang w:val="en-US" w:eastAsia="zh-CN"/>
              </w:rPr>
              <w:t>；</w:t>
            </w:r>
            <w:r>
              <w:rPr>
                <w:rFonts w:hint="eastAsia"/>
                <w:color w:val="auto"/>
                <w:highlight w:val="none"/>
              </w:rPr>
              <w:br w:type="textWrapping"/>
            </w:r>
            <w:r>
              <w:rPr>
                <w:rFonts w:hint="eastAsia"/>
                <w:color w:val="auto"/>
                <w:highlight w:val="none"/>
              </w:rPr>
              <w:t>2.支持根据刀柄及刀具组合智能化检查及调整加工刀路中的碰撞</w:t>
            </w:r>
            <w:r>
              <w:rPr>
                <w:rFonts w:hint="eastAsia"/>
                <w:color w:val="auto"/>
                <w:highlight w:val="none"/>
                <w:lang w:val="en-US" w:eastAsia="zh-CN"/>
              </w:rPr>
              <w:t>；</w:t>
            </w:r>
            <w:r>
              <w:rPr>
                <w:rFonts w:hint="eastAsia"/>
                <w:color w:val="auto"/>
                <w:highlight w:val="none"/>
              </w:rPr>
              <w:br w:type="textWrapping"/>
            </w:r>
            <w:r>
              <w:rPr>
                <w:rFonts w:hint="eastAsia"/>
                <w:color w:val="auto"/>
                <w:highlight w:val="none"/>
              </w:rPr>
              <w:t>3.支持导入、导出刀具库文件</w:t>
            </w:r>
            <w:r>
              <w:rPr>
                <w:rFonts w:hint="eastAsia"/>
                <w:color w:val="auto"/>
                <w:highlight w:val="none"/>
                <w:lang w:val="en-US" w:eastAsia="zh-CN"/>
              </w:rPr>
              <w:t>；</w:t>
            </w:r>
            <w:r>
              <w:rPr>
                <w:rFonts w:hint="eastAsia"/>
                <w:color w:val="auto"/>
                <w:highlight w:val="none"/>
              </w:rPr>
              <w:br w:type="textWrapping"/>
            </w:r>
            <w:r>
              <w:rPr>
                <w:rFonts w:hint="eastAsia"/>
                <w:color w:val="auto"/>
                <w:highlight w:val="none"/>
              </w:rPr>
              <w:t>4.支持快捷创建刀具</w:t>
            </w:r>
            <w:r>
              <w:rPr>
                <w:rFonts w:hint="eastAsia"/>
                <w:color w:val="auto"/>
                <w:highlight w:val="none"/>
                <w:lang w:val="en-US" w:eastAsia="zh-CN"/>
              </w:rPr>
              <w:t>；</w:t>
            </w:r>
            <w:r>
              <w:rPr>
                <w:rFonts w:hint="eastAsia"/>
                <w:color w:val="auto"/>
                <w:highlight w:val="none"/>
              </w:rPr>
              <w:br w:type="textWrapping"/>
            </w:r>
            <w:r>
              <w:rPr>
                <w:rFonts w:hint="eastAsia"/>
                <w:color w:val="auto"/>
                <w:highlight w:val="none"/>
              </w:rPr>
              <w:t>（三）2轴铣削</w:t>
            </w:r>
            <w:r>
              <w:rPr>
                <w:rFonts w:hint="eastAsia"/>
                <w:color w:val="auto"/>
                <w:highlight w:val="none"/>
              </w:rPr>
              <w:br w:type="textWrapping"/>
            </w:r>
            <w:r>
              <w:rPr>
                <w:rFonts w:hint="eastAsia" w:ascii="宋体" w:hAnsi="宋体" w:cs="Courier New"/>
                <w:color w:val="auto"/>
                <w:szCs w:val="21"/>
                <w:highlight w:val="none"/>
              </w:rPr>
              <w:t>▲</w:t>
            </w:r>
            <w:r>
              <w:rPr>
                <w:rFonts w:hint="eastAsia"/>
                <w:color w:val="auto"/>
                <w:highlight w:val="none"/>
              </w:rPr>
              <w:t>1.支持2轴铣削模块包括钻孔、铣孔、螺纹铣、凸台铣、凸台螺纹铣、孔倒斜铣、平面曲线铣、平面铣、平面文本等加工操作</w:t>
            </w:r>
            <w:r>
              <w:rPr>
                <w:rFonts w:hint="eastAsia"/>
                <w:color w:val="auto"/>
                <w:highlight w:val="none"/>
                <w:lang w:val="en-US" w:eastAsia="zh-CN"/>
              </w:rPr>
              <w:t>；</w:t>
            </w:r>
            <w:r>
              <w:rPr>
                <w:rFonts w:hint="eastAsia"/>
                <w:color w:val="auto"/>
                <w:highlight w:val="none"/>
              </w:rPr>
              <w:br w:type="textWrapping"/>
            </w:r>
            <w:r>
              <w:rPr>
                <w:rFonts w:hint="eastAsia"/>
                <w:color w:val="auto"/>
                <w:highlight w:val="none"/>
              </w:rPr>
              <w:t>2.支持平面铣削既可使用于单个平面，也可以使用于多个平面</w:t>
            </w:r>
            <w:r>
              <w:rPr>
                <w:rFonts w:hint="eastAsia"/>
                <w:color w:val="auto"/>
                <w:highlight w:val="none"/>
                <w:lang w:val="en-US" w:eastAsia="zh-CN"/>
              </w:rPr>
              <w:t>；</w:t>
            </w:r>
            <w:r>
              <w:rPr>
                <w:rFonts w:hint="eastAsia"/>
                <w:color w:val="auto"/>
                <w:highlight w:val="none"/>
              </w:rPr>
              <w:br w:type="textWrapping"/>
            </w:r>
            <w:r>
              <w:rPr>
                <w:rFonts w:hint="eastAsia"/>
                <w:color w:val="auto"/>
                <w:highlight w:val="none"/>
              </w:rPr>
              <w:t>3.支持自定义螺纹</w:t>
            </w:r>
            <w:r>
              <w:rPr>
                <w:rFonts w:hint="eastAsia"/>
                <w:color w:val="auto"/>
                <w:highlight w:val="none"/>
                <w:lang w:val="en-US" w:eastAsia="zh-CN"/>
              </w:rPr>
              <w:t>；</w:t>
            </w:r>
            <w:r>
              <w:rPr>
                <w:rFonts w:hint="eastAsia"/>
                <w:color w:val="auto"/>
                <w:highlight w:val="none"/>
              </w:rPr>
              <w:br w:type="textWrapping"/>
            </w:r>
            <w:r>
              <w:rPr>
                <w:rFonts w:hint="eastAsia"/>
                <w:color w:val="auto"/>
                <w:highlight w:val="none"/>
              </w:rPr>
              <w:t>（四）3轴铣削</w:t>
            </w:r>
            <w:r>
              <w:rPr>
                <w:rFonts w:hint="eastAsia"/>
                <w:color w:val="auto"/>
                <w:highlight w:val="none"/>
              </w:rPr>
              <w:br w:type="textWrapping"/>
            </w:r>
            <w:r>
              <w:rPr>
                <w:rFonts w:hint="eastAsia" w:ascii="宋体" w:hAnsi="宋体" w:cs="Courier New"/>
                <w:color w:val="auto"/>
                <w:szCs w:val="21"/>
                <w:highlight w:val="none"/>
              </w:rPr>
              <w:t>▲</w:t>
            </w:r>
            <w:r>
              <w:rPr>
                <w:rFonts w:hint="eastAsia"/>
                <w:color w:val="auto"/>
                <w:highlight w:val="none"/>
              </w:rPr>
              <w:t>1.支持3轴铣削模块包括深度轮廓铣、区域铣、去毛刺、型腔铣等加工操作</w:t>
            </w:r>
            <w:r>
              <w:rPr>
                <w:rFonts w:hint="eastAsia"/>
                <w:color w:val="auto"/>
                <w:highlight w:val="none"/>
                <w:lang w:val="en-US" w:eastAsia="zh-CN"/>
              </w:rPr>
              <w:t>；</w:t>
            </w:r>
            <w:r>
              <w:rPr>
                <w:rFonts w:hint="eastAsia"/>
                <w:color w:val="auto"/>
                <w:highlight w:val="none"/>
              </w:rPr>
              <w:br w:type="textWrapping"/>
            </w:r>
            <w:r>
              <w:rPr>
                <w:rFonts w:hint="eastAsia"/>
                <w:color w:val="auto"/>
                <w:highlight w:val="none"/>
              </w:rPr>
              <w:t>2.具有丰富的粗、精加工策略，从粗加工到精加工的完整解决方案</w:t>
            </w:r>
            <w:r>
              <w:rPr>
                <w:rFonts w:hint="eastAsia"/>
                <w:color w:val="auto"/>
                <w:highlight w:val="none"/>
                <w:lang w:val="en-US" w:eastAsia="zh-CN"/>
              </w:rPr>
              <w:t>；</w:t>
            </w:r>
            <w:r>
              <w:rPr>
                <w:rFonts w:hint="eastAsia"/>
                <w:color w:val="auto"/>
                <w:highlight w:val="none"/>
              </w:rPr>
              <w:br w:type="textWrapping"/>
            </w:r>
            <w:r>
              <w:rPr>
                <w:rFonts w:hint="eastAsia"/>
                <w:color w:val="auto"/>
                <w:highlight w:val="none"/>
              </w:rPr>
              <w:t>3.支持根据加工特征自动识别加工深度的最大/最小值</w:t>
            </w:r>
            <w:r>
              <w:rPr>
                <w:rFonts w:hint="eastAsia"/>
                <w:color w:val="auto"/>
                <w:highlight w:val="none"/>
                <w:lang w:val="en-US" w:eastAsia="zh-CN"/>
              </w:rPr>
              <w:t>；</w:t>
            </w:r>
            <w:r>
              <w:rPr>
                <w:rFonts w:hint="eastAsia"/>
                <w:color w:val="auto"/>
                <w:highlight w:val="none"/>
              </w:rPr>
              <w:br w:type="textWrapping"/>
            </w:r>
            <w:r>
              <w:rPr>
                <w:rFonts w:hint="eastAsia"/>
                <w:color w:val="auto"/>
                <w:highlight w:val="none"/>
              </w:rPr>
              <w:t>4.能够编辑局部进退刀和分开编辑进退刀</w:t>
            </w:r>
            <w:r>
              <w:rPr>
                <w:rFonts w:hint="eastAsia"/>
                <w:color w:val="auto"/>
                <w:highlight w:val="none"/>
                <w:lang w:val="en-US" w:eastAsia="zh-CN"/>
              </w:rPr>
              <w:t>；</w:t>
            </w:r>
            <w:r>
              <w:rPr>
                <w:rFonts w:hint="eastAsia"/>
                <w:color w:val="auto"/>
                <w:highlight w:val="none"/>
              </w:rPr>
              <w:br w:type="textWrapping"/>
            </w:r>
            <w:r>
              <w:rPr>
                <w:rFonts w:hint="eastAsia"/>
                <w:color w:val="auto"/>
                <w:highlight w:val="none"/>
              </w:rPr>
              <w:t>5.支持自动进退刀</w:t>
            </w:r>
            <w:r>
              <w:rPr>
                <w:rFonts w:hint="eastAsia"/>
                <w:color w:val="auto"/>
                <w:highlight w:val="none"/>
                <w:lang w:val="en-US" w:eastAsia="zh-CN"/>
              </w:rPr>
              <w:t>；</w:t>
            </w:r>
            <w:r>
              <w:rPr>
                <w:rFonts w:hint="eastAsia"/>
                <w:color w:val="auto"/>
                <w:highlight w:val="none"/>
              </w:rPr>
              <w:br w:type="textWrapping"/>
            </w:r>
            <w:r>
              <w:rPr>
                <w:rFonts w:hint="eastAsia"/>
                <w:color w:val="auto"/>
                <w:highlight w:val="none"/>
              </w:rPr>
              <w:t>（五）后置处理</w:t>
            </w:r>
            <w:r>
              <w:rPr>
                <w:rFonts w:hint="eastAsia"/>
                <w:color w:val="auto"/>
                <w:highlight w:val="none"/>
              </w:rPr>
              <w:br w:type="textWrapping"/>
            </w:r>
            <w:r>
              <w:rPr>
                <w:rFonts w:hint="eastAsia"/>
                <w:color w:val="auto"/>
                <w:highlight w:val="none"/>
              </w:rPr>
              <w:t>1.支持数控各机型后处理</w:t>
            </w:r>
            <w:r>
              <w:rPr>
                <w:rFonts w:hint="eastAsia"/>
                <w:color w:val="auto"/>
                <w:highlight w:val="none"/>
                <w:lang w:val="en-US" w:eastAsia="zh-CN"/>
              </w:rPr>
              <w:t>；</w:t>
            </w:r>
          </w:p>
        </w:tc>
      </w:tr>
      <w:tr w14:paraId="401572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427" w:type="dxa"/>
            <w:vAlign w:val="center"/>
          </w:tcPr>
          <w:p w14:paraId="635D0B9B">
            <w:pPr>
              <w:pStyle w:val="77"/>
              <w:spacing w:before="65" w:line="270" w:lineRule="exact"/>
              <w:jc w:val="center"/>
              <w:rPr>
                <w:rFonts w:hint="eastAsia" w:eastAsia="宋体"/>
                <w:color w:val="auto"/>
                <w:position w:val="1"/>
                <w:highlight w:val="none"/>
                <w:lang w:val="en-US" w:eastAsia="zh-CN"/>
              </w:rPr>
            </w:pPr>
            <w:r>
              <w:rPr>
                <w:rFonts w:hint="eastAsia"/>
                <w:color w:val="auto"/>
                <w:position w:val="1"/>
                <w:highlight w:val="none"/>
                <w:lang w:val="en-US" w:eastAsia="zh-CN"/>
              </w:rPr>
              <w:t>2</w:t>
            </w:r>
          </w:p>
        </w:tc>
        <w:tc>
          <w:tcPr>
            <w:tcW w:w="791" w:type="dxa"/>
            <w:vAlign w:val="center"/>
          </w:tcPr>
          <w:p w14:paraId="26EDB94E">
            <w:pPr>
              <w:widowControl/>
              <w:wordWrap w:val="0"/>
              <w:spacing w:line="400" w:lineRule="exact"/>
              <w:jc w:val="center"/>
              <w:rPr>
                <w:rFonts w:hint="eastAsia" w:ascii="宋体" w:hAnsi="宋体" w:cs="Courier New"/>
                <w:color w:val="auto"/>
                <w:szCs w:val="21"/>
                <w:highlight w:val="none"/>
                <w:lang w:val="en-US" w:eastAsia="zh-CN"/>
              </w:rPr>
            </w:pPr>
            <w:r>
              <w:rPr>
                <w:rFonts w:hint="eastAsia" w:ascii="宋体" w:hAnsi="宋体" w:cs="Courier New"/>
                <w:color w:val="auto"/>
                <w:szCs w:val="21"/>
                <w:highlight w:val="none"/>
                <w:lang w:val="en-US" w:eastAsia="zh-CN"/>
              </w:rPr>
              <w:t>数控车床</w:t>
            </w:r>
          </w:p>
        </w:tc>
        <w:tc>
          <w:tcPr>
            <w:tcW w:w="709" w:type="dxa"/>
            <w:vAlign w:val="center"/>
          </w:tcPr>
          <w:p w14:paraId="5AAD3434">
            <w:pPr>
              <w:widowControl/>
              <w:wordWrap w:val="0"/>
              <w:spacing w:line="400" w:lineRule="exact"/>
              <w:jc w:val="center"/>
              <w:rPr>
                <w:rFonts w:hint="default" w:ascii="宋体" w:hAnsi="宋体" w:cs="Courier New"/>
                <w:color w:val="auto"/>
                <w:szCs w:val="21"/>
                <w:highlight w:val="none"/>
                <w:lang w:val="en-US" w:eastAsia="zh-CN"/>
              </w:rPr>
            </w:pPr>
            <w:r>
              <w:rPr>
                <w:rFonts w:hint="eastAsia" w:ascii="宋体" w:hAnsi="宋体" w:cs="Courier New"/>
                <w:color w:val="auto"/>
                <w:szCs w:val="21"/>
                <w:highlight w:val="none"/>
                <w:lang w:val="en-US" w:eastAsia="zh-CN"/>
              </w:rPr>
              <w:t>2台</w:t>
            </w:r>
          </w:p>
        </w:tc>
        <w:tc>
          <w:tcPr>
            <w:tcW w:w="736" w:type="dxa"/>
            <w:vAlign w:val="center"/>
          </w:tcPr>
          <w:p w14:paraId="3E543564">
            <w:pPr>
              <w:widowControl/>
              <w:wordWrap w:val="0"/>
              <w:spacing w:line="400" w:lineRule="exact"/>
              <w:jc w:val="center"/>
              <w:rPr>
                <w:rFonts w:hint="default" w:ascii="宋体" w:hAnsi="宋体" w:eastAsia="宋体" w:cs="Courier New"/>
                <w:color w:val="auto"/>
                <w:szCs w:val="21"/>
                <w:highlight w:val="none"/>
                <w:lang w:val="en-US" w:eastAsia="zh-CN"/>
              </w:rPr>
            </w:pPr>
            <w:r>
              <w:rPr>
                <w:rFonts w:hint="eastAsia" w:ascii="宋体" w:hAnsi="宋体" w:cs="Courier New"/>
                <w:color w:val="auto"/>
                <w:szCs w:val="21"/>
                <w:highlight w:val="none"/>
                <w:lang w:val="en-US" w:eastAsia="zh-CN"/>
              </w:rPr>
              <w:t>工业</w:t>
            </w:r>
          </w:p>
        </w:tc>
        <w:tc>
          <w:tcPr>
            <w:tcW w:w="6123" w:type="dxa"/>
            <w:vAlign w:val="top"/>
          </w:tcPr>
          <w:p w14:paraId="2646B23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218" w:leftChars="104" w:firstLine="0" w:firstLineChars="0"/>
              <w:jc w:val="left"/>
              <w:textAlignment w:val="auto"/>
              <w:rPr>
                <w:rFonts w:hint="eastAsia"/>
                <w:color w:val="auto"/>
                <w:highlight w:val="none"/>
                <w:lang w:val="en-US" w:eastAsia="zh-CN"/>
              </w:rPr>
            </w:pPr>
            <w:r>
              <w:rPr>
                <w:rFonts w:hint="eastAsia" w:ascii="Times New Roman" w:hAnsi="Times New Roman" w:eastAsia="宋体" w:cs="Times New Roman"/>
                <w:color w:val="auto"/>
                <w:kern w:val="2"/>
                <w:sz w:val="21"/>
                <w:szCs w:val="24"/>
                <w:highlight w:val="none"/>
                <w:lang w:val="en-US" w:eastAsia="zh-CN" w:bidi="ar-SA"/>
              </w:rPr>
              <w:t>一、</w:t>
            </w:r>
            <w:r>
              <w:rPr>
                <w:rFonts w:hint="eastAsia"/>
                <w:b/>
                <w:bCs/>
                <w:color w:val="auto"/>
                <w:highlight w:val="none"/>
                <w:lang w:val="en-US" w:eastAsia="zh-CN"/>
              </w:rPr>
              <w:t>技术参数：</w:t>
            </w:r>
            <w:r>
              <w:rPr>
                <w:rFonts w:hint="eastAsia"/>
                <w:color w:val="auto"/>
                <w:highlight w:val="none"/>
                <w:lang w:val="en-US" w:eastAsia="zh-CN"/>
              </w:rPr>
              <w:br w:type="textWrapping"/>
            </w:r>
            <w:r>
              <w:rPr>
                <w:rFonts w:hint="eastAsia"/>
                <w:color w:val="auto"/>
                <w:highlight w:val="none"/>
                <w:lang w:val="en-US" w:eastAsia="zh-CN"/>
              </w:rPr>
              <w:t>（一）加工范围</w:t>
            </w:r>
            <w:r>
              <w:rPr>
                <w:rFonts w:hint="eastAsia"/>
                <w:color w:val="auto"/>
                <w:highlight w:val="none"/>
                <w:lang w:val="en-US" w:eastAsia="zh-CN"/>
              </w:rPr>
              <w:br w:type="textWrapping"/>
            </w:r>
            <w:r>
              <w:rPr>
                <w:rFonts w:hint="eastAsia"/>
                <w:color w:val="auto"/>
                <w:highlight w:val="none"/>
                <w:lang w:val="en-US" w:eastAsia="zh-CN"/>
              </w:rPr>
              <w:t>1.床身上最大回转直径：≥ф410mm；</w:t>
            </w:r>
            <w:r>
              <w:rPr>
                <w:rFonts w:hint="eastAsia"/>
                <w:color w:val="auto"/>
                <w:highlight w:val="none"/>
                <w:lang w:val="en-US" w:eastAsia="zh-CN"/>
              </w:rPr>
              <w:br w:type="textWrapping"/>
            </w:r>
            <w:r>
              <w:rPr>
                <w:rFonts w:hint="eastAsia"/>
                <w:color w:val="auto"/>
                <w:highlight w:val="none"/>
                <w:lang w:val="en-US" w:eastAsia="zh-CN"/>
              </w:rPr>
              <w:t>2.顶尖距：≥750mm；</w:t>
            </w:r>
            <w:r>
              <w:rPr>
                <w:rFonts w:hint="eastAsia"/>
                <w:color w:val="auto"/>
                <w:highlight w:val="none"/>
                <w:lang w:val="en-US" w:eastAsia="zh-CN"/>
              </w:rPr>
              <w:br w:type="textWrapping"/>
            </w:r>
            <w:r>
              <w:rPr>
                <w:rFonts w:hint="eastAsia"/>
                <w:color w:val="auto"/>
                <w:highlight w:val="none"/>
                <w:lang w:val="en-US" w:eastAsia="zh-CN"/>
              </w:rPr>
              <w:t>3.最大切削直径：≥Ф360mm；</w:t>
            </w:r>
            <w:r>
              <w:rPr>
                <w:rFonts w:hint="eastAsia"/>
                <w:color w:val="auto"/>
                <w:highlight w:val="none"/>
                <w:lang w:val="en-US" w:eastAsia="zh-CN"/>
              </w:rPr>
              <w:br w:type="textWrapping"/>
            </w:r>
            <w:r>
              <w:rPr>
                <w:rFonts w:hint="eastAsia"/>
                <w:color w:val="auto"/>
                <w:highlight w:val="none"/>
                <w:lang w:val="en-US" w:eastAsia="zh-CN"/>
              </w:rPr>
              <w:t>4.滑板上最大回转直径：≥ф220mm；</w:t>
            </w:r>
            <w:r>
              <w:rPr>
                <w:rFonts w:hint="eastAsia"/>
                <w:color w:val="auto"/>
                <w:highlight w:val="none"/>
                <w:lang w:val="en-US" w:eastAsia="zh-CN"/>
              </w:rPr>
              <w:br w:type="textWrapping"/>
            </w:r>
            <w:r>
              <w:rPr>
                <w:rFonts w:hint="eastAsia"/>
                <w:color w:val="auto"/>
                <w:highlight w:val="none"/>
                <w:lang w:val="en-US" w:eastAsia="zh-CN"/>
              </w:rPr>
              <w:t>（二）导轨跨度</w:t>
            </w:r>
            <w:r>
              <w:rPr>
                <w:rFonts w:hint="eastAsia"/>
                <w:color w:val="auto"/>
                <w:highlight w:val="none"/>
                <w:lang w:val="en-US" w:eastAsia="zh-CN"/>
              </w:rPr>
              <w:br w:type="textWrapping"/>
            </w:r>
            <w:r>
              <w:rPr>
                <w:rFonts w:hint="eastAsia"/>
                <w:color w:val="auto"/>
                <w:highlight w:val="none"/>
                <w:lang w:val="en-US" w:eastAsia="zh-CN"/>
              </w:rPr>
              <w:t>1.Z向导轨跨距：≥300mm；</w:t>
            </w:r>
            <w:r>
              <w:rPr>
                <w:rFonts w:hint="eastAsia"/>
                <w:color w:val="auto"/>
                <w:highlight w:val="none"/>
                <w:lang w:val="en-US" w:eastAsia="zh-CN"/>
              </w:rPr>
              <w:br w:type="textWrapping"/>
            </w:r>
            <w:r>
              <w:rPr>
                <w:rFonts w:hint="eastAsia"/>
                <w:color w:val="auto"/>
                <w:highlight w:val="none"/>
                <w:lang w:val="en-US" w:eastAsia="zh-CN"/>
              </w:rPr>
              <w:t>2.X向导轨跨距：≥190mm；</w:t>
            </w:r>
            <w:r>
              <w:rPr>
                <w:rFonts w:hint="eastAsia"/>
                <w:color w:val="auto"/>
                <w:highlight w:val="none"/>
                <w:lang w:val="en-US" w:eastAsia="zh-CN"/>
              </w:rPr>
              <w:br w:type="textWrapping"/>
            </w:r>
            <w:r>
              <w:rPr>
                <w:rFonts w:hint="eastAsia"/>
                <w:color w:val="auto"/>
                <w:highlight w:val="none"/>
                <w:lang w:val="en-US" w:eastAsia="zh-CN"/>
              </w:rPr>
              <w:t>（三）主轴及主电机</w:t>
            </w:r>
            <w:r>
              <w:rPr>
                <w:rFonts w:hint="eastAsia"/>
                <w:color w:val="auto"/>
                <w:highlight w:val="none"/>
                <w:lang w:val="en-US" w:eastAsia="zh-CN"/>
              </w:rPr>
              <w:br w:type="textWrapping"/>
            </w:r>
            <w:r>
              <w:rPr>
                <w:rFonts w:hint="eastAsia"/>
                <w:color w:val="auto"/>
                <w:highlight w:val="none"/>
                <w:lang w:val="en-US" w:eastAsia="zh-CN"/>
              </w:rPr>
              <w:t>1.主轴端部型式及代号：A2-6；</w:t>
            </w:r>
            <w:r>
              <w:rPr>
                <w:rFonts w:hint="eastAsia"/>
                <w:color w:val="auto"/>
                <w:highlight w:val="none"/>
                <w:lang w:val="en-US" w:eastAsia="zh-CN"/>
              </w:rPr>
              <w:br w:type="textWrapping"/>
            </w:r>
            <w:r>
              <w:rPr>
                <w:rFonts w:hint="eastAsia"/>
                <w:color w:val="auto"/>
                <w:highlight w:val="none"/>
                <w:lang w:val="en-US" w:eastAsia="zh-CN"/>
              </w:rPr>
              <w:t>2.主轴前端孔锥度：≥Φ70，1：20mm；</w:t>
            </w:r>
            <w:r>
              <w:rPr>
                <w:rFonts w:hint="eastAsia"/>
                <w:color w:val="auto"/>
                <w:highlight w:val="none"/>
                <w:lang w:val="en-US" w:eastAsia="zh-CN"/>
              </w:rPr>
              <w:br w:type="textWrapping"/>
            </w:r>
            <w:r>
              <w:rPr>
                <w:rFonts w:hint="eastAsia"/>
                <w:color w:val="auto"/>
                <w:highlight w:val="none"/>
                <w:lang w:val="en-US" w:eastAsia="zh-CN"/>
              </w:rPr>
              <w:t>3.主轴孔直径：≥ф62mm；</w:t>
            </w:r>
            <w:r>
              <w:rPr>
                <w:rFonts w:hint="eastAsia"/>
                <w:color w:val="auto"/>
                <w:highlight w:val="none"/>
                <w:lang w:val="en-US" w:eastAsia="zh-CN"/>
              </w:rPr>
              <w:br w:type="textWrapping"/>
            </w:r>
            <w:r>
              <w:rPr>
                <w:rFonts w:hint="eastAsia"/>
                <w:color w:val="auto"/>
                <w:highlight w:val="none"/>
                <w:lang w:val="en-US" w:eastAsia="zh-CN"/>
              </w:rPr>
              <w:t>4.最大通过棒料直径（手动三爪卡盘）：≥ф58mm；</w:t>
            </w:r>
            <w:r>
              <w:rPr>
                <w:rFonts w:hint="eastAsia"/>
                <w:color w:val="auto"/>
                <w:highlight w:val="none"/>
                <w:lang w:val="en-US" w:eastAsia="zh-CN"/>
              </w:rPr>
              <w:br w:type="textWrapping"/>
            </w:r>
            <w:r>
              <w:rPr>
                <w:rFonts w:hint="eastAsia"/>
                <w:color w:val="auto"/>
                <w:highlight w:val="none"/>
                <w:lang w:val="en-US" w:eastAsia="zh-CN"/>
              </w:rPr>
              <w:t>5.主轴转速范围：35-3000r/min；</w:t>
            </w:r>
            <w:r>
              <w:rPr>
                <w:rFonts w:hint="eastAsia"/>
                <w:color w:val="auto"/>
                <w:highlight w:val="none"/>
                <w:lang w:val="en-US" w:eastAsia="zh-CN"/>
              </w:rPr>
              <w:br w:type="textWrapping"/>
            </w:r>
            <w:r>
              <w:rPr>
                <w:rFonts w:hint="eastAsia"/>
                <w:color w:val="auto"/>
                <w:highlight w:val="none"/>
                <w:lang w:val="en-US" w:eastAsia="zh-CN"/>
              </w:rPr>
              <w:t>6.主轴转速级数：伺服无级；</w:t>
            </w:r>
            <w:r>
              <w:rPr>
                <w:rFonts w:hint="eastAsia"/>
                <w:color w:val="auto"/>
                <w:highlight w:val="none"/>
                <w:lang w:val="en-US" w:eastAsia="zh-CN"/>
              </w:rPr>
              <w:br w:type="textWrapping"/>
            </w:r>
            <w:r>
              <w:rPr>
                <w:rFonts w:hint="eastAsia"/>
                <w:color w:val="auto"/>
                <w:highlight w:val="none"/>
                <w:lang w:val="en-US" w:eastAsia="zh-CN"/>
              </w:rPr>
              <w:t>7.输出功率连续额定值：≥5.5kW；</w:t>
            </w:r>
            <w:r>
              <w:rPr>
                <w:rFonts w:hint="eastAsia"/>
                <w:color w:val="auto"/>
                <w:highlight w:val="none"/>
                <w:lang w:val="en-US" w:eastAsia="zh-CN"/>
              </w:rPr>
              <w:br w:type="textWrapping"/>
            </w:r>
            <w:r>
              <w:rPr>
                <w:rFonts w:hint="eastAsia"/>
                <w:color w:val="auto"/>
                <w:highlight w:val="none"/>
                <w:lang w:val="en-US" w:eastAsia="zh-CN"/>
              </w:rPr>
              <w:t>（四）卡盘</w:t>
            </w:r>
            <w:r>
              <w:rPr>
                <w:rFonts w:hint="eastAsia"/>
                <w:color w:val="auto"/>
                <w:highlight w:val="none"/>
                <w:lang w:val="en-US" w:eastAsia="zh-CN"/>
              </w:rPr>
              <w:br w:type="textWrapping"/>
            </w:r>
            <w:r>
              <w:rPr>
                <w:rFonts w:hint="eastAsia"/>
                <w:color w:val="auto"/>
                <w:highlight w:val="none"/>
                <w:lang w:val="en-US" w:eastAsia="zh-CN"/>
              </w:rPr>
              <w:t>1.标准卡盘卡盘直径：≥ф200mm；</w:t>
            </w:r>
            <w:r>
              <w:rPr>
                <w:rFonts w:hint="eastAsia"/>
                <w:color w:val="auto"/>
                <w:highlight w:val="none"/>
                <w:lang w:val="en-US" w:eastAsia="zh-CN"/>
              </w:rPr>
              <w:br w:type="textWrapping"/>
            </w:r>
            <w:r>
              <w:rPr>
                <w:rFonts w:hint="eastAsia"/>
                <w:color w:val="auto"/>
                <w:highlight w:val="none"/>
                <w:lang w:val="en-US" w:eastAsia="zh-CN"/>
              </w:rPr>
              <w:t>（五）进给轴</w:t>
            </w:r>
            <w:r>
              <w:rPr>
                <w:rFonts w:hint="eastAsia"/>
                <w:color w:val="auto"/>
                <w:highlight w:val="none"/>
                <w:lang w:val="en-US" w:eastAsia="zh-CN"/>
              </w:rPr>
              <w:br w:type="textWrapping"/>
            </w:r>
            <w:r>
              <w:rPr>
                <w:rFonts w:hint="eastAsia"/>
                <w:color w:val="auto"/>
                <w:highlight w:val="none"/>
                <w:lang w:val="en-US" w:eastAsia="zh-CN"/>
              </w:rPr>
              <w:t>1.X轴快移速度：≥6m/min；</w:t>
            </w:r>
            <w:r>
              <w:rPr>
                <w:rFonts w:hint="eastAsia"/>
                <w:color w:val="auto"/>
                <w:highlight w:val="none"/>
                <w:lang w:val="en-US" w:eastAsia="zh-CN"/>
              </w:rPr>
              <w:br w:type="textWrapping"/>
            </w:r>
            <w:r>
              <w:rPr>
                <w:rFonts w:hint="eastAsia"/>
                <w:color w:val="auto"/>
                <w:highlight w:val="none"/>
                <w:lang w:val="en-US" w:eastAsia="zh-CN"/>
              </w:rPr>
              <w:t>2.Z轴快移速度：≥8m/min；</w:t>
            </w:r>
            <w:r>
              <w:rPr>
                <w:rFonts w:hint="eastAsia"/>
                <w:color w:val="auto"/>
                <w:highlight w:val="none"/>
                <w:lang w:val="en-US" w:eastAsia="zh-CN"/>
              </w:rPr>
              <w:br w:type="textWrapping"/>
            </w:r>
            <w:r>
              <w:rPr>
                <w:rFonts w:hint="eastAsia"/>
                <w:color w:val="auto"/>
                <w:highlight w:val="none"/>
                <w:lang w:val="en-US" w:eastAsia="zh-CN"/>
              </w:rPr>
              <w:t>3.X轴行程：≥235mm；</w:t>
            </w:r>
            <w:r>
              <w:rPr>
                <w:rFonts w:hint="eastAsia"/>
                <w:color w:val="auto"/>
                <w:highlight w:val="none"/>
                <w:lang w:val="en-US" w:eastAsia="zh-CN"/>
              </w:rPr>
              <w:br w:type="textWrapping"/>
            </w:r>
            <w:r>
              <w:rPr>
                <w:rFonts w:hint="eastAsia"/>
                <w:color w:val="auto"/>
                <w:highlight w:val="none"/>
                <w:lang w:val="en-US" w:eastAsia="zh-CN"/>
              </w:rPr>
              <w:t>4.Z轴行程：≥520mm；</w:t>
            </w:r>
            <w:r>
              <w:rPr>
                <w:rFonts w:hint="eastAsia"/>
                <w:color w:val="auto"/>
                <w:highlight w:val="none"/>
                <w:lang w:val="en-US" w:eastAsia="zh-CN"/>
              </w:rPr>
              <w:br w:type="textWrapping"/>
            </w:r>
            <w:r>
              <w:rPr>
                <w:rFonts w:hint="eastAsia"/>
                <w:color w:val="auto"/>
                <w:highlight w:val="none"/>
                <w:lang w:val="en-US" w:eastAsia="zh-CN"/>
              </w:rPr>
              <w:t>（六）机床精度</w:t>
            </w:r>
            <w:r>
              <w:rPr>
                <w:rFonts w:hint="eastAsia"/>
                <w:color w:val="auto"/>
                <w:highlight w:val="none"/>
                <w:lang w:val="en-US" w:eastAsia="zh-CN"/>
              </w:rPr>
              <w:br w:type="textWrapping"/>
            </w:r>
            <w:r>
              <w:rPr>
                <w:rFonts w:hint="eastAsia"/>
                <w:color w:val="auto"/>
                <w:highlight w:val="none"/>
                <w:lang w:val="en-US" w:eastAsia="zh-CN"/>
              </w:rPr>
              <w:t>1.加工工件圆度：≤0.005mm；</w:t>
            </w:r>
            <w:r>
              <w:rPr>
                <w:rFonts w:hint="eastAsia"/>
                <w:color w:val="auto"/>
                <w:highlight w:val="none"/>
                <w:lang w:val="en-US" w:eastAsia="zh-CN"/>
              </w:rPr>
              <w:br w:type="textWrapping"/>
            </w:r>
            <w:r>
              <w:rPr>
                <w:rFonts w:hint="eastAsia"/>
                <w:color w:val="auto"/>
                <w:highlight w:val="none"/>
                <w:lang w:val="en-US" w:eastAsia="zh-CN"/>
              </w:rPr>
              <w:t>2.加工工件圆柱度：≤0.03/300mm；</w:t>
            </w:r>
            <w:r>
              <w:rPr>
                <w:rFonts w:hint="eastAsia"/>
                <w:color w:val="auto"/>
                <w:highlight w:val="none"/>
                <w:lang w:val="en-US" w:eastAsia="zh-CN"/>
              </w:rPr>
              <w:br w:type="textWrapping"/>
            </w:r>
            <w:r>
              <w:rPr>
                <w:rFonts w:hint="eastAsia"/>
                <w:color w:val="auto"/>
                <w:highlight w:val="none"/>
                <w:lang w:val="en-US" w:eastAsia="zh-CN"/>
              </w:rPr>
              <w:t>3.加工工件平面度：≤0.025/Ф300（只许凹）mm；</w:t>
            </w:r>
            <w:r>
              <w:rPr>
                <w:rFonts w:hint="eastAsia"/>
                <w:color w:val="auto"/>
                <w:highlight w:val="none"/>
                <w:lang w:val="en-US" w:eastAsia="zh-CN"/>
              </w:rPr>
              <w:br w:type="textWrapping"/>
            </w:r>
            <w:r>
              <w:rPr>
                <w:rFonts w:hint="eastAsia"/>
                <w:color w:val="auto"/>
                <w:highlight w:val="none"/>
                <w:lang w:val="en-US" w:eastAsia="zh-CN"/>
              </w:rPr>
              <w:t>4.加工工件表面粗糙度：≤Ra1.6μm；</w:t>
            </w:r>
            <w:r>
              <w:rPr>
                <w:rFonts w:hint="eastAsia"/>
                <w:color w:val="auto"/>
                <w:highlight w:val="none"/>
                <w:lang w:val="en-US" w:eastAsia="zh-CN"/>
              </w:rPr>
              <w:br w:type="textWrapping"/>
            </w:r>
            <w:r>
              <w:rPr>
                <w:rFonts w:hint="eastAsia"/>
                <w:color w:val="auto"/>
                <w:highlight w:val="none"/>
                <w:lang w:val="en-US" w:eastAsia="zh-CN"/>
              </w:rPr>
              <w:t>5.加工精度：≥IT6；</w:t>
            </w:r>
            <w:r>
              <w:rPr>
                <w:rFonts w:hint="eastAsia"/>
                <w:color w:val="auto"/>
                <w:highlight w:val="none"/>
                <w:lang w:val="en-US" w:eastAsia="zh-CN"/>
              </w:rPr>
              <w:br w:type="textWrapping"/>
            </w:r>
            <w:r>
              <w:rPr>
                <w:rFonts w:hint="eastAsia"/>
                <w:color w:val="auto"/>
                <w:highlight w:val="none"/>
                <w:lang w:val="en-US" w:eastAsia="zh-CN"/>
              </w:rPr>
              <w:t>6.重复定位精度X轴：≤0.009mm；</w:t>
            </w:r>
            <w:r>
              <w:rPr>
                <w:rFonts w:hint="eastAsia"/>
                <w:color w:val="auto"/>
                <w:highlight w:val="none"/>
                <w:lang w:val="en-US" w:eastAsia="zh-CN"/>
              </w:rPr>
              <w:br w:type="textWrapping"/>
            </w:r>
            <w:r>
              <w:rPr>
                <w:rFonts w:hint="eastAsia"/>
                <w:color w:val="auto"/>
                <w:highlight w:val="none"/>
                <w:lang w:val="en-US" w:eastAsia="zh-CN"/>
              </w:rPr>
              <w:t>7.重复定位精度Z轴500：≤0.011mm；</w:t>
            </w:r>
            <w:r>
              <w:rPr>
                <w:rFonts w:hint="eastAsia"/>
                <w:color w:val="auto"/>
                <w:highlight w:val="none"/>
                <w:lang w:val="en-US" w:eastAsia="zh-CN"/>
              </w:rPr>
              <w:br w:type="textWrapping"/>
            </w:r>
            <w:r>
              <w:rPr>
                <w:rFonts w:hint="eastAsia"/>
                <w:color w:val="auto"/>
                <w:highlight w:val="none"/>
                <w:lang w:val="en-US" w:eastAsia="zh-CN"/>
              </w:rPr>
              <w:t>（七）尾座</w:t>
            </w:r>
            <w:r>
              <w:rPr>
                <w:rFonts w:hint="eastAsia"/>
                <w:color w:val="auto"/>
                <w:highlight w:val="none"/>
                <w:lang w:val="en-US" w:eastAsia="zh-CN"/>
              </w:rPr>
              <w:br w:type="textWrapping"/>
            </w:r>
            <w:r>
              <w:rPr>
                <w:rFonts w:hint="eastAsia"/>
                <w:color w:val="auto"/>
                <w:highlight w:val="none"/>
                <w:lang w:val="en-US" w:eastAsia="zh-CN"/>
              </w:rPr>
              <w:t>1.尾座套筒直径：≥ф65mm；</w:t>
            </w:r>
            <w:r>
              <w:rPr>
                <w:rFonts w:hint="eastAsia"/>
                <w:color w:val="auto"/>
                <w:highlight w:val="none"/>
                <w:lang w:val="en-US" w:eastAsia="zh-CN"/>
              </w:rPr>
              <w:br w:type="textWrapping"/>
            </w:r>
            <w:r>
              <w:rPr>
                <w:rFonts w:hint="eastAsia"/>
                <w:color w:val="auto"/>
                <w:highlight w:val="none"/>
                <w:lang w:val="en-US" w:eastAsia="zh-CN"/>
              </w:rPr>
              <w:t>2.尾座套筒行程：≥127mm；</w:t>
            </w:r>
            <w:r>
              <w:rPr>
                <w:rFonts w:hint="eastAsia"/>
                <w:color w:val="auto"/>
                <w:highlight w:val="none"/>
                <w:lang w:val="en-US" w:eastAsia="zh-CN"/>
              </w:rPr>
              <w:br w:type="textWrapping"/>
            </w:r>
            <w:r>
              <w:rPr>
                <w:rFonts w:hint="eastAsia"/>
                <w:color w:val="auto"/>
                <w:highlight w:val="none"/>
                <w:lang w:val="en-US" w:eastAsia="zh-CN"/>
              </w:rPr>
              <w:t>3.尾座主轴锥孔锥度莫氏：M4；</w:t>
            </w:r>
            <w:r>
              <w:rPr>
                <w:rFonts w:hint="eastAsia"/>
                <w:color w:val="auto"/>
                <w:highlight w:val="none"/>
                <w:lang w:val="en-US" w:eastAsia="zh-CN"/>
              </w:rPr>
              <w:br w:type="textWrapping"/>
            </w:r>
            <w:r>
              <w:rPr>
                <w:rFonts w:hint="eastAsia"/>
                <w:color w:val="auto"/>
                <w:highlight w:val="none"/>
                <w:lang w:val="en-US" w:eastAsia="zh-CN"/>
              </w:rPr>
              <w:t>（八）刀架及刀杆</w:t>
            </w:r>
            <w:r>
              <w:rPr>
                <w:rFonts w:hint="eastAsia"/>
                <w:color w:val="auto"/>
                <w:highlight w:val="none"/>
                <w:lang w:val="en-US" w:eastAsia="zh-CN"/>
              </w:rPr>
              <w:br w:type="textWrapping"/>
            </w:r>
            <w:r>
              <w:rPr>
                <w:rFonts w:hint="eastAsia"/>
                <w:color w:val="auto"/>
                <w:highlight w:val="none"/>
                <w:lang w:val="en-US" w:eastAsia="zh-CN"/>
              </w:rPr>
              <w:t>1.刀架形式：立式四工位；</w:t>
            </w:r>
            <w:r>
              <w:rPr>
                <w:rFonts w:hint="eastAsia"/>
                <w:color w:val="auto"/>
                <w:highlight w:val="none"/>
                <w:lang w:val="en-US" w:eastAsia="zh-CN"/>
              </w:rPr>
              <w:br w:type="textWrapping"/>
            </w:r>
            <w:r>
              <w:rPr>
                <w:rFonts w:hint="eastAsia"/>
                <w:color w:val="auto"/>
                <w:highlight w:val="none"/>
                <w:lang w:val="en-US" w:eastAsia="zh-CN"/>
              </w:rPr>
              <w:t>2.相邻换刀时间（90°）s：≤2s；</w:t>
            </w:r>
            <w:r>
              <w:rPr>
                <w:rFonts w:hint="eastAsia"/>
                <w:color w:val="auto"/>
                <w:highlight w:val="none"/>
                <w:lang w:val="en-US" w:eastAsia="zh-CN"/>
              </w:rPr>
              <w:br w:type="textWrapping"/>
            </w:r>
            <w:r>
              <w:rPr>
                <w:rFonts w:hint="eastAsia"/>
                <w:color w:val="auto"/>
                <w:highlight w:val="none"/>
                <w:lang w:val="en-US" w:eastAsia="zh-CN"/>
              </w:rPr>
              <w:t>3.外圆刀：20X20mm；</w:t>
            </w:r>
            <w:r>
              <w:rPr>
                <w:rFonts w:hint="eastAsia"/>
                <w:color w:val="auto"/>
                <w:highlight w:val="none"/>
                <w:lang w:val="en-US" w:eastAsia="zh-CN"/>
              </w:rPr>
              <w:br w:type="textWrapping"/>
            </w:r>
            <w:r>
              <w:rPr>
                <w:rFonts w:hint="eastAsia"/>
                <w:color w:val="auto"/>
                <w:highlight w:val="none"/>
                <w:lang w:val="en-US" w:eastAsia="zh-CN"/>
              </w:rPr>
              <w:t>4.镗刀杆直径：ф20，ф25mm；</w:t>
            </w:r>
            <w:r>
              <w:rPr>
                <w:rFonts w:hint="eastAsia"/>
                <w:color w:val="auto"/>
                <w:highlight w:val="none"/>
                <w:lang w:val="en-US" w:eastAsia="zh-CN"/>
              </w:rPr>
              <w:br w:type="textWrapping"/>
            </w:r>
            <w:r>
              <w:rPr>
                <w:rFonts w:hint="eastAsia"/>
                <w:color w:val="auto"/>
                <w:highlight w:val="none"/>
                <w:lang w:val="en-US" w:eastAsia="zh-CN"/>
              </w:rPr>
              <w:t>（九）其他</w:t>
            </w:r>
            <w:r>
              <w:rPr>
                <w:rFonts w:hint="eastAsia"/>
                <w:color w:val="auto"/>
                <w:highlight w:val="none"/>
                <w:lang w:val="en-US" w:eastAsia="zh-CN"/>
              </w:rPr>
              <w:br w:type="textWrapping"/>
            </w:r>
            <w:r>
              <w:rPr>
                <w:rFonts w:hint="eastAsia"/>
                <w:color w:val="auto"/>
                <w:highlight w:val="none"/>
                <w:lang w:val="en-US" w:eastAsia="zh-CN"/>
              </w:rPr>
              <w:t>1.机床重量净重/毛重：1800kg（±10%）；</w:t>
            </w:r>
            <w:r>
              <w:rPr>
                <w:rFonts w:hint="eastAsia"/>
                <w:color w:val="auto"/>
                <w:highlight w:val="none"/>
                <w:lang w:val="en-US" w:eastAsia="zh-CN"/>
              </w:rPr>
              <w:br w:type="textWrapping"/>
            </w:r>
            <w:r>
              <w:rPr>
                <w:rFonts w:hint="eastAsia"/>
                <w:color w:val="auto"/>
                <w:highlight w:val="none"/>
                <w:lang w:val="en-US" w:eastAsia="zh-CN"/>
              </w:rPr>
              <w:t>2.总电源电压V：AC380；</w:t>
            </w:r>
            <w:r>
              <w:rPr>
                <w:rFonts w:hint="eastAsia"/>
                <w:color w:val="auto"/>
                <w:highlight w:val="none"/>
                <w:lang w:val="en-US" w:eastAsia="zh-CN"/>
              </w:rPr>
              <w:br w:type="textWrapping"/>
            </w:r>
            <w:r>
              <w:rPr>
                <w:rFonts w:hint="eastAsia"/>
                <w:color w:val="auto"/>
                <w:highlight w:val="none"/>
                <w:lang w:val="en-US" w:eastAsia="zh-CN"/>
              </w:rPr>
              <w:t>3.总电源容量：15kVA；</w:t>
            </w:r>
            <w:r>
              <w:rPr>
                <w:rFonts w:hint="eastAsia"/>
                <w:color w:val="auto"/>
                <w:highlight w:val="none"/>
                <w:lang w:val="en-US" w:eastAsia="zh-CN"/>
              </w:rPr>
              <w:br w:type="textWrapping"/>
            </w:r>
            <w:r>
              <w:rPr>
                <w:rFonts w:hint="eastAsia"/>
                <w:color w:val="auto"/>
                <w:highlight w:val="none"/>
                <w:lang w:val="en-US" w:eastAsia="zh-CN"/>
              </w:rPr>
              <w:t>（十）随机技术资料：</w:t>
            </w:r>
            <w:r>
              <w:rPr>
                <w:rFonts w:hint="eastAsia"/>
                <w:color w:val="auto"/>
                <w:highlight w:val="none"/>
                <w:lang w:val="en-US" w:eastAsia="zh-CN"/>
              </w:rPr>
              <w:br w:type="textWrapping"/>
            </w:r>
            <w:r>
              <w:rPr>
                <w:rFonts w:hint="eastAsia"/>
                <w:color w:val="auto"/>
                <w:highlight w:val="none"/>
                <w:lang w:val="en-US" w:eastAsia="zh-CN"/>
              </w:rPr>
              <w:t>1、机械使用说明书（中文）：1本；</w:t>
            </w:r>
            <w:r>
              <w:rPr>
                <w:rFonts w:hint="eastAsia"/>
                <w:color w:val="auto"/>
                <w:highlight w:val="none"/>
                <w:lang w:val="en-US" w:eastAsia="zh-CN"/>
              </w:rPr>
              <w:br w:type="textWrapping"/>
            </w:r>
            <w:r>
              <w:rPr>
                <w:rFonts w:hint="eastAsia"/>
                <w:color w:val="auto"/>
                <w:highlight w:val="none"/>
                <w:lang w:val="en-US" w:eastAsia="zh-CN"/>
              </w:rPr>
              <w:t>2、电气使用说明书（中文）：1；</w:t>
            </w:r>
            <w:r>
              <w:rPr>
                <w:rFonts w:hint="eastAsia"/>
                <w:color w:val="auto"/>
                <w:highlight w:val="none"/>
                <w:lang w:val="en-US" w:eastAsia="zh-CN"/>
              </w:rPr>
              <w:br w:type="textWrapping"/>
            </w:r>
            <w:r>
              <w:rPr>
                <w:rFonts w:hint="eastAsia"/>
                <w:color w:val="auto"/>
                <w:highlight w:val="none"/>
                <w:lang w:val="en-US" w:eastAsia="zh-CN"/>
              </w:rPr>
              <w:t>3、机床合格证明书：1份；</w:t>
            </w:r>
            <w:r>
              <w:rPr>
                <w:rFonts w:hint="eastAsia"/>
                <w:color w:val="auto"/>
                <w:highlight w:val="none"/>
                <w:lang w:val="en-US" w:eastAsia="zh-CN"/>
              </w:rPr>
              <w:br w:type="textWrapping"/>
            </w:r>
            <w:r>
              <w:rPr>
                <w:rFonts w:hint="eastAsia"/>
                <w:color w:val="auto"/>
                <w:highlight w:val="none"/>
                <w:lang w:val="en-US" w:eastAsia="zh-CN"/>
              </w:rPr>
              <w:t>4、机床装箱单：1份；</w:t>
            </w:r>
            <w:r>
              <w:rPr>
                <w:rFonts w:hint="eastAsia"/>
                <w:color w:val="auto"/>
                <w:highlight w:val="none"/>
                <w:lang w:val="en-US" w:eastAsia="zh-CN"/>
              </w:rPr>
              <w:br w:type="textWrapping"/>
            </w:r>
            <w:r>
              <w:rPr>
                <w:rFonts w:hint="eastAsia"/>
                <w:color w:val="auto"/>
                <w:highlight w:val="none"/>
                <w:lang w:val="en-US" w:eastAsia="zh-CN"/>
              </w:rPr>
              <w:t>5、数控系统说明书（包括操作手册及维修手册）（中文）：1套（电子版）；</w:t>
            </w:r>
            <w:r>
              <w:rPr>
                <w:rFonts w:hint="eastAsia"/>
                <w:color w:val="auto"/>
                <w:highlight w:val="none"/>
                <w:lang w:val="en-US" w:eastAsia="zh-CN"/>
              </w:rPr>
              <w:br w:type="textWrapping"/>
            </w:r>
            <w:r>
              <w:rPr>
                <w:rFonts w:hint="eastAsia"/>
                <w:b/>
                <w:bCs/>
                <w:color w:val="auto"/>
                <w:highlight w:val="none"/>
                <w:lang w:val="en-US" w:eastAsia="zh-CN"/>
              </w:rPr>
              <w:t>二、数控系统要求：</w:t>
            </w:r>
            <w:r>
              <w:rPr>
                <w:rFonts w:hint="eastAsia"/>
                <w:color w:val="auto"/>
                <w:highlight w:val="none"/>
                <w:lang w:val="en-US" w:eastAsia="zh-CN"/>
              </w:rPr>
              <w:br w:type="textWrapping"/>
            </w:r>
            <w:r>
              <w:rPr>
                <w:rFonts w:hint="default"/>
                <w:color w:val="auto"/>
                <w:highlight w:val="none"/>
                <w:lang w:val="en-US" w:eastAsia="zh-CN"/>
              </w:rPr>
              <w:t>(1)</w:t>
            </w:r>
            <w:r>
              <w:rPr>
                <w:rFonts w:hint="eastAsia"/>
                <w:color w:val="auto"/>
                <w:highlight w:val="none"/>
                <w:lang w:val="en-US" w:eastAsia="zh-CN"/>
              </w:rPr>
              <w:t>最小插补周期：≤0.5ms；</w:t>
            </w:r>
            <w:r>
              <w:rPr>
                <w:rFonts w:hint="eastAsia"/>
                <w:color w:val="auto"/>
                <w:highlight w:val="none"/>
                <w:lang w:val="en-US" w:eastAsia="zh-CN"/>
              </w:rPr>
              <w:br w:type="textWrapping"/>
            </w:r>
            <w:r>
              <w:rPr>
                <w:rFonts w:hint="default"/>
                <w:color w:val="auto"/>
                <w:highlight w:val="none"/>
                <w:lang w:val="en-US" w:eastAsia="zh-CN"/>
              </w:rPr>
              <w:t>(2)</w:t>
            </w:r>
            <w:r>
              <w:rPr>
                <w:rFonts w:hint="eastAsia"/>
                <w:color w:val="auto"/>
                <w:highlight w:val="none"/>
                <w:lang w:val="en-US" w:eastAsia="zh-CN"/>
              </w:rPr>
              <w:t>总线方式：NCUC总线式或性能、处理效率相当于或优于</w:t>
            </w:r>
            <w:r>
              <w:rPr>
                <w:rFonts w:hint="eastAsia"/>
                <w:color w:val="auto"/>
                <w:highlight w:val="none"/>
              </w:rPr>
              <w:t>NCUC</w:t>
            </w:r>
            <w:r>
              <w:rPr>
                <w:rFonts w:hint="eastAsia"/>
                <w:color w:val="auto"/>
                <w:highlight w:val="none"/>
                <w:lang w:val="en-US" w:eastAsia="zh-CN"/>
              </w:rPr>
              <w:t>的其它</w:t>
            </w:r>
            <w:r>
              <w:rPr>
                <w:rFonts w:hint="eastAsia"/>
                <w:color w:val="auto"/>
                <w:highlight w:val="none"/>
              </w:rPr>
              <w:t>总线式</w:t>
            </w:r>
            <w:r>
              <w:rPr>
                <w:rFonts w:hint="eastAsia"/>
                <w:color w:val="auto"/>
                <w:highlight w:val="none"/>
                <w:lang w:val="en-US" w:eastAsia="zh-CN"/>
              </w:rPr>
              <w:t>；</w:t>
            </w:r>
            <w:r>
              <w:rPr>
                <w:rFonts w:hint="eastAsia"/>
                <w:color w:val="auto"/>
                <w:highlight w:val="none"/>
                <w:lang w:val="en-US" w:eastAsia="zh-CN"/>
              </w:rPr>
              <w:br w:type="textWrapping"/>
            </w:r>
            <w:r>
              <w:rPr>
                <w:rFonts w:hint="default"/>
                <w:color w:val="auto"/>
                <w:highlight w:val="none"/>
                <w:lang w:val="en-US" w:eastAsia="zh-CN"/>
              </w:rPr>
              <w:t>(3)</w:t>
            </w:r>
            <w:r>
              <w:rPr>
                <w:rFonts w:hint="eastAsia"/>
                <w:color w:val="auto"/>
                <w:highlight w:val="none"/>
                <w:lang w:val="en-US" w:eastAsia="zh-CN"/>
              </w:rPr>
              <w:t>数控系统须具备网络初始化和连接、获取和设置寄存器、获取和设置变量、获取、设置参数、载入以及保存参数、获取系统、通道、轴以及坐标系数据、获取和设置刀具数据、获取报警数据、订阅消息事件、获取和设置采样数据、设置MDI、获取和设置PLC、其它接口数据、NC-LINK接口数据、文件接口数据、组态式HMI二次开发等二次开发功能，功能要求满足数控车铣技能考证要求；</w:t>
            </w:r>
            <w:r>
              <w:rPr>
                <w:rFonts w:hint="eastAsia"/>
                <w:color w:val="auto"/>
                <w:highlight w:val="none"/>
                <w:lang w:val="en-US" w:eastAsia="zh-CN"/>
              </w:rPr>
              <w:br w:type="textWrapping"/>
            </w:r>
            <w:r>
              <w:rPr>
                <w:rFonts w:hint="default"/>
                <w:color w:val="auto"/>
                <w:highlight w:val="none"/>
                <w:lang w:val="en-US" w:eastAsia="zh-CN"/>
              </w:rPr>
              <w:t>(4)</w:t>
            </w:r>
            <w:r>
              <w:rPr>
                <w:rFonts w:hint="eastAsia"/>
                <w:color w:val="auto"/>
                <w:highlight w:val="none"/>
                <w:lang w:val="en-US" w:eastAsia="zh-CN"/>
              </w:rPr>
              <w:t>数控系统需具备机床调试辅助工具功能；</w:t>
            </w:r>
            <w:r>
              <w:rPr>
                <w:rFonts w:hint="eastAsia"/>
                <w:color w:val="auto"/>
                <w:highlight w:val="none"/>
                <w:lang w:val="en-US" w:eastAsia="zh-CN"/>
              </w:rPr>
              <w:br w:type="textWrapping"/>
            </w:r>
            <w:r>
              <w:rPr>
                <w:rFonts w:hint="default"/>
                <w:color w:val="auto"/>
                <w:highlight w:val="none"/>
                <w:lang w:val="en-US" w:eastAsia="zh-CN"/>
              </w:rPr>
              <w:t>(5)</w:t>
            </w:r>
            <w:r>
              <w:rPr>
                <w:rFonts w:hint="eastAsia"/>
                <w:color w:val="auto"/>
                <w:highlight w:val="none"/>
                <w:lang w:val="en-US" w:eastAsia="zh-CN"/>
              </w:rPr>
              <w:t>数控系统需具备并行控制两类以上工业以太网总线从站设备的功能；</w:t>
            </w:r>
            <w:r>
              <w:rPr>
                <w:rFonts w:hint="eastAsia"/>
                <w:color w:val="auto"/>
                <w:highlight w:val="none"/>
                <w:lang w:val="en-US" w:eastAsia="zh-CN"/>
              </w:rPr>
              <w:br w:type="textWrapping"/>
            </w:r>
            <w:r>
              <w:rPr>
                <w:rFonts w:hint="default"/>
                <w:color w:val="auto"/>
                <w:highlight w:val="none"/>
                <w:lang w:val="en-US" w:eastAsia="zh-CN"/>
              </w:rPr>
              <w:t>(6)</w:t>
            </w:r>
            <w:r>
              <w:rPr>
                <w:rFonts w:hint="eastAsia"/>
                <w:color w:val="auto"/>
                <w:highlight w:val="none"/>
                <w:lang w:val="en-US" w:eastAsia="zh-CN"/>
              </w:rPr>
              <w:t>数控系统需具备数控机床热误差补偿功能；</w:t>
            </w:r>
            <w:r>
              <w:rPr>
                <w:rFonts w:hint="eastAsia"/>
                <w:color w:val="auto"/>
                <w:highlight w:val="none"/>
                <w:lang w:val="en-US" w:eastAsia="zh-CN"/>
              </w:rPr>
              <w:br w:type="textWrapping"/>
            </w:r>
            <w:r>
              <w:rPr>
                <w:rFonts w:hint="default"/>
                <w:color w:val="auto"/>
                <w:highlight w:val="none"/>
                <w:lang w:val="en-US" w:eastAsia="zh-CN"/>
              </w:rPr>
              <w:t>(7)</w:t>
            </w:r>
            <w:r>
              <w:rPr>
                <w:rFonts w:hint="eastAsia"/>
                <w:color w:val="auto"/>
                <w:highlight w:val="none"/>
                <w:lang w:val="en-US" w:eastAsia="zh-CN"/>
              </w:rPr>
              <w:t>数控系统支持网络通讯，开通数控系统联网功能，可实时采集数控系统核心参数；</w:t>
            </w:r>
            <w:r>
              <w:rPr>
                <w:rFonts w:hint="eastAsia"/>
                <w:color w:val="auto"/>
                <w:highlight w:val="none"/>
                <w:lang w:val="en-US" w:eastAsia="zh-CN"/>
              </w:rPr>
              <w:br w:type="textWrapping"/>
            </w:r>
            <w:r>
              <w:rPr>
                <w:rFonts w:hint="default"/>
                <w:color w:val="auto"/>
                <w:highlight w:val="none"/>
                <w:lang w:val="en-US" w:eastAsia="zh-CN"/>
              </w:rPr>
              <w:t>(8)</w:t>
            </w:r>
            <w:r>
              <w:rPr>
                <w:rFonts w:hint="eastAsia"/>
                <w:color w:val="auto"/>
                <w:highlight w:val="none"/>
                <w:lang w:val="en-US" w:eastAsia="zh-CN"/>
              </w:rPr>
              <w:t>支持用户宏设置功能；</w:t>
            </w:r>
            <w:r>
              <w:rPr>
                <w:rFonts w:hint="eastAsia"/>
                <w:color w:val="auto"/>
                <w:highlight w:val="none"/>
                <w:lang w:val="en-US" w:eastAsia="zh-CN"/>
              </w:rPr>
              <w:br w:type="textWrapping"/>
            </w:r>
            <w:r>
              <w:rPr>
                <w:rFonts w:hint="default"/>
                <w:color w:val="auto"/>
                <w:highlight w:val="none"/>
                <w:lang w:val="en-US" w:eastAsia="zh-CN"/>
              </w:rPr>
              <w:t>(9)</w:t>
            </w:r>
            <w:r>
              <w:rPr>
                <w:rFonts w:hint="eastAsia"/>
                <w:color w:val="auto"/>
                <w:highlight w:val="none"/>
                <w:lang w:val="en-US" w:eastAsia="zh-CN"/>
              </w:rPr>
              <w:t>支持图形设置功能：①毛坯设置：外侧长度设置、外侧直径设置、内侧直径设置以及零点位置设置；②图形还原；③刀具路径颜色配置：无刀补轨迹不少于96个刀具轨迹颜色配置以及有不少于20种颜色选择的颜色表；</w:t>
            </w:r>
            <w:r>
              <w:rPr>
                <w:rFonts w:hint="eastAsia"/>
                <w:color w:val="auto"/>
                <w:highlight w:val="none"/>
                <w:lang w:val="en-US" w:eastAsia="zh-CN"/>
              </w:rPr>
              <w:br w:type="textWrapping"/>
            </w:r>
            <w:r>
              <w:rPr>
                <w:rFonts w:hint="default"/>
                <w:color w:val="auto"/>
                <w:highlight w:val="none"/>
                <w:lang w:val="en-US" w:eastAsia="zh-CN"/>
              </w:rPr>
              <w:t>(10)</w:t>
            </w:r>
            <w:r>
              <w:rPr>
                <w:rFonts w:hint="eastAsia"/>
                <w:color w:val="auto"/>
                <w:highlight w:val="none"/>
                <w:lang w:val="en-US" w:eastAsia="zh-CN"/>
              </w:rPr>
              <w:t>支持加工配制功能：分进给和转进给设置以及主轴转速设置；</w:t>
            </w:r>
            <w:r>
              <w:rPr>
                <w:rFonts w:hint="eastAsia"/>
                <w:color w:val="auto"/>
                <w:highlight w:val="none"/>
                <w:lang w:val="en-US" w:eastAsia="zh-CN"/>
              </w:rPr>
              <w:br w:type="textWrapping"/>
            </w:r>
            <w:r>
              <w:rPr>
                <w:rFonts w:hint="default"/>
                <w:color w:val="auto"/>
                <w:highlight w:val="none"/>
                <w:lang w:val="en-US" w:eastAsia="zh-CN"/>
              </w:rPr>
              <w:t>(11)</w:t>
            </w:r>
            <w:r>
              <w:rPr>
                <w:rFonts w:hint="eastAsia"/>
                <w:color w:val="auto"/>
                <w:highlight w:val="none"/>
                <w:lang w:val="en-US" w:eastAsia="zh-CN"/>
              </w:rPr>
              <w:t>支持系统盘、U盘、用户盘程序管理、存储功能；</w:t>
            </w:r>
            <w:r>
              <w:rPr>
                <w:rFonts w:hint="eastAsia"/>
                <w:color w:val="auto"/>
                <w:highlight w:val="none"/>
                <w:lang w:val="en-US" w:eastAsia="zh-CN"/>
              </w:rPr>
              <w:br w:type="textWrapping"/>
            </w:r>
            <w:r>
              <w:rPr>
                <w:rFonts w:hint="default"/>
                <w:color w:val="auto"/>
                <w:highlight w:val="none"/>
                <w:lang w:val="en-US" w:eastAsia="zh-CN"/>
              </w:rPr>
              <w:t>(12)</w:t>
            </w:r>
            <w:r>
              <w:rPr>
                <w:rFonts w:hint="eastAsia"/>
                <w:color w:val="auto"/>
                <w:highlight w:val="none"/>
                <w:lang w:val="en-US" w:eastAsia="zh-CN"/>
              </w:rPr>
              <w:t>支持梯图监控功能：梯图在线监控功能；</w:t>
            </w:r>
            <w:r>
              <w:rPr>
                <w:rFonts w:hint="eastAsia"/>
                <w:color w:val="auto"/>
                <w:highlight w:val="none"/>
                <w:lang w:val="en-US" w:eastAsia="zh-CN"/>
              </w:rPr>
              <w:br w:type="textWrapping"/>
            </w:r>
            <w:r>
              <w:rPr>
                <w:rFonts w:hint="default"/>
                <w:color w:val="auto"/>
                <w:highlight w:val="none"/>
                <w:lang w:val="en-US" w:eastAsia="zh-CN"/>
              </w:rPr>
              <w:t>(13)</w:t>
            </w:r>
            <w:r>
              <w:rPr>
                <w:rFonts w:hint="eastAsia"/>
                <w:color w:val="auto"/>
                <w:highlight w:val="none"/>
                <w:lang w:val="en-US" w:eastAsia="zh-CN"/>
              </w:rPr>
              <w:t>支持梯图编辑功能：梯图在线编辑功能；</w:t>
            </w:r>
            <w:r>
              <w:rPr>
                <w:rFonts w:hint="eastAsia"/>
                <w:color w:val="auto"/>
                <w:highlight w:val="none"/>
                <w:lang w:val="en-US" w:eastAsia="zh-CN"/>
              </w:rPr>
              <w:br w:type="textWrapping"/>
            </w:r>
            <w:r>
              <w:rPr>
                <w:rFonts w:hint="default"/>
                <w:color w:val="auto"/>
                <w:highlight w:val="none"/>
                <w:lang w:val="en-US" w:eastAsia="zh-CN"/>
              </w:rPr>
              <w:t>(14)</w:t>
            </w:r>
            <w:r>
              <w:rPr>
                <w:rFonts w:hint="eastAsia"/>
                <w:color w:val="auto"/>
                <w:highlight w:val="none"/>
                <w:lang w:val="en-US" w:eastAsia="zh-CN"/>
              </w:rPr>
              <w:t>支持梯图信息功能：</w:t>
            </w:r>
            <w:r>
              <w:rPr>
                <w:rFonts w:hint="eastAsia"/>
                <w:color w:val="auto"/>
                <w:highlight w:val="none"/>
                <w:lang w:val="en-US" w:eastAsia="zh-CN"/>
              </w:rPr>
              <w:br w:type="textWrapping"/>
            </w:r>
            <w:r>
              <w:rPr>
                <w:rFonts w:hint="eastAsia"/>
                <w:color w:val="auto"/>
                <w:highlight w:val="none"/>
                <w:lang w:val="en-US" w:eastAsia="zh-CN"/>
              </w:rPr>
              <w:t>①梯图标题：梯图相关信息显示；</w:t>
            </w:r>
            <w:r>
              <w:rPr>
                <w:rFonts w:hint="eastAsia"/>
                <w:color w:val="auto"/>
                <w:highlight w:val="none"/>
                <w:lang w:val="en-US" w:eastAsia="zh-CN"/>
              </w:rPr>
              <w:br w:type="textWrapping"/>
            </w:r>
            <w:r>
              <w:rPr>
                <w:rFonts w:hint="eastAsia"/>
                <w:color w:val="auto"/>
                <w:highlight w:val="none"/>
                <w:lang w:val="en-US" w:eastAsia="zh-CN"/>
              </w:rPr>
              <w:t>②符号表设置：含有寄存器、符号名以及注释栏，能对符号表进行增加、删除、查找、更新修改以及放弃修改；</w:t>
            </w:r>
            <w:r>
              <w:rPr>
                <w:rFonts w:hint="eastAsia"/>
                <w:color w:val="auto"/>
                <w:highlight w:val="none"/>
                <w:lang w:val="en-US" w:eastAsia="zh-CN"/>
              </w:rPr>
              <w:br w:type="textWrapping"/>
            </w:r>
            <w:r>
              <w:rPr>
                <w:rFonts w:hint="eastAsia"/>
                <w:color w:val="auto"/>
                <w:highlight w:val="none"/>
                <w:lang w:val="en-US" w:eastAsia="zh-CN"/>
              </w:rPr>
              <w:t>③IO对照表设置：含有寄存器（I/Q）、IO点（X/Y）、电平、周期、符号名以及注释栏，能对IO对照表（包含用户IO和面板IO）进行增加、删除、查找、查找下一个、更新修改以及放弃修改；</w:t>
            </w:r>
            <w:r>
              <w:rPr>
                <w:rFonts w:hint="eastAsia"/>
                <w:color w:val="auto"/>
                <w:highlight w:val="none"/>
                <w:lang w:val="en-US" w:eastAsia="zh-CN"/>
              </w:rPr>
              <w:br w:type="textWrapping"/>
            </w:r>
            <w:r>
              <w:rPr>
                <w:rFonts w:hint="eastAsia"/>
                <w:color w:val="auto"/>
                <w:highlight w:val="none"/>
                <w:lang w:val="en-US" w:eastAsia="zh-CN"/>
              </w:rPr>
              <w:t>④K参数设置：具有设定有效开关，可对不少于16个K参数进行ON或OFF设置；</w:t>
            </w:r>
            <w:r>
              <w:rPr>
                <w:rFonts w:hint="eastAsia"/>
                <w:color w:val="auto"/>
                <w:highlight w:val="none"/>
                <w:lang w:val="en-US" w:eastAsia="zh-CN"/>
              </w:rPr>
              <w:br w:type="textWrapping"/>
            </w:r>
            <w:r>
              <w:rPr>
                <w:rFonts w:hint="eastAsia"/>
                <w:color w:val="auto"/>
                <w:highlight w:val="none"/>
                <w:lang w:val="en-US" w:eastAsia="zh-CN"/>
              </w:rPr>
              <w:t>⑤定时器设置：含有索引、地址、指令字、当前值、预设值、符号名以及注释栏，可对不少于512个定时器进行设置、查找、更新修改以及放弃修改；</w:t>
            </w:r>
            <w:r>
              <w:rPr>
                <w:rFonts w:hint="eastAsia"/>
                <w:color w:val="auto"/>
                <w:highlight w:val="none"/>
                <w:lang w:val="en-US" w:eastAsia="zh-CN"/>
              </w:rPr>
              <w:br w:type="textWrapping"/>
            </w:r>
            <w:r>
              <w:rPr>
                <w:rFonts w:hint="eastAsia"/>
                <w:color w:val="auto"/>
                <w:highlight w:val="none"/>
                <w:lang w:val="en-US" w:eastAsia="zh-CN"/>
              </w:rPr>
              <w:t>⑥计数器设置：含有索引、地址、指令字、当前值、预设值、符号名以及注释栏，可对不少于512个计数器进行设置、查找、更新修改以及放弃修改；</w:t>
            </w:r>
            <w:r>
              <w:rPr>
                <w:rFonts w:hint="eastAsia"/>
                <w:color w:val="auto"/>
                <w:highlight w:val="none"/>
                <w:lang w:val="en-US" w:eastAsia="zh-CN"/>
              </w:rPr>
              <w:br w:type="textWrapping"/>
            </w:r>
            <w:r>
              <w:rPr>
                <w:rFonts w:hint="eastAsia"/>
                <w:color w:val="auto"/>
                <w:highlight w:val="none"/>
                <w:lang w:val="en-US" w:eastAsia="zh-CN"/>
              </w:rPr>
              <w:t>⑦支持报警设置：可对不少于256个报警地址进行报警内容定义、查找、更新修改以及放弃修改；可对不少于384个提示地址进行提示内容定义、查找、更新修改以及放弃修改；</w:t>
            </w:r>
            <w:r>
              <w:rPr>
                <w:rFonts w:hint="eastAsia"/>
                <w:color w:val="auto"/>
                <w:highlight w:val="none"/>
                <w:lang w:val="en-US" w:eastAsia="zh-CN"/>
              </w:rPr>
              <w:br w:type="textWrapping"/>
            </w:r>
            <w:r>
              <w:rPr>
                <w:rFonts w:hint="eastAsia"/>
                <w:color w:val="auto"/>
                <w:highlight w:val="none"/>
                <w:lang w:val="en-US" w:eastAsia="zh-CN"/>
              </w:rPr>
              <w:t>⑧可对PLC进行运行停止设置；</w:t>
            </w:r>
            <w:r>
              <w:rPr>
                <w:rFonts w:hint="eastAsia"/>
                <w:color w:val="auto"/>
                <w:highlight w:val="none"/>
                <w:lang w:val="en-US" w:eastAsia="zh-CN"/>
              </w:rPr>
              <w:br w:type="textWrapping"/>
            </w:r>
            <w:r>
              <w:rPr>
                <w:rFonts w:hint="eastAsia"/>
                <w:color w:val="auto"/>
                <w:highlight w:val="none"/>
                <w:lang w:val="en-US" w:eastAsia="zh-CN"/>
              </w:rPr>
              <w:t>(15)支持信号跟踪功能：可对PLC寄存器进行周期性采样以便分析信号状态；</w:t>
            </w:r>
            <w:r>
              <w:rPr>
                <w:rFonts w:hint="eastAsia"/>
                <w:color w:val="auto"/>
                <w:highlight w:val="none"/>
                <w:lang w:val="en-US" w:eastAsia="zh-CN"/>
              </w:rPr>
              <w:br w:type="textWrapping"/>
            </w:r>
            <w:r>
              <w:rPr>
                <w:rFonts w:hint="eastAsia"/>
                <w:color w:val="auto"/>
                <w:highlight w:val="none"/>
                <w:lang w:val="en-US" w:eastAsia="zh-CN"/>
              </w:rPr>
              <w:t>(16)支持伺服调整功能：</w:t>
            </w:r>
          </w:p>
          <w:p w14:paraId="45A88F7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218" w:leftChars="104" w:firstLine="0" w:firstLineChars="0"/>
              <w:jc w:val="left"/>
              <w:textAlignment w:val="auto"/>
              <w:rPr>
                <w:rFonts w:hint="eastAsia"/>
                <w:color w:val="auto"/>
                <w:highlight w:val="none"/>
                <w:lang w:val="en-US" w:eastAsia="zh-CN"/>
              </w:rPr>
            </w:pPr>
            <w:r>
              <w:rPr>
                <w:rFonts w:hint="eastAsia"/>
                <w:color w:val="auto"/>
                <w:highlight w:val="none"/>
                <w:lang w:val="en-US" w:eastAsia="zh-CN"/>
              </w:rPr>
              <w:t>①速度环：数据采集波形图、轴参数设置以及伺服调整结果信息显示；</w:t>
            </w:r>
          </w:p>
          <w:p w14:paraId="32E5909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218" w:leftChars="104" w:firstLine="0" w:firstLineChars="0"/>
              <w:jc w:val="left"/>
              <w:textAlignment w:val="auto"/>
              <w:rPr>
                <w:rFonts w:hint="eastAsia"/>
                <w:color w:val="auto"/>
                <w:highlight w:val="none"/>
                <w:lang w:val="en-US" w:eastAsia="zh-CN"/>
              </w:rPr>
            </w:pPr>
            <w:r>
              <w:rPr>
                <w:rFonts w:hint="eastAsia"/>
                <w:color w:val="auto"/>
                <w:highlight w:val="none"/>
                <w:lang w:val="en-US" w:eastAsia="zh-CN"/>
              </w:rPr>
              <w:t>②位置环：数据采集波形图、轴参数设置以及伺服调整结果信息显示；</w:t>
            </w:r>
          </w:p>
          <w:p w14:paraId="348B295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218" w:leftChars="104" w:firstLine="0" w:firstLineChars="0"/>
              <w:jc w:val="left"/>
              <w:textAlignment w:val="auto"/>
              <w:rPr>
                <w:rFonts w:hint="eastAsia"/>
                <w:color w:val="auto"/>
                <w:highlight w:val="none"/>
                <w:lang w:val="en-US" w:eastAsia="zh-CN"/>
              </w:rPr>
            </w:pPr>
            <w:r>
              <w:rPr>
                <w:rFonts w:hint="eastAsia"/>
                <w:color w:val="auto"/>
                <w:highlight w:val="none"/>
                <w:lang w:val="en-US" w:eastAsia="zh-CN"/>
              </w:rPr>
              <w:t>③圆度测试：数据采集波形图、轴参数设置以及伺服调整结果信息显示；</w:t>
            </w:r>
          </w:p>
          <w:p w14:paraId="552B37F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218" w:leftChars="104" w:firstLine="0" w:firstLineChars="0"/>
              <w:jc w:val="left"/>
              <w:textAlignment w:val="auto"/>
              <w:rPr>
                <w:rFonts w:hint="eastAsia"/>
                <w:color w:val="auto"/>
                <w:highlight w:val="none"/>
                <w:lang w:val="en-US" w:eastAsia="zh-CN"/>
              </w:rPr>
            </w:pPr>
            <w:r>
              <w:rPr>
                <w:rFonts w:hint="eastAsia"/>
                <w:color w:val="auto"/>
                <w:highlight w:val="none"/>
                <w:lang w:val="en-US" w:eastAsia="zh-CN"/>
              </w:rPr>
              <w:t>④刚性攻丝：数据采集波形图、轴参数设置以及伺服调整结果信息显示；</w:t>
            </w:r>
          </w:p>
          <w:p w14:paraId="7155379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218" w:leftChars="104" w:firstLine="0" w:firstLineChars="0"/>
              <w:jc w:val="left"/>
              <w:textAlignment w:val="auto"/>
              <w:rPr>
                <w:rFonts w:hint="eastAsia"/>
                <w:color w:val="auto"/>
                <w:highlight w:val="none"/>
                <w:lang w:val="en-US" w:eastAsia="zh-CN"/>
              </w:rPr>
            </w:pPr>
            <w:r>
              <w:rPr>
                <w:rFonts w:hint="eastAsia"/>
                <w:color w:val="auto"/>
                <w:highlight w:val="none"/>
                <w:lang w:val="en-US" w:eastAsia="zh-CN"/>
              </w:rPr>
              <w:t>⑤陷波器：数据采集波形图、轴参数设置；</w:t>
            </w:r>
          </w:p>
          <w:p w14:paraId="3F5139A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218" w:leftChars="104" w:firstLine="0" w:firstLineChars="0"/>
              <w:jc w:val="left"/>
              <w:textAlignment w:val="auto"/>
              <w:rPr>
                <w:rFonts w:hint="eastAsia"/>
                <w:color w:val="auto"/>
                <w:highlight w:val="none"/>
                <w:lang w:val="en-US" w:eastAsia="zh-CN"/>
              </w:rPr>
            </w:pPr>
            <w:r>
              <w:rPr>
                <w:rFonts w:hint="eastAsia"/>
                <w:color w:val="auto"/>
                <w:highlight w:val="none"/>
                <w:lang w:val="en-US" w:eastAsia="zh-CN"/>
              </w:rPr>
              <w:t>⑥主轴升降速：主轴数据采集波形图、主轴参数设置以及伺服调整结果信息显示；</w:t>
            </w:r>
          </w:p>
          <w:p w14:paraId="7D4D5D0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218" w:leftChars="104" w:firstLine="0" w:firstLineChars="0"/>
              <w:jc w:val="left"/>
              <w:textAlignment w:val="auto"/>
              <w:rPr>
                <w:rFonts w:hint="eastAsia"/>
                <w:color w:val="auto"/>
                <w:highlight w:val="none"/>
                <w:lang w:val="en-US" w:eastAsia="zh-CN"/>
              </w:rPr>
            </w:pPr>
            <w:r>
              <w:rPr>
                <w:rFonts w:hint="eastAsia"/>
                <w:color w:val="auto"/>
                <w:highlight w:val="none"/>
                <w:lang w:val="en-US" w:eastAsia="zh-CN"/>
              </w:rPr>
              <w:t>⑦诊断记录；</w:t>
            </w:r>
          </w:p>
          <w:p w14:paraId="03632B3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218" w:leftChars="104" w:firstLine="0" w:firstLineChars="0"/>
              <w:jc w:val="left"/>
              <w:textAlignment w:val="auto"/>
              <w:rPr>
                <w:rFonts w:hint="eastAsia"/>
                <w:color w:val="auto"/>
                <w:highlight w:val="none"/>
                <w:lang w:val="en-US" w:eastAsia="zh-CN"/>
              </w:rPr>
            </w:pPr>
            <w:r>
              <w:rPr>
                <w:rFonts w:hint="eastAsia"/>
                <w:color w:val="auto"/>
                <w:highlight w:val="none"/>
                <w:lang w:val="en-US" w:eastAsia="zh-CN"/>
              </w:rPr>
              <w:t>⑧调机报表；</w:t>
            </w:r>
            <w:r>
              <w:rPr>
                <w:rFonts w:hint="eastAsia"/>
                <w:color w:val="auto"/>
                <w:highlight w:val="none"/>
                <w:lang w:val="en-US" w:eastAsia="zh-CN"/>
              </w:rPr>
              <w:br w:type="textWrapping"/>
            </w:r>
            <w:r>
              <w:rPr>
                <w:rFonts w:hint="eastAsia"/>
                <w:color w:val="auto"/>
                <w:highlight w:val="none"/>
                <w:lang w:val="en-US" w:eastAsia="zh-CN"/>
              </w:rPr>
              <w:t>(17)支持P参数设置功能：对用户参数进行设置、查找、更新修改以及放弃修改；</w:t>
            </w:r>
            <w:r>
              <w:rPr>
                <w:rFonts w:hint="eastAsia"/>
                <w:color w:val="auto"/>
                <w:highlight w:val="none"/>
                <w:lang w:val="en-US" w:eastAsia="zh-CN"/>
              </w:rPr>
              <w:br w:type="textWrapping"/>
            </w:r>
            <w:r>
              <w:rPr>
                <w:rFonts w:hint="eastAsia"/>
                <w:color w:val="auto"/>
                <w:highlight w:val="none"/>
                <w:lang w:val="en-US" w:eastAsia="zh-CN"/>
              </w:rPr>
              <w:t>(18)支持M代码设置功能：对不少于999个M代码进行设置以及查找；</w:t>
            </w:r>
            <w:r>
              <w:rPr>
                <w:rFonts w:hint="eastAsia"/>
                <w:color w:val="auto"/>
                <w:highlight w:val="none"/>
                <w:lang w:val="en-US" w:eastAsia="zh-CN"/>
              </w:rPr>
              <w:br w:type="textWrapping"/>
            </w:r>
            <w:r>
              <w:rPr>
                <w:rFonts w:hint="eastAsia"/>
                <w:color w:val="auto"/>
                <w:highlight w:val="none"/>
                <w:lang w:val="en-US" w:eastAsia="zh-CN"/>
              </w:rPr>
              <w:t>(19)支持PLC开关设置功能：含有设定有效开关，对PLC地址位进行ON和OFF设置；</w:t>
            </w:r>
            <w:r>
              <w:rPr>
                <w:rFonts w:hint="eastAsia"/>
                <w:color w:val="auto"/>
                <w:highlight w:val="none"/>
                <w:lang w:val="en-US" w:eastAsia="zh-CN"/>
              </w:rPr>
              <w:br w:type="textWrapping"/>
            </w:r>
            <w:r>
              <w:rPr>
                <w:rFonts w:hint="eastAsia"/>
                <w:color w:val="auto"/>
                <w:highlight w:val="none"/>
                <w:lang w:val="en-US" w:eastAsia="zh-CN"/>
              </w:rPr>
              <w:t>(20)支持通讯设定功能：可对本地、共享盘、FTP、云盘进行网络通讯参数设置，具有网络连接、网络断开以及网络PING功能；</w:t>
            </w:r>
            <w:r>
              <w:rPr>
                <w:rFonts w:hint="eastAsia"/>
                <w:color w:val="auto"/>
                <w:highlight w:val="none"/>
                <w:lang w:val="en-US" w:eastAsia="zh-CN"/>
              </w:rPr>
              <w:br w:type="textWrapping"/>
            </w:r>
            <w:r>
              <w:rPr>
                <w:rFonts w:hint="eastAsia"/>
                <w:color w:val="auto"/>
                <w:highlight w:val="none"/>
                <w:lang w:val="en-US" w:eastAsia="zh-CN"/>
              </w:rPr>
              <w:t>(21)支持个性化设定功能：</w:t>
            </w:r>
          </w:p>
          <w:p w14:paraId="52D76BD4">
            <w:pPr>
              <w:keepNext w:val="0"/>
              <w:keepLines w:val="0"/>
              <w:pageBreakBefore w:val="0"/>
              <w:widowControl/>
              <w:kinsoku/>
              <w:wordWrap w:val="0"/>
              <w:overflowPunct/>
              <w:topLinePunct w:val="0"/>
              <w:autoSpaceDE/>
              <w:autoSpaceDN/>
              <w:bidi w:val="0"/>
              <w:adjustRightInd/>
              <w:snapToGrid/>
              <w:spacing w:line="360" w:lineRule="auto"/>
              <w:ind w:left="216" w:leftChars="103" w:firstLine="0" w:firstLineChars="0"/>
              <w:jc w:val="left"/>
              <w:textAlignment w:val="auto"/>
              <w:rPr>
                <w:rFonts w:hint="eastAsia"/>
                <w:color w:val="auto"/>
                <w:highlight w:val="none"/>
                <w:lang w:val="en-US" w:eastAsia="zh-CN"/>
              </w:rPr>
            </w:pPr>
            <w:r>
              <w:rPr>
                <w:rFonts w:hint="eastAsia"/>
                <w:color w:val="auto"/>
                <w:highlight w:val="none"/>
                <w:lang w:val="en-US" w:eastAsia="zh-CN"/>
              </w:rPr>
              <w:t>①语言设定：不少于中文、english、russia；</w:t>
            </w:r>
          </w:p>
          <w:p w14:paraId="76947528">
            <w:pPr>
              <w:keepNext w:val="0"/>
              <w:keepLines w:val="0"/>
              <w:pageBreakBefore w:val="0"/>
              <w:widowControl/>
              <w:kinsoku/>
              <w:wordWrap w:val="0"/>
              <w:overflowPunct/>
              <w:topLinePunct w:val="0"/>
              <w:autoSpaceDE/>
              <w:autoSpaceDN/>
              <w:bidi w:val="0"/>
              <w:adjustRightInd/>
              <w:snapToGrid/>
              <w:spacing w:line="360" w:lineRule="auto"/>
              <w:ind w:left="218" w:leftChars="104" w:firstLine="0" w:firstLineChars="0"/>
              <w:jc w:val="left"/>
              <w:textAlignment w:val="auto"/>
              <w:rPr>
                <w:rFonts w:hint="eastAsia"/>
                <w:color w:val="auto"/>
                <w:highlight w:val="none"/>
                <w:lang w:val="en-US" w:eastAsia="zh-CN"/>
              </w:rPr>
            </w:pPr>
            <w:r>
              <w:rPr>
                <w:rFonts w:hint="eastAsia"/>
                <w:color w:val="auto"/>
                <w:highlight w:val="none"/>
                <w:lang w:val="en-US" w:eastAsia="zh-CN"/>
              </w:rPr>
              <w:t>②分辨率设置：不少于800×600、1024×768；</w:t>
            </w:r>
          </w:p>
          <w:p w14:paraId="3A756115">
            <w:pPr>
              <w:keepNext w:val="0"/>
              <w:keepLines w:val="0"/>
              <w:pageBreakBefore w:val="0"/>
              <w:widowControl/>
              <w:kinsoku/>
              <w:wordWrap w:val="0"/>
              <w:overflowPunct/>
              <w:topLinePunct w:val="0"/>
              <w:autoSpaceDE/>
              <w:autoSpaceDN/>
              <w:bidi w:val="0"/>
              <w:adjustRightInd/>
              <w:snapToGrid/>
              <w:spacing w:line="360" w:lineRule="auto"/>
              <w:ind w:left="215" w:leftChars="95" w:hanging="16" w:hangingChars="8"/>
              <w:jc w:val="left"/>
              <w:textAlignment w:val="auto"/>
              <w:rPr>
                <w:rFonts w:hint="eastAsia"/>
                <w:color w:val="auto"/>
                <w:highlight w:val="none"/>
                <w:lang w:val="en-US" w:eastAsia="zh-CN"/>
              </w:rPr>
            </w:pPr>
            <w:r>
              <w:rPr>
                <w:rFonts w:hint="eastAsia"/>
                <w:color w:val="auto"/>
                <w:highlight w:val="none"/>
                <w:lang w:val="en-US" w:eastAsia="zh-CN"/>
              </w:rPr>
              <w:t>③皮肤设置：不少于蓝色皮肤、灰色皮肤、黑色皮肤；</w:t>
            </w:r>
          </w:p>
          <w:p w14:paraId="14D973AB">
            <w:pPr>
              <w:keepNext w:val="0"/>
              <w:keepLines w:val="0"/>
              <w:pageBreakBefore w:val="0"/>
              <w:widowControl/>
              <w:kinsoku/>
              <w:wordWrap w:val="0"/>
              <w:overflowPunct/>
              <w:topLinePunct w:val="0"/>
              <w:autoSpaceDE/>
              <w:autoSpaceDN/>
              <w:bidi w:val="0"/>
              <w:adjustRightInd/>
              <w:snapToGrid/>
              <w:spacing w:line="360" w:lineRule="auto"/>
              <w:ind w:left="215" w:leftChars="95" w:hanging="16" w:hangingChars="8"/>
              <w:jc w:val="left"/>
              <w:textAlignment w:val="auto"/>
              <w:rPr>
                <w:rFonts w:hint="eastAsia"/>
                <w:color w:val="auto"/>
                <w:highlight w:val="none"/>
                <w:lang w:val="en-US" w:eastAsia="zh-CN"/>
              </w:rPr>
            </w:pPr>
            <w:r>
              <w:rPr>
                <w:rFonts w:hint="eastAsia"/>
                <w:color w:val="auto"/>
                <w:highlight w:val="none"/>
                <w:lang w:val="en-US" w:eastAsia="zh-CN"/>
              </w:rPr>
              <w:t>④载入LOGO设置：可载入自定义开机LOGO；</w:t>
            </w:r>
            <w:r>
              <w:rPr>
                <w:rFonts w:hint="eastAsia"/>
                <w:color w:val="auto"/>
                <w:highlight w:val="none"/>
                <w:lang w:val="en-US" w:eastAsia="zh-CN"/>
              </w:rPr>
              <w:br w:type="textWrapping"/>
            </w:r>
            <w:r>
              <w:rPr>
                <w:rFonts w:hint="eastAsia"/>
                <w:color w:val="auto"/>
                <w:highlight w:val="none"/>
                <w:lang w:val="en-US" w:eastAsia="zh-CN"/>
              </w:rPr>
              <w:t>(22)支持闭环切换功能；</w:t>
            </w:r>
            <w:r>
              <w:rPr>
                <w:rFonts w:hint="eastAsia"/>
                <w:color w:val="auto"/>
                <w:highlight w:val="none"/>
                <w:lang w:val="en-US" w:eastAsia="zh-CN"/>
              </w:rPr>
              <w:br w:type="textWrapping"/>
            </w:r>
            <w:r>
              <w:rPr>
                <w:rFonts w:hint="eastAsia"/>
                <w:color w:val="auto"/>
                <w:highlight w:val="none"/>
                <w:lang w:val="en-US" w:eastAsia="zh-CN"/>
              </w:rPr>
              <w:t>(23)支持批量调试功能：具有对PLC文件、固定循环、参数文件、用户自定义报警、G代码、P参数注释、PLC开关注释、机床信息文件以及参数配置备份和载入批量调试功能；</w:t>
            </w:r>
            <w:r>
              <w:rPr>
                <w:rFonts w:hint="eastAsia"/>
                <w:color w:val="auto"/>
                <w:highlight w:val="none"/>
                <w:lang w:val="en-US" w:eastAsia="zh-CN"/>
              </w:rPr>
              <w:br w:type="textWrapping"/>
            </w:r>
            <w:r>
              <w:rPr>
                <w:rFonts w:hint="eastAsia"/>
                <w:color w:val="auto"/>
                <w:highlight w:val="none"/>
                <w:lang w:val="en-US" w:eastAsia="zh-CN"/>
              </w:rPr>
              <w:t>(24)支持工艺包功能：具有从系统盘、U盘、用户盘以及网盘对工艺包进行载入、备份以及重命名功能；</w:t>
            </w:r>
            <w:r>
              <w:rPr>
                <w:rFonts w:hint="eastAsia"/>
                <w:color w:val="auto"/>
                <w:highlight w:val="none"/>
                <w:lang w:val="en-US" w:eastAsia="zh-CN"/>
              </w:rPr>
              <w:br w:type="textWrapping"/>
            </w:r>
            <w:r>
              <w:rPr>
                <w:rFonts w:hint="eastAsia"/>
                <w:color w:val="auto"/>
                <w:highlight w:val="none"/>
                <w:lang w:val="en-US" w:eastAsia="zh-CN"/>
              </w:rPr>
              <w:t>(25)支持示教编程功能：具有插入、快速定位、插补直线、三点圆模式、半径圆模式、进给速度、删除行以及窗口切换功能；</w:t>
            </w:r>
            <w:r>
              <w:rPr>
                <w:rFonts w:hint="eastAsia"/>
                <w:color w:val="auto"/>
                <w:highlight w:val="none"/>
                <w:lang w:val="en-US" w:eastAsia="zh-CN"/>
              </w:rPr>
              <w:br w:type="textWrapping"/>
            </w:r>
            <w:r>
              <w:rPr>
                <w:rFonts w:hint="eastAsia"/>
                <w:color w:val="auto"/>
                <w:highlight w:val="none"/>
                <w:lang w:val="en-US" w:eastAsia="zh-CN"/>
              </w:rPr>
              <w:t>(26)支持刀具测量功能：具有测量开始、测量参数设置、车刀校准、车刀测量、偏差设定以及测量停止功能；</w:t>
            </w:r>
            <w:r>
              <w:rPr>
                <w:rFonts w:hint="eastAsia"/>
                <w:color w:val="auto"/>
                <w:highlight w:val="none"/>
                <w:lang w:val="en-US" w:eastAsia="zh-CN"/>
              </w:rPr>
              <w:br w:type="textWrapping"/>
            </w:r>
            <w:r>
              <w:rPr>
                <w:rFonts w:hint="eastAsia"/>
                <w:color w:val="auto"/>
                <w:highlight w:val="none"/>
                <w:lang w:val="en-US" w:eastAsia="zh-CN"/>
              </w:rPr>
              <w:t>(27)支持螺纹修复功能：具有输入、增量输入、所有轴设置、再切削有效、再切削无效以及清除所有轴功能。</w:t>
            </w:r>
          </w:p>
          <w:p w14:paraId="0040630B">
            <w:pPr>
              <w:keepNext w:val="0"/>
              <w:keepLines w:val="0"/>
              <w:pageBreakBefore w:val="0"/>
              <w:widowControl/>
              <w:kinsoku/>
              <w:wordWrap w:val="0"/>
              <w:overflowPunct/>
              <w:topLinePunct w:val="0"/>
              <w:autoSpaceDE/>
              <w:autoSpaceDN/>
              <w:bidi w:val="0"/>
              <w:adjustRightInd/>
              <w:snapToGrid/>
              <w:spacing w:line="360" w:lineRule="auto"/>
              <w:ind w:left="215" w:leftChars="95" w:hanging="16" w:hangingChars="8"/>
              <w:jc w:val="left"/>
              <w:textAlignment w:val="auto"/>
              <w:rPr>
                <w:rFonts w:hint="eastAsia"/>
                <w:b/>
                <w:bCs/>
                <w:color w:val="auto"/>
                <w:highlight w:val="none"/>
                <w:lang w:val="en-US" w:eastAsia="zh-CN"/>
              </w:rPr>
            </w:pPr>
            <w:r>
              <w:rPr>
                <w:rFonts w:hint="eastAsia"/>
                <w:color w:val="auto"/>
                <w:highlight w:val="none"/>
                <w:lang w:val="en-US" w:eastAsia="zh-CN"/>
              </w:rPr>
              <w:t>(28)支持自检功能：具备通过运行自检程序进行机床健康状态诊断功能并通过雷达图将机床系统当前健康状态显示出来；</w:t>
            </w:r>
            <w:r>
              <w:rPr>
                <w:rFonts w:hint="eastAsia"/>
                <w:color w:val="auto"/>
                <w:highlight w:val="none"/>
                <w:lang w:val="en-US" w:eastAsia="zh-CN"/>
              </w:rPr>
              <w:br w:type="textWrapping"/>
            </w:r>
            <w:r>
              <w:rPr>
                <w:rFonts w:hint="eastAsia"/>
                <w:color w:val="auto"/>
                <w:highlight w:val="none"/>
                <w:lang w:val="en-US" w:eastAsia="zh-CN"/>
              </w:rPr>
              <w:t>(29)支持故障录像功能：具备通过记录故障前10S的采样数据，通过对录像数据的回放和分析，诊断出故障产生的原因；</w:t>
            </w:r>
            <w:r>
              <w:rPr>
                <w:rFonts w:hint="eastAsia"/>
                <w:color w:val="auto"/>
                <w:highlight w:val="none"/>
                <w:lang w:val="en-US" w:eastAsia="zh-CN"/>
              </w:rPr>
              <w:br w:type="textWrapping"/>
            </w:r>
            <w:r>
              <w:rPr>
                <w:rFonts w:hint="eastAsia"/>
                <w:color w:val="auto"/>
                <w:highlight w:val="none"/>
                <w:lang w:val="en-US" w:eastAsia="zh-CN"/>
              </w:rPr>
              <w:t>(30)支持伺服自整定功能：具备通过运行整定过程配置参数达到机电调试最优提升零件加工质量和加工效率；</w:t>
            </w:r>
            <w:r>
              <w:rPr>
                <w:rFonts w:hint="eastAsia"/>
                <w:color w:val="auto"/>
                <w:highlight w:val="none"/>
                <w:lang w:val="en-US" w:eastAsia="zh-CN"/>
              </w:rPr>
              <w:br w:type="textWrapping"/>
            </w:r>
            <w:r>
              <w:rPr>
                <w:rFonts w:hint="eastAsia"/>
                <w:color w:val="auto"/>
                <w:highlight w:val="none"/>
                <w:lang w:val="en-US" w:eastAsia="zh-CN"/>
              </w:rPr>
              <w:t>(31)支持丝杠负荷检查功能：具备检测机床丝杠各区间点丝杠负荷值功能以便快速检测出装配质量以及丝杠当前状态；</w:t>
            </w:r>
            <w:r>
              <w:rPr>
                <w:rFonts w:hint="eastAsia"/>
                <w:color w:val="auto"/>
                <w:highlight w:val="none"/>
                <w:lang w:val="en-US" w:eastAsia="zh-CN"/>
              </w:rPr>
              <w:br w:type="textWrapping"/>
            </w:r>
            <w:r>
              <w:rPr>
                <w:rFonts w:hint="eastAsia"/>
                <w:color w:val="auto"/>
                <w:highlight w:val="none"/>
                <w:lang w:val="en-US" w:eastAsia="zh-CN"/>
              </w:rPr>
              <w:t>(32)支持机床状态二维码功能：包含机床状态二维码、工件统计二维码、报警历史二维码、故障诊断二维码、调机报表二维码、手机APP二维码以及健康保障二维码，通过手机扫描实时、快捷了解机床状态。</w:t>
            </w:r>
            <w:r>
              <w:rPr>
                <w:rFonts w:hint="eastAsia"/>
                <w:color w:val="auto"/>
                <w:highlight w:val="none"/>
                <w:lang w:val="en-US" w:eastAsia="zh-CN"/>
              </w:rPr>
              <w:br w:type="textWrapping"/>
            </w:r>
            <w:r>
              <w:rPr>
                <w:rFonts w:hint="eastAsia"/>
                <w:b/>
                <w:bCs/>
                <w:color w:val="auto"/>
                <w:highlight w:val="none"/>
                <w:lang w:val="en-US" w:eastAsia="zh-CN"/>
              </w:rPr>
              <w:t>三、数控系统IPC控制器运行环境配置要求：</w:t>
            </w:r>
            <w:r>
              <w:rPr>
                <w:rFonts w:hint="eastAsia"/>
                <w:color w:val="auto"/>
                <w:highlight w:val="none"/>
                <w:lang w:val="en-US" w:eastAsia="zh-CN"/>
              </w:rPr>
              <w:br w:type="textWrapping"/>
            </w:r>
            <w:r>
              <w:rPr>
                <w:rFonts w:hint="eastAsia"/>
                <w:color w:val="auto"/>
                <w:highlight w:val="none"/>
                <w:lang w:val="en-US" w:eastAsia="zh-CN"/>
              </w:rPr>
              <w:t>1.处理器：CPU主频不低于1.46G；</w:t>
            </w:r>
            <w:r>
              <w:rPr>
                <w:rFonts w:hint="eastAsia"/>
                <w:color w:val="auto"/>
                <w:highlight w:val="none"/>
                <w:lang w:val="en-US" w:eastAsia="zh-CN"/>
              </w:rPr>
              <w:br w:type="textWrapping"/>
            </w:r>
            <w:r>
              <w:rPr>
                <w:rFonts w:hint="eastAsia"/>
                <w:color w:val="auto"/>
                <w:highlight w:val="none"/>
                <w:lang w:val="en-US" w:eastAsia="zh-CN"/>
              </w:rPr>
              <w:t>2.电源：+24V电源输入，支持带掉电检测功能；</w:t>
            </w:r>
            <w:r>
              <w:rPr>
                <w:rFonts w:hint="eastAsia"/>
                <w:color w:val="auto"/>
                <w:highlight w:val="none"/>
                <w:lang w:val="en-US" w:eastAsia="zh-CN"/>
              </w:rPr>
              <w:br w:type="textWrapping"/>
            </w:r>
            <w:r>
              <w:rPr>
                <w:rFonts w:hint="eastAsia"/>
                <w:color w:val="auto"/>
                <w:highlight w:val="none"/>
                <w:lang w:val="en-US" w:eastAsia="zh-CN"/>
              </w:rPr>
              <w:t>3.总线协议接口：EtherCAT+NCUC或EtherCAT+M3；</w:t>
            </w:r>
            <w:r>
              <w:rPr>
                <w:rFonts w:hint="eastAsia"/>
                <w:color w:val="auto"/>
                <w:highlight w:val="none"/>
                <w:lang w:val="en-US" w:eastAsia="zh-CN"/>
              </w:rPr>
              <w:br w:type="textWrapping"/>
            </w:r>
            <w:r>
              <w:rPr>
                <w:rFonts w:hint="eastAsia"/>
                <w:color w:val="auto"/>
                <w:highlight w:val="none"/>
                <w:lang w:val="en-US" w:eastAsia="zh-CN"/>
              </w:rPr>
              <w:t>4.磁盘容量：不低于8G 固态盘，预留mSATA接口；</w:t>
            </w:r>
            <w:r>
              <w:rPr>
                <w:rFonts w:hint="eastAsia"/>
                <w:color w:val="auto"/>
                <w:highlight w:val="none"/>
                <w:lang w:val="en-US" w:eastAsia="zh-CN"/>
              </w:rPr>
              <w:br w:type="textWrapping"/>
            </w:r>
            <w:r>
              <w:rPr>
                <w:rFonts w:hint="eastAsia"/>
                <w:color w:val="auto"/>
                <w:highlight w:val="none"/>
                <w:lang w:val="en-US" w:eastAsia="zh-CN"/>
              </w:rPr>
              <w:t>5.内存空间：不低于1G；</w:t>
            </w:r>
            <w:r>
              <w:rPr>
                <w:rFonts w:hint="eastAsia"/>
                <w:color w:val="auto"/>
                <w:highlight w:val="none"/>
                <w:lang w:val="en-US" w:eastAsia="zh-CN"/>
              </w:rPr>
              <w:br w:type="textWrapping"/>
            </w:r>
            <w:r>
              <w:rPr>
                <w:rFonts w:hint="eastAsia"/>
                <w:color w:val="auto"/>
                <w:highlight w:val="none"/>
                <w:lang w:val="en-US" w:eastAsia="zh-CN"/>
              </w:rPr>
              <w:t>6.网口：不少于1个1000Mbps千兆网口；</w:t>
            </w:r>
            <w:r>
              <w:rPr>
                <w:rFonts w:hint="eastAsia"/>
                <w:color w:val="auto"/>
                <w:highlight w:val="none"/>
                <w:lang w:val="en-US" w:eastAsia="zh-CN"/>
              </w:rPr>
              <w:br w:type="textWrapping"/>
            </w:r>
            <w:r>
              <w:rPr>
                <w:rFonts w:hint="eastAsia"/>
                <w:b/>
                <w:bCs/>
                <w:color w:val="auto"/>
                <w:highlight w:val="none"/>
                <w:lang w:val="en-US" w:eastAsia="zh-CN"/>
              </w:rPr>
              <w:t>四、综合管理系统(数控车铣)</w:t>
            </w:r>
            <w:r>
              <w:rPr>
                <w:rFonts w:hint="eastAsia"/>
                <w:b/>
                <w:bCs/>
                <w:color w:val="auto"/>
                <w:highlight w:val="none"/>
                <w:lang w:val="en-US" w:eastAsia="zh-CN"/>
              </w:rPr>
              <w:br w:type="textWrapping"/>
            </w:r>
            <w:r>
              <w:rPr>
                <w:rFonts w:hint="eastAsia"/>
                <w:color w:val="auto"/>
                <w:highlight w:val="none"/>
                <w:lang w:val="en-US" w:eastAsia="zh-CN"/>
              </w:rPr>
              <w:t>综合管理系统是智能化理论考试系统，系统具备考核、练习、成绩分析等模块，并且能实现自动组卷、自动评分，数据统计等功能；</w:t>
            </w:r>
            <w:r>
              <w:rPr>
                <w:rFonts w:hint="eastAsia"/>
                <w:color w:val="auto"/>
                <w:highlight w:val="none"/>
                <w:lang w:val="en-US" w:eastAsia="zh-CN"/>
              </w:rPr>
              <w:br w:type="textWrapping"/>
            </w:r>
            <w:r>
              <w:rPr>
                <w:rFonts w:hint="eastAsia"/>
                <w:color w:val="auto"/>
                <w:highlight w:val="none"/>
                <w:lang w:val="en-US" w:eastAsia="zh-CN"/>
              </w:rPr>
              <w:t>1.支持系统角色：</w:t>
            </w:r>
            <w:r>
              <w:rPr>
                <w:rFonts w:hint="eastAsia"/>
                <w:color w:val="auto"/>
                <w:highlight w:val="none"/>
                <w:lang w:val="en-US" w:eastAsia="zh-CN"/>
              </w:rPr>
              <w:br w:type="textWrapping"/>
            </w:r>
            <w:r>
              <w:rPr>
                <w:rFonts w:hint="eastAsia"/>
                <w:color w:val="auto"/>
                <w:highlight w:val="none"/>
                <w:lang w:val="en-US" w:eastAsia="zh-CN"/>
              </w:rPr>
              <w:t>（1）考试操作员：题库管理，定义考点信息、考试时间、指定出题规则（组卷）等；</w:t>
            </w:r>
            <w:r>
              <w:rPr>
                <w:rFonts w:hint="eastAsia"/>
                <w:color w:val="auto"/>
                <w:highlight w:val="none"/>
                <w:lang w:val="en-US" w:eastAsia="zh-CN"/>
              </w:rPr>
              <w:br w:type="textWrapping"/>
            </w:r>
            <w:r>
              <w:rPr>
                <w:rFonts w:hint="eastAsia"/>
                <w:color w:val="auto"/>
                <w:highlight w:val="none"/>
                <w:lang w:val="en-US" w:eastAsia="zh-CN"/>
              </w:rPr>
              <w:t>（2）考点操作员：参考人员信息导入，成绩导出等（考点人员）；</w:t>
            </w:r>
            <w:r>
              <w:rPr>
                <w:rFonts w:hint="eastAsia"/>
                <w:color w:val="auto"/>
                <w:highlight w:val="none"/>
                <w:lang w:val="en-US" w:eastAsia="zh-CN"/>
              </w:rPr>
              <w:br w:type="textWrapping"/>
            </w:r>
            <w:r>
              <w:rPr>
                <w:rFonts w:hint="eastAsia"/>
                <w:color w:val="auto"/>
                <w:highlight w:val="none"/>
                <w:lang w:val="en-US" w:eastAsia="zh-CN"/>
              </w:rPr>
              <w:t>（3）考点监控人员：操作考场管理软件的人员（考点人员）；</w:t>
            </w:r>
            <w:r>
              <w:rPr>
                <w:rFonts w:hint="eastAsia"/>
                <w:color w:val="auto"/>
                <w:highlight w:val="none"/>
                <w:lang w:val="en-US" w:eastAsia="zh-CN"/>
              </w:rPr>
              <w:br w:type="textWrapping"/>
            </w:r>
            <w:r>
              <w:rPr>
                <w:rFonts w:hint="eastAsia"/>
                <w:color w:val="auto"/>
                <w:highlight w:val="none"/>
                <w:lang w:val="en-US" w:eastAsia="zh-CN"/>
              </w:rPr>
              <w:t>（4）巡考人员：考试过程中的在线巡考；</w:t>
            </w:r>
            <w:r>
              <w:rPr>
                <w:rFonts w:hint="eastAsia"/>
                <w:color w:val="auto"/>
                <w:highlight w:val="none"/>
                <w:lang w:val="en-US" w:eastAsia="zh-CN"/>
              </w:rPr>
              <w:br w:type="textWrapping"/>
            </w:r>
            <w:r>
              <w:rPr>
                <w:rFonts w:hint="eastAsia"/>
                <w:color w:val="auto"/>
                <w:highlight w:val="none"/>
                <w:lang w:val="en-US" w:eastAsia="zh-CN"/>
              </w:rPr>
              <w:t>（5）考生：参考人员，可在线练习、在线模拟考试及正式考试；</w:t>
            </w:r>
            <w:r>
              <w:rPr>
                <w:rFonts w:hint="eastAsia"/>
                <w:color w:val="auto"/>
                <w:highlight w:val="none"/>
                <w:lang w:val="en-US" w:eastAsia="zh-CN"/>
              </w:rPr>
              <w:br w:type="textWrapping"/>
            </w:r>
            <w:r>
              <w:rPr>
                <w:rFonts w:hint="eastAsia"/>
                <w:color w:val="auto"/>
                <w:highlight w:val="none"/>
                <w:lang w:val="en-US" w:eastAsia="zh-CN"/>
              </w:rPr>
              <w:t>2.支持系统功能说明：</w:t>
            </w:r>
            <w:r>
              <w:rPr>
                <w:rFonts w:hint="eastAsia"/>
                <w:color w:val="auto"/>
                <w:highlight w:val="none"/>
                <w:lang w:val="en-US" w:eastAsia="zh-CN"/>
              </w:rPr>
              <w:br w:type="textWrapping"/>
            </w:r>
            <w:r>
              <w:rPr>
                <w:rFonts w:hint="eastAsia"/>
                <w:color w:val="auto"/>
                <w:highlight w:val="none"/>
                <w:lang w:val="en-US" w:eastAsia="zh-CN"/>
              </w:rPr>
              <w:t>（1）Web服务器：提供系统资料导入、考点参数定义、组卷、在线练习服务等功能，为整个系统的核心；</w:t>
            </w:r>
            <w:r>
              <w:rPr>
                <w:rFonts w:hint="eastAsia"/>
                <w:color w:val="auto"/>
                <w:highlight w:val="none"/>
                <w:lang w:val="en-US" w:eastAsia="zh-CN"/>
              </w:rPr>
              <w:br w:type="textWrapping"/>
            </w:r>
            <w:r>
              <w:rPr>
                <w:rFonts w:hint="eastAsia"/>
                <w:color w:val="auto"/>
                <w:highlight w:val="none"/>
                <w:lang w:val="en-US" w:eastAsia="zh-CN"/>
              </w:rPr>
              <w:t>（2）在线练习终端：考生通过 PC浏览器、微信公众号在线练习；考生的在线练习及模拟考试、考生成绩查询；</w:t>
            </w:r>
            <w:r>
              <w:rPr>
                <w:rFonts w:hint="eastAsia"/>
                <w:color w:val="auto"/>
                <w:highlight w:val="none"/>
                <w:lang w:val="en-US" w:eastAsia="zh-CN"/>
              </w:rPr>
              <w:br w:type="textWrapping"/>
            </w:r>
            <w:r>
              <w:rPr>
                <w:rFonts w:hint="eastAsia"/>
                <w:color w:val="auto"/>
                <w:highlight w:val="none"/>
                <w:lang w:val="en-US" w:eastAsia="zh-CN"/>
              </w:rPr>
              <w:t>（3）系统管理Web 终端：</w:t>
            </w:r>
            <w:r>
              <w:rPr>
                <w:rFonts w:hint="eastAsia"/>
                <w:color w:val="auto"/>
                <w:highlight w:val="none"/>
                <w:lang w:val="en-US" w:eastAsia="zh-CN"/>
              </w:rPr>
              <w:br w:type="textWrapping"/>
            </w:r>
            <w:r>
              <w:rPr>
                <w:rFonts w:hint="eastAsia"/>
                <w:color w:val="auto"/>
                <w:highlight w:val="none"/>
                <w:lang w:val="en-US" w:eastAsia="zh-CN"/>
              </w:rPr>
              <w:t xml:space="preserve"> 1-考试操作员，2-考点操作员，3-系统管理员，完成这些角色的功能；</w:t>
            </w:r>
            <w:r>
              <w:rPr>
                <w:rFonts w:hint="eastAsia"/>
                <w:color w:val="auto"/>
                <w:highlight w:val="none"/>
                <w:lang w:val="en-US" w:eastAsia="zh-CN"/>
              </w:rPr>
              <w:br w:type="textWrapping"/>
            </w:r>
            <w:r>
              <w:rPr>
                <w:rFonts w:hint="eastAsia"/>
                <w:color w:val="auto"/>
                <w:highlight w:val="none"/>
                <w:lang w:val="en-US" w:eastAsia="zh-CN"/>
              </w:rPr>
              <w:t>（4）考点服务器：每个考点的一个服务器，负责下载考点信息、考生信息、考卷，答卷本地打分（考生提交答卷后马上给出成绩）、考生答题信息上传；连接每个考场的监控机，为巡考提供支撑；</w:t>
            </w:r>
            <w:r>
              <w:rPr>
                <w:rFonts w:hint="eastAsia"/>
                <w:color w:val="auto"/>
                <w:highlight w:val="none"/>
                <w:lang w:val="en-US" w:eastAsia="zh-CN"/>
              </w:rPr>
              <w:br w:type="textWrapping"/>
            </w:r>
            <w:r>
              <w:rPr>
                <w:rFonts w:hint="eastAsia"/>
                <w:color w:val="auto"/>
                <w:highlight w:val="none"/>
                <w:lang w:val="en-US" w:eastAsia="zh-CN"/>
              </w:rPr>
              <w:t>（5）考场监控 PC：监控考试终端，接收考点服务器开考和结束指令，并转发至【7、考场 PC】上的考试终端程序；将每个考试终端的信息推送至【4、考点服务器】，为巡考提供数据；</w:t>
            </w:r>
            <w:r>
              <w:rPr>
                <w:rFonts w:hint="eastAsia"/>
                <w:color w:val="auto"/>
                <w:highlight w:val="none"/>
                <w:lang w:val="en-US" w:eastAsia="zh-CN"/>
              </w:rPr>
              <w:br w:type="textWrapping"/>
            </w:r>
            <w:r>
              <w:rPr>
                <w:rFonts w:hint="eastAsia"/>
                <w:color w:val="auto"/>
                <w:highlight w:val="none"/>
                <w:lang w:val="en-US" w:eastAsia="zh-CN"/>
              </w:rPr>
              <w:t>（6）网络巡考 PC：通过巡考程序，可以查看每一位考试的操作界面，摄像头信息，及报考信息等；</w:t>
            </w:r>
            <w:r>
              <w:rPr>
                <w:rFonts w:hint="eastAsia"/>
                <w:color w:val="auto"/>
                <w:highlight w:val="none"/>
                <w:lang w:val="en-US" w:eastAsia="zh-CN"/>
              </w:rPr>
              <w:br w:type="textWrapping"/>
            </w:r>
            <w:r>
              <w:rPr>
                <w:rFonts w:hint="eastAsia"/>
                <w:color w:val="auto"/>
                <w:highlight w:val="none"/>
                <w:lang w:val="en-US" w:eastAsia="zh-CN"/>
              </w:rPr>
              <w:t>（7）考场PC：考试最终的考试电脑，安装有考试终端程序；</w:t>
            </w:r>
            <w:r>
              <w:rPr>
                <w:rFonts w:hint="eastAsia"/>
                <w:color w:val="auto"/>
                <w:highlight w:val="none"/>
                <w:lang w:val="en-US" w:eastAsia="zh-CN"/>
              </w:rPr>
              <w:br w:type="textWrapping"/>
            </w:r>
            <w:r>
              <w:rPr>
                <w:rFonts w:hint="eastAsia"/>
                <w:color w:val="auto"/>
                <w:highlight w:val="none"/>
                <w:lang w:val="en-US" w:eastAsia="zh-CN"/>
              </w:rPr>
              <w:t>3.支持在线练习：</w:t>
            </w:r>
            <w:r>
              <w:rPr>
                <w:rFonts w:hint="eastAsia"/>
                <w:color w:val="auto"/>
                <w:highlight w:val="none"/>
                <w:lang w:val="en-US" w:eastAsia="zh-CN"/>
              </w:rPr>
              <w:br w:type="textWrapping"/>
            </w:r>
            <w:r>
              <w:rPr>
                <w:rFonts w:hint="eastAsia"/>
                <w:color w:val="auto"/>
                <w:highlight w:val="none"/>
                <w:lang w:val="en-US" w:eastAsia="zh-CN"/>
              </w:rPr>
              <w:t>（1）用户选择一个知识点后，必须把所有题刷完才能进入下一个知识点；</w:t>
            </w:r>
            <w:r>
              <w:rPr>
                <w:rFonts w:hint="eastAsia"/>
                <w:color w:val="auto"/>
                <w:highlight w:val="none"/>
                <w:lang w:val="en-US" w:eastAsia="zh-CN"/>
              </w:rPr>
              <w:br w:type="textWrapping"/>
            </w:r>
            <w:r>
              <w:rPr>
                <w:rFonts w:hint="eastAsia"/>
                <w:color w:val="auto"/>
                <w:highlight w:val="none"/>
                <w:lang w:val="en-US" w:eastAsia="zh-CN"/>
              </w:rPr>
              <w:t>（2）错题重复；</w:t>
            </w:r>
            <w:r>
              <w:rPr>
                <w:rFonts w:hint="eastAsia"/>
                <w:color w:val="auto"/>
                <w:highlight w:val="none"/>
                <w:lang w:val="en-US" w:eastAsia="zh-CN"/>
              </w:rPr>
              <w:br w:type="textWrapping"/>
            </w:r>
            <w:r>
              <w:rPr>
                <w:rFonts w:hint="eastAsia"/>
                <w:color w:val="auto"/>
                <w:highlight w:val="none"/>
                <w:lang w:val="en-US" w:eastAsia="zh-CN"/>
              </w:rPr>
              <w:t>（3）抽过的题也重复，权重下降；</w:t>
            </w:r>
            <w:r>
              <w:rPr>
                <w:rFonts w:hint="eastAsia"/>
                <w:color w:val="auto"/>
                <w:highlight w:val="none"/>
                <w:lang w:val="en-US" w:eastAsia="zh-CN"/>
              </w:rPr>
              <w:br w:type="textWrapping"/>
            </w:r>
            <w:r>
              <w:rPr>
                <w:rFonts w:hint="eastAsia"/>
                <w:color w:val="auto"/>
                <w:highlight w:val="none"/>
                <w:lang w:val="en-US" w:eastAsia="zh-CN"/>
              </w:rPr>
              <w:t>（4）一次显示5题或10题，可选；</w:t>
            </w:r>
            <w:r>
              <w:rPr>
                <w:rFonts w:hint="eastAsia"/>
                <w:color w:val="auto"/>
                <w:highlight w:val="none"/>
                <w:lang w:val="en-US" w:eastAsia="zh-CN"/>
              </w:rPr>
              <w:br w:type="textWrapping"/>
            </w:r>
            <w:r>
              <w:rPr>
                <w:rFonts w:hint="eastAsia"/>
                <w:color w:val="auto"/>
                <w:highlight w:val="none"/>
                <w:lang w:val="en-US" w:eastAsia="zh-CN"/>
              </w:rPr>
              <w:t>（5）可查看错题，及答题正误率；</w:t>
            </w:r>
            <w:r>
              <w:rPr>
                <w:rFonts w:hint="eastAsia"/>
                <w:color w:val="auto"/>
                <w:highlight w:val="none"/>
                <w:lang w:val="en-US" w:eastAsia="zh-CN"/>
              </w:rPr>
              <w:br w:type="textWrapping"/>
            </w:r>
            <w:r>
              <w:rPr>
                <w:rFonts w:hint="eastAsia"/>
                <w:color w:val="auto"/>
                <w:highlight w:val="none"/>
                <w:lang w:val="en-US" w:eastAsia="zh-CN"/>
              </w:rPr>
              <w:t>4.支持考场监控软件功能说明</w:t>
            </w:r>
            <w:r>
              <w:rPr>
                <w:rFonts w:hint="eastAsia"/>
                <w:color w:val="auto"/>
                <w:highlight w:val="none"/>
                <w:lang w:val="en-US" w:eastAsia="zh-CN"/>
              </w:rPr>
              <w:br w:type="textWrapping"/>
            </w:r>
            <w:r>
              <w:rPr>
                <w:rFonts w:hint="eastAsia"/>
                <w:color w:val="auto"/>
                <w:highlight w:val="none"/>
                <w:lang w:val="en-US" w:eastAsia="zh-CN"/>
              </w:rPr>
              <w:t>（1）每个考场一台监控机，安装考场监控程序；</w:t>
            </w:r>
            <w:r>
              <w:rPr>
                <w:rFonts w:hint="eastAsia"/>
                <w:color w:val="auto"/>
                <w:highlight w:val="none"/>
                <w:lang w:val="en-US" w:eastAsia="zh-CN"/>
              </w:rPr>
              <w:br w:type="textWrapping"/>
            </w:r>
            <w:r>
              <w:rPr>
                <w:rFonts w:hint="eastAsia"/>
                <w:color w:val="auto"/>
                <w:highlight w:val="none"/>
                <w:lang w:val="en-US" w:eastAsia="zh-CN"/>
              </w:rPr>
              <w:t>（2）从考点服务器下载试卷、考点考生信息；</w:t>
            </w:r>
            <w:r>
              <w:rPr>
                <w:rFonts w:hint="eastAsia"/>
                <w:color w:val="auto"/>
                <w:highlight w:val="none"/>
                <w:lang w:val="en-US" w:eastAsia="zh-CN"/>
              </w:rPr>
              <w:br w:type="textWrapping"/>
            </w:r>
            <w:r>
              <w:rPr>
                <w:rFonts w:hint="eastAsia"/>
                <w:color w:val="auto"/>
                <w:highlight w:val="none"/>
                <w:lang w:val="en-US" w:eastAsia="zh-CN"/>
              </w:rPr>
              <w:t>（3）转发考点服务器发送的开考、结束考试指令，考试结束强制提交，提示最后15分钟；</w:t>
            </w:r>
            <w:r>
              <w:rPr>
                <w:rFonts w:hint="eastAsia"/>
                <w:color w:val="auto"/>
                <w:highlight w:val="none"/>
                <w:lang w:val="en-US" w:eastAsia="zh-CN"/>
              </w:rPr>
              <w:br w:type="textWrapping"/>
            </w:r>
            <w:r>
              <w:rPr>
                <w:rFonts w:hint="eastAsia"/>
                <w:color w:val="auto"/>
                <w:highlight w:val="none"/>
                <w:lang w:val="en-US" w:eastAsia="zh-CN"/>
              </w:rPr>
              <w:t>（4）每位考生提交答卷后，当场将答卷信息转发至考点服务器，服务器自动阅卷，并将成绩发送到考试终端；</w:t>
            </w:r>
            <w:r>
              <w:rPr>
                <w:rFonts w:hint="eastAsia"/>
                <w:color w:val="auto"/>
                <w:highlight w:val="none"/>
                <w:lang w:val="en-US" w:eastAsia="zh-CN"/>
              </w:rPr>
              <w:br w:type="textWrapping"/>
            </w:r>
            <w:r>
              <w:rPr>
                <w:rFonts w:hint="eastAsia"/>
                <w:color w:val="auto"/>
                <w:highlight w:val="none"/>
                <w:lang w:val="en-US" w:eastAsia="zh-CN"/>
              </w:rPr>
              <w:t>（5）考场每个考试终端屏幕查看；</w:t>
            </w:r>
            <w:r>
              <w:rPr>
                <w:rFonts w:hint="eastAsia"/>
                <w:color w:val="auto"/>
                <w:highlight w:val="none"/>
                <w:lang w:val="en-US" w:eastAsia="zh-CN"/>
              </w:rPr>
              <w:br w:type="textWrapping"/>
            </w:r>
            <w:r>
              <w:rPr>
                <w:rFonts w:hint="eastAsia"/>
                <w:color w:val="auto"/>
                <w:highlight w:val="none"/>
                <w:lang w:val="en-US" w:eastAsia="zh-CN"/>
              </w:rPr>
              <w:t>（6）考场每台PC上的摄像头查看；</w:t>
            </w:r>
            <w:r>
              <w:rPr>
                <w:rFonts w:hint="eastAsia"/>
                <w:color w:val="auto"/>
                <w:highlight w:val="none"/>
                <w:lang w:val="en-US" w:eastAsia="zh-CN"/>
              </w:rPr>
              <w:br w:type="textWrapping"/>
            </w:r>
            <w:r>
              <w:rPr>
                <w:rFonts w:hint="eastAsia"/>
                <w:color w:val="auto"/>
                <w:highlight w:val="none"/>
                <w:lang w:val="en-US" w:eastAsia="zh-CN"/>
              </w:rPr>
              <w:t>（7）考试过程中，与考点服务器保存连接；</w:t>
            </w:r>
            <w:r>
              <w:rPr>
                <w:rFonts w:hint="eastAsia"/>
                <w:color w:val="auto"/>
                <w:highlight w:val="none"/>
                <w:lang w:val="en-US" w:eastAsia="zh-CN"/>
              </w:rPr>
              <w:br w:type="textWrapping"/>
            </w:r>
            <w:r>
              <w:rPr>
                <w:rFonts w:hint="eastAsia"/>
                <w:color w:val="auto"/>
                <w:highlight w:val="none"/>
                <w:lang w:val="en-US" w:eastAsia="zh-CN"/>
              </w:rPr>
              <w:t>（8）在考试开始、开考半小时及考生提交答卷时，分别通过摄像头获取考生头像及考试程序界面，考试结束后，将这些信息提交至考点服务器；</w:t>
            </w:r>
            <w:r>
              <w:rPr>
                <w:rFonts w:hint="eastAsia"/>
                <w:color w:val="auto"/>
                <w:highlight w:val="none"/>
                <w:lang w:val="en-US" w:eastAsia="zh-CN"/>
              </w:rPr>
              <w:br w:type="textWrapping"/>
            </w:r>
            <w:r>
              <w:rPr>
                <w:rFonts w:hint="eastAsia"/>
                <w:color w:val="auto"/>
                <w:highlight w:val="none"/>
                <w:lang w:val="en-US" w:eastAsia="zh-CN"/>
              </w:rPr>
              <w:t>5.支持考试终端功能说明</w:t>
            </w:r>
            <w:r>
              <w:rPr>
                <w:rFonts w:hint="eastAsia"/>
                <w:color w:val="auto"/>
                <w:highlight w:val="none"/>
                <w:lang w:val="en-US" w:eastAsia="zh-CN"/>
              </w:rPr>
              <w:br w:type="textWrapping"/>
            </w:r>
            <w:r>
              <w:rPr>
                <w:rFonts w:hint="eastAsia"/>
                <w:color w:val="auto"/>
                <w:highlight w:val="none"/>
                <w:lang w:val="en-US" w:eastAsia="zh-CN"/>
              </w:rPr>
              <w:t>（1）考生登录（准考证号和密码登录）、考试等级确认、考题信息确认；</w:t>
            </w:r>
            <w:r>
              <w:rPr>
                <w:rFonts w:hint="eastAsia"/>
                <w:color w:val="auto"/>
                <w:highlight w:val="none"/>
                <w:lang w:val="en-US" w:eastAsia="zh-CN"/>
              </w:rPr>
              <w:br w:type="textWrapping"/>
            </w:r>
            <w:r>
              <w:rPr>
                <w:rFonts w:hint="eastAsia"/>
                <w:color w:val="auto"/>
                <w:highlight w:val="none"/>
                <w:lang w:val="en-US" w:eastAsia="zh-CN"/>
              </w:rPr>
              <w:t>（2）考生人脸识别验证；不能通过的，由监考人员现场比对，并在监考软件上登记；</w:t>
            </w:r>
            <w:r>
              <w:rPr>
                <w:rFonts w:hint="eastAsia"/>
                <w:color w:val="auto"/>
                <w:highlight w:val="none"/>
                <w:lang w:val="en-US" w:eastAsia="zh-CN"/>
              </w:rPr>
              <w:br w:type="textWrapping"/>
            </w:r>
            <w:r>
              <w:rPr>
                <w:rFonts w:hint="eastAsia"/>
                <w:color w:val="auto"/>
                <w:highlight w:val="none"/>
                <w:lang w:val="en-US" w:eastAsia="zh-CN"/>
              </w:rPr>
              <w:t>（3）从考场监控软件下载试卷；</w:t>
            </w:r>
            <w:r>
              <w:rPr>
                <w:rFonts w:hint="eastAsia"/>
                <w:color w:val="auto"/>
                <w:highlight w:val="none"/>
                <w:lang w:val="en-US" w:eastAsia="zh-CN"/>
              </w:rPr>
              <w:br w:type="textWrapping"/>
            </w:r>
            <w:r>
              <w:rPr>
                <w:rFonts w:hint="eastAsia"/>
                <w:color w:val="auto"/>
                <w:highlight w:val="none"/>
                <w:lang w:val="en-US" w:eastAsia="zh-CN"/>
              </w:rPr>
              <w:t>（4）答题并提交答卷至考场监控软件，考场监控软件发至考点服务器现场打分并返回成绩，考生提交后马上可以看到成绩；</w:t>
            </w:r>
            <w:r>
              <w:rPr>
                <w:rFonts w:hint="eastAsia"/>
                <w:color w:val="auto"/>
                <w:highlight w:val="none"/>
                <w:lang w:val="en-US" w:eastAsia="zh-CN"/>
              </w:rPr>
              <w:br w:type="textWrapping"/>
            </w:r>
            <w:r>
              <w:rPr>
                <w:rFonts w:hint="eastAsia"/>
                <w:color w:val="auto"/>
                <w:highlight w:val="none"/>
                <w:lang w:val="en-US" w:eastAsia="zh-CN"/>
              </w:rPr>
              <w:t>（5）考试过程中的信息采集，头像、PC界面等，为巡考提供支持；</w:t>
            </w:r>
            <w:r>
              <w:rPr>
                <w:rFonts w:hint="eastAsia"/>
                <w:color w:val="auto"/>
                <w:highlight w:val="none"/>
                <w:lang w:val="en-US" w:eastAsia="zh-CN"/>
              </w:rPr>
              <w:br w:type="textWrapping"/>
            </w:r>
            <w:r>
              <w:rPr>
                <w:rFonts w:hint="eastAsia"/>
                <w:color w:val="auto"/>
                <w:highlight w:val="none"/>
                <w:lang w:val="en-US" w:eastAsia="zh-CN"/>
              </w:rPr>
              <w:t>（6）考试过程中电脑重启后，考试计时不中断；</w:t>
            </w:r>
            <w:r>
              <w:rPr>
                <w:rFonts w:hint="eastAsia"/>
                <w:color w:val="auto"/>
                <w:highlight w:val="none"/>
                <w:lang w:val="en-US" w:eastAsia="zh-CN"/>
              </w:rPr>
              <w:br w:type="textWrapping"/>
            </w:r>
            <w:r>
              <w:rPr>
                <w:rFonts w:hint="eastAsia"/>
                <w:color w:val="auto"/>
                <w:highlight w:val="none"/>
                <w:lang w:val="en-US" w:eastAsia="zh-CN"/>
              </w:rPr>
              <w:t>（7）考试过程中电脑损坏，换机后继续考试，计时不中断，前面已答的题答案不变（即可换机继续考试）；</w:t>
            </w:r>
            <w:r>
              <w:rPr>
                <w:rFonts w:hint="eastAsia"/>
                <w:color w:val="auto"/>
                <w:highlight w:val="none"/>
                <w:lang w:val="en-US" w:eastAsia="zh-CN"/>
              </w:rPr>
              <w:br w:type="textWrapping"/>
            </w:r>
            <w:r>
              <w:rPr>
                <w:rFonts w:hint="eastAsia"/>
                <w:color w:val="auto"/>
                <w:highlight w:val="none"/>
                <w:lang w:val="en-US" w:eastAsia="zh-CN"/>
              </w:rPr>
              <w:t>6.支持系统管理</w:t>
            </w:r>
            <w:r>
              <w:rPr>
                <w:rFonts w:hint="eastAsia"/>
                <w:color w:val="auto"/>
                <w:highlight w:val="none"/>
                <w:lang w:val="en-US" w:eastAsia="zh-CN"/>
              </w:rPr>
              <w:br w:type="textWrapping"/>
            </w:r>
            <w:r>
              <w:rPr>
                <w:rFonts w:hint="eastAsia"/>
                <w:color w:val="auto"/>
                <w:highlight w:val="none"/>
                <w:lang w:val="en-US" w:eastAsia="zh-CN"/>
              </w:rPr>
              <w:t>支持各种统计分析，包括但不限于练习统计、错题统计、成绩统计、考试计划统计等；</w:t>
            </w:r>
            <w:r>
              <w:rPr>
                <w:rFonts w:hint="eastAsia"/>
                <w:color w:val="auto"/>
                <w:highlight w:val="none"/>
                <w:lang w:val="en-US" w:eastAsia="zh-CN"/>
              </w:rPr>
              <w:br w:type="textWrapping"/>
            </w:r>
            <w:r>
              <w:rPr>
                <w:rFonts w:hint="eastAsia"/>
                <w:b/>
                <w:bCs/>
                <w:color w:val="auto"/>
                <w:highlight w:val="none"/>
                <w:lang w:val="en-US" w:eastAsia="zh-CN"/>
              </w:rPr>
              <w:t>7.竞标时须提供软件技术要求的成绩查询、考试管理、试卷管理、题库管理的证明材料，证明材料可以是有资质的第三方检测机构出具对上述功能的检测报告复印件或功能截图或产品彩页等。</w:t>
            </w:r>
            <w:r>
              <w:rPr>
                <w:rFonts w:hint="eastAsia"/>
                <w:color w:val="auto"/>
                <w:highlight w:val="none"/>
                <w:lang w:val="en-US" w:eastAsia="zh-CN"/>
              </w:rPr>
              <w:br w:type="textWrapping"/>
            </w:r>
            <w:r>
              <w:rPr>
                <w:rFonts w:hint="eastAsia"/>
                <w:b/>
                <w:bCs/>
                <w:color w:val="auto"/>
                <w:highlight w:val="none"/>
                <w:lang w:val="en-US" w:eastAsia="zh-CN"/>
              </w:rPr>
              <w:t>五、配套考核案例</w:t>
            </w:r>
            <w:r>
              <w:rPr>
                <w:rFonts w:hint="eastAsia"/>
                <w:color w:val="auto"/>
                <w:highlight w:val="none"/>
                <w:lang w:val="en-US" w:eastAsia="zh-CN"/>
              </w:rPr>
              <w:br w:type="textWrapping"/>
            </w:r>
            <w:r>
              <w:rPr>
                <w:rFonts w:hint="eastAsia"/>
                <w:color w:val="auto"/>
                <w:highlight w:val="none"/>
                <w:lang w:val="en-US" w:eastAsia="zh-CN"/>
              </w:rPr>
              <w:t xml:space="preserve">1.提供数控车铣技能考核案例不少于5个（竞标时提供至少5个数控车铣技能考核案例）。 </w:t>
            </w:r>
            <w:r>
              <w:rPr>
                <w:rFonts w:hint="eastAsia"/>
                <w:color w:val="auto"/>
                <w:highlight w:val="none"/>
                <w:lang w:val="en-US" w:eastAsia="zh-CN"/>
              </w:rPr>
              <w:br w:type="textWrapping"/>
            </w:r>
            <w:r>
              <w:rPr>
                <w:rFonts w:hint="default"/>
                <w:b/>
                <w:bCs/>
                <w:color w:val="auto"/>
                <w:highlight w:val="none"/>
                <w:lang w:val="en-US" w:eastAsia="zh-CN"/>
              </w:rPr>
              <w:t>六</w:t>
            </w:r>
            <w:r>
              <w:rPr>
                <w:rFonts w:hint="eastAsia"/>
                <w:b/>
                <w:bCs/>
                <w:color w:val="auto"/>
                <w:highlight w:val="none"/>
                <w:lang w:val="en-US" w:eastAsia="zh-CN"/>
              </w:rPr>
              <w:t>、数控系统开通数控在线数据管理功能：</w:t>
            </w:r>
            <w:r>
              <w:rPr>
                <w:rFonts w:hint="eastAsia"/>
                <w:b/>
                <w:bCs/>
                <w:color w:val="auto"/>
                <w:highlight w:val="none"/>
                <w:lang w:val="en-US" w:eastAsia="zh-CN"/>
              </w:rPr>
              <w:br w:type="textWrapping"/>
            </w:r>
            <w:r>
              <w:rPr>
                <w:rFonts w:hint="eastAsia"/>
                <w:color w:val="auto"/>
                <w:highlight w:val="none"/>
                <w:lang w:val="en-US" w:eastAsia="zh-CN"/>
              </w:rPr>
              <w:t>通过大数据平台对数控机床进行定期的“体检”，采集运行过程中的数据，通过单机历史数据的纵向比较和机床集群数据的横向比较，掌握机床健康变化，实现数控机床的健康保障；</w:t>
            </w:r>
            <w:r>
              <w:rPr>
                <w:rFonts w:hint="eastAsia"/>
                <w:color w:val="auto"/>
                <w:highlight w:val="none"/>
                <w:lang w:val="en-US" w:eastAsia="zh-CN"/>
              </w:rPr>
              <w:br w:type="textWrapping"/>
            </w:r>
            <w:r>
              <w:rPr>
                <w:rFonts w:hint="eastAsia"/>
                <w:color w:val="auto"/>
                <w:highlight w:val="none"/>
                <w:lang w:val="en-US" w:eastAsia="zh-CN"/>
              </w:rPr>
              <w:t>1.支持设备运维功能包括但不限于：</w:t>
            </w:r>
            <w:r>
              <w:rPr>
                <w:rFonts w:hint="eastAsia"/>
                <w:color w:val="auto"/>
                <w:highlight w:val="none"/>
                <w:lang w:val="en-US" w:eastAsia="zh-CN"/>
              </w:rPr>
              <w:br w:type="textWrapping"/>
            </w:r>
            <w:r>
              <w:rPr>
                <w:rFonts w:hint="eastAsia"/>
                <w:color w:val="auto"/>
                <w:highlight w:val="none"/>
                <w:lang w:val="en-US" w:eastAsia="zh-CN"/>
              </w:rPr>
              <w:t>(1)新建工单模块：具有故障信息描述、上传图片以及填写报修信息功能；</w:t>
            </w:r>
            <w:r>
              <w:rPr>
                <w:rFonts w:hint="eastAsia"/>
                <w:color w:val="auto"/>
                <w:highlight w:val="none"/>
                <w:lang w:val="en-US" w:eastAsia="zh-CN"/>
              </w:rPr>
              <w:br w:type="textWrapping"/>
            </w:r>
            <w:r>
              <w:rPr>
                <w:rFonts w:hint="eastAsia"/>
                <w:color w:val="auto"/>
                <w:highlight w:val="none"/>
                <w:lang w:val="en-US" w:eastAsia="zh-CN"/>
              </w:rPr>
              <w:t>(2)我的工单模块：可查看已报单、已指派、待评价、已关闭、进行中以及工单暂停等功能，具备直接输入订单编号或客户单位信息直接快速查看功能；</w:t>
            </w:r>
            <w:r>
              <w:rPr>
                <w:rFonts w:hint="eastAsia"/>
                <w:color w:val="auto"/>
                <w:highlight w:val="none"/>
                <w:lang w:val="en-US" w:eastAsia="zh-CN"/>
              </w:rPr>
              <w:br w:type="textWrapping"/>
            </w:r>
            <w:r>
              <w:rPr>
                <w:rFonts w:hint="eastAsia"/>
                <w:color w:val="auto"/>
                <w:highlight w:val="none"/>
                <w:lang w:val="en-US" w:eastAsia="zh-CN"/>
              </w:rPr>
              <w:t>(3)历史工单模块：可查看历史工单信息，具备直接输入订单编号、系统SN码、客户单位或人员名称信息直接快速查看功能；</w:t>
            </w:r>
            <w:r>
              <w:rPr>
                <w:rFonts w:hint="eastAsia"/>
                <w:color w:val="auto"/>
                <w:highlight w:val="none"/>
                <w:lang w:val="en-US" w:eastAsia="zh-CN"/>
              </w:rPr>
              <w:br w:type="textWrapping"/>
            </w:r>
            <w:r>
              <w:rPr>
                <w:rFonts w:hint="eastAsia"/>
                <w:color w:val="auto"/>
                <w:highlight w:val="none"/>
                <w:lang w:val="en-US" w:eastAsia="zh-CN"/>
              </w:rPr>
              <w:t>(4)返修工单模块：可查看返修工单信息，包含返厂中、已收货、已指派、维修收货、维修中、维修完成、返修完成以及废单信息，具备直接输入订单编号、返修件类型、返修件编号或客户单号信息直接快速查看功能；</w:t>
            </w:r>
            <w:r>
              <w:rPr>
                <w:rFonts w:hint="eastAsia"/>
                <w:color w:val="auto"/>
                <w:highlight w:val="none"/>
                <w:lang w:val="en-US" w:eastAsia="zh-CN"/>
              </w:rPr>
              <w:br w:type="textWrapping"/>
            </w:r>
            <w:r>
              <w:rPr>
                <w:rFonts w:hint="eastAsia"/>
                <w:color w:val="auto"/>
                <w:highlight w:val="none"/>
                <w:lang w:val="en-US" w:eastAsia="zh-CN"/>
              </w:rPr>
              <w:t>(5)打卡签到模块：具备输入用户位置信息及用户备注信息进行打卡功能；</w:t>
            </w:r>
            <w:r>
              <w:rPr>
                <w:rFonts w:hint="eastAsia"/>
                <w:color w:val="auto"/>
                <w:highlight w:val="none"/>
                <w:lang w:val="en-US" w:eastAsia="zh-CN"/>
              </w:rPr>
              <w:br w:type="textWrapping"/>
            </w:r>
            <w:r>
              <w:rPr>
                <w:rFonts w:hint="eastAsia"/>
                <w:color w:val="auto"/>
                <w:highlight w:val="none"/>
                <w:lang w:val="en-US" w:eastAsia="zh-CN"/>
              </w:rPr>
              <w:t>(6)案例库模块：具备全部案例、调试案例、故障案例以及工艺案例查看功能，每个案例均能查看案例详情，包含案例名称、适用范围、调试目标、解决方案以及案例标签；</w:t>
            </w:r>
            <w:r>
              <w:rPr>
                <w:rFonts w:hint="eastAsia"/>
                <w:color w:val="auto"/>
                <w:highlight w:val="none"/>
                <w:lang w:val="en-US" w:eastAsia="zh-CN"/>
              </w:rPr>
              <w:br w:type="textWrapping"/>
            </w:r>
            <w:r>
              <w:rPr>
                <w:rFonts w:hint="eastAsia"/>
                <w:color w:val="auto"/>
                <w:highlight w:val="none"/>
                <w:lang w:val="en-US" w:eastAsia="zh-CN"/>
              </w:rPr>
              <w:t>2.支持生产管理功能包括但不限于：</w:t>
            </w:r>
            <w:r>
              <w:rPr>
                <w:rFonts w:hint="eastAsia"/>
                <w:color w:val="auto"/>
                <w:highlight w:val="none"/>
                <w:lang w:val="en-US" w:eastAsia="zh-CN"/>
              </w:rPr>
              <w:br w:type="textWrapping"/>
            </w:r>
            <w:r>
              <w:rPr>
                <w:rFonts w:hint="eastAsia"/>
                <w:color w:val="auto"/>
                <w:highlight w:val="none"/>
                <w:lang w:val="en-US" w:eastAsia="zh-CN"/>
              </w:rPr>
              <w:t>(1)生产管理模块：</w:t>
            </w:r>
            <w:r>
              <w:rPr>
                <w:rFonts w:hint="eastAsia"/>
                <w:color w:val="auto"/>
                <w:highlight w:val="none"/>
                <w:lang w:val="en-US" w:eastAsia="zh-CN"/>
              </w:rPr>
              <w:br w:type="textWrapping"/>
            </w:r>
            <w:r>
              <w:rPr>
                <w:rFonts w:hint="eastAsia"/>
                <w:color w:val="auto"/>
                <w:highlight w:val="none"/>
                <w:lang w:val="en-US" w:eastAsia="zh-CN"/>
              </w:rPr>
              <w:t>①可查看设备厂列表功能；</w:t>
            </w:r>
            <w:r>
              <w:rPr>
                <w:rFonts w:hint="eastAsia"/>
                <w:color w:val="auto"/>
                <w:highlight w:val="none"/>
                <w:lang w:val="en-US" w:eastAsia="zh-CN"/>
              </w:rPr>
              <w:br w:type="textWrapping"/>
            </w:r>
            <w:r>
              <w:rPr>
                <w:rFonts w:hint="eastAsia"/>
                <w:color w:val="auto"/>
                <w:highlight w:val="none"/>
                <w:lang w:val="en-US" w:eastAsia="zh-CN"/>
              </w:rPr>
              <w:t>②具备查看设备详情功能：包含设备离线、待机、加工、报警状态；开机时间、加工时间、待机时间、报警时间、离线时间统计；加工加工信息统计、显示功能；</w:t>
            </w:r>
            <w:r>
              <w:rPr>
                <w:rFonts w:hint="eastAsia"/>
                <w:color w:val="auto"/>
                <w:highlight w:val="none"/>
                <w:lang w:val="en-US" w:eastAsia="zh-CN"/>
              </w:rPr>
              <w:br w:type="textWrapping"/>
            </w:r>
            <w:r>
              <w:rPr>
                <w:rFonts w:hint="eastAsia"/>
                <w:color w:val="auto"/>
                <w:highlight w:val="none"/>
                <w:lang w:val="en-US" w:eastAsia="zh-CN"/>
              </w:rPr>
              <w:t>③具备运行统计功能：包含状态统计图、时间统计、产量统计功能；</w:t>
            </w:r>
            <w:r>
              <w:rPr>
                <w:rFonts w:hint="eastAsia"/>
                <w:color w:val="auto"/>
                <w:highlight w:val="none"/>
                <w:lang w:val="en-US" w:eastAsia="zh-CN"/>
              </w:rPr>
              <w:br w:type="textWrapping"/>
            </w:r>
            <w:r>
              <w:rPr>
                <w:rFonts w:hint="eastAsia"/>
                <w:color w:val="auto"/>
                <w:highlight w:val="none"/>
                <w:lang w:val="en-US" w:eastAsia="zh-CN"/>
              </w:rPr>
              <w:t>④具备报警历史功能：包含报警列表、报警等级筛选功能；</w:t>
            </w:r>
            <w:r>
              <w:rPr>
                <w:rFonts w:hint="eastAsia"/>
                <w:color w:val="auto"/>
                <w:highlight w:val="none"/>
                <w:lang w:val="en-US" w:eastAsia="zh-CN"/>
              </w:rPr>
              <w:br w:type="textWrapping"/>
            </w:r>
            <w:r>
              <w:rPr>
                <w:rFonts w:hint="eastAsia"/>
                <w:color w:val="auto"/>
                <w:highlight w:val="none"/>
                <w:lang w:val="en-US" w:eastAsia="zh-CN"/>
              </w:rPr>
              <w:t>⑤具备报警统计功能；包含报警频次和参数修改记录；</w:t>
            </w:r>
            <w:r>
              <w:rPr>
                <w:rFonts w:hint="eastAsia"/>
                <w:color w:val="auto"/>
                <w:highlight w:val="none"/>
                <w:lang w:val="en-US" w:eastAsia="zh-CN"/>
              </w:rPr>
              <w:br w:type="textWrapping"/>
            </w:r>
            <w:r>
              <w:rPr>
                <w:rFonts w:hint="eastAsia"/>
                <w:color w:val="auto"/>
                <w:highlight w:val="none"/>
                <w:lang w:val="en-US" w:eastAsia="zh-CN"/>
              </w:rPr>
              <w:t>(2)在线编程模块包括但不限于：</w:t>
            </w:r>
            <w:r>
              <w:rPr>
                <w:rFonts w:hint="eastAsia"/>
                <w:color w:val="auto"/>
                <w:highlight w:val="none"/>
                <w:lang w:val="en-US" w:eastAsia="zh-CN"/>
              </w:rPr>
              <w:br w:type="textWrapping"/>
            </w:r>
            <w:r>
              <w:rPr>
                <w:rFonts w:hint="eastAsia"/>
                <w:color w:val="auto"/>
                <w:highlight w:val="none"/>
                <w:lang w:val="en-US" w:eastAsia="zh-CN"/>
              </w:rPr>
              <w:t>①具备查看G代码详情功能；</w:t>
            </w:r>
            <w:r>
              <w:rPr>
                <w:rFonts w:hint="eastAsia"/>
                <w:color w:val="auto"/>
                <w:highlight w:val="none"/>
                <w:lang w:val="en-US" w:eastAsia="zh-CN"/>
              </w:rPr>
              <w:br w:type="textWrapping"/>
            </w:r>
            <w:r>
              <w:rPr>
                <w:rFonts w:hint="eastAsia"/>
                <w:color w:val="auto"/>
                <w:highlight w:val="none"/>
                <w:lang w:val="en-US" w:eastAsia="zh-CN"/>
              </w:rPr>
              <w:t>②具备生成复合工艺G代码功能，包含通过工艺列表配置参数工艺生成G代码功能；</w:t>
            </w:r>
            <w:r>
              <w:rPr>
                <w:rFonts w:hint="eastAsia"/>
                <w:color w:val="auto"/>
                <w:highlight w:val="none"/>
                <w:lang w:val="en-US" w:eastAsia="zh-CN"/>
              </w:rPr>
              <w:br w:type="textWrapping"/>
            </w:r>
            <w:r>
              <w:rPr>
                <w:rFonts w:hint="eastAsia"/>
                <w:color w:val="auto"/>
                <w:highlight w:val="none"/>
                <w:lang w:val="en-US" w:eastAsia="zh-CN"/>
              </w:rPr>
              <w:t>③简单工艺并生成G代码功能，包含通过选择工艺配置参数工艺生成G代码功能；</w:t>
            </w:r>
            <w:r>
              <w:rPr>
                <w:rFonts w:hint="eastAsia"/>
                <w:color w:val="auto"/>
                <w:highlight w:val="none"/>
                <w:lang w:val="en-US" w:eastAsia="zh-CN"/>
              </w:rPr>
              <w:br w:type="textWrapping"/>
            </w:r>
            <w:r>
              <w:rPr>
                <w:rFonts w:hint="default"/>
                <w:b/>
                <w:bCs/>
                <w:color w:val="auto"/>
                <w:highlight w:val="none"/>
                <w:lang w:val="en-US" w:eastAsia="zh-CN"/>
              </w:rPr>
              <w:t>七</w:t>
            </w:r>
            <w:r>
              <w:rPr>
                <w:rFonts w:hint="eastAsia"/>
                <w:b/>
                <w:bCs/>
                <w:color w:val="auto"/>
                <w:highlight w:val="none"/>
                <w:lang w:val="en-US" w:eastAsia="zh-CN"/>
              </w:rPr>
              <w:t>、配套数控系统仿真软件（20节点/套）（供货时提供系统生产厂家出具的正版证明文件和软件著作权证书复印件</w:t>
            </w:r>
            <w:r>
              <w:rPr>
                <w:rFonts w:hint="eastAsia"/>
                <w:b/>
                <w:bCs/>
                <w:color w:val="auto"/>
                <w:highlight w:val="none"/>
              </w:rPr>
              <w:t>（加盖软件开发商公章）</w:t>
            </w:r>
            <w:r>
              <w:rPr>
                <w:rFonts w:hint="eastAsia"/>
                <w:b/>
                <w:bCs/>
                <w:color w:val="auto"/>
                <w:highlight w:val="none"/>
                <w:lang w:val="en-US" w:eastAsia="zh-CN"/>
              </w:rPr>
              <w:t>或</w:t>
            </w:r>
            <w:r>
              <w:rPr>
                <w:rFonts w:hint="eastAsia"/>
                <w:b/>
                <w:bCs/>
                <w:color w:val="auto"/>
                <w:highlight w:val="none"/>
              </w:rPr>
              <w:t>能够证明软件合法来源的授权文件，并提供针对本项目的正版软件使用授权书原件及系统生产厂家出具的正版证明文件</w:t>
            </w:r>
            <w:r>
              <w:rPr>
                <w:rFonts w:hint="eastAsia"/>
                <w:b/>
                <w:bCs/>
                <w:color w:val="auto"/>
                <w:highlight w:val="none"/>
                <w:lang w:val="en-US" w:eastAsia="zh-CN"/>
              </w:rPr>
              <w:t>，否则不予验收）。</w:t>
            </w:r>
          </w:p>
          <w:p w14:paraId="72756FBC">
            <w:pPr>
              <w:keepNext w:val="0"/>
              <w:keepLines w:val="0"/>
              <w:pageBreakBefore w:val="0"/>
              <w:widowControl/>
              <w:kinsoku/>
              <w:wordWrap w:val="0"/>
              <w:overflowPunct/>
              <w:topLinePunct w:val="0"/>
              <w:autoSpaceDE/>
              <w:autoSpaceDN/>
              <w:bidi w:val="0"/>
              <w:adjustRightInd/>
              <w:snapToGrid/>
              <w:spacing w:line="360" w:lineRule="auto"/>
              <w:ind w:left="215" w:leftChars="95" w:hanging="16" w:hangingChars="8"/>
              <w:jc w:val="left"/>
              <w:textAlignment w:val="auto"/>
              <w:rPr>
                <w:rFonts w:hint="eastAsia"/>
                <w:color w:val="auto"/>
                <w:highlight w:val="none"/>
                <w:lang w:val="en-US" w:eastAsia="zh-CN"/>
              </w:rPr>
            </w:pPr>
            <w:r>
              <w:rPr>
                <w:rFonts w:hint="eastAsia" w:ascii="宋体" w:hAnsi="宋体" w:cs="Courier New"/>
                <w:color w:val="auto"/>
                <w:szCs w:val="21"/>
                <w:highlight w:val="none"/>
              </w:rPr>
              <w:t>▲</w:t>
            </w:r>
            <w:r>
              <w:rPr>
                <w:rFonts w:hint="eastAsia"/>
                <w:color w:val="auto"/>
                <w:highlight w:val="none"/>
                <w:lang w:val="en-US" w:eastAsia="zh-CN"/>
              </w:rPr>
              <w:t>（1）配置数控车床相同系统界面编程仿真软件；</w:t>
            </w:r>
            <w:r>
              <w:rPr>
                <w:rFonts w:hint="eastAsia"/>
                <w:color w:val="auto"/>
                <w:highlight w:val="none"/>
                <w:lang w:val="en-US" w:eastAsia="zh-CN"/>
              </w:rPr>
              <w:br w:type="textWrapping"/>
            </w:r>
            <w:r>
              <w:rPr>
                <w:rFonts w:hint="eastAsia" w:ascii="宋体" w:hAnsi="宋体" w:cs="Courier New"/>
                <w:color w:val="auto"/>
                <w:szCs w:val="21"/>
                <w:highlight w:val="none"/>
              </w:rPr>
              <w:t>▲</w:t>
            </w:r>
            <w:r>
              <w:rPr>
                <w:rFonts w:hint="eastAsia"/>
                <w:color w:val="auto"/>
                <w:highlight w:val="none"/>
                <w:lang w:val="en-US" w:eastAsia="zh-CN"/>
              </w:rPr>
              <w:t>（2）软件具备九轴九联动的系统运行界面，可以实现在电脑上模拟系统的程序加工和编程，依此来实现对程序的校验，保证程序的正确性和安全性；</w:t>
            </w:r>
            <w:r>
              <w:rPr>
                <w:rFonts w:hint="eastAsia"/>
                <w:color w:val="auto"/>
                <w:highlight w:val="none"/>
                <w:lang w:val="en-US" w:eastAsia="zh-CN"/>
              </w:rPr>
              <w:br w:type="textWrapping"/>
            </w:r>
            <w:r>
              <w:rPr>
                <w:rFonts w:hint="eastAsia"/>
                <w:color w:val="auto"/>
                <w:highlight w:val="none"/>
                <w:lang w:val="en-US" w:eastAsia="zh-CN"/>
              </w:rPr>
              <w:t>（3）可以实现在多台电脑上实现程序的编写和程序的校验，模拟软件可以实现对数控系统内部的参数进行修改和编辑；</w:t>
            </w:r>
            <w:r>
              <w:rPr>
                <w:rFonts w:hint="eastAsia"/>
                <w:color w:val="auto"/>
                <w:highlight w:val="none"/>
                <w:lang w:val="en-US" w:eastAsia="zh-CN"/>
              </w:rPr>
              <w:br w:type="textWrapping"/>
            </w:r>
            <w:r>
              <w:rPr>
                <w:rFonts w:hint="eastAsia"/>
                <w:color w:val="auto"/>
                <w:highlight w:val="none"/>
                <w:lang w:val="en-US" w:eastAsia="zh-CN"/>
              </w:rPr>
              <w:t>（4）具备自动、单段、回零，手动等加工方式以及键盘PLC控制等功能；</w:t>
            </w:r>
            <w:r>
              <w:rPr>
                <w:rFonts w:hint="eastAsia"/>
                <w:color w:val="auto"/>
                <w:highlight w:val="none"/>
                <w:lang w:val="en-US" w:eastAsia="zh-CN"/>
              </w:rPr>
              <w:br w:type="textWrapping"/>
            </w:r>
            <w:r>
              <w:rPr>
                <w:rFonts w:hint="eastAsia"/>
                <w:color w:val="auto"/>
                <w:highlight w:val="none"/>
                <w:lang w:val="en-US" w:eastAsia="zh-CN"/>
              </w:rPr>
              <w:t>（5）具备系统界面在执行系统程序时，各轴数据值会根据执行程序而发生变化，系统界面中的所有九轴数据值都可以变化；</w:t>
            </w:r>
            <w:r>
              <w:rPr>
                <w:rFonts w:hint="eastAsia"/>
                <w:color w:val="auto"/>
                <w:highlight w:val="none"/>
                <w:lang w:val="en-US" w:eastAsia="zh-CN"/>
              </w:rPr>
              <w:br w:type="textWrapping"/>
            </w:r>
            <w:r>
              <w:rPr>
                <w:rFonts w:hint="eastAsia"/>
                <w:color w:val="auto"/>
                <w:highlight w:val="none"/>
                <w:lang w:val="en-US" w:eastAsia="zh-CN"/>
              </w:rPr>
              <w:t>（6）模拟软件在系统运行程序时，可以显示运行轨迹两维和三维模拟界面，界面可以单独显示也可以同时显示，可以放大缩小画面；</w:t>
            </w:r>
            <w:r>
              <w:rPr>
                <w:rFonts w:hint="eastAsia"/>
                <w:color w:val="auto"/>
                <w:highlight w:val="none"/>
                <w:lang w:val="en-US" w:eastAsia="zh-CN"/>
              </w:rPr>
              <w:br w:type="textWrapping"/>
            </w:r>
            <w:r>
              <w:rPr>
                <w:rFonts w:hint="eastAsia" w:ascii="宋体" w:hAnsi="宋体" w:cs="Courier New"/>
                <w:color w:val="auto"/>
                <w:szCs w:val="21"/>
                <w:highlight w:val="none"/>
              </w:rPr>
              <w:t>▲</w:t>
            </w:r>
            <w:r>
              <w:rPr>
                <w:rFonts w:hint="eastAsia"/>
                <w:color w:val="auto"/>
                <w:highlight w:val="none"/>
                <w:lang w:val="en-US" w:eastAsia="zh-CN"/>
              </w:rPr>
              <w:t>（7）具备读取自动生成的代码，可减少大量编程工作。对已有的轨迹进行过程模拟，以检查轨迹的正确性。支持生成的轨迹不满意时可以修改参数值，可以把轨迹状态进行调整，以生成符合需求的运行轨迹；</w:t>
            </w:r>
            <w:r>
              <w:rPr>
                <w:rFonts w:hint="eastAsia"/>
                <w:color w:val="auto"/>
                <w:highlight w:val="none"/>
                <w:lang w:val="en-US" w:eastAsia="zh-CN"/>
              </w:rPr>
              <w:br w:type="textWrapping"/>
            </w:r>
            <w:r>
              <w:rPr>
                <w:rFonts w:hint="eastAsia"/>
                <w:color w:val="auto"/>
                <w:highlight w:val="none"/>
                <w:lang w:val="en-US" w:eastAsia="zh-CN"/>
              </w:rPr>
              <w:t>（8）仿真软件在编辑程序时包含以下功能：查找、替换、删除、复制、粘贴等功能；</w:t>
            </w:r>
            <w:r>
              <w:rPr>
                <w:rFonts w:hint="eastAsia"/>
                <w:color w:val="auto"/>
                <w:highlight w:val="none"/>
                <w:lang w:val="en-US" w:eastAsia="zh-CN"/>
              </w:rPr>
              <w:br w:type="textWrapping"/>
            </w:r>
            <w:r>
              <w:rPr>
                <w:rFonts w:hint="eastAsia"/>
                <w:color w:val="auto"/>
                <w:highlight w:val="none"/>
                <w:lang w:val="en-US" w:eastAsia="zh-CN"/>
              </w:rPr>
              <w:t>（9）软件具备用户可以二次升级系统功能和备份系统全部资料；</w:t>
            </w:r>
            <w:r>
              <w:rPr>
                <w:rFonts w:hint="eastAsia"/>
                <w:color w:val="auto"/>
                <w:highlight w:val="none"/>
                <w:lang w:val="en-US" w:eastAsia="zh-CN"/>
              </w:rPr>
              <w:br w:type="textWrapping"/>
            </w:r>
            <w:r>
              <w:rPr>
                <w:rFonts w:hint="eastAsia"/>
                <w:color w:val="auto"/>
                <w:highlight w:val="none"/>
                <w:lang w:val="en-US" w:eastAsia="zh-CN"/>
              </w:rPr>
              <w:t>（10）仿真软件具备可以修改内部设置参数，可以让用户熟悉系统参数定义和修改参数；</w:t>
            </w:r>
            <w:r>
              <w:rPr>
                <w:rFonts w:hint="eastAsia"/>
                <w:color w:val="auto"/>
                <w:highlight w:val="none"/>
                <w:lang w:val="en-US" w:eastAsia="zh-CN"/>
              </w:rPr>
              <w:br w:type="textWrapping"/>
            </w:r>
            <w:r>
              <w:rPr>
                <w:rFonts w:hint="eastAsia" w:ascii="宋体" w:hAnsi="宋体" w:cs="Courier New"/>
                <w:color w:val="auto"/>
                <w:szCs w:val="21"/>
                <w:highlight w:val="none"/>
              </w:rPr>
              <w:t>▲</w:t>
            </w:r>
            <w:r>
              <w:rPr>
                <w:rFonts w:hint="eastAsia"/>
                <w:color w:val="auto"/>
                <w:highlight w:val="none"/>
                <w:lang w:val="en-US" w:eastAsia="zh-CN"/>
              </w:rPr>
              <w:t>（11）支持仿真软件参数模块包含以下模块：用户参数，通道参数，轴参数，设备接口参数，数据表参数等；</w:t>
            </w:r>
            <w:r>
              <w:rPr>
                <w:rFonts w:hint="eastAsia"/>
                <w:color w:val="auto"/>
                <w:highlight w:val="none"/>
                <w:lang w:val="en-US" w:eastAsia="zh-CN"/>
              </w:rPr>
              <w:br w:type="textWrapping"/>
            </w:r>
            <w:r>
              <w:rPr>
                <w:rFonts w:hint="eastAsia"/>
                <w:color w:val="auto"/>
                <w:highlight w:val="none"/>
                <w:lang w:val="en-US" w:eastAsia="zh-CN"/>
              </w:rPr>
              <w:t>（12）仿真软件具备拥有检测信号的输入输出显示功能；</w:t>
            </w:r>
            <w:r>
              <w:rPr>
                <w:rFonts w:hint="eastAsia"/>
                <w:color w:val="auto"/>
                <w:highlight w:val="none"/>
                <w:lang w:val="en-US" w:eastAsia="zh-CN"/>
              </w:rPr>
              <w:br w:type="textWrapping"/>
            </w:r>
            <w:r>
              <w:rPr>
                <w:rFonts w:hint="eastAsia"/>
                <w:color w:val="auto"/>
                <w:highlight w:val="none"/>
                <w:lang w:val="en-US" w:eastAsia="zh-CN"/>
              </w:rPr>
              <w:t>（13）仿真软件具备可以查询报警信息；</w:t>
            </w:r>
            <w:r>
              <w:rPr>
                <w:rFonts w:hint="eastAsia"/>
                <w:color w:val="auto"/>
                <w:highlight w:val="none"/>
                <w:lang w:val="en-US" w:eastAsia="zh-CN"/>
              </w:rPr>
              <w:br w:type="textWrapping"/>
            </w:r>
            <w:r>
              <w:rPr>
                <w:rFonts w:hint="eastAsia"/>
                <w:color w:val="auto"/>
                <w:highlight w:val="none"/>
                <w:lang w:val="en-US" w:eastAsia="zh-CN"/>
              </w:rPr>
              <w:t>（14）仿真软件具备能够实现效验编辑好的程序，通过效验功能检查程序是否存在错误；</w:t>
            </w:r>
            <w:r>
              <w:rPr>
                <w:rFonts w:hint="eastAsia"/>
                <w:color w:val="auto"/>
                <w:highlight w:val="none"/>
                <w:lang w:val="en-US" w:eastAsia="zh-CN"/>
              </w:rPr>
              <w:br w:type="textWrapping"/>
            </w:r>
            <w:r>
              <w:rPr>
                <w:rFonts w:hint="eastAsia"/>
                <w:color w:val="auto"/>
                <w:highlight w:val="none"/>
                <w:lang w:val="en-US" w:eastAsia="zh-CN"/>
              </w:rPr>
              <w:t>（15）数控系统PLC编程软件需具备离线读取编辑PLC和在线读取编辑PLC功能；</w:t>
            </w:r>
            <w:r>
              <w:rPr>
                <w:rFonts w:hint="eastAsia"/>
                <w:color w:val="auto"/>
                <w:highlight w:val="none"/>
                <w:lang w:val="en-US" w:eastAsia="zh-CN"/>
              </w:rPr>
              <w:br w:type="textWrapping"/>
            </w:r>
            <w:r>
              <w:rPr>
                <w:rFonts w:hint="eastAsia"/>
                <w:color w:val="auto"/>
                <w:highlight w:val="none"/>
                <w:lang w:val="en-US" w:eastAsia="zh-CN"/>
              </w:rPr>
              <w:t>（16）PLC编程软件需具备和数控系统通讯功能，通过设置IP地址，连接数控系统，实现PLC在线调试；</w:t>
            </w:r>
            <w:r>
              <w:rPr>
                <w:rFonts w:hint="eastAsia"/>
                <w:color w:val="auto"/>
                <w:highlight w:val="none"/>
                <w:lang w:val="en-US" w:eastAsia="zh-CN"/>
              </w:rPr>
              <w:br w:type="textWrapping"/>
            </w:r>
            <w:r>
              <w:rPr>
                <w:rFonts w:hint="eastAsia" w:ascii="宋体" w:hAnsi="宋体" w:cs="Courier New"/>
                <w:color w:val="auto"/>
                <w:szCs w:val="21"/>
                <w:highlight w:val="none"/>
              </w:rPr>
              <w:t>▲</w:t>
            </w:r>
            <w:r>
              <w:rPr>
                <w:rFonts w:hint="eastAsia"/>
                <w:color w:val="auto"/>
                <w:highlight w:val="none"/>
                <w:lang w:val="en-US" w:eastAsia="zh-CN"/>
              </w:rPr>
              <w:t>（17）PLC功能模块中不少于100个功能单元，每个功能单元还需有对应的帮助说明。功能模块中至少包含：数据查找、T获取、用户自定义、逻辑异或、数据交换、数据获取、数据复位、热误差补偿、T响应等功能单元；</w:t>
            </w:r>
            <w:r>
              <w:rPr>
                <w:rFonts w:hint="eastAsia"/>
                <w:color w:val="auto"/>
                <w:highlight w:val="none"/>
                <w:lang w:val="en-US" w:eastAsia="zh-CN"/>
              </w:rPr>
              <w:br w:type="textWrapping"/>
            </w:r>
            <w:r>
              <w:rPr>
                <w:rFonts w:hint="eastAsia"/>
                <w:color w:val="auto"/>
                <w:highlight w:val="none"/>
                <w:lang w:val="en-US" w:eastAsia="zh-CN"/>
              </w:rPr>
              <w:t>（18）支持通过PLC编程软件plc编写，可直接给系统定义一些新的控制逻辑，便于后期学院自主开发时使用。</w:t>
            </w:r>
            <w:r>
              <w:rPr>
                <w:rFonts w:hint="eastAsia"/>
                <w:color w:val="auto"/>
                <w:highlight w:val="none"/>
                <w:lang w:val="en-US" w:eastAsia="zh-CN"/>
              </w:rPr>
              <w:br w:type="textWrapping"/>
            </w:r>
            <w:r>
              <w:rPr>
                <w:rFonts w:hint="default"/>
                <w:b/>
                <w:bCs/>
                <w:color w:val="auto"/>
                <w:highlight w:val="none"/>
                <w:lang w:val="en-US" w:eastAsia="zh-CN"/>
              </w:rPr>
              <w:t>八</w:t>
            </w:r>
            <w:r>
              <w:rPr>
                <w:rFonts w:hint="eastAsia"/>
                <w:b/>
                <w:bCs/>
                <w:color w:val="auto"/>
                <w:highlight w:val="none"/>
                <w:lang w:val="en-US" w:eastAsia="zh-CN"/>
              </w:rPr>
              <w:t>、培训要求：</w:t>
            </w:r>
            <w:r>
              <w:rPr>
                <w:rFonts w:hint="eastAsia"/>
                <w:color w:val="auto"/>
                <w:highlight w:val="none"/>
                <w:lang w:val="en-US" w:eastAsia="zh-CN"/>
              </w:rPr>
              <w:br w:type="textWrapping"/>
            </w:r>
            <w:r>
              <w:rPr>
                <w:rFonts w:hint="eastAsia"/>
                <w:color w:val="auto"/>
                <w:highlight w:val="none"/>
                <w:lang w:val="en-US" w:eastAsia="zh-CN"/>
              </w:rPr>
              <w:t>（1）成交供应商应根据新仪器特点，免费对采购人技术人员、管理人员进行操作、维修、保养等方面的专业培训，培训不少于10个工作日。成交供应商委派的专业技术人员所需费用均由成交供应商承担。</w:t>
            </w:r>
            <w:r>
              <w:rPr>
                <w:rFonts w:hint="eastAsia"/>
                <w:color w:val="auto"/>
                <w:highlight w:val="none"/>
                <w:lang w:val="en-US" w:eastAsia="zh-CN"/>
              </w:rPr>
              <w:br w:type="textWrapping"/>
            </w:r>
            <w:r>
              <w:rPr>
                <w:rFonts w:hint="eastAsia"/>
                <w:color w:val="auto"/>
                <w:highlight w:val="none"/>
                <w:lang w:val="en-US" w:eastAsia="zh-CN"/>
              </w:rPr>
              <w:t>（2）提供现场培训，可根据用户需求举办不少于二期培训，人数学院安排。帮助用户提高日常维护和设备的操作、编程满足大赛的需要。</w:t>
            </w:r>
            <w:r>
              <w:rPr>
                <w:rFonts w:hint="eastAsia"/>
                <w:color w:val="auto"/>
                <w:highlight w:val="none"/>
                <w:lang w:val="en-US" w:eastAsia="zh-CN"/>
              </w:rPr>
              <w:br w:type="textWrapping"/>
            </w:r>
            <w:r>
              <w:rPr>
                <w:rFonts w:hint="default"/>
                <w:b/>
                <w:bCs/>
                <w:color w:val="auto"/>
                <w:highlight w:val="none"/>
                <w:lang w:val="en-US" w:eastAsia="zh-CN"/>
              </w:rPr>
              <w:t>九</w:t>
            </w:r>
            <w:r>
              <w:rPr>
                <w:rFonts w:hint="eastAsia"/>
                <w:b/>
                <w:bCs/>
                <w:color w:val="auto"/>
                <w:highlight w:val="none"/>
                <w:lang w:val="en-US" w:eastAsia="zh-CN"/>
              </w:rPr>
              <w:t>、配套脚踏板</w:t>
            </w:r>
            <w:r>
              <w:rPr>
                <w:rFonts w:hint="eastAsia"/>
                <w:color w:val="auto"/>
                <w:highlight w:val="none"/>
                <w:lang w:val="en-US" w:eastAsia="zh-CN"/>
              </w:rPr>
              <w:br w:type="textWrapping"/>
            </w:r>
            <w:r>
              <w:rPr>
                <w:rFonts w:hint="eastAsia"/>
                <w:color w:val="auto"/>
                <w:highlight w:val="none"/>
                <w:lang w:val="en-US" w:eastAsia="zh-CN"/>
              </w:rPr>
              <w:t>1.边框1.2mm</w:t>
            </w:r>
            <w:r>
              <w:rPr>
                <w:rFonts w:hint="eastAsia"/>
                <w:color w:val="auto"/>
                <w:highlight w:val="none"/>
              </w:rPr>
              <w:t>（±</w:t>
            </w:r>
            <w:r>
              <w:rPr>
                <w:rFonts w:hint="eastAsia"/>
                <w:color w:val="auto"/>
                <w:highlight w:val="none"/>
                <w:lang w:val="en-US" w:eastAsia="zh-CN"/>
              </w:rPr>
              <w:t>0.5mm</w:t>
            </w:r>
            <w:r>
              <w:rPr>
                <w:rFonts w:hint="eastAsia"/>
                <w:color w:val="auto"/>
                <w:highlight w:val="none"/>
              </w:rPr>
              <w:t>）</w:t>
            </w:r>
            <w:r>
              <w:rPr>
                <w:rFonts w:hint="eastAsia"/>
                <w:color w:val="auto"/>
                <w:highlight w:val="none"/>
                <w:lang w:val="en-US" w:eastAsia="zh-CN"/>
              </w:rPr>
              <w:t>厚度钢板或硬度、钢性相当于或优于</w:t>
            </w:r>
            <w:r>
              <w:rPr>
                <w:rFonts w:hint="eastAsia"/>
                <w:color w:val="auto"/>
                <w:highlight w:val="none"/>
              </w:rPr>
              <w:t>钢板</w:t>
            </w:r>
            <w:r>
              <w:rPr>
                <w:rFonts w:hint="eastAsia"/>
                <w:color w:val="auto"/>
                <w:highlight w:val="none"/>
                <w:lang w:val="en-US" w:eastAsia="zh-CN"/>
              </w:rPr>
              <w:t>的其它材质，一体折弯；</w:t>
            </w:r>
            <w:r>
              <w:rPr>
                <w:rFonts w:hint="eastAsia"/>
                <w:color w:val="auto"/>
                <w:highlight w:val="none"/>
                <w:lang w:val="en-US" w:eastAsia="zh-CN"/>
              </w:rPr>
              <w:br w:type="textWrapping"/>
            </w:r>
            <w:r>
              <w:rPr>
                <w:rFonts w:hint="eastAsia"/>
                <w:color w:val="auto"/>
                <w:highlight w:val="none"/>
                <w:lang w:val="en-US" w:eastAsia="zh-CN"/>
              </w:rPr>
              <w:t>2.中间不少于三根3×2mm横梁，静载承重可达到≥1500公斤；</w:t>
            </w:r>
            <w:r>
              <w:rPr>
                <w:rFonts w:hint="eastAsia"/>
                <w:color w:val="auto"/>
                <w:highlight w:val="none"/>
                <w:lang w:val="en-US" w:eastAsia="zh-CN"/>
              </w:rPr>
              <w:br w:type="textWrapping"/>
            </w:r>
            <w:r>
              <w:rPr>
                <w:rFonts w:hint="eastAsia"/>
                <w:color w:val="auto"/>
                <w:highlight w:val="none"/>
                <w:lang w:val="en-US" w:eastAsia="zh-CN"/>
              </w:rPr>
              <w:t>3.站脚采用不少于6只≥M16螺杆，底盘70mm</w:t>
            </w:r>
            <w:r>
              <w:rPr>
                <w:rFonts w:hint="eastAsia"/>
                <w:color w:val="auto"/>
                <w:highlight w:val="none"/>
              </w:rPr>
              <w:t>（±</w:t>
            </w:r>
            <w:r>
              <w:rPr>
                <w:rFonts w:hint="eastAsia"/>
                <w:color w:val="auto"/>
                <w:highlight w:val="none"/>
                <w:lang w:val="en-US" w:eastAsia="zh-CN"/>
              </w:rPr>
              <w:t>5mm</w:t>
            </w:r>
            <w:r>
              <w:rPr>
                <w:rFonts w:hint="eastAsia"/>
                <w:color w:val="auto"/>
                <w:highlight w:val="none"/>
              </w:rPr>
              <w:t>）</w:t>
            </w:r>
            <w:r>
              <w:rPr>
                <w:rFonts w:hint="eastAsia"/>
                <w:color w:val="auto"/>
                <w:highlight w:val="none"/>
                <w:lang w:val="en-US" w:eastAsia="zh-CN"/>
              </w:rPr>
              <w:t>全包胶防滑站脚；</w:t>
            </w:r>
            <w:r>
              <w:rPr>
                <w:rFonts w:hint="eastAsia"/>
                <w:color w:val="auto"/>
                <w:highlight w:val="none"/>
                <w:lang w:val="en-US" w:eastAsia="zh-CN"/>
              </w:rPr>
              <w:br w:type="textWrapping"/>
            </w:r>
            <w:r>
              <w:rPr>
                <w:rFonts w:hint="eastAsia"/>
                <w:color w:val="auto"/>
                <w:highlight w:val="none"/>
                <w:lang w:val="en-US" w:eastAsia="zh-CN"/>
              </w:rPr>
              <w:t>4.产品重量不低于：25公斤；</w:t>
            </w:r>
            <w:r>
              <w:rPr>
                <w:rFonts w:hint="eastAsia"/>
                <w:color w:val="auto"/>
                <w:highlight w:val="none"/>
                <w:lang w:val="en-US" w:eastAsia="zh-CN"/>
              </w:rPr>
              <w:br w:type="textWrapping"/>
            </w:r>
            <w:r>
              <w:rPr>
                <w:rFonts w:hint="eastAsia"/>
                <w:color w:val="auto"/>
                <w:highlight w:val="none"/>
                <w:lang w:val="en-US" w:eastAsia="zh-CN"/>
              </w:rPr>
              <w:t>5.产品尺寸：长1650mm×宽650mm×高（130-160mm可调）</w:t>
            </w:r>
            <w:r>
              <w:rPr>
                <w:rFonts w:hint="eastAsia"/>
                <w:color w:val="auto"/>
                <w:highlight w:val="none"/>
              </w:rPr>
              <w:t>（±</w:t>
            </w:r>
            <w:r>
              <w:rPr>
                <w:rFonts w:hint="eastAsia"/>
                <w:color w:val="auto"/>
                <w:highlight w:val="none"/>
                <w:lang w:val="en-US" w:eastAsia="zh-CN"/>
              </w:rPr>
              <w:t>2mm</w:t>
            </w:r>
            <w:r>
              <w:rPr>
                <w:rFonts w:hint="eastAsia"/>
                <w:color w:val="auto"/>
                <w:highlight w:val="none"/>
              </w:rPr>
              <w:t>）</w:t>
            </w:r>
            <w:r>
              <w:rPr>
                <w:rFonts w:hint="eastAsia"/>
                <w:color w:val="auto"/>
                <w:highlight w:val="none"/>
                <w:lang w:val="en-US" w:eastAsia="zh-CN"/>
              </w:rPr>
              <w:t>；</w:t>
            </w:r>
            <w:r>
              <w:rPr>
                <w:rFonts w:hint="eastAsia"/>
                <w:color w:val="auto"/>
                <w:highlight w:val="none"/>
                <w:lang w:val="en-US" w:eastAsia="zh-CN"/>
              </w:rPr>
              <w:br w:type="textWrapping"/>
            </w:r>
            <w:r>
              <w:rPr>
                <w:rFonts w:hint="default"/>
                <w:b/>
                <w:bCs/>
                <w:color w:val="auto"/>
                <w:highlight w:val="none"/>
                <w:lang w:val="en-US" w:eastAsia="zh-CN"/>
              </w:rPr>
              <w:t>十</w:t>
            </w:r>
            <w:r>
              <w:rPr>
                <w:rFonts w:hint="eastAsia"/>
                <w:b/>
                <w:bCs/>
                <w:color w:val="auto"/>
                <w:highlight w:val="none"/>
                <w:lang w:val="en-US" w:eastAsia="zh-CN"/>
              </w:rPr>
              <w:t>、配套机床托盘</w:t>
            </w:r>
            <w:r>
              <w:rPr>
                <w:rFonts w:hint="eastAsia"/>
                <w:color w:val="auto"/>
                <w:highlight w:val="none"/>
                <w:lang w:val="en-US" w:eastAsia="zh-CN"/>
              </w:rPr>
              <w:br w:type="textWrapping"/>
            </w:r>
            <w:r>
              <w:rPr>
                <w:rFonts w:hint="eastAsia"/>
                <w:color w:val="auto"/>
                <w:highlight w:val="none"/>
                <w:lang w:val="en-US" w:eastAsia="zh-CN"/>
              </w:rPr>
              <w:t>1.整体为奥氏体304不绣钢或抗腐蚀与耐候性相当于或优于304不绣钢的其它材质；</w:t>
            </w:r>
            <w:r>
              <w:rPr>
                <w:rFonts w:hint="eastAsia"/>
                <w:color w:val="auto"/>
                <w:highlight w:val="none"/>
                <w:lang w:val="en-US" w:eastAsia="zh-CN"/>
              </w:rPr>
              <w:br w:type="textWrapping"/>
            </w:r>
            <w:r>
              <w:rPr>
                <w:rFonts w:hint="eastAsia"/>
                <w:color w:val="auto"/>
                <w:highlight w:val="none"/>
                <w:lang w:val="en-US" w:eastAsia="zh-CN"/>
              </w:rPr>
              <w:t>2.托盘长宽尺寸2550×1750mm，允许±10%的误差偏离；</w:t>
            </w:r>
            <w:r>
              <w:rPr>
                <w:rFonts w:hint="eastAsia"/>
                <w:color w:val="auto"/>
                <w:highlight w:val="none"/>
                <w:lang w:val="en-US" w:eastAsia="zh-CN"/>
              </w:rPr>
              <w:br w:type="textWrapping"/>
            </w:r>
            <w:r>
              <w:rPr>
                <w:rFonts w:hint="eastAsia"/>
                <w:b/>
                <w:bCs/>
                <w:color w:val="auto"/>
                <w:highlight w:val="none"/>
                <w:lang w:val="en-US" w:eastAsia="zh-CN"/>
              </w:rPr>
              <w:t>十一、工具车</w:t>
            </w:r>
            <w:r>
              <w:rPr>
                <w:rFonts w:hint="eastAsia"/>
                <w:color w:val="auto"/>
                <w:highlight w:val="none"/>
                <w:lang w:val="en-US" w:eastAsia="zh-CN"/>
              </w:rPr>
              <w:br w:type="textWrapping"/>
            </w:r>
            <w:r>
              <w:rPr>
                <w:rFonts w:hint="eastAsia"/>
                <w:color w:val="auto"/>
                <w:highlight w:val="none"/>
                <w:lang w:val="en-US" w:eastAsia="zh-CN"/>
              </w:rPr>
              <w:t>1.材质：采用不小于1.2mm</w:t>
            </w:r>
            <w:r>
              <w:rPr>
                <w:rFonts w:hint="eastAsia"/>
                <w:color w:val="auto"/>
                <w:highlight w:val="none"/>
              </w:rPr>
              <w:t>（±</w:t>
            </w:r>
            <w:r>
              <w:rPr>
                <w:rFonts w:hint="eastAsia"/>
                <w:color w:val="auto"/>
                <w:highlight w:val="none"/>
                <w:lang w:val="en-US" w:eastAsia="zh-CN"/>
              </w:rPr>
              <w:t>0.5mm</w:t>
            </w:r>
            <w:r>
              <w:rPr>
                <w:rFonts w:hint="eastAsia"/>
                <w:color w:val="auto"/>
                <w:highlight w:val="none"/>
              </w:rPr>
              <w:t>）</w:t>
            </w:r>
            <w:r>
              <w:rPr>
                <w:rFonts w:hint="eastAsia"/>
                <w:color w:val="auto"/>
                <w:highlight w:val="none"/>
                <w:lang w:val="en-US" w:eastAsia="zh-CN"/>
              </w:rPr>
              <w:t>厚的冷轧钢板或硬度、钢性相当于或优于冷轧</w:t>
            </w:r>
            <w:r>
              <w:rPr>
                <w:rFonts w:hint="eastAsia"/>
                <w:color w:val="auto"/>
                <w:highlight w:val="none"/>
              </w:rPr>
              <w:t>钢板</w:t>
            </w:r>
            <w:r>
              <w:rPr>
                <w:rFonts w:hint="eastAsia"/>
                <w:color w:val="auto"/>
                <w:highlight w:val="none"/>
                <w:lang w:val="en-US" w:eastAsia="zh-CN"/>
              </w:rPr>
              <w:t>的其它材质；</w:t>
            </w:r>
            <w:r>
              <w:rPr>
                <w:rFonts w:hint="eastAsia"/>
                <w:color w:val="auto"/>
                <w:highlight w:val="none"/>
                <w:lang w:val="en-US" w:eastAsia="zh-CN"/>
              </w:rPr>
              <w:br w:type="textWrapping"/>
            </w:r>
            <w:r>
              <w:rPr>
                <w:rFonts w:hint="eastAsia"/>
                <w:color w:val="auto"/>
                <w:highlight w:val="none"/>
                <w:lang w:val="en-US" w:eastAsia="zh-CN"/>
              </w:rPr>
              <w:t>2.内侧隔板高度可调，可根据使用情况随意调整；</w:t>
            </w:r>
            <w:r>
              <w:rPr>
                <w:rFonts w:hint="eastAsia"/>
                <w:color w:val="auto"/>
                <w:highlight w:val="none"/>
                <w:lang w:val="en-US" w:eastAsia="zh-CN"/>
              </w:rPr>
              <w:br w:type="textWrapping"/>
            </w:r>
            <w:r>
              <w:rPr>
                <w:rFonts w:hint="eastAsia"/>
                <w:color w:val="auto"/>
                <w:highlight w:val="none"/>
                <w:lang w:val="en-US" w:eastAsia="zh-CN"/>
              </w:rPr>
              <w:t>3.一体折弯工艺，承重不小于500公斤；</w:t>
            </w:r>
            <w:r>
              <w:rPr>
                <w:rFonts w:hint="eastAsia"/>
                <w:color w:val="auto"/>
                <w:highlight w:val="none"/>
                <w:lang w:val="en-US" w:eastAsia="zh-CN"/>
              </w:rPr>
              <w:br w:type="textWrapping"/>
            </w:r>
            <w:r>
              <w:rPr>
                <w:rFonts w:hint="eastAsia"/>
                <w:color w:val="auto"/>
                <w:highlight w:val="none"/>
                <w:lang w:val="en-US" w:eastAsia="zh-CN"/>
              </w:rPr>
              <w:t>4.方孔背板设计，可配挂钩挂工具；</w:t>
            </w:r>
            <w:r>
              <w:rPr>
                <w:rFonts w:hint="eastAsia"/>
                <w:color w:val="auto"/>
                <w:highlight w:val="none"/>
                <w:lang w:val="en-US" w:eastAsia="zh-CN"/>
              </w:rPr>
              <w:br w:type="textWrapping"/>
            </w:r>
            <w:r>
              <w:rPr>
                <w:rFonts w:hint="eastAsia"/>
                <w:color w:val="auto"/>
                <w:highlight w:val="none"/>
                <w:lang w:val="en-US" w:eastAsia="zh-CN"/>
              </w:rPr>
              <w:t>5.侧边可加装锁刀座，方便装刀卸刀；</w:t>
            </w:r>
            <w:r>
              <w:rPr>
                <w:rFonts w:hint="eastAsia"/>
                <w:color w:val="auto"/>
                <w:highlight w:val="none"/>
                <w:lang w:val="en-US" w:eastAsia="zh-CN"/>
              </w:rPr>
              <w:br w:type="textWrapping"/>
            </w:r>
            <w:r>
              <w:rPr>
                <w:rFonts w:hint="eastAsia"/>
                <w:color w:val="auto"/>
                <w:highlight w:val="none"/>
                <w:lang w:val="en-US" w:eastAsia="zh-CN"/>
              </w:rPr>
              <w:t>6.工具车侧面采用增强型大把手，推拉方便，强度高；</w:t>
            </w:r>
            <w:r>
              <w:rPr>
                <w:rFonts w:hint="eastAsia"/>
                <w:color w:val="auto"/>
                <w:highlight w:val="none"/>
                <w:lang w:val="en-US" w:eastAsia="zh-CN"/>
              </w:rPr>
              <w:br w:type="textWrapping"/>
            </w:r>
            <w:r>
              <w:rPr>
                <w:rFonts w:hint="eastAsia"/>
                <w:color w:val="auto"/>
                <w:highlight w:val="none"/>
                <w:lang w:val="en-US" w:eastAsia="zh-CN"/>
              </w:rPr>
              <w:t>7.侧面新增图纸袋功能，可存放图纸文件等；</w:t>
            </w:r>
            <w:r>
              <w:rPr>
                <w:rFonts w:hint="eastAsia"/>
                <w:color w:val="auto"/>
                <w:highlight w:val="none"/>
                <w:lang w:val="en-US" w:eastAsia="zh-CN"/>
              </w:rPr>
              <w:br w:type="textWrapping"/>
            </w:r>
            <w:r>
              <w:rPr>
                <w:rFonts w:hint="eastAsia"/>
                <w:color w:val="auto"/>
                <w:highlight w:val="none"/>
                <w:lang w:val="en-US" w:eastAsia="zh-CN"/>
              </w:rPr>
              <w:t>8.柜体配备万向聚酯轻音轮，耐磨防滑易推拉；</w:t>
            </w:r>
            <w:r>
              <w:rPr>
                <w:rFonts w:hint="eastAsia"/>
                <w:color w:val="auto"/>
                <w:highlight w:val="none"/>
                <w:lang w:val="en-US" w:eastAsia="zh-CN"/>
              </w:rPr>
              <w:br w:type="textWrapping"/>
            </w:r>
            <w:r>
              <w:rPr>
                <w:rFonts w:hint="eastAsia"/>
                <w:color w:val="auto"/>
                <w:highlight w:val="none"/>
                <w:lang w:val="en-US" w:eastAsia="zh-CN"/>
              </w:rPr>
              <w:t>9.整车尺寸：720×420×1390mm，允许±5%的误差偏离；</w:t>
            </w:r>
            <w:r>
              <w:rPr>
                <w:rFonts w:hint="eastAsia"/>
                <w:color w:val="auto"/>
                <w:highlight w:val="none"/>
                <w:lang w:val="en-US" w:eastAsia="zh-CN"/>
              </w:rPr>
              <w:br w:type="textWrapping"/>
            </w:r>
            <w:r>
              <w:rPr>
                <w:rFonts w:hint="eastAsia"/>
                <w:b/>
                <w:bCs/>
                <w:color w:val="auto"/>
                <w:highlight w:val="none"/>
                <w:lang w:val="en-US" w:eastAsia="zh-CN"/>
              </w:rPr>
              <w:t>十</w:t>
            </w:r>
            <w:r>
              <w:rPr>
                <w:rFonts w:hint="default"/>
                <w:b/>
                <w:bCs/>
                <w:color w:val="auto"/>
                <w:highlight w:val="none"/>
                <w:lang w:val="en-US" w:eastAsia="zh-CN"/>
              </w:rPr>
              <w:t>二</w:t>
            </w:r>
            <w:r>
              <w:rPr>
                <w:rFonts w:hint="eastAsia"/>
                <w:b/>
                <w:bCs/>
                <w:color w:val="auto"/>
                <w:highlight w:val="none"/>
                <w:lang w:val="en-US" w:eastAsia="zh-CN"/>
              </w:rPr>
              <w:t>、仿真操作台</w:t>
            </w:r>
            <w:r>
              <w:rPr>
                <w:rFonts w:hint="eastAsia"/>
                <w:color w:val="auto"/>
                <w:highlight w:val="none"/>
                <w:lang w:val="en-US" w:eastAsia="zh-CN"/>
              </w:rPr>
              <w:br w:type="textWrapping"/>
            </w:r>
            <w:r>
              <w:rPr>
                <w:rFonts w:hint="eastAsia"/>
                <w:color w:val="auto"/>
                <w:highlight w:val="none"/>
                <w:lang w:val="en-US" w:eastAsia="zh-CN"/>
              </w:rPr>
              <w:t>1.桌子长宽高尺寸：800×600×750mm(±5%）</w:t>
            </w:r>
            <w:r>
              <w:rPr>
                <w:rFonts w:hint="eastAsia"/>
                <w:color w:val="auto"/>
                <w:highlight w:val="none"/>
                <w:lang w:val="en-US" w:eastAsia="zh-CN"/>
              </w:rPr>
              <w:br w:type="textWrapping"/>
            </w:r>
            <w:r>
              <w:rPr>
                <w:rFonts w:hint="eastAsia"/>
                <w:color w:val="auto"/>
                <w:highlight w:val="none"/>
                <w:lang w:val="en-US" w:eastAsia="zh-CN"/>
              </w:rPr>
              <w:t>2.材质：台面板采用E1级25mm三聚氰胺板，PVC封边或表面硬度、耐刮擦、耐烫、耐一般酸碱腐蚀相当于或优于</w:t>
            </w:r>
            <w:r>
              <w:rPr>
                <w:rFonts w:hint="eastAsia"/>
                <w:color w:val="auto"/>
                <w:highlight w:val="none"/>
              </w:rPr>
              <w:t>三聚氰胺板</w:t>
            </w:r>
            <w:r>
              <w:rPr>
                <w:rFonts w:hint="eastAsia"/>
                <w:color w:val="auto"/>
                <w:highlight w:val="none"/>
                <w:lang w:val="en-US" w:eastAsia="zh-CN"/>
              </w:rPr>
              <w:t>的其它材质；</w:t>
            </w:r>
            <w:r>
              <w:rPr>
                <w:rFonts w:hint="eastAsia"/>
                <w:color w:val="auto"/>
                <w:highlight w:val="none"/>
                <w:lang w:val="en-US" w:eastAsia="zh-CN"/>
              </w:rPr>
              <w:br w:type="textWrapping"/>
            </w:r>
            <w:r>
              <w:rPr>
                <w:rFonts w:hint="eastAsia"/>
                <w:color w:val="auto"/>
                <w:highlight w:val="none"/>
                <w:lang w:val="en-US" w:eastAsia="zh-CN"/>
              </w:rPr>
              <w:t>3.金属桌架四脚为50×25×1.2mm(±5%），横杆：40×20×1.2mm(±5%）；</w:t>
            </w:r>
            <w:r>
              <w:rPr>
                <w:rFonts w:hint="eastAsia"/>
                <w:color w:val="auto"/>
                <w:highlight w:val="none"/>
                <w:lang w:val="en-US" w:eastAsia="zh-CN"/>
              </w:rPr>
              <w:br w:type="textWrapping"/>
            </w:r>
            <w:r>
              <w:rPr>
                <w:rFonts w:hint="eastAsia"/>
                <w:color w:val="auto"/>
                <w:highlight w:val="none"/>
                <w:lang w:val="en-US" w:eastAsia="zh-CN"/>
              </w:rPr>
              <w:t>4.凳子长宽高尺寸mm：330×240×440mm(±5%）；</w:t>
            </w:r>
            <w:r>
              <w:rPr>
                <w:rFonts w:hint="eastAsia"/>
                <w:color w:val="auto"/>
                <w:highlight w:val="none"/>
                <w:lang w:val="en-US" w:eastAsia="zh-CN"/>
              </w:rPr>
              <w:br w:type="textWrapping"/>
            </w:r>
            <w:r>
              <w:rPr>
                <w:rFonts w:hint="eastAsia"/>
                <w:color w:val="auto"/>
                <w:highlight w:val="none"/>
                <w:lang w:val="en-US" w:eastAsia="zh-CN"/>
              </w:rPr>
              <w:t>5.1.2mm</w:t>
            </w:r>
            <w:r>
              <w:rPr>
                <w:rFonts w:hint="eastAsia"/>
                <w:color w:val="auto"/>
                <w:highlight w:val="none"/>
              </w:rPr>
              <w:t>（±</w:t>
            </w:r>
            <w:r>
              <w:rPr>
                <w:rFonts w:hint="eastAsia"/>
                <w:color w:val="auto"/>
                <w:highlight w:val="none"/>
                <w:lang w:val="en-US" w:eastAsia="zh-CN"/>
              </w:rPr>
              <w:t>0.5mm</w:t>
            </w:r>
            <w:r>
              <w:rPr>
                <w:rFonts w:hint="eastAsia"/>
                <w:color w:val="auto"/>
                <w:highlight w:val="none"/>
              </w:rPr>
              <w:t>）</w:t>
            </w:r>
            <w:r>
              <w:rPr>
                <w:rFonts w:hint="eastAsia"/>
                <w:color w:val="auto"/>
                <w:highlight w:val="none"/>
                <w:lang w:val="en-US" w:eastAsia="zh-CN"/>
              </w:rPr>
              <w:t>壁厚冷扎钢管脚架或硬度、钢性相当于或优于冷扎</w:t>
            </w:r>
            <w:r>
              <w:rPr>
                <w:rFonts w:hint="eastAsia"/>
                <w:color w:val="auto"/>
                <w:highlight w:val="none"/>
              </w:rPr>
              <w:t>钢</w:t>
            </w:r>
            <w:r>
              <w:rPr>
                <w:rFonts w:hint="eastAsia"/>
                <w:color w:val="auto"/>
                <w:highlight w:val="none"/>
                <w:lang w:val="en-US" w:eastAsia="zh-CN"/>
              </w:rPr>
              <w:t>管的其它材质，25mm</w:t>
            </w:r>
            <w:r>
              <w:rPr>
                <w:rFonts w:hint="eastAsia"/>
                <w:color w:val="auto"/>
                <w:highlight w:val="none"/>
              </w:rPr>
              <w:t>（±</w:t>
            </w:r>
            <w:r>
              <w:rPr>
                <w:rFonts w:hint="eastAsia"/>
                <w:color w:val="auto"/>
                <w:highlight w:val="none"/>
                <w:lang w:val="en-US" w:eastAsia="zh-CN"/>
              </w:rPr>
              <w:t>2mm</w:t>
            </w:r>
            <w:r>
              <w:rPr>
                <w:rFonts w:hint="eastAsia"/>
                <w:color w:val="auto"/>
                <w:highlight w:val="none"/>
              </w:rPr>
              <w:t>）</w:t>
            </w:r>
            <w:r>
              <w:rPr>
                <w:rFonts w:hint="eastAsia"/>
                <w:color w:val="auto"/>
                <w:highlight w:val="none"/>
                <w:lang w:val="en-US" w:eastAsia="zh-CN"/>
              </w:rPr>
              <w:t>厚刨花板凳面板或变形度、防潮、结实度相当于或优于刨花板的其它材质；</w:t>
            </w:r>
            <w:r>
              <w:rPr>
                <w:rFonts w:hint="eastAsia"/>
                <w:color w:val="auto"/>
                <w:highlight w:val="none"/>
                <w:lang w:val="en-US" w:eastAsia="zh-CN"/>
              </w:rPr>
              <w:br w:type="textWrapping"/>
            </w:r>
            <w:r>
              <w:rPr>
                <w:rFonts w:hint="eastAsia"/>
                <w:b/>
                <w:bCs/>
                <w:color w:val="auto"/>
                <w:highlight w:val="none"/>
                <w:lang w:val="en-US" w:eastAsia="zh-CN"/>
              </w:rPr>
              <w:t>十</w:t>
            </w:r>
            <w:r>
              <w:rPr>
                <w:rFonts w:hint="default"/>
                <w:b/>
                <w:bCs/>
                <w:color w:val="auto"/>
                <w:highlight w:val="none"/>
                <w:lang w:val="en-US" w:eastAsia="zh-CN"/>
              </w:rPr>
              <w:t>三</w:t>
            </w:r>
            <w:r>
              <w:rPr>
                <w:rFonts w:hint="eastAsia"/>
                <w:b/>
                <w:bCs/>
                <w:color w:val="auto"/>
                <w:highlight w:val="none"/>
                <w:lang w:val="en-US" w:eastAsia="zh-CN"/>
              </w:rPr>
              <w:t>、配套刀量具</w:t>
            </w:r>
            <w:r>
              <w:rPr>
                <w:rFonts w:hint="eastAsia"/>
                <w:color w:val="auto"/>
                <w:highlight w:val="none"/>
                <w:lang w:val="en-US" w:eastAsia="zh-CN"/>
              </w:rPr>
              <w:br w:type="textWrapping"/>
            </w:r>
            <w:r>
              <w:rPr>
                <w:rFonts w:hint="eastAsia"/>
                <w:color w:val="auto"/>
                <w:highlight w:val="none"/>
                <w:lang w:val="en-US" w:eastAsia="zh-CN"/>
              </w:rPr>
              <w:t>1.80°42CrMnTi外圆粗车刀：2把；</w:t>
            </w:r>
            <w:r>
              <w:rPr>
                <w:rFonts w:hint="eastAsia"/>
                <w:color w:val="auto"/>
                <w:highlight w:val="none"/>
                <w:lang w:val="en-US" w:eastAsia="zh-CN"/>
              </w:rPr>
              <w:br w:type="textWrapping"/>
            </w:r>
            <w:r>
              <w:rPr>
                <w:rFonts w:hint="eastAsia"/>
                <w:color w:val="auto"/>
                <w:highlight w:val="none"/>
                <w:lang w:val="en-US" w:eastAsia="zh-CN"/>
              </w:rPr>
              <w:t>2.80°硬质合金车刀刀片：2盒；</w:t>
            </w:r>
            <w:r>
              <w:rPr>
                <w:rFonts w:hint="eastAsia"/>
                <w:color w:val="auto"/>
                <w:highlight w:val="none"/>
                <w:lang w:val="en-US" w:eastAsia="zh-CN"/>
              </w:rPr>
              <w:br w:type="textWrapping"/>
            </w:r>
            <w:r>
              <w:rPr>
                <w:rFonts w:hint="eastAsia"/>
                <w:color w:val="auto"/>
                <w:highlight w:val="none"/>
                <w:lang w:val="en-US" w:eastAsia="zh-CN"/>
              </w:rPr>
              <w:t>3.35°42CrMnTi外圆精车刀：2把；</w:t>
            </w:r>
            <w:r>
              <w:rPr>
                <w:rFonts w:hint="eastAsia"/>
                <w:color w:val="auto"/>
                <w:highlight w:val="none"/>
                <w:lang w:val="en-US" w:eastAsia="zh-CN"/>
              </w:rPr>
              <w:br w:type="textWrapping"/>
            </w:r>
            <w:r>
              <w:rPr>
                <w:rFonts w:hint="eastAsia"/>
                <w:color w:val="auto"/>
                <w:highlight w:val="none"/>
                <w:lang w:val="en-US" w:eastAsia="zh-CN"/>
              </w:rPr>
              <w:t>4.35°硬质合金车刀刀片：2盒；</w:t>
            </w:r>
            <w:r>
              <w:rPr>
                <w:rFonts w:hint="eastAsia"/>
                <w:color w:val="auto"/>
                <w:highlight w:val="none"/>
                <w:lang w:val="en-US" w:eastAsia="zh-CN"/>
              </w:rPr>
              <w:br w:type="textWrapping"/>
            </w:r>
            <w:r>
              <w:rPr>
                <w:rFonts w:hint="eastAsia"/>
                <w:color w:val="auto"/>
                <w:highlight w:val="none"/>
                <w:lang w:val="en-US" w:eastAsia="zh-CN"/>
              </w:rPr>
              <w:t>5.42CrMnTi切槽刀：2把；</w:t>
            </w:r>
            <w:r>
              <w:rPr>
                <w:rFonts w:hint="eastAsia"/>
                <w:color w:val="auto"/>
                <w:highlight w:val="none"/>
                <w:lang w:val="en-US" w:eastAsia="zh-CN"/>
              </w:rPr>
              <w:br w:type="textWrapping"/>
            </w:r>
            <w:r>
              <w:rPr>
                <w:rFonts w:hint="eastAsia"/>
                <w:color w:val="auto"/>
                <w:highlight w:val="none"/>
                <w:lang w:val="en-US" w:eastAsia="zh-CN"/>
              </w:rPr>
              <w:t>6.三个硬质合金宽槽刀刀片：2盒；</w:t>
            </w:r>
            <w:r>
              <w:rPr>
                <w:rFonts w:hint="eastAsia"/>
                <w:color w:val="auto"/>
                <w:highlight w:val="none"/>
                <w:lang w:val="en-US" w:eastAsia="zh-CN"/>
              </w:rPr>
              <w:br w:type="textWrapping"/>
            </w:r>
            <w:r>
              <w:rPr>
                <w:rFonts w:hint="eastAsia"/>
                <w:color w:val="auto"/>
                <w:highlight w:val="none"/>
                <w:lang w:val="en-US" w:eastAsia="zh-CN"/>
              </w:rPr>
              <w:t>7.42CrMnTi外螺纹刀车刀：2把；</w:t>
            </w:r>
            <w:r>
              <w:rPr>
                <w:rFonts w:hint="eastAsia"/>
                <w:color w:val="auto"/>
                <w:highlight w:val="none"/>
                <w:lang w:val="en-US" w:eastAsia="zh-CN"/>
              </w:rPr>
              <w:br w:type="textWrapping"/>
            </w:r>
            <w:r>
              <w:rPr>
                <w:rFonts w:hint="eastAsia"/>
                <w:color w:val="auto"/>
                <w:highlight w:val="none"/>
                <w:lang w:val="en-US" w:eastAsia="zh-CN"/>
              </w:rPr>
              <w:t>8.60°硬质合金外螺纹刀车刀片：2盒；</w:t>
            </w:r>
            <w:r>
              <w:rPr>
                <w:rFonts w:hint="eastAsia"/>
                <w:color w:val="auto"/>
                <w:highlight w:val="none"/>
                <w:lang w:val="en-US" w:eastAsia="zh-CN"/>
              </w:rPr>
              <w:br w:type="textWrapping"/>
            </w:r>
            <w:r>
              <w:rPr>
                <w:rFonts w:hint="eastAsia"/>
                <w:color w:val="auto"/>
                <w:highlight w:val="none"/>
                <w:lang w:val="en-US" w:eastAsia="zh-CN"/>
              </w:rPr>
              <w:t>9.42CrMnTi内孔镗刀：2把；</w:t>
            </w:r>
            <w:r>
              <w:rPr>
                <w:rFonts w:hint="eastAsia"/>
                <w:color w:val="auto"/>
                <w:highlight w:val="none"/>
                <w:lang w:val="en-US" w:eastAsia="zh-CN"/>
              </w:rPr>
              <w:br w:type="textWrapping"/>
            </w:r>
            <w:r>
              <w:rPr>
                <w:rFonts w:hint="eastAsia"/>
                <w:color w:val="auto"/>
                <w:highlight w:val="none"/>
                <w:lang w:val="en-US" w:eastAsia="zh-CN"/>
              </w:rPr>
              <w:t>10.内孔硬质合金镗刀刀片：2盒；</w:t>
            </w:r>
            <w:r>
              <w:rPr>
                <w:rFonts w:hint="eastAsia"/>
                <w:color w:val="auto"/>
                <w:highlight w:val="none"/>
                <w:lang w:val="en-US" w:eastAsia="zh-CN"/>
              </w:rPr>
              <w:br w:type="textWrapping"/>
            </w:r>
            <w:r>
              <w:rPr>
                <w:rFonts w:hint="eastAsia"/>
                <w:color w:val="auto"/>
                <w:highlight w:val="none"/>
                <w:lang w:val="en-US" w:eastAsia="zh-CN"/>
              </w:rPr>
              <w:t>11.42CrMnTi内孔螺纹车刀：2把；</w:t>
            </w:r>
            <w:r>
              <w:rPr>
                <w:rFonts w:hint="eastAsia"/>
                <w:color w:val="auto"/>
                <w:highlight w:val="none"/>
                <w:lang w:val="en-US" w:eastAsia="zh-CN"/>
              </w:rPr>
              <w:br w:type="textWrapping"/>
            </w:r>
            <w:r>
              <w:rPr>
                <w:rFonts w:hint="eastAsia"/>
                <w:color w:val="auto"/>
                <w:highlight w:val="none"/>
                <w:lang w:val="en-US" w:eastAsia="zh-CN"/>
              </w:rPr>
              <w:t>12.内孔硬质合金螺纹车刀刀片：2盒；</w:t>
            </w:r>
            <w:r>
              <w:rPr>
                <w:rFonts w:hint="eastAsia"/>
                <w:color w:val="auto"/>
                <w:highlight w:val="none"/>
                <w:lang w:val="en-US" w:eastAsia="zh-CN"/>
              </w:rPr>
              <w:br w:type="textWrapping"/>
            </w:r>
            <w:r>
              <w:rPr>
                <w:rFonts w:hint="eastAsia"/>
                <w:color w:val="auto"/>
                <w:highlight w:val="none"/>
                <w:lang w:val="en-US" w:eastAsia="zh-CN"/>
              </w:rPr>
              <w:t>13.麻花钻：φ3，φ5，φ7，φ9，φ11各一把：2套；</w:t>
            </w:r>
            <w:r>
              <w:rPr>
                <w:rFonts w:hint="eastAsia"/>
                <w:color w:val="auto"/>
                <w:highlight w:val="none"/>
                <w:lang w:val="en-US" w:eastAsia="zh-CN"/>
              </w:rPr>
              <w:br w:type="textWrapping"/>
            </w:r>
            <w:r>
              <w:rPr>
                <w:rFonts w:hint="eastAsia"/>
                <w:color w:val="auto"/>
                <w:highlight w:val="none"/>
                <w:lang w:val="en-US" w:eastAsia="zh-CN"/>
              </w:rPr>
              <w:t>14.中心钻：2把；</w:t>
            </w:r>
            <w:r>
              <w:rPr>
                <w:rFonts w:hint="eastAsia"/>
                <w:color w:val="auto"/>
                <w:highlight w:val="none"/>
                <w:lang w:val="en-US" w:eastAsia="zh-CN"/>
              </w:rPr>
              <w:br w:type="textWrapping"/>
            </w:r>
            <w:r>
              <w:rPr>
                <w:rFonts w:hint="eastAsia"/>
                <w:color w:val="auto"/>
                <w:highlight w:val="none"/>
                <w:lang w:val="en-US" w:eastAsia="zh-CN"/>
              </w:rPr>
              <w:t>15.丝锥扳手：2把；</w:t>
            </w:r>
            <w:r>
              <w:rPr>
                <w:rFonts w:hint="eastAsia"/>
                <w:color w:val="auto"/>
                <w:highlight w:val="none"/>
                <w:lang w:val="en-US" w:eastAsia="zh-CN"/>
              </w:rPr>
              <w:br w:type="textWrapping"/>
            </w:r>
            <w:r>
              <w:rPr>
                <w:rFonts w:hint="eastAsia"/>
                <w:color w:val="auto"/>
                <w:highlight w:val="none"/>
                <w:lang w:val="en-US" w:eastAsia="zh-CN"/>
              </w:rPr>
              <w:t>16.丝锥M12：2把；</w:t>
            </w:r>
            <w:r>
              <w:rPr>
                <w:rFonts w:hint="eastAsia"/>
                <w:color w:val="auto"/>
                <w:highlight w:val="none"/>
                <w:lang w:val="en-US" w:eastAsia="zh-CN"/>
              </w:rPr>
              <w:br w:type="textWrapping"/>
            </w:r>
            <w:r>
              <w:rPr>
                <w:rFonts w:hint="eastAsia"/>
                <w:color w:val="auto"/>
                <w:highlight w:val="none"/>
                <w:lang w:val="en-US" w:eastAsia="zh-CN"/>
              </w:rPr>
              <w:t>17.螺纹刀座：2把；</w:t>
            </w:r>
            <w:r>
              <w:rPr>
                <w:rFonts w:hint="eastAsia"/>
                <w:color w:val="auto"/>
                <w:highlight w:val="none"/>
                <w:lang w:val="en-US" w:eastAsia="zh-CN"/>
              </w:rPr>
              <w:br w:type="textWrapping"/>
            </w:r>
            <w:r>
              <w:rPr>
                <w:rFonts w:hint="eastAsia"/>
                <w:color w:val="auto"/>
                <w:highlight w:val="none"/>
                <w:lang w:val="en-US" w:eastAsia="zh-CN"/>
              </w:rPr>
              <w:t>18.内六角扳手：2套；</w:t>
            </w:r>
            <w:r>
              <w:rPr>
                <w:rFonts w:hint="eastAsia"/>
                <w:color w:val="auto"/>
                <w:highlight w:val="none"/>
                <w:lang w:val="en-US" w:eastAsia="zh-CN"/>
              </w:rPr>
              <w:br w:type="textWrapping"/>
            </w:r>
            <w:r>
              <w:rPr>
                <w:rFonts w:hint="eastAsia"/>
                <w:color w:val="auto"/>
                <w:highlight w:val="none"/>
                <w:lang w:val="en-US" w:eastAsia="zh-CN"/>
              </w:rPr>
              <w:t>19.直尺：2把；</w:t>
            </w:r>
            <w:r>
              <w:rPr>
                <w:rFonts w:hint="eastAsia"/>
                <w:color w:val="auto"/>
                <w:highlight w:val="none"/>
                <w:lang w:val="en-US" w:eastAsia="zh-CN"/>
              </w:rPr>
              <w:br w:type="textWrapping"/>
            </w:r>
            <w:r>
              <w:rPr>
                <w:rFonts w:hint="eastAsia"/>
                <w:color w:val="auto"/>
                <w:highlight w:val="none"/>
                <w:lang w:val="en-US" w:eastAsia="zh-CN"/>
              </w:rPr>
              <w:t>20.数显游标卡尺：量程0-200mm：2把；</w:t>
            </w:r>
            <w:r>
              <w:rPr>
                <w:rFonts w:hint="eastAsia"/>
                <w:color w:val="auto"/>
                <w:highlight w:val="none"/>
                <w:lang w:val="en-US" w:eastAsia="zh-CN"/>
              </w:rPr>
              <w:br w:type="textWrapping"/>
            </w:r>
            <w:r>
              <w:rPr>
                <w:rFonts w:hint="eastAsia"/>
                <w:color w:val="auto"/>
                <w:highlight w:val="none"/>
                <w:lang w:val="en-US" w:eastAsia="zh-CN"/>
              </w:rPr>
              <w:t>21.千分尺：直径20-50mm：2把；</w:t>
            </w:r>
            <w:r>
              <w:rPr>
                <w:rFonts w:hint="eastAsia"/>
                <w:color w:val="auto"/>
                <w:highlight w:val="none"/>
                <w:lang w:val="en-US" w:eastAsia="zh-CN"/>
              </w:rPr>
              <w:br w:type="textWrapping"/>
            </w:r>
            <w:r>
              <w:rPr>
                <w:rFonts w:hint="eastAsia"/>
                <w:color w:val="auto"/>
                <w:highlight w:val="none"/>
                <w:lang w:val="en-US" w:eastAsia="zh-CN"/>
              </w:rPr>
              <w:t>22.杠杆百分表：精度0.01mm：2把；</w:t>
            </w:r>
            <w:r>
              <w:rPr>
                <w:rFonts w:hint="eastAsia"/>
                <w:color w:val="auto"/>
                <w:highlight w:val="none"/>
                <w:lang w:val="en-US" w:eastAsia="zh-CN"/>
              </w:rPr>
              <w:br w:type="textWrapping"/>
            </w:r>
            <w:r>
              <w:rPr>
                <w:rFonts w:hint="eastAsia"/>
                <w:color w:val="auto"/>
                <w:highlight w:val="none"/>
                <w:lang w:val="en-US" w:eastAsia="zh-CN"/>
              </w:rPr>
              <w:t>23.磁性表座：2把；</w:t>
            </w:r>
            <w:r>
              <w:rPr>
                <w:rFonts w:hint="eastAsia"/>
                <w:color w:val="auto"/>
                <w:highlight w:val="none"/>
                <w:lang w:val="en-US" w:eastAsia="zh-CN"/>
              </w:rPr>
              <w:br w:type="textWrapping"/>
            </w:r>
            <w:r>
              <w:rPr>
                <w:rFonts w:hint="eastAsia"/>
                <w:color w:val="auto"/>
                <w:highlight w:val="none"/>
                <w:lang w:val="en-US" w:eastAsia="zh-CN"/>
              </w:rPr>
              <w:t>24.冷却液：10L；</w:t>
            </w:r>
            <w:r>
              <w:rPr>
                <w:rFonts w:hint="eastAsia"/>
                <w:color w:val="auto"/>
                <w:highlight w:val="none"/>
                <w:lang w:val="en-US" w:eastAsia="zh-CN"/>
              </w:rPr>
              <w:br w:type="textWrapping"/>
            </w:r>
            <w:r>
              <w:rPr>
                <w:rFonts w:hint="eastAsia"/>
                <w:color w:val="auto"/>
                <w:highlight w:val="none"/>
                <w:lang w:val="en-US" w:eastAsia="zh-CN"/>
              </w:rPr>
              <w:t>25.润滑油：10L；</w:t>
            </w:r>
            <w:r>
              <w:rPr>
                <w:rFonts w:hint="eastAsia"/>
                <w:color w:val="auto"/>
                <w:highlight w:val="none"/>
                <w:lang w:val="en-US" w:eastAsia="zh-CN"/>
              </w:rPr>
              <w:br w:type="textWrapping"/>
            </w:r>
            <w:r>
              <w:rPr>
                <w:rFonts w:hint="eastAsia"/>
                <w:color w:val="auto"/>
                <w:highlight w:val="none"/>
                <w:lang w:val="en-US" w:eastAsia="zh-CN"/>
              </w:rPr>
              <w:t>26.Ø35×150mm</w:t>
            </w:r>
            <w:r>
              <w:rPr>
                <w:rFonts w:hint="eastAsia"/>
                <w:color w:val="auto"/>
                <w:highlight w:val="none"/>
              </w:rPr>
              <w:t>（±</w:t>
            </w:r>
            <w:r>
              <w:rPr>
                <w:rFonts w:hint="eastAsia"/>
                <w:color w:val="auto"/>
                <w:highlight w:val="none"/>
                <w:lang w:val="en-US" w:eastAsia="zh-CN"/>
              </w:rPr>
              <w:t>2mm</w:t>
            </w:r>
            <w:r>
              <w:rPr>
                <w:rFonts w:hint="eastAsia"/>
                <w:color w:val="auto"/>
                <w:highlight w:val="none"/>
              </w:rPr>
              <w:t>）</w:t>
            </w:r>
            <w:r>
              <w:rPr>
                <w:rFonts w:hint="eastAsia"/>
                <w:color w:val="auto"/>
                <w:highlight w:val="none"/>
                <w:lang w:val="en-US" w:eastAsia="zh-CN"/>
              </w:rPr>
              <w:t>PP棒：100根；</w:t>
            </w:r>
            <w:r>
              <w:rPr>
                <w:rFonts w:hint="eastAsia"/>
                <w:color w:val="auto"/>
                <w:highlight w:val="none"/>
                <w:lang w:val="en-US" w:eastAsia="zh-CN"/>
              </w:rPr>
              <w:br w:type="textWrapping"/>
            </w:r>
            <w:r>
              <w:rPr>
                <w:rFonts w:hint="eastAsia"/>
                <w:color w:val="auto"/>
                <w:highlight w:val="none"/>
                <w:lang w:val="en-US" w:eastAsia="zh-CN"/>
              </w:rPr>
              <w:t>27.Ø50×150mm</w:t>
            </w:r>
            <w:r>
              <w:rPr>
                <w:rFonts w:hint="eastAsia"/>
                <w:color w:val="auto"/>
                <w:highlight w:val="none"/>
              </w:rPr>
              <w:t>（±</w:t>
            </w:r>
            <w:r>
              <w:rPr>
                <w:rFonts w:hint="eastAsia"/>
                <w:color w:val="auto"/>
                <w:highlight w:val="none"/>
                <w:lang w:val="en-US" w:eastAsia="zh-CN"/>
              </w:rPr>
              <w:t>2mm</w:t>
            </w:r>
            <w:r>
              <w:rPr>
                <w:rFonts w:hint="eastAsia"/>
                <w:color w:val="auto"/>
                <w:highlight w:val="none"/>
              </w:rPr>
              <w:t>）</w:t>
            </w:r>
            <w:r>
              <w:rPr>
                <w:rFonts w:hint="eastAsia"/>
                <w:color w:val="auto"/>
                <w:highlight w:val="none"/>
                <w:lang w:val="en-US" w:eastAsia="zh-CN"/>
              </w:rPr>
              <w:t>PP棒：100根；</w:t>
            </w:r>
            <w:r>
              <w:rPr>
                <w:rFonts w:hint="eastAsia"/>
                <w:color w:val="auto"/>
                <w:highlight w:val="none"/>
                <w:lang w:val="en-US" w:eastAsia="zh-CN"/>
              </w:rPr>
              <w:br w:type="textWrapping"/>
            </w:r>
            <w:r>
              <w:rPr>
                <w:rFonts w:hint="eastAsia"/>
                <w:b/>
                <w:bCs/>
                <w:color w:val="auto"/>
                <w:highlight w:val="none"/>
                <w:lang w:val="en-US" w:eastAsia="zh-CN"/>
              </w:rPr>
              <w:t>十</w:t>
            </w:r>
            <w:r>
              <w:rPr>
                <w:rFonts w:hint="default"/>
                <w:b/>
                <w:bCs/>
                <w:color w:val="auto"/>
                <w:highlight w:val="none"/>
                <w:lang w:val="en-US" w:eastAsia="zh-CN"/>
              </w:rPr>
              <w:t>四</w:t>
            </w:r>
            <w:r>
              <w:rPr>
                <w:rFonts w:hint="eastAsia"/>
                <w:b/>
                <w:bCs/>
                <w:color w:val="auto"/>
                <w:highlight w:val="none"/>
                <w:lang w:val="en-US" w:eastAsia="zh-CN"/>
              </w:rPr>
              <w:t>、CAM 软件</w:t>
            </w:r>
            <w:r>
              <w:rPr>
                <w:rFonts w:hint="eastAsia"/>
                <w:color w:val="auto"/>
                <w:highlight w:val="none"/>
                <w:lang w:val="en-US" w:eastAsia="zh-CN"/>
              </w:rPr>
              <w:br w:type="textWrapping"/>
            </w:r>
            <w:r>
              <w:rPr>
                <w:rFonts w:hint="eastAsia"/>
                <w:color w:val="auto"/>
                <w:highlight w:val="none"/>
                <w:lang w:val="en-US" w:eastAsia="zh-CN"/>
              </w:rPr>
              <w:t>（一）CAD模块</w:t>
            </w:r>
            <w:r>
              <w:rPr>
                <w:rFonts w:hint="eastAsia"/>
                <w:color w:val="auto"/>
                <w:highlight w:val="none"/>
                <w:lang w:val="en-US" w:eastAsia="zh-CN"/>
              </w:rPr>
              <w:br w:type="textWrapping"/>
            </w:r>
            <w:r>
              <w:rPr>
                <w:rFonts w:hint="eastAsia" w:ascii="宋体" w:hAnsi="宋体" w:cs="Courier New"/>
                <w:color w:val="auto"/>
                <w:szCs w:val="21"/>
                <w:highlight w:val="none"/>
              </w:rPr>
              <w:t>▲</w:t>
            </w:r>
            <w:r>
              <w:rPr>
                <w:rFonts w:hint="eastAsia"/>
                <w:color w:val="auto"/>
                <w:highlight w:val="none"/>
                <w:lang w:val="en-US" w:eastAsia="zh-CN"/>
              </w:rPr>
              <w:t>1.具有叶片建模、流道建模、过渡圆角建模等较强的涡轮构造能力，解决模型表面不光滑、参数不均匀的问题；</w:t>
            </w:r>
            <w:r>
              <w:rPr>
                <w:rFonts w:hint="eastAsia"/>
                <w:color w:val="auto"/>
                <w:highlight w:val="none"/>
                <w:lang w:val="en-US" w:eastAsia="zh-CN"/>
              </w:rPr>
              <w:br w:type="textWrapping"/>
            </w:r>
            <w:r>
              <w:rPr>
                <w:rFonts w:hint="eastAsia"/>
                <w:color w:val="auto"/>
                <w:highlight w:val="none"/>
                <w:lang w:val="en-US" w:eastAsia="zh-CN"/>
              </w:rPr>
              <w:t>2.支持NREC文件导入建模；</w:t>
            </w:r>
            <w:r>
              <w:rPr>
                <w:rFonts w:hint="eastAsia"/>
                <w:color w:val="auto"/>
                <w:highlight w:val="none"/>
                <w:lang w:val="en-US" w:eastAsia="zh-CN"/>
              </w:rPr>
              <w:br w:type="textWrapping"/>
            </w:r>
            <w:r>
              <w:rPr>
                <w:rFonts w:hint="eastAsia"/>
                <w:color w:val="auto"/>
                <w:highlight w:val="none"/>
                <w:lang w:val="en-US" w:eastAsia="zh-CN"/>
              </w:rPr>
              <w:t>3.支持分析、修改、替换曲面模型上的UV方向；</w:t>
            </w:r>
            <w:r>
              <w:rPr>
                <w:rFonts w:hint="eastAsia"/>
                <w:color w:val="auto"/>
                <w:highlight w:val="none"/>
                <w:lang w:val="en-US" w:eastAsia="zh-CN"/>
              </w:rPr>
              <w:br w:type="textWrapping"/>
            </w:r>
            <w:r>
              <w:rPr>
                <w:rFonts w:hint="eastAsia"/>
                <w:color w:val="auto"/>
                <w:highlight w:val="none"/>
                <w:lang w:val="en-US" w:eastAsia="zh-CN"/>
              </w:rPr>
              <w:t>4.具有较强的曲面设计功能，包括曲面新建、裁剪、扩展、偏置等，实现修改原始曲面以及比较误差；</w:t>
            </w:r>
            <w:r>
              <w:rPr>
                <w:rFonts w:hint="eastAsia"/>
                <w:color w:val="auto"/>
                <w:highlight w:val="none"/>
                <w:lang w:val="en-US" w:eastAsia="zh-CN"/>
              </w:rPr>
              <w:br w:type="textWrapping"/>
            </w:r>
            <w:r>
              <w:rPr>
                <w:rFonts w:hint="eastAsia"/>
                <w:color w:val="auto"/>
                <w:highlight w:val="none"/>
                <w:lang w:val="en-US" w:eastAsia="zh-CN"/>
              </w:rPr>
              <w:t>5.支持沿串联线阵列分布线框、曲面、实体等图素；</w:t>
            </w:r>
            <w:r>
              <w:rPr>
                <w:rFonts w:hint="eastAsia"/>
                <w:color w:val="auto"/>
                <w:highlight w:val="none"/>
                <w:lang w:val="en-US" w:eastAsia="zh-CN"/>
              </w:rPr>
              <w:br w:type="textWrapping"/>
            </w:r>
            <w:r>
              <w:rPr>
                <w:rFonts w:hint="eastAsia"/>
                <w:color w:val="auto"/>
                <w:highlight w:val="none"/>
                <w:lang w:val="en-US" w:eastAsia="zh-CN"/>
              </w:rPr>
              <w:t>6.能够实现曲线拼接、打断、倒角、倒圆角等操作；</w:t>
            </w:r>
            <w:r>
              <w:rPr>
                <w:rFonts w:hint="eastAsia"/>
                <w:color w:val="auto"/>
                <w:highlight w:val="none"/>
                <w:lang w:val="en-US" w:eastAsia="zh-CN"/>
              </w:rPr>
              <w:br w:type="textWrapping"/>
            </w:r>
            <w:r>
              <w:rPr>
                <w:rFonts w:hint="eastAsia"/>
                <w:color w:val="auto"/>
                <w:highlight w:val="none"/>
                <w:lang w:val="en-US" w:eastAsia="zh-CN"/>
              </w:rPr>
              <w:t>7.具有测量功能，包括距离测量、角度测量、长度测量、直径测量、半径测量等；</w:t>
            </w:r>
            <w:r>
              <w:rPr>
                <w:rFonts w:hint="eastAsia"/>
                <w:color w:val="auto"/>
                <w:highlight w:val="none"/>
                <w:lang w:val="en-US" w:eastAsia="zh-CN"/>
              </w:rPr>
              <w:br w:type="textWrapping"/>
            </w:r>
            <w:r>
              <w:rPr>
                <w:rFonts w:hint="eastAsia"/>
                <w:color w:val="auto"/>
                <w:highlight w:val="none"/>
                <w:lang w:val="en-US" w:eastAsia="zh-CN"/>
              </w:rPr>
              <w:t>8.具有较强的复杂模型的细化和分析能力，支持提取模型的实体、面、线、点等；</w:t>
            </w:r>
            <w:r>
              <w:rPr>
                <w:rFonts w:hint="eastAsia"/>
                <w:color w:val="auto"/>
                <w:highlight w:val="none"/>
                <w:lang w:val="en-US" w:eastAsia="zh-CN"/>
              </w:rPr>
              <w:br w:type="textWrapping"/>
            </w:r>
            <w:r>
              <w:rPr>
                <w:rFonts w:hint="eastAsia"/>
                <w:color w:val="auto"/>
                <w:highlight w:val="none"/>
                <w:lang w:val="en-US" w:eastAsia="zh-CN"/>
              </w:rPr>
              <w:t>9.具有模型修复功能，包括重建面、替换面、填充面、缝合面等。</w:t>
            </w:r>
            <w:r>
              <w:rPr>
                <w:rFonts w:hint="eastAsia"/>
                <w:color w:val="auto"/>
                <w:highlight w:val="none"/>
                <w:lang w:val="en-US" w:eastAsia="zh-CN"/>
              </w:rPr>
              <w:br w:type="textWrapping"/>
            </w:r>
            <w:r>
              <w:rPr>
                <w:rFonts w:hint="eastAsia"/>
                <w:color w:val="auto"/>
                <w:highlight w:val="none"/>
                <w:lang w:val="en-US" w:eastAsia="zh-CN"/>
              </w:rPr>
              <w:t>10.支持标注，包括注释和引导线，增强表达清晰度和提升效率的能力；</w:t>
            </w:r>
            <w:r>
              <w:rPr>
                <w:rFonts w:hint="eastAsia"/>
                <w:color w:val="auto"/>
                <w:highlight w:val="none"/>
                <w:lang w:val="en-US" w:eastAsia="zh-CN"/>
              </w:rPr>
              <w:br w:type="textWrapping"/>
            </w:r>
            <w:r>
              <w:rPr>
                <w:rFonts w:hint="eastAsia"/>
                <w:color w:val="auto"/>
                <w:highlight w:val="none"/>
                <w:lang w:val="en-US" w:eastAsia="zh-CN"/>
              </w:rPr>
              <w:t>（二）车削编程模块</w:t>
            </w:r>
            <w:r>
              <w:rPr>
                <w:rFonts w:hint="eastAsia"/>
                <w:color w:val="auto"/>
                <w:highlight w:val="none"/>
                <w:lang w:val="en-US" w:eastAsia="zh-CN"/>
              </w:rPr>
              <w:br w:type="textWrapping"/>
            </w:r>
            <w:r>
              <w:rPr>
                <w:rFonts w:hint="eastAsia"/>
                <w:color w:val="auto"/>
                <w:highlight w:val="none"/>
                <w:lang w:val="en-US" w:eastAsia="zh-CN"/>
              </w:rPr>
              <w:t>1.具有车端面、粗车、精车、切断、车螺纹、沟槽加工、车削钻孔、动态粗车、仿形粗车等加工方式；</w:t>
            </w:r>
            <w:r>
              <w:rPr>
                <w:rFonts w:hint="eastAsia"/>
                <w:color w:val="auto"/>
                <w:highlight w:val="none"/>
                <w:lang w:val="en-US" w:eastAsia="zh-CN"/>
              </w:rPr>
              <w:br w:type="textWrapping"/>
            </w:r>
            <w:r>
              <w:rPr>
                <w:rFonts w:hint="eastAsia" w:ascii="宋体" w:hAnsi="宋体" w:cs="Courier New"/>
                <w:color w:val="auto"/>
                <w:szCs w:val="21"/>
                <w:highlight w:val="none"/>
              </w:rPr>
              <w:t>▲</w:t>
            </w:r>
            <w:r>
              <w:rPr>
                <w:rFonts w:hint="eastAsia"/>
                <w:color w:val="auto"/>
                <w:highlight w:val="none"/>
                <w:lang w:val="en-US" w:eastAsia="zh-CN"/>
              </w:rPr>
              <w:t>2.支持自定义车加工刀具；</w:t>
            </w:r>
            <w:r>
              <w:rPr>
                <w:rFonts w:hint="eastAsia"/>
                <w:color w:val="auto"/>
                <w:highlight w:val="none"/>
                <w:lang w:val="en-US" w:eastAsia="zh-CN"/>
              </w:rPr>
              <w:br w:type="textWrapping"/>
            </w:r>
            <w:r>
              <w:rPr>
                <w:rFonts w:hint="eastAsia" w:ascii="宋体" w:hAnsi="宋体" w:cs="Courier New"/>
                <w:color w:val="auto"/>
                <w:szCs w:val="21"/>
                <w:highlight w:val="none"/>
              </w:rPr>
              <w:t>▲</w:t>
            </w:r>
            <w:r>
              <w:rPr>
                <w:rFonts w:hint="eastAsia"/>
                <w:color w:val="auto"/>
                <w:highlight w:val="none"/>
                <w:lang w:val="en-US" w:eastAsia="zh-CN"/>
              </w:rPr>
              <w:t>3.支持自定义螺纹车削加工，支持螺纹固定循环、螺纹复合循环、交替切削；</w:t>
            </w:r>
            <w:r>
              <w:rPr>
                <w:rFonts w:hint="eastAsia"/>
                <w:color w:val="auto"/>
                <w:highlight w:val="none"/>
                <w:lang w:val="en-US" w:eastAsia="zh-CN"/>
              </w:rPr>
              <w:br w:type="textWrapping"/>
            </w:r>
            <w:r>
              <w:rPr>
                <w:rFonts w:hint="eastAsia"/>
                <w:color w:val="auto"/>
                <w:highlight w:val="none"/>
                <w:lang w:val="en-US" w:eastAsia="zh-CN"/>
              </w:rPr>
              <w:t>4.支持导出车削操作指导书；</w:t>
            </w:r>
            <w:r>
              <w:rPr>
                <w:rFonts w:hint="eastAsia"/>
                <w:color w:val="auto"/>
                <w:highlight w:val="none"/>
                <w:lang w:val="en-US" w:eastAsia="zh-CN"/>
              </w:rPr>
              <w:br w:type="textWrapping"/>
            </w:r>
            <w:r>
              <w:rPr>
                <w:rFonts w:hint="eastAsia"/>
                <w:color w:val="auto"/>
                <w:highlight w:val="none"/>
                <w:lang w:val="en-US" w:eastAsia="zh-CN"/>
              </w:rPr>
              <w:t>5.支持剩余毛坯显示；</w:t>
            </w:r>
            <w:r>
              <w:rPr>
                <w:rFonts w:hint="eastAsia"/>
                <w:color w:val="auto"/>
                <w:highlight w:val="none"/>
                <w:lang w:val="en-US" w:eastAsia="zh-CN"/>
              </w:rPr>
              <w:br w:type="textWrapping"/>
            </w:r>
            <w:r>
              <w:rPr>
                <w:rFonts w:hint="eastAsia"/>
                <w:color w:val="auto"/>
                <w:highlight w:val="none"/>
                <w:lang w:val="en-US" w:eastAsia="zh-CN"/>
              </w:rPr>
              <w:t>6.支持刀具检查与断屑功能；</w:t>
            </w:r>
            <w:r>
              <w:rPr>
                <w:rFonts w:hint="eastAsia"/>
                <w:color w:val="auto"/>
                <w:highlight w:val="none"/>
                <w:lang w:val="en-US" w:eastAsia="zh-CN"/>
              </w:rPr>
              <w:br w:type="textWrapping"/>
            </w:r>
            <w:r>
              <w:rPr>
                <w:rFonts w:hint="eastAsia"/>
                <w:color w:val="auto"/>
                <w:highlight w:val="none"/>
                <w:lang w:val="en-US" w:eastAsia="zh-CN"/>
              </w:rPr>
              <w:t>（三）后置处理</w:t>
            </w:r>
            <w:r>
              <w:rPr>
                <w:rFonts w:hint="eastAsia"/>
                <w:color w:val="auto"/>
                <w:highlight w:val="none"/>
                <w:lang w:val="en-US" w:eastAsia="zh-CN"/>
              </w:rPr>
              <w:br w:type="textWrapping"/>
            </w:r>
            <w:r>
              <w:rPr>
                <w:rFonts w:hint="eastAsia"/>
                <w:color w:val="auto"/>
                <w:highlight w:val="none"/>
                <w:lang w:val="en-US" w:eastAsia="zh-CN"/>
              </w:rPr>
              <w:t>1.支持数控各机型后处理；</w:t>
            </w:r>
          </w:p>
        </w:tc>
      </w:tr>
      <w:tr w14:paraId="35C918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427" w:type="dxa"/>
            <w:vAlign w:val="center"/>
          </w:tcPr>
          <w:p w14:paraId="0FF68E7B">
            <w:pPr>
              <w:pStyle w:val="77"/>
              <w:spacing w:before="65" w:line="270" w:lineRule="exact"/>
              <w:jc w:val="center"/>
              <w:rPr>
                <w:rFonts w:hint="eastAsia" w:eastAsia="宋体"/>
                <w:color w:val="auto"/>
                <w:position w:val="1"/>
                <w:highlight w:val="none"/>
                <w:lang w:val="en-US" w:eastAsia="zh-CN"/>
              </w:rPr>
            </w:pPr>
            <w:r>
              <w:rPr>
                <w:rFonts w:hint="eastAsia"/>
                <w:color w:val="auto"/>
                <w:position w:val="1"/>
                <w:highlight w:val="none"/>
                <w:lang w:val="en-US" w:eastAsia="zh-CN"/>
              </w:rPr>
              <w:t>3</w:t>
            </w:r>
          </w:p>
        </w:tc>
        <w:tc>
          <w:tcPr>
            <w:tcW w:w="791" w:type="dxa"/>
            <w:vAlign w:val="center"/>
          </w:tcPr>
          <w:p w14:paraId="431B1103">
            <w:pPr>
              <w:widowControl/>
              <w:wordWrap w:val="0"/>
              <w:spacing w:line="400" w:lineRule="exact"/>
              <w:jc w:val="center"/>
              <w:rPr>
                <w:rFonts w:hint="eastAsia" w:ascii="宋体" w:hAnsi="宋体" w:cs="Courier New"/>
                <w:color w:val="auto"/>
                <w:szCs w:val="21"/>
                <w:highlight w:val="none"/>
                <w:lang w:val="en-US" w:eastAsia="zh-CN"/>
              </w:rPr>
            </w:pPr>
            <w:r>
              <w:rPr>
                <w:rFonts w:hint="eastAsia" w:ascii="宋体" w:hAnsi="宋体" w:cs="Courier New"/>
                <w:color w:val="auto"/>
                <w:szCs w:val="21"/>
                <w:highlight w:val="none"/>
                <w:lang w:val="en-US" w:eastAsia="zh-CN"/>
              </w:rPr>
              <w:t>仿真工作站</w:t>
            </w:r>
          </w:p>
        </w:tc>
        <w:tc>
          <w:tcPr>
            <w:tcW w:w="709" w:type="dxa"/>
            <w:vAlign w:val="center"/>
          </w:tcPr>
          <w:p w14:paraId="7CAAA629">
            <w:pPr>
              <w:widowControl/>
              <w:wordWrap w:val="0"/>
              <w:spacing w:line="400" w:lineRule="exact"/>
              <w:jc w:val="center"/>
              <w:rPr>
                <w:rFonts w:hint="default" w:ascii="宋体" w:hAnsi="宋体" w:cs="Courier New"/>
                <w:color w:val="auto"/>
                <w:szCs w:val="21"/>
                <w:highlight w:val="none"/>
                <w:lang w:val="en-US" w:eastAsia="zh-CN"/>
              </w:rPr>
            </w:pPr>
            <w:r>
              <w:rPr>
                <w:rFonts w:hint="eastAsia" w:ascii="宋体" w:hAnsi="宋体" w:cs="Courier New"/>
                <w:color w:val="auto"/>
                <w:szCs w:val="21"/>
                <w:highlight w:val="none"/>
                <w:lang w:val="en-US" w:eastAsia="zh-CN"/>
              </w:rPr>
              <w:t>5台</w:t>
            </w:r>
          </w:p>
        </w:tc>
        <w:tc>
          <w:tcPr>
            <w:tcW w:w="736" w:type="dxa"/>
            <w:vAlign w:val="center"/>
          </w:tcPr>
          <w:p w14:paraId="59D88861">
            <w:pPr>
              <w:widowControl/>
              <w:wordWrap w:val="0"/>
              <w:spacing w:line="400" w:lineRule="exact"/>
              <w:jc w:val="center"/>
              <w:rPr>
                <w:rFonts w:hint="default" w:ascii="宋体" w:hAnsi="宋体" w:eastAsia="宋体" w:cs="Courier New"/>
                <w:color w:val="auto"/>
                <w:szCs w:val="21"/>
                <w:highlight w:val="none"/>
                <w:lang w:val="en-US" w:eastAsia="zh-CN"/>
              </w:rPr>
            </w:pPr>
            <w:r>
              <w:rPr>
                <w:rFonts w:hint="eastAsia" w:ascii="宋体" w:hAnsi="宋体" w:cs="Courier New"/>
                <w:color w:val="auto"/>
                <w:szCs w:val="21"/>
                <w:highlight w:val="none"/>
                <w:lang w:val="en-US" w:eastAsia="zh-CN"/>
              </w:rPr>
              <w:t>工业</w:t>
            </w:r>
          </w:p>
        </w:tc>
        <w:tc>
          <w:tcPr>
            <w:tcW w:w="6123" w:type="dxa"/>
            <w:vAlign w:val="top"/>
          </w:tcPr>
          <w:p w14:paraId="15A84119">
            <w:pPr>
              <w:keepNext w:val="0"/>
              <w:keepLines w:val="0"/>
              <w:pageBreakBefore w:val="0"/>
              <w:widowControl/>
              <w:kinsoku/>
              <w:wordWrap w:val="0"/>
              <w:overflowPunct/>
              <w:topLinePunct w:val="0"/>
              <w:autoSpaceDE/>
              <w:autoSpaceDN/>
              <w:bidi w:val="0"/>
              <w:adjustRightInd/>
              <w:snapToGrid/>
              <w:spacing w:line="360" w:lineRule="auto"/>
              <w:ind w:left="216" w:leftChars="103" w:firstLine="0" w:firstLineChars="0"/>
              <w:jc w:val="left"/>
              <w:textAlignment w:val="auto"/>
              <w:rPr>
                <w:rFonts w:hint="eastAsia"/>
                <w:color w:val="auto"/>
                <w:highlight w:val="none"/>
                <w:lang w:val="en-US" w:eastAsia="zh-CN"/>
              </w:rPr>
            </w:pPr>
            <w:r>
              <w:rPr>
                <w:rFonts w:hint="eastAsia"/>
                <w:color w:val="auto"/>
                <w:highlight w:val="none"/>
                <w:lang w:val="en-US" w:eastAsia="zh-CN"/>
              </w:rPr>
              <w:t>1.显示器：≥23英寸，分辨率≥1920×1080；</w:t>
            </w:r>
            <w:r>
              <w:rPr>
                <w:rFonts w:hint="eastAsia"/>
                <w:color w:val="auto"/>
                <w:highlight w:val="none"/>
                <w:lang w:val="en-US" w:eastAsia="zh-CN"/>
              </w:rPr>
              <w:br w:type="textWrapping"/>
            </w:r>
            <w:r>
              <w:rPr>
                <w:rFonts w:hint="eastAsia"/>
                <w:color w:val="auto"/>
                <w:highlight w:val="none"/>
                <w:lang w:val="en-US" w:eastAsia="zh-CN"/>
              </w:rPr>
              <w:t>2.CPU：≥12核20线程，基本主频≥2.1GHz;</w:t>
            </w:r>
            <w:r>
              <w:rPr>
                <w:rFonts w:hint="eastAsia"/>
                <w:color w:val="auto"/>
                <w:highlight w:val="none"/>
                <w:lang w:val="en-US" w:eastAsia="zh-CN"/>
              </w:rPr>
              <w:br w:type="textWrapping"/>
            </w:r>
            <w:r>
              <w:rPr>
                <w:rFonts w:hint="eastAsia"/>
                <w:color w:val="auto"/>
                <w:highlight w:val="none"/>
                <w:lang w:val="en-US" w:eastAsia="zh-CN"/>
              </w:rPr>
              <w:t>3.主板：≥Intel H610系列芯片组；</w:t>
            </w:r>
            <w:r>
              <w:rPr>
                <w:rFonts w:hint="eastAsia"/>
                <w:color w:val="auto"/>
                <w:highlight w:val="none"/>
                <w:lang w:val="en-US" w:eastAsia="zh-CN"/>
              </w:rPr>
              <w:br w:type="textWrapping"/>
            </w:r>
            <w:r>
              <w:rPr>
                <w:rFonts w:hint="eastAsia"/>
                <w:color w:val="auto"/>
                <w:highlight w:val="none"/>
                <w:lang w:val="en-US" w:eastAsia="zh-CN"/>
              </w:rPr>
              <w:t>4.内存：≥16G DDR4；</w:t>
            </w:r>
            <w:r>
              <w:rPr>
                <w:rFonts w:hint="eastAsia"/>
                <w:color w:val="auto"/>
                <w:highlight w:val="none"/>
                <w:lang w:val="en-US" w:eastAsia="zh-CN"/>
              </w:rPr>
              <w:br w:type="textWrapping"/>
            </w:r>
            <w:r>
              <w:rPr>
                <w:rFonts w:hint="eastAsia"/>
                <w:color w:val="auto"/>
                <w:highlight w:val="none"/>
                <w:lang w:val="en-US" w:eastAsia="zh-CN"/>
              </w:rPr>
              <w:t>5.硬盘：不小于512G固态+512G机械硬盘；</w:t>
            </w:r>
            <w:r>
              <w:rPr>
                <w:rFonts w:hint="eastAsia"/>
                <w:color w:val="auto"/>
                <w:highlight w:val="none"/>
                <w:lang w:val="en-US" w:eastAsia="zh-CN"/>
              </w:rPr>
              <w:br w:type="textWrapping"/>
            </w:r>
            <w:r>
              <w:rPr>
                <w:rFonts w:hint="eastAsia"/>
                <w:color w:val="auto"/>
                <w:highlight w:val="none"/>
                <w:lang w:val="en-US" w:eastAsia="zh-CN"/>
              </w:rPr>
              <w:t>6.电源：≥300W；</w:t>
            </w:r>
            <w:r>
              <w:rPr>
                <w:rFonts w:hint="eastAsia"/>
                <w:color w:val="auto"/>
                <w:highlight w:val="none"/>
                <w:lang w:val="en-US" w:eastAsia="zh-CN"/>
              </w:rPr>
              <w:br w:type="textWrapping"/>
            </w:r>
            <w:r>
              <w:rPr>
                <w:rFonts w:hint="eastAsia"/>
                <w:color w:val="auto"/>
                <w:highlight w:val="none"/>
                <w:lang w:val="en-US" w:eastAsia="zh-CN"/>
              </w:rPr>
              <w:t>7.接口：≥6个USB口（USB3.2≥2个），≥1个高清接口；</w:t>
            </w:r>
            <w:r>
              <w:rPr>
                <w:rFonts w:hint="eastAsia"/>
                <w:color w:val="auto"/>
                <w:highlight w:val="none"/>
                <w:lang w:val="en-US" w:eastAsia="zh-CN"/>
              </w:rPr>
              <w:br w:type="textWrapping"/>
            </w:r>
            <w:r>
              <w:rPr>
                <w:rFonts w:hint="eastAsia"/>
                <w:color w:val="auto"/>
                <w:highlight w:val="none"/>
                <w:lang w:val="en-US" w:eastAsia="zh-CN"/>
              </w:rPr>
              <w:t>8.显卡：独立显卡，显存不小于4G；</w:t>
            </w:r>
          </w:p>
        </w:tc>
      </w:tr>
      <w:tr w14:paraId="0AFB12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427" w:type="dxa"/>
            <w:vAlign w:val="center"/>
          </w:tcPr>
          <w:p w14:paraId="563AE116">
            <w:pPr>
              <w:pStyle w:val="77"/>
              <w:spacing w:before="65" w:line="270" w:lineRule="exact"/>
              <w:jc w:val="center"/>
              <w:rPr>
                <w:rFonts w:hint="eastAsia" w:eastAsia="宋体"/>
                <w:color w:val="auto"/>
                <w:position w:val="1"/>
                <w:highlight w:val="none"/>
                <w:lang w:val="en-US" w:eastAsia="zh-CN"/>
              </w:rPr>
            </w:pPr>
            <w:r>
              <w:rPr>
                <w:rFonts w:hint="eastAsia"/>
                <w:color w:val="auto"/>
                <w:position w:val="1"/>
                <w:highlight w:val="none"/>
                <w:lang w:val="en-US" w:eastAsia="zh-CN"/>
              </w:rPr>
              <w:t>4</w:t>
            </w:r>
          </w:p>
        </w:tc>
        <w:tc>
          <w:tcPr>
            <w:tcW w:w="791" w:type="dxa"/>
            <w:vAlign w:val="center"/>
          </w:tcPr>
          <w:p w14:paraId="73FF3B86">
            <w:pPr>
              <w:widowControl/>
              <w:wordWrap w:val="0"/>
              <w:spacing w:line="400" w:lineRule="exact"/>
              <w:jc w:val="center"/>
              <w:rPr>
                <w:rFonts w:hint="eastAsia" w:ascii="宋体" w:hAnsi="宋体" w:cs="Courier New"/>
                <w:color w:val="auto"/>
                <w:szCs w:val="21"/>
                <w:highlight w:val="none"/>
                <w:lang w:val="en-US" w:eastAsia="zh-CN"/>
              </w:rPr>
            </w:pPr>
            <w:r>
              <w:rPr>
                <w:rFonts w:hint="eastAsia" w:ascii="宋体" w:hAnsi="宋体" w:cs="Courier New"/>
                <w:color w:val="auto"/>
                <w:szCs w:val="21"/>
                <w:highlight w:val="none"/>
                <w:lang w:val="en-US" w:eastAsia="zh-CN"/>
              </w:rPr>
              <w:t>激光打标机</w:t>
            </w:r>
          </w:p>
        </w:tc>
        <w:tc>
          <w:tcPr>
            <w:tcW w:w="709" w:type="dxa"/>
            <w:vAlign w:val="center"/>
          </w:tcPr>
          <w:p w14:paraId="6C596D98">
            <w:pPr>
              <w:widowControl/>
              <w:wordWrap w:val="0"/>
              <w:spacing w:line="400" w:lineRule="exact"/>
              <w:jc w:val="center"/>
              <w:rPr>
                <w:rFonts w:hint="default" w:ascii="宋体" w:hAnsi="宋体" w:cs="Courier New"/>
                <w:color w:val="auto"/>
                <w:szCs w:val="21"/>
                <w:highlight w:val="none"/>
                <w:lang w:val="en-US" w:eastAsia="zh-CN"/>
              </w:rPr>
            </w:pPr>
            <w:r>
              <w:rPr>
                <w:rFonts w:hint="eastAsia" w:ascii="宋体" w:hAnsi="宋体" w:cs="Courier New"/>
                <w:color w:val="auto"/>
                <w:szCs w:val="21"/>
                <w:highlight w:val="none"/>
                <w:lang w:val="en-US" w:eastAsia="zh-CN"/>
              </w:rPr>
              <w:t>1台</w:t>
            </w:r>
          </w:p>
        </w:tc>
        <w:tc>
          <w:tcPr>
            <w:tcW w:w="736" w:type="dxa"/>
            <w:vAlign w:val="center"/>
          </w:tcPr>
          <w:p w14:paraId="112373B7">
            <w:pPr>
              <w:widowControl/>
              <w:wordWrap w:val="0"/>
              <w:spacing w:line="400" w:lineRule="exact"/>
              <w:jc w:val="center"/>
              <w:rPr>
                <w:rFonts w:hint="eastAsia" w:ascii="宋体" w:hAnsi="宋体" w:cs="Courier New"/>
                <w:color w:val="auto"/>
                <w:szCs w:val="21"/>
                <w:highlight w:val="none"/>
              </w:rPr>
            </w:pPr>
            <w:r>
              <w:rPr>
                <w:rFonts w:hint="eastAsia" w:ascii="宋体" w:hAnsi="宋体" w:cs="Courier New"/>
                <w:color w:val="auto"/>
                <w:szCs w:val="21"/>
                <w:highlight w:val="none"/>
                <w:lang w:val="en-US" w:eastAsia="zh-CN"/>
              </w:rPr>
              <w:t>工业</w:t>
            </w:r>
          </w:p>
        </w:tc>
        <w:tc>
          <w:tcPr>
            <w:tcW w:w="6123" w:type="dxa"/>
            <w:vAlign w:val="top"/>
          </w:tcPr>
          <w:p w14:paraId="1F7527FB">
            <w:pPr>
              <w:keepNext w:val="0"/>
              <w:keepLines w:val="0"/>
              <w:pageBreakBefore w:val="0"/>
              <w:widowControl/>
              <w:kinsoku/>
              <w:wordWrap w:val="0"/>
              <w:overflowPunct/>
              <w:topLinePunct w:val="0"/>
              <w:autoSpaceDE/>
              <w:autoSpaceDN/>
              <w:bidi w:val="0"/>
              <w:adjustRightInd/>
              <w:snapToGrid/>
              <w:spacing w:line="360" w:lineRule="auto"/>
              <w:ind w:left="199" w:leftChars="95" w:firstLine="0" w:firstLineChars="0"/>
              <w:jc w:val="left"/>
              <w:textAlignment w:val="auto"/>
              <w:rPr>
                <w:rFonts w:hint="eastAsia"/>
                <w:color w:val="auto"/>
                <w:highlight w:val="none"/>
                <w:lang w:val="en-US" w:eastAsia="zh-CN"/>
              </w:rPr>
            </w:pPr>
            <w:r>
              <w:rPr>
                <w:rFonts w:hint="eastAsia"/>
                <w:color w:val="auto"/>
                <w:highlight w:val="none"/>
                <w:lang w:val="en-US" w:eastAsia="zh-CN"/>
              </w:rPr>
              <w:t>1.激光功率：≥100W；</w:t>
            </w:r>
          </w:p>
          <w:p w14:paraId="6C758B21">
            <w:pPr>
              <w:keepNext w:val="0"/>
              <w:keepLines w:val="0"/>
              <w:pageBreakBefore w:val="0"/>
              <w:widowControl/>
              <w:kinsoku/>
              <w:wordWrap w:val="0"/>
              <w:overflowPunct/>
              <w:topLinePunct w:val="0"/>
              <w:autoSpaceDE/>
              <w:autoSpaceDN/>
              <w:bidi w:val="0"/>
              <w:adjustRightInd/>
              <w:snapToGrid/>
              <w:spacing w:line="360" w:lineRule="auto"/>
              <w:ind w:left="199" w:leftChars="95" w:firstLine="0" w:firstLineChars="0"/>
              <w:jc w:val="left"/>
              <w:textAlignment w:val="auto"/>
              <w:rPr>
                <w:rFonts w:hint="eastAsia"/>
                <w:color w:val="auto"/>
                <w:highlight w:val="none"/>
                <w:lang w:val="en-US" w:eastAsia="zh-CN"/>
              </w:rPr>
            </w:pPr>
            <w:r>
              <w:rPr>
                <w:rFonts w:hint="eastAsia"/>
                <w:color w:val="auto"/>
                <w:highlight w:val="none"/>
                <w:lang w:val="en-US" w:eastAsia="zh-CN"/>
              </w:rPr>
              <w:t>2.扫描振镜：数字高速振镜；</w:t>
            </w:r>
          </w:p>
          <w:p w14:paraId="1959969D">
            <w:pPr>
              <w:keepNext w:val="0"/>
              <w:keepLines w:val="0"/>
              <w:pageBreakBefore w:val="0"/>
              <w:widowControl/>
              <w:kinsoku/>
              <w:wordWrap w:val="0"/>
              <w:overflowPunct/>
              <w:topLinePunct w:val="0"/>
              <w:autoSpaceDE/>
              <w:autoSpaceDN/>
              <w:bidi w:val="0"/>
              <w:adjustRightInd/>
              <w:snapToGrid/>
              <w:spacing w:line="360" w:lineRule="auto"/>
              <w:ind w:left="199" w:leftChars="95" w:firstLine="0" w:firstLineChars="0"/>
              <w:jc w:val="left"/>
              <w:textAlignment w:val="auto"/>
              <w:rPr>
                <w:rFonts w:hint="eastAsia"/>
                <w:color w:val="auto"/>
                <w:highlight w:val="none"/>
                <w:lang w:val="en-US" w:eastAsia="zh-CN"/>
              </w:rPr>
            </w:pPr>
            <w:r>
              <w:rPr>
                <w:rFonts w:hint="eastAsia"/>
                <w:color w:val="auto"/>
                <w:highlight w:val="none"/>
                <w:lang w:val="en-US" w:eastAsia="zh-CN"/>
              </w:rPr>
              <w:t>3.工作电压：220V，50/60Hz；</w:t>
            </w:r>
          </w:p>
          <w:p w14:paraId="4BB9A424">
            <w:pPr>
              <w:keepNext w:val="0"/>
              <w:keepLines w:val="0"/>
              <w:pageBreakBefore w:val="0"/>
              <w:widowControl/>
              <w:kinsoku/>
              <w:wordWrap w:val="0"/>
              <w:overflowPunct/>
              <w:topLinePunct w:val="0"/>
              <w:autoSpaceDE/>
              <w:autoSpaceDN/>
              <w:bidi w:val="0"/>
              <w:adjustRightInd/>
              <w:snapToGrid/>
              <w:spacing w:line="360" w:lineRule="auto"/>
              <w:ind w:left="199" w:leftChars="95" w:firstLine="0" w:firstLineChars="0"/>
              <w:jc w:val="left"/>
              <w:textAlignment w:val="auto"/>
              <w:rPr>
                <w:rFonts w:hint="eastAsia"/>
                <w:color w:val="auto"/>
                <w:highlight w:val="none"/>
                <w:lang w:val="en-US" w:eastAsia="zh-CN"/>
              </w:rPr>
            </w:pPr>
            <w:r>
              <w:rPr>
                <w:rFonts w:hint="eastAsia"/>
                <w:color w:val="auto"/>
                <w:highlight w:val="none"/>
                <w:lang w:val="en-US" w:eastAsia="zh-CN"/>
              </w:rPr>
              <w:t>4.工作幅面：≥400mm×400mm；</w:t>
            </w:r>
          </w:p>
          <w:p w14:paraId="480622DE">
            <w:pPr>
              <w:keepNext w:val="0"/>
              <w:keepLines w:val="0"/>
              <w:pageBreakBefore w:val="0"/>
              <w:widowControl/>
              <w:kinsoku/>
              <w:wordWrap w:val="0"/>
              <w:overflowPunct/>
              <w:topLinePunct w:val="0"/>
              <w:autoSpaceDE/>
              <w:autoSpaceDN/>
              <w:bidi w:val="0"/>
              <w:adjustRightInd/>
              <w:snapToGrid/>
              <w:spacing w:line="360" w:lineRule="auto"/>
              <w:ind w:left="199" w:leftChars="95" w:firstLine="0" w:firstLineChars="0"/>
              <w:jc w:val="left"/>
              <w:textAlignment w:val="auto"/>
              <w:rPr>
                <w:rFonts w:hint="eastAsia"/>
                <w:color w:val="auto"/>
                <w:highlight w:val="none"/>
                <w:lang w:val="en-US" w:eastAsia="zh-CN"/>
              </w:rPr>
            </w:pPr>
            <w:r>
              <w:rPr>
                <w:rFonts w:hint="eastAsia"/>
                <w:color w:val="auto"/>
                <w:highlight w:val="none"/>
                <w:lang w:val="en-US" w:eastAsia="zh-CN"/>
              </w:rPr>
              <w:t>5.最大雕刻速度：≥7000mm/s；</w:t>
            </w:r>
          </w:p>
          <w:p w14:paraId="7D01CF6B">
            <w:pPr>
              <w:keepNext w:val="0"/>
              <w:keepLines w:val="0"/>
              <w:pageBreakBefore w:val="0"/>
              <w:widowControl/>
              <w:kinsoku/>
              <w:wordWrap w:val="0"/>
              <w:overflowPunct/>
              <w:topLinePunct w:val="0"/>
              <w:autoSpaceDE/>
              <w:autoSpaceDN/>
              <w:bidi w:val="0"/>
              <w:adjustRightInd/>
              <w:snapToGrid/>
              <w:spacing w:line="360" w:lineRule="auto"/>
              <w:ind w:left="199" w:leftChars="95" w:firstLine="0" w:firstLineChars="0"/>
              <w:jc w:val="left"/>
              <w:textAlignment w:val="auto"/>
              <w:rPr>
                <w:rFonts w:hint="eastAsia"/>
                <w:color w:val="auto"/>
                <w:highlight w:val="none"/>
                <w:lang w:val="en-US" w:eastAsia="zh-CN"/>
              </w:rPr>
            </w:pPr>
            <w:r>
              <w:rPr>
                <w:rFonts w:hint="eastAsia"/>
                <w:color w:val="auto"/>
                <w:highlight w:val="none"/>
                <w:lang w:val="en-US" w:eastAsia="zh-CN"/>
              </w:rPr>
              <w:t>6.调焦方式：手动或电动/自动；</w:t>
            </w:r>
          </w:p>
          <w:p w14:paraId="6A187130">
            <w:pPr>
              <w:keepNext w:val="0"/>
              <w:keepLines w:val="0"/>
              <w:pageBreakBefore w:val="0"/>
              <w:widowControl/>
              <w:kinsoku/>
              <w:wordWrap w:val="0"/>
              <w:overflowPunct/>
              <w:topLinePunct w:val="0"/>
              <w:autoSpaceDE/>
              <w:autoSpaceDN/>
              <w:bidi w:val="0"/>
              <w:adjustRightInd/>
              <w:snapToGrid/>
              <w:spacing w:line="360" w:lineRule="auto"/>
              <w:ind w:left="199" w:leftChars="95" w:firstLine="0" w:firstLineChars="0"/>
              <w:jc w:val="left"/>
              <w:textAlignment w:val="auto"/>
              <w:rPr>
                <w:rFonts w:hint="eastAsia"/>
                <w:color w:val="auto"/>
                <w:highlight w:val="none"/>
                <w:lang w:val="en-US" w:eastAsia="zh-CN"/>
              </w:rPr>
            </w:pPr>
            <w:r>
              <w:rPr>
                <w:rFonts w:hint="eastAsia"/>
                <w:color w:val="auto"/>
                <w:highlight w:val="none"/>
                <w:lang w:val="en-US" w:eastAsia="zh-CN"/>
              </w:rPr>
              <w:t>7.激光器类型：光纤激光器；</w:t>
            </w:r>
          </w:p>
          <w:p w14:paraId="42B116B9">
            <w:pPr>
              <w:keepNext w:val="0"/>
              <w:keepLines w:val="0"/>
              <w:pageBreakBefore w:val="0"/>
              <w:widowControl/>
              <w:kinsoku/>
              <w:wordWrap w:val="0"/>
              <w:overflowPunct/>
              <w:topLinePunct w:val="0"/>
              <w:autoSpaceDE/>
              <w:autoSpaceDN/>
              <w:bidi w:val="0"/>
              <w:adjustRightInd/>
              <w:snapToGrid/>
              <w:spacing w:line="360" w:lineRule="auto"/>
              <w:ind w:left="199" w:leftChars="95" w:firstLine="0" w:firstLineChars="0"/>
              <w:jc w:val="left"/>
              <w:textAlignment w:val="auto"/>
              <w:rPr>
                <w:rFonts w:hint="eastAsia"/>
                <w:color w:val="auto"/>
                <w:highlight w:val="none"/>
                <w:lang w:val="en-US" w:eastAsia="zh-CN"/>
              </w:rPr>
            </w:pPr>
            <w:r>
              <w:rPr>
                <w:rFonts w:hint="eastAsia"/>
                <w:color w:val="auto"/>
                <w:highlight w:val="none"/>
                <w:lang w:val="en-US" w:eastAsia="zh-CN"/>
              </w:rPr>
              <w:t>8.定位精度：≤0.01mm；</w:t>
            </w:r>
          </w:p>
          <w:p w14:paraId="46294AD8">
            <w:pPr>
              <w:keepNext w:val="0"/>
              <w:keepLines w:val="0"/>
              <w:pageBreakBefore w:val="0"/>
              <w:widowControl/>
              <w:kinsoku/>
              <w:wordWrap w:val="0"/>
              <w:overflowPunct/>
              <w:topLinePunct w:val="0"/>
              <w:autoSpaceDE/>
              <w:autoSpaceDN/>
              <w:bidi w:val="0"/>
              <w:adjustRightInd/>
              <w:snapToGrid/>
              <w:spacing w:line="360" w:lineRule="auto"/>
              <w:ind w:left="199" w:leftChars="95" w:firstLine="0" w:firstLineChars="0"/>
              <w:jc w:val="left"/>
              <w:textAlignment w:val="auto"/>
              <w:rPr>
                <w:rFonts w:hint="eastAsia"/>
                <w:color w:val="auto"/>
                <w:highlight w:val="none"/>
                <w:lang w:val="en-US" w:eastAsia="zh-CN"/>
              </w:rPr>
            </w:pPr>
            <w:r>
              <w:rPr>
                <w:rFonts w:hint="eastAsia"/>
                <w:color w:val="auto"/>
                <w:highlight w:val="none"/>
                <w:lang w:val="en-US" w:eastAsia="zh-CN"/>
              </w:rPr>
              <w:t>9.冷却方式：风冷或水冷；</w:t>
            </w:r>
          </w:p>
          <w:p w14:paraId="380DE2CF">
            <w:pPr>
              <w:keepNext w:val="0"/>
              <w:keepLines w:val="0"/>
              <w:pageBreakBefore w:val="0"/>
              <w:widowControl/>
              <w:kinsoku/>
              <w:wordWrap w:val="0"/>
              <w:overflowPunct/>
              <w:topLinePunct w:val="0"/>
              <w:autoSpaceDE/>
              <w:autoSpaceDN/>
              <w:bidi w:val="0"/>
              <w:adjustRightInd/>
              <w:snapToGrid/>
              <w:spacing w:line="360" w:lineRule="auto"/>
              <w:ind w:left="199" w:leftChars="95" w:firstLine="0" w:firstLineChars="0"/>
              <w:jc w:val="left"/>
              <w:textAlignment w:val="auto"/>
              <w:rPr>
                <w:rFonts w:hint="eastAsia"/>
                <w:color w:val="auto"/>
                <w:highlight w:val="none"/>
                <w:lang w:val="en-US" w:eastAsia="zh-CN"/>
              </w:rPr>
            </w:pPr>
            <w:r>
              <w:rPr>
                <w:rFonts w:hint="eastAsia"/>
                <w:color w:val="auto"/>
                <w:highlight w:val="none"/>
                <w:lang w:val="en-US" w:eastAsia="zh-CN"/>
              </w:rPr>
              <w:t>10.最小雕刻尺寸：≤1×1mm；</w:t>
            </w:r>
          </w:p>
          <w:p w14:paraId="3A211966">
            <w:pPr>
              <w:keepNext w:val="0"/>
              <w:keepLines w:val="0"/>
              <w:pageBreakBefore w:val="0"/>
              <w:widowControl/>
              <w:kinsoku/>
              <w:wordWrap w:val="0"/>
              <w:overflowPunct/>
              <w:topLinePunct w:val="0"/>
              <w:autoSpaceDE/>
              <w:autoSpaceDN/>
              <w:bidi w:val="0"/>
              <w:adjustRightInd/>
              <w:snapToGrid/>
              <w:spacing w:line="360" w:lineRule="auto"/>
              <w:ind w:left="199" w:leftChars="95" w:firstLine="0" w:firstLineChars="0"/>
              <w:jc w:val="left"/>
              <w:textAlignment w:val="auto"/>
              <w:rPr>
                <w:rFonts w:hint="eastAsia"/>
                <w:color w:val="auto"/>
                <w:highlight w:val="none"/>
                <w:lang w:val="en-US" w:eastAsia="zh-CN"/>
              </w:rPr>
            </w:pPr>
            <w:r>
              <w:rPr>
                <w:rFonts w:hint="eastAsia"/>
                <w:color w:val="auto"/>
                <w:highlight w:val="none"/>
                <w:lang w:val="en-US" w:eastAsia="zh-CN"/>
              </w:rPr>
              <w:t>11.控制方式：支持DSP；</w:t>
            </w:r>
          </w:p>
          <w:p w14:paraId="0CFD29C8">
            <w:pPr>
              <w:keepNext w:val="0"/>
              <w:keepLines w:val="0"/>
              <w:pageBreakBefore w:val="0"/>
              <w:widowControl/>
              <w:kinsoku/>
              <w:wordWrap w:val="0"/>
              <w:overflowPunct/>
              <w:topLinePunct w:val="0"/>
              <w:autoSpaceDE/>
              <w:autoSpaceDN/>
              <w:bidi w:val="0"/>
              <w:adjustRightInd/>
              <w:snapToGrid/>
              <w:spacing w:line="360" w:lineRule="auto"/>
              <w:ind w:left="199" w:leftChars="95" w:firstLine="0" w:firstLineChars="0"/>
              <w:jc w:val="left"/>
              <w:textAlignment w:val="auto"/>
              <w:rPr>
                <w:rFonts w:hint="eastAsia"/>
                <w:color w:val="auto"/>
                <w:highlight w:val="none"/>
                <w:lang w:val="en-US" w:eastAsia="zh-CN"/>
              </w:rPr>
            </w:pPr>
            <w:r>
              <w:rPr>
                <w:rFonts w:hint="eastAsia"/>
                <w:color w:val="auto"/>
                <w:highlight w:val="none"/>
                <w:lang w:val="en-US" w:eastAsia="zh-CN"/>
              </w:rPr>
              <w:t>12.通信接口：支持USB；</w:t>
            </w:r>
          </w:p>
          <w:p w14:paraId="52B0878E">
            <w:pPr>
              <w:keepNext w:val="0"/>
              <w:keepLines w:val="0"/>
              <w:pageBreakBefore w:val="0"/>
              <w:widowControl/>
              <w:kinsoku/>
              <w:wordWrap w:val="0"/>
              <w:overflowPunct/>
              <w:topLinePunct w:val="0"/>
              <w:autoSpaceDE/>
              <w:autoSpaceDN/>
              <w:bidi w:val="0"/>
              <w:adjustRightInd/>
              <w:snapToGrid/>
              <w:spacing w:line="360" w:lineRule="auto"/>
              <w:ind w:left="199" w:leftChars="95" w:firstLine="0" w:firstLineChars="0"/>
              <w:jc w:val="left"/>
              <w:textAlignment w:val="auto"/>
              <w:rPr>
                <w:rFonts w:hint="eastAsia"/>
                <w:color w:val="auto"/>
                <w:highlight w:val="none"/>
                <w:lang w:val="en-US" w:eastAsia="zh-CN"/>
              </w:rPr>
            </w:pPr>
            <w:r>
              <w:rPr>
                <w:rFonts w:hint="eastAsia"/>
                <w:color w:val="auto"/>
                <w:highlight w:val="none"/>
                <w:lang w:val="en-US" w:eastAsia="zh-CN"/>
              </w:rPr>
              <w:t>13.支持格式：DXF，BMP，PLT，AI，JPG等；</w:t>
            </w:r>
          </w:p>
          <w:p w14:paraId="6DB86A2A">
            <w:pPr>
              <w:keepNext w:val="0"/>
              <w:keepLines w:val="0"/>
              <w:pageBreakBefore w:val="0"/>
              <w:widowControl/>
              <w:kinsoku/>
              <w:wordWrap w:val="0"/>
              <w:overflowPunct/>
              <w:topLinePunct w:val="0"/>
              <w:autoSpaceDE/>
              <w:autoSpaceDN/>
              <w:bidi w:val="0"/>
              <w:adjustRightInd/>
              <w:snapToGrid/>
              <w:spacing w:line="360" w:lineRule="auto"/>
              <w:ind w:left="199" w:leftChars="95" w:firstLine="0" w:firstLineChars="0"/>
              <w:jc w:val="left"/>
              <w:textAlignment w:val="auto"/>
              <w:rPr>
                <w:rFonts w:hint="eastAsia"/>
                <w:color w:val="auto"/>
                <w:highlight w:val="none"/>
                <w:lang w:val="en-US" w:eastAsia="zh-CN"/>
              </w:rPr>
            </w:pPr>
            <w:r>
              <w:rPr>
                <w:rFonts w:hint="eastAsia"/>
                <w:color w:val="auto"/>
                <w:highlight w:val="none"/>
                <w:lang w:val="en-US" w:eastAsia="zh-CN"/>
              </w:rPr>
              <w:t>14.尺寸：80×60×173cm（±5%）；</w:t>
            </w:r>
          </w:p>
          <w:p w14:paraId="0060BD24">
            <w:pPr>
              <w:keepNext w:val="0"/>
              <w:keepLines w:val="0"/>
              <w:pageBreakBefore w:val="0"/>
              <w:widowControl/>
              <w:kinsoku/>
              <w:wordWrap w:val="0"/>
              <w:overflowPunct/>
              <w:topLinePunct w:val="0"/>
              <w:autoSpaceDE/>
              <w:autoSpaceDN/>
              <w:bidi w:val="0"/>
              <w:adjustRightInd/>
              <w:snapToGrid/>
              <w:spacing w:line="360" w:lineRule="auto"/>
              <w:ind w:left="199" w:leftChars="95" w:firstLine="0" w:firstLineChars="0"/>
              <w:jc w:val="left"/>
              <w:textAlignment w:val="auto"/>
              <w:rPr>
                <w:rFonts w:hint="eastAsia"/>
                <w:color w:val="auto"/>
                <w:highlight w:val="none"/>
                <w:lang w:val="en-US" w:eastAsia="zh-CN"/>
              </w:rPr>
            </w:pPr>
            <w:r>
              <w:rPr>
                <w:rFonts w:hint="eastAsia"/>
                <w:color w:val="auto"/>
                <w:highlight w:val="none"/>
                <w:lang w:val="en-US" w:eastAsia="zh-CN"/>
              </w:rPr>
              <w:t>15.配套耗材：塑料、皮革、玻璃、陶瓷、橡胶、铜、铁、钢、铝、合金等金属制品板各不少于20块，长宽厚尺寸：150×50×2mm（±5%）；</w:t>
            </w:r>
          </w:p>
          <w:p w14:paraId="0347FC69">
            <w:pPr>
              <w:keepNext w:val="0"/>
              <w:keepLines w:val="0"/>
              <w:pageBreakBefore w:val="0"/>
              <w:widowControl/>
              <w:kinsoku/>
              <w:wordWrap w:val="0"/>
              <w:overflowPunct/>
              <w:topLinePunct w:val="0"/>
              <w:autoSpaceDE/>
              <w:autoSpaceDN/>
              <w:bidi w:val="0"/>
              <w:adjustRightInd/>
              <w:snapToGrid/>
              <w:spacing w:line="360" w:lineRule="auto"/>
              <w:ind w:left="199" w:leftChars="95" w:firstLine="0" w:firstLineChars="0"/>
              <w:jc w:val="left"/>
              <w:textAlignment w:val="auto"/>
              <w:rPr>
                <w:rFonts w:hint="eastAsia"/>
                <w:color w:val="auto"/>
                <w:highlight w:val="none"/>
                <w:lang w:val="en-US" w:eastAsia="zh-CN"/>
              </w:rPr>
            </w:pPr>
            <w:r>
              <w:rPr>
                <w:rFonts w:hint="eastAsia"/>
                <w:color w:val="auto"/>
                <w:highlight w:val="none"/>
                <w:lang w:val="en-US" w:eastAsia="zh-CN"/>
              </w:rPr>
              <w:t>16.适用材料：金属及多种非金属材料，高硬合金、氧化物、电镀、 镀膜、ABS、环氧树脂、油墨、工程塑料等；</w:t>
            </w:r>
          </w:p>
        </w:tc>
      </w:tr>
      <w:tr w14:paraId="3D948B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427" w:type="dxa"/>
            <w:vAlign w:val="center"/>
          </w:tcPr>
          <w:p w14:paraId="6E4E4C7A">
            <w:pPr>
              <w:pStyle w:val="77"/>
              <w:spacing w:before="65" w:line="270" w:lineRule="exact"/>
              <w:jc w:val="center"/>
              <w:rPr>
                <w:rFonts w:hint="eastAsia" w:eastAsia="宋体"/>
                <w:color w:val="auto"/>
                <w:position w:val="1"/>
                <w:highlight w:val="none"/>
                <w:lang w:val="en-US" w:eastAsia="zh-CN"/>
              </w:rPr>
            </w:pPr>
            <w:r>
              <w:rPr>
                <w:rFonts w:hint="eastAsia"/>
                <w:color w:val="auto"/>
                <w:position w:val="1"/>
                <w:highlight w:val="none"/>
                <w:lang w:val="en-US" w:eastAsia="zh-CN"/>
              </w:rPr>
              <w:t>5</w:t>
            </w:r>
          </w:p>
        </w:tc>
        <w:tc>
          <w:tcPr>
            <w:tcW w:w="791" w:type="dxa"/>
            <w:vAlign w:val="center"/>
          </w:tcPr>
          <w:p w14:paraId="4840AA0D">
            <w:pPr>
              <w:widowControl/>
              <w:wordWrap w:val="0"/>
              <w:spacing w:line="400" w:lineRule="exact"/>
              <w:jc w:val="center"/>
              <w:rPr>
                <w:rFonts w:hint="eastAsia" w:ascii="宋体" w:hAnsi="宋体" w:cs="Courier New"/>
                <w:color w:val="auto"/>
                <w:szCs w:val="21"/>
                <w:highlight w:val="none"/>
                <w:lang w:val="en-US" w:eastAsia="zh-CN"/>
              </w:rPr>
            </w:pPr>
            <w:r>
              <w:rPr>
                <w:rFonts w:hint="eastAsia" w:ascii="宋体" w:hAnsi="宋体" w:cs="Courier New"/>
                <w:color w:val="auto"/>
                <w:szCs w:val="21"/>
                <w:highlight w:val="none"/>
                <w:lang w:val="en-US" w:eastAsia="zh-CN"/>
              </w:rPr>
              <w:t>紫光打标机</w:t>
            </w:r>
          </w:p>
        </w:tc>
        <w:tc>
          <w:tcPr>
            <w:tcW w:w="709" w:type="dxa"/>
            <w:vAlign w:val="center"/>
          </w:tcPr>
          <w:p w14:paraId="49221A6C">
            <w:pPr>
              <w:widowControl/>
              <w:wordWrap w:val="0"/>
              <w:spacing w:line="400" w:lineRule="exact"/>
              <w:jc w:val="center"/>
              <w:rPr>
                <w:rFonts w:hint="default" w:ascii="宋体" w:hAnsi="宋体" w:cs="Courier New"/>
                <w:color w:val="auto"/>
                <w:szCs w:val="21"/>
                <w:highlight w:val="none"/>
                <w:lang w:val="en-US" w:eastAsia="zh-CN"/>
              </w:rPr>
            </w:pPr>
            <w:r>
              <w:rPr>
                <w:rFonts w:hint="eastAsia" w:ascii="宋体" w:hAnsi="宋体" w:cs="Courier New"/>
                <w:color w:val="auto"/>
                <w:szCs w:val="21"/>
                <w:highlight w:val="none"/>
                <w:lang w:val="en-US" w:eastAsia="zh-CN"/>
              </w:rPr>
              <w:t>1台</w:t>
            </w:r>
          </w:p>
        </w:tc>
        <w:tc>
          <w:tcPr>
            <w:tcW w:w="736" w:type="dxa"/>
            <w:vAlign w:val="center"/>
          </w:tcPr>
          <w:p w14:paraId="7B876F1E">
            <w:pPr>
              <w:widowControl/>
              <w:wordWrap w:val="0"/>
              <w:spacing w:line="400" w:lineRule="exact"/>
              <w:jc w:val="center"/>
              <w:rPr>
                <w:rFonts w:hint="default" w:ascii="宋体" w:hAnsi="宋体" w:eastAsia="宋体" w:cs="Courier New"/>
                <w:color w:val="auto"/>
                <w:szCs w:val="21"/>
                <w:highlight w:val="none"/>
                <w:lang w:val="en-US" w:eastAsia="zh-CN"/>
              </w:rPr>
            </w:pPr>
            <w:r>
              <w:rPr>
                <w:rFonts w:hint="eastAsia" w:ascii="宋体" w:hAnsi="宋体" w:cs="Courier New"/>
                <w:color w:val="auto"/>
                <w:szCs w:val="21"/>
                <w:highlight w:val="none"/>
                <w:lang w:val="en-US" w:eastAsia="zh-CN"/>
              </w:rPr>
              <w:t>工业</w:t>
            </w:r>
          </w:p>
        </w:tc>
        <w:tc>
          <w:tcPr>
            <w:tcW w:w="6123" w:type="dxa"/>
            <w:vAlign w:val="top"/>
          </w:tcPr>
          <w:p w14:paraId="102E3C06">
            <w:pPr>
              <w:keepNext w:val="0"/>
              <w:keepLines w:val="0"/>
              <w:pageBreakBefore w:val="0"/>
              <w:widowControl/>
              <w:kinsoku/>
              <w:wordWrap w:val="0"/>
              <w:overflowPunct/>
              <w:topLinePunct w:val="0"/>
              <w:autoSpaceDE/>
              <w:autoSpaceDN/>
              <w:bidi w:val="0"/>
              <w:adjustRightInd/>
              <w:snapToGrid/>
              <w:spacing w:line="360" w:lineRule="auto"/>
              <w:ind w:left="215" w:leftChars="95" w:hanging="16" w:hangingChars="8"/>
              <w:jc w:val="left"/>
              <w:textAlignment w:val="auto"/>
              <w:rPr>
                <w:rFonts w:hint="eastAsia"/>
                <w:color w:val="auto"/>
                <w:highlight w:val="none"/>
                <w:lang w:val="en-US" w:eastAsia="zh-CN"/>
              </w:rPr>
            </w:pPr>
            <w:r>
              <w:rPr>
                <w:rFonts w:hint="eastAsia"/>
                <w:color w:val="auto"/>
                <w:highlight w:val="none"/>
                <w:lang w:val="en-US" w:eastAsia="zh-CN"/>
              </w:rPr>
              <w:t>1.激光功率：≥5W；</w:t>
            </w:r>
          </w:p>
          <w:p w14:paraId="220E8075">
            <w:pPr>
              <w:keepNext w:val="0"/>
              <w:keepLines w:val="0"/>
              <w:pageBreakBefore w:val="0"/>
              <w:widowControl/>
              <w:kinsoku/>
              <w:wordWrap w:val="0"/>
              <w:overflowPunct/>
              <w:topLinePunct w:val="0"/>
              <w:autoSpaceDE/>
              <w:autoSpaceDN/>
              <w:bidi w:val="0"/>
              <w:adjustRightInd/>
              <w:snapToGrid/>
              <w:spacing w:line="360" w:lineRule="auto"/>
              <w:ind w:left="215" w:leftChars="95" w:hanging="16" w:hangingChars="8"/>
              <w:jc w:val="left"/>
              <w:textAlignment w:val="auto"/>
              <w:rPr>
                <w:rFonts w:hint="eastAsia"/>
                <w:color w:val="auto"/>
                <w:highlight w:val="none"/>
                <w:lang w:val="en-US" w:eastAsia="zh-CN"/>
              </w:rPr>
            </w:pPr>
            <w:r>
              <w:rPr>
                <w:rFonts w:hint="eastAsia"/>
                <w:color w:val="auto"/>
                <w:highlight w:val="none"/>
                <w:lang w:val="en-US" w:eastAsia="zh-CN"/>
              </w:rPr>
              <w:t>2.控制方式：支持DSP；</w:t>
            </w:r>
          </w:p>
          <w:p w14:paraId="5D74D360">
            <w:pPr>
              <w:keepNext w:val="0"/>
              <w:keepLines w:val="0"/>
              <w:pageBreakBefore w:val="0"/>
              <w:widowControl/>
              <w:kinsoku/>
              <w:wordWrap w:val="0"/>
              <w:overflowPunct/>
              <w:topLinePunct w:val="0"/>
              <w:autoSpaceDE/>
              <w:autoSpaceDN/>
              <w:bidi w:val="0"/>
              <w:adjustRightInd/>
              <w:snapToGrid/>
              <w:spacing w:line="360" w:lineRule="auto"/>
              <w:ind w:left="215" w:leftChars="95" w:hanging="16" w:hangingChars="8"/>
              <w:jc w:val="left"/>
              <w:textAlignment w:val="auto"/>
              <w:rPr>
                <w:rFonts w:hint="eastAsia"/>
                <w:color w:val="auto"/>
                <w:highlight w:val="none"/>
                <w:lang w:val="en-US" w:eastAsia="zh-CN"/>
              </w:rPr>
            </w:pPr>
            <w:r>
              <w:rPr>
                <w:rFonts w:hint="eastAsia"/>
                <w:color w:val="auto"/>
                <w:highlight w:val="none"/>
                <w:lang w:val="en-US" w:eastAsia="zh-CN"/>
              </w:rPr>
              <w:t>3.工作电压：220V，50/60HZ；</w:t>
            </w:r>
          </w:p>
          <w:p w14:paraId="39232CCB">
            <w:pPr>
              <w:keepNext w:val="0"/>
              <w:keepLines w:val="0"/>
              <w:pageBreakBefore w:val="0"/>
              <w:widowControl/>
              <w:kinsoku/>
              <w:wordWrap w:val="0"/>
              <w:overflowPunct/>
              <w:topLinePunct w:val="0"/>
              <w:autoSpaceDE/>
              <w:autoSpaceDN/>
              <w:bidi w:val="0"/>
              <w:adjustRightInd/>
              <w:snapToGrid/>
              <w:spacing w:line="360" w:lineRule="auto"/>
              <w:ind w:left="215" w:leftChars="95" w:hanging="16" w:hangingChars="8"/>
              <w:jc w:val="left"/>
              <w:textAlignment w:val="auto"/>
              <w:rPr>
                <w:rFonts w:hint="eastAsia"/>
                <w:color w:val="auto"/>
                <w:highlight w:val="none"/>
                <w:lang w:val="en-US" w:eastAsia="zh-CN"/>
              </w:rPr>
            </w:pPr>
            <w:r>
              <w:rPr>
                <w:rFonts w:hint="eastAsia"/>
                <w:color w:val="auto"/>
                <w:highlight w:val="none"/>
                <w:lang w:val="en-US" w:eastAsia="zh-CN"/>
              </w:rPr>
              <w:t>4.工作幅面：≥150mm×150mm；</w:t>
            </w:r>
          </w:p>
          <w:p w14:paraId="7B7009BD">
            <w:pPr>
              <w:keepNext w:val="0"/>
              <w:keepLines w:val="0"/>
              <w:pageBreakBefore w:val="0"/>
              <w:widowControl/>
              <w:kinsoku/>
              <w:wordWrap w:val="0"/>
              <w:overflowPunct/>
              <w:topLinePunct w:val="0"/>
              <w:autoSpaceDE/>
              <w:autoSpaceDN/>
              <w:bidi w:val="0"/>
              <w:adjustRightInd/>
              <w:snapToGrid/>
              <w:spacing w:line="360" w:lineRule="auto"/>
              <w:ind w:left="215" w:leftChars="95" w:hanging="16" w:hangingChars="8"/>
              <w:jc w:val="left"/>
              <w:textAlignment w:val="auto"/>
              <w:rPr>
                <w:rFonts w:hint="eastAsia"/>
                <w:color w:val="auto"/>
                <w:highlight w:val="none"/>
                <w:lang w:val="en-US" w:eastAsia="zh-CN"/>
              </w:rPr>
            </w:pPr>
            <w:r>
              <w:rPr>
                <w:rFonts w:hint="eastAsia"/>
                <w:color w:val="auto"/>
                <w:highlight w:val="none"/>
                <w:lang w:val="en-US" w:eastAsia="zh-CN"/>
              </w:rPr>
              <w:t>5.最大雕刻速度：≥4000mm/s；</w:t>
            </w:r>
          </w:p>
          <w:p w14:paraId="3C81B654">
            <w:pPr>
              <w:keepNext w:val="0"/>
              <w:keepLines w:val="0"/>
              <w:pageBreakBefore w:val="0"/>
              <w:widowControl/>
              <w:kinsoku/>
              <w:wordWrap w:val="0"/>
              <w:overflowPunct/>
              <w:topLinePunct w:val="0"/>
              <w:autoSpaceDE/>
              <w:autoSpaceDN/>
              <w:bidi w:val="0"/>
              <w:adjustRightInd/>
              <w:snapToGrid/>
              <w:spacing w:line="360" w:lineRule="auto"/>
              <w:ind w:left="215" w:leftChars="95" w:hanging="16" w:hangingChars="8"/>
              <w:jc w:val="left"/>
              <w:textAlignment w:val="auto"/>
              <w:rPr>
                <w:rFonts w:hint="eastAsia"/>
                <w:color w:val="auto"/>
                <w:highlight w:val="none"/>
                <w:lang w:val="en-US" w:eastAsia="zh-CN"/>
              </w:rPr>
            </w:pPr>
            <w:r>
              <w:rPr>
                <w:rFonts w:hint="eastAsia"/>
                <w:color w:val="auto"/>
                <w:highlight w:val="none"/>
                <w:lang w:val="en-US" w:eastAsia="zh-CN"/>
              </w:rPr>
              <w:t>6.调焦方式：手动或电动/自动；</w:t>
            </w:r>
          </w:p>
          <w:p w14:paraId="7D89D20E">
            <w:pPr>
              <w:keepNext w:val="0"/>
              <w:keepLines w:val="0"/>
              <w:pageBreakBefore w:val="0"/>
              <w:widowControl/>
              <w:kinsoku/>
              <w:wordWrap w:val="0"/>
              <w:overflowPunct/>
              <w:topLinePunct w:val="0"/>
              <w:autoSpaceDE/>
              <w:autoSpaceDN/>
              <w:bidi w:val="0"/>
              <w:adjustRightInd/>
              <w:snapToGrid/>
              <w:spacing w:line="360" w:lineRule="auto"/>
              <w:ind w:left="215" w:leftChars="95" w:hanging="16" w:hangingChars="8"/>
              <w:jc w:val="left"/>
              <w:textAlignment w:val="auto"/>
              <w:rPr>
                <w:rFonts w:hint="eastAsia"/>
                <w:color w:val="auto"/>
                <w:highlight w:val="none"/>
                <w:lang w:val="en-US" w:eastAsia="zh-CN"/>
              </w:rPr>
            </w:pPr>
            <w:r>
              <w:rPr>
                <w:rFonts w:hint="eastAsia"/>
                <w:color w:val="auto"/>
                <w:highlight w:val="none"/>
                <w:lang w:val="en-US" w:eastAsia="zh-CN"/>
              </w:rPr>
              <w:t>7.激光器类型：紫外激光器；</w:t>
            </w:r>
          </w:p>
          <w:p w14:paraId="37F28EB3">
            <w:pPr>
              <w:keepNext w:val="0"/>
              <w:keepLines w:val="0"/>
              <w:pageBreakBefore w:val="0"/>
              <w:widowControl/>
              <w:kinsoku/>
              <w:wordWrap w:val="0"/>
              <w:overflowPunct/>
              <w:topLinePunct w:val="0"/>
              <w:autoSpaceDE/>
              <w:autoSpaceDN/>
              <w:bidi w:val="0"/>
              <w:adjustRightInd/>
              <w:snapToGrid/>
              <w:spacing w:line="360" w:lineRule="auto"/>
              <w:ind w:left="215" w:leftChars="95" w:hanging="16" w:hangingChars="8"/>
              <w:jc w:val="left"/>
              <w:textAlignment w:val="auto"/>
              <w:rPr>
                <w:rFonts w:hint="eastAsia"/>
                <w:color w:val="auto"/>
                <w:highlight w:val="none"/>
                <w:lang w:val="en-US" w:eastAsia="zh-CN"/>
              </w:rPr>
            </w:pPr>
            <w:r>
              <w:rPr>
                <w:rFonts w:hint="eastAsia"/>
                <w:color w:val="auto"/>
                <w:highlight w:val="none"/>
                <w:lang w:val="en-US" w:eastAsia="zh-CN"/>
              </w:rPr>
              <w:t>8.定位精度≤0.01mm；</w:t>
            </w:r>
          </w:p>
          <w:p w14:paraId="4C2399EC">
            <w:pPr>
              <w:keepNext w:val="0"/>
              <w:keepLines w:val="0"/>
              <w:pageBreakBefore w:val="0"/>
              <w:widowControl/>
              <w:kinsoku/>
              <w:wordWrap w:val="0"/>
              <w:overflowPunct/>
              <w:topLinePunct w:val="0"/>
              <w:autoSpaceDE/>
              <w:autoSpaceDN/>
              <w:bidi w:val="0"/>
              <w:adjustRightInd/>
              <w:snapToGrid/>
              <w:spacing w:line="360" w:lineRule="auto"/>
              <w:ind w:left="215" w:leftChars="95" w:hanging="16" w:hangingChars="8"/>
              <w:jc w:val="left"/>
              <w:textAlignment w:val="auto"/>
              <w:rPr>
                <w:rFonts w:hint="eastAsia"/>
                <w:color w:val="auto"/>
                <w:highlight w:val="none"/>
                <w:lang w:val="en-US" w:eastAsia="zh-CN"/>
              </w:rPr>
            </w:pPr>
            <w:r>
              <w:rPr>
                <w:rFonts w:hint="eastAsia"/>
                <w:color w:val="auto"/>
                <w:highlight w:val="none"/>
                <w:lang w:val="en-US" w:eastAsia="zh-CN"/>
              </w:rPr>
              <w:t>9.通信接口：支持USB；</w:t>
            </w:r>
          </w:p>
          <w:p w14:paraId="3B0F9E61">
            <w:pPr>
              <w:keepNext w:val="0"/>
              <w:keepLines w:val="0"/>
              <w:pageBreakBefore w:val="0"/>
              <w:widowControl/>
              <w:kinsoku/>
              <w:wordWrap w:val="0"/>
              <w:overflowPunct/>
              <w:topLinePunct w:val="0"/>
              <w:autoSpaceDE/>
              <w:autoSpaceDN/>
              <w:bidi w:val="0"/>
              <w:adjustRightInd/>
              <w:snapToGrid/>
              <w:spacing w:line="360" w:lineRule="auto"/>
              <w:ind w:left="215" w:leftChars="95" w:hanging="16" w:hangingChars="8"/>
              <w:jc w:val="left"/>
              <w:textAlignment w:val="auto"/>
              <w:rPr>
                <w:rFonts w:hint="eastAsia"/>
                <w:color w:val="auto"/>
                <w:highlight w:val="none"/>
                <w:lang w:val="en-US" w:eastAsia="zh-CN"/>
              </w:rPr>
            </w:pPr>
            <w:r>
              <w:rPr>
                <w:rFonts w:hint="eastAsia"/>
                <w:color w:val="auto"/>
                <w:highlight w:val="none"/>
                <w:lang w:val="en-US" w:eastAsia="zh-CN"/>
              </w:rPr>
              <w:t>10.最小雕刻尺寸：≤1×1mm；</w:t>
            </w:r>
          </w:p>
          <w:p w14:paraId="1CC9CB8D">
            <w:pPr>
              <w:keepNext w:val="0"/>
              <w:keepLines w:val="0"/>
              <w:pageBreakBefore w:val="0"/>
              <w:widowControl/>
              <w:kinsoku/>
              <w:wordWrap w:val="0"/>
              <w:overflowPunct/>
              <w:topLinePunct w:val="0"/>
              <w:autoSpaceDE/>
              <w:autoSpaceDN/>
              <w:bidi w:val="0"/>
              <w:adjustRightInd/>
              <w:snapToGrid/>
              <w:spacing w:line="360" w:lineRule="auto"/>
              <w:ind w:left="215" w:leftChars="95" w:hanging="16" w:hangingChars="8"/>
              <w:jc w:val="left"/>
              <w:textAlignment w:val="auto"/>
              <w:rPr>
                <w:rFonts w:hint="eastAsia"/>
                <w:color w:val="auto"/>
                <w:highlight w:val="none"/>
                <w:lang w:val="en-US" w:eastAsia="zh-CN"/>
              </w:rPr>
            </w:pPr>
            <w:r>
              <w:rPr>
                <w:rFonts w:hint="eastAsia"/>
                <w:color w:val="auto"/>
                <w:highlight w:val="none"/>
                <w:lang w:val="en-US" w:eastAsia="zh-CN"/>
              </w:rPr>
              <w:t>11.场镜：紫光场镜；</w:t>
            </w:r>
          </w:p>
          <w:p w14:paraId="333C412E">
            <w:pPr>
              <w:keepNext w:val="0"/>
              <w:keepLines w:val="0"/>
              <w:pageBreakBefore w:val="0"/>
              <w:widowControl/>
              <w:kinsoku/>
              <w:wordWrap w:val="0"/>
              <w:overflowPunct/>
              <w:topLinePunct w:val="0"/>
              <w:autoSpaceDE/>
              <w:autoSpaceDN/>
              <w:bidi w:val="0"/>
              <w:adjustRightInd/>
              <w:snapToGrid/>
              <w:spacing w:line="360" w:lineRule="auto"/>
              <w:ind w:left="215" w:leftChars="95" w:hanging="16" w:hangingChars="8"/>
              <w:jc w:val="left"/>
              <w:textAlignment w:val="auto"/>
              <w:rPr>
                <w:rFonts w:hint="eastAsia"/>
                <w:color w:val="auto"/>
                <w:highlight w:val="none"/>
                <w:lang w:val="en-US" w:eastAsia="zh-CN"/>
              </w:rPr>
            </w:pPr>
            <w:r>
              <w:rPr>
                <w:rFonts w:hint="eastAsia"/>
                <w:color w:val="auto"/>
                <w:highlight w:val="none"/>
                <w:lang w:val="en-US" w:eastAsia="zh-CN"/>
              </w:rPr>
              <w:t>12支持格式：DXF，BMP，PLT，AI，JPG等；</w:t>
            </w:r>
          </w:p>
          <w:p w14:paraId="08B37B12">
            <w:pPr>
              <w:keepNext w:val="0"/>
              <w:keepLines w:val="0"/>
              <w:pageBreakBefore w:val="0"/>
              <w:widowControl/>
              <w:kinsoku/>
              <w:wordWrap w:val="0"/>
              <w:overflowPunct/>
              <w:topLinePunct w:val="0"/>
              <w:autoSpaceDE/>
              <w:autoSpaceDN/>
              <w:bidi w:val="0"/>
              <w:adjustRightInd/>
              <w:snapToGrid/>
              <w:spacing w:line="360" w:lineRule="auto"/>
              <w:ind w:left="215" w:leftChars="95" w:hanging="16" w:hangingChars="8"/>
              <w:jc w:val="left"/>
              <w:textAlignment w:val="auto"/>
              <w:rPr>
                <w:rFonts w:hint="eastAsia"/>
                <w:color w:val="auto"/>
                <w:highlight w:val="none"/>
                <w:lang w:val="en-US" w:eastAsia="zh-CN"/>
              </w:rPr>
            </w:pPr>
            <w:r>
              <w:rPr>
                <w:rFonts w:hint="eastAsia"/>
                <w:color w:val="auto"/>
                <w:highlight w:val="none"/>
                <w:lang w:val="en-US" w:eastAsia="zh-CN"/>
              </w:rPr>
              <w:t>13.机器尺寸：60×80×143cm（±5%）；</w:t>
            </w:r>
          </w:p>
          <w:p w14:paraId="2352404E">
            <w:pPr>
              <w:keepNext w:val="0"/>
              <w:keepLines w:val="0"/>
              <w:pageBreakBefore w:val="0"/>
              <w:widowControl/>
              <w:kinsoku/>
              <w:wordWrap w:val="0"/>
              <w:overflowPunct/>
              <w:topLinePunct w:val="0"/>
              <w:autoSpaceDE/>
              <w:autoSpaceDN/>
              <w:bidi w:val="0"/>
              <w:adjustRightInd/>
              <w:snapToGrid/>
              <w:spacing w:line="360" w:lineRule="auto"/>
              <w:ind w:left="215" w:leftChars="95" w:hanging="16" w:hangingChars="8"/>
              <w:jc w:val="left"/>
              <w:textAlignment w:val="auto"/>
              <w:rPr>
                <w:rFonts w:hint="eastAsia"/>
                <w:color w:val="auto"/>
                <w:highlight w:val="none"/>
                <w:lang w:val="en-US" w:eastAsia="zh-CN"/>
              </w:rPr>
            </w:pPr>
            <w:r>
              <w:rPr>
                <w:rFonts w:hint="eastAsia"/>
                <w:color w:val="auto"/>
                <w:highlight w:val="none"/>
                <w:lang w:val="en-US" w:eastAsia="zh-CN"/>
              </w:rPr>
              <w:t>14.重量：≥89KG；</w:t>
            </w:r>
          </w:p>
          <w:p w14:paraId="45758452">
            <w:pPr>
              <w:keepNext w:val="0"/>
              <w:keepLines w:val="0"/>
              <w:pageBreakBefore w:val="0"/>
              <w:widowControl/>
              <w:kinsoku/>
              <w:wordWrap w:val="0"/>
              <w:overflowPunct/>
              <w:topLinePunct w:val="0"/>
              <w:autoSpaceDE/>
              <w:autoSpaceDN/>
              <w:bidi w:val="0"/>
              <w:adjustRightInd/>
              <w:snapToGrid/>
              <w:spacing w:line="360" w:lineRule="auto"/>
              <w:ind w:left="215" w:leftChars="95" w:hanging="16" w:hangingChars="8"/>
              <w:jc w:val="left"/>
              <w:textAlignment w:val="auto"/>
              <w:rPr>
                <w:rFonts w:hint="eastAsia"/>
                <w:color w:val="auto"/>
                <w:highlight w:val="none"/>
                <w:lang w:val="en-US" w:eastAsia="zh-CN"/>
              </w:rPr>
            </w:pPr>
            <w:r>
              <w:rPr>
                <w:rFonts w:hint="eastAsia"/>
                <w:color w:val="auto"/>
                <w:highlight w:val="none"/>
                <w:lang w:val="en-US" w:eastAsia="zh-CN"/>
              </w:rPr>
              <w:t>15.适用材料：塑料、环氧树脂、油墨、漆面等材料打标和表面处理。各配置不少于20块，长宽厚尺寸：150×50×2mm（±5%）；。</w:t>
            </w:r>
          </w:p>
        </w:tc>
      </w:tr>
      <w:tr w14:paraId="5D8381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427" w:type="dxa"/>
            <w:vAlign w:val="center"/>
          </w:tcPr>
          <w:p w14:paraId="68DC923C">
            <w:pPr>
              <w:pStyle w:val="77"/>
              <w:spacing w:before="65" w:line="270" w:lineRule="exact"/>
              <w:jc w:val="center"/>
              <w:rPr>
                <w:rFonts w:hint="default" w:eastAsia="宋体"/>
                <w:color w:val="auto"/>
                <w:position w:val="1"/>
                <w:highlight w:val="none"/>
                <w:lang w:val="en-US" w:eastAsia="zh-CN"/>
              </w:rPr>
            </w:pPr>
            <w:r>
              <w:rPr>
                <w:rFonts w:hint="eastAsia"/>
                <w:color w:val="auto"/>
                <w:position w:val="1"/>
                <w:highlight w:val="none"/>
                <w:lang w:val="en-US" w:eastAsia="zh-CN"/>
              </w:rPr>
              <w:t>6</w:t>
            </w:r>
          </w:p>
        </w:tc>
        <w:tc>
          <w:tcPr>
            <w:tcW w:w="791" w:type="dxa"/>
            <w:vAlign w:val="center"/>
          </w:tcPr>
          <w:p w14:paraId="390E629C">
            <w:pPr>
              <w:widowControl/>
              <w:wordWrap w:val="0"/>
              <w:spacing w:line="400" w:lineRule="exact"/>
              <w:jc w:val="center"/>
              <w:rPr>
                <w:rFonts w:hint="eastAsia" w:ascii="宋体" w:hAnsi="宋体" w:cs="Courier New"/>
                <w:color w:val="auto"/>
                <w:szCs w:val="21"/>
                <w:highlight w:val="none"/>
                <w:lang w:val="en-US" w:eastAsia="zh-CN"/>
              </w:rPr>
            </w:pPr>
            <w:r>
              <w:rPr>
                <w:rFonts w:hint="eastAsia" w:ascii="宋体" w:hAnsi="宋体" w:cs="Courier New"/>
                <w:color w:val="auto"/>
                <w:szCs w:val="21"/>
                <w:highlight w:val="none"/>
                <w:lang w:val="en-US" w:eastAsia="zh-CN"/>
              </w:rPr>
              <w:t>教学投影电视机</w:t>
            </w:r>
          </w:p>
        </w:tc>
        <w:tc>
          <w:tcPr>
            <w:tcW w:w="709" w:type="dxa"/>
            <w:vAlign w:val="center"/>
          </w:tcPr>
          <w:p w14:paraId="3B93D779">
            <w:pPr>
              <w:widowControl/>
              <w:wordWrap w:val="0"/>
              <w:spacing w:line="400" w:lineRule="exact"/>
              <w:jc w:val="center"/>
              <w:rPr>
                <w:rFonts w:hint="default" w:ascii="宋体" w:hAnsi="宋体" w:cs="Courier New"/>
                <w:color w:val="auto"/>
                <w:szCs w:val="21"/>
                <w:highlight w:val="none"/>
                <w:lang w:val="en-US" w:eastAsia="zh-CN"/>
              </w:rPr>
            </w:pPr>
            <w:r>
              <w:rPr>
                <w:rFonts w:hint="eastAsia" w:ascii="宋体" w:hAnsi="宋体" w:cs="Courier New"/>
                <w:color w:val="auto"/>
                <w:szCs w:val="21"/>
                <w:highlight w:val="none"/>
                <w:lang w:val="en-US" w:eastAsia="zh-CN"/>
              </w:rPr>
              <w:t>1台</w:t>
            </w:r>
          </w:p>
        </w:tc>
        <w:tc>
          <w:tcPr>
            <w:tcW w:w="736" w:type="dxa"/>
            <w:vAlign w:val="center"/>
          </w:tcPr>
          <w:p w14:paraId="3E0296CB">
            <w:pPr>
              <w:widowControl/>
              <w:wordWrap w:val="0"/>
              <w:spacing w:line="400" w:lineRule="exact"/>
              <w:jc w:val="center"/>
              <w:rPr>
                <w:rFonts w:hint="default" w:ascii="宋体" w:hAnsi="宋体" w:eastAsia="宋体" w:cs="Courier New"/>
                <w:color w:val="auto"/>
                <w:szCs w:val="21"/>
                <w:highlight w:val="none"/>
                <w:lang w:val="en-US" w:eastAsia="zh-CN"/>
              </w:rPr>
            </w:pPr>
            <w:r>
              <w:rPr>
                <w:rFonts w:hint="eastAsia" w:ascii="宋体" w:hAnsi="宋体" w:cs="Courier New"/>
                <w:color w:val="auto"/>
                <w:szCs w:val="21"/>
                <w:highlight w:val="none"/>
                <w:lang w:val="en-US" w:eastAsia="zh-CN"/>
              </w:rPr>
              <w:t>工业</w:t>
            </w:r>
          </w:p>
        </w:tc>
        <w:tc>
          <w:tcPr>
            <w:tcW w:w="6123" w:type="dxa"/>
            <w:vAlign w:val="top"/>
          </w:tcPr>
          <w:p w14:paraId="0B9186B9">
            <w:pPr>
              <w:keepNext w:val="0"/>
              <w:keepLines w:val="0"/>
              <w:pageBreakBefore w:val="0"/>
              <w:widowControl/>
              <w:kinsoku/>
              <w:wordWrap w:val="0"/>
              <w:overflowPunct/>
              <w:topLinePunct w:val="0"/>
              <w:autoSpaceDE/>
              <w:autoSpaceDN/>
              <w:bidi w:val="0"/>
              <w:adjustRightInd/>
              <w:snapToGrid/>
              <w:spacing w:line="360" w:lineRule="auto"/>
              <w:ind w:left="216" w:leftChars="103" w:firstLine="0" w:firstLineChars="0"/>
              <w:jc w:val="left"/>
              <w:textAlignment w:val="auto"/>
              <w:rPr>
                <w:rFonts w:hint="default"/>
                <w:color w:val="auto"/>
                <w:highlight w:val="none"/>
                <w:lang w:val="en-US" w:eastAsia="zh-CN"/>
              </w:rPr>
            </w:pPr>
            <w:r>
              <w:rPr>
                <w:rFonts w:hint="eastAsia"/>
                <w:color w:val="auto"/>
                <w:highlight w:val="none"/>
                <w:lang w:val="en-US" w:eastAsia="zh-CN"/>
              </w:rPr>
              <w:t>1.HDMI接口数量：≥4个；</w:t>
            </w:r>
          </w:p>
          <w:p w14:paraId="5FD2CAE3">
            <w:pPr>
              <w:keepNext w:val="0"/>
              <w:keepLines w:val="0"/>
              <w:pageBreakBefore w:val="0"/>
              <w:widowControl/>
              <w:kinsoku/>
              <w:wordWrap w:val="0"/>
              <w:overflowPunct/>
              <w:topLinePunct w:val="0"/>
              <w:autoSpaceDE/>
              <w:autoSpaceDN/>
              <w:bidi w:val="0"/>
              <w:adjustRightInd/>
              <w:snapToGrid/>
              <w:spacing w:line="360" w:lineRule="auto"/>
              <w:ind w:left="216" w:leftChars="103" w:firstLine="0" w:firstLineChars="0"/>
              <w:jc w:val="left"/>
              <w:textAlignment w:val="auto"/>
              <w:rPr>
                <w:rFonts w:hint="default"/>
                <w:color w:val="auto"/>
                <w:highlight w:val="none"/>
                <w:lang w:val="en-US" w:eastAsia="zh-CN"/>
              </w:rPr>
            </w:pPr>
            <w:r>
              <w:rPr>
                <w:rFonts w:hint="eastAsia"/>
                <w:color w:val="auto"/>
                <w:highlight w:val="none"/>
                <w:lang w:val="en-US" w:eastAsia="zh-CN"/>
              </w:rPr>
              <w:t>2.屏幕比例：16：9；</w:t>
            </w:r>
          </w:p>
          <w:p w14:paraId="3F7D7BE2">
            <w:pPr>
              <w:keepNext w:val="0"/>
              <w:keepLines w:val="0"/>
              <w:pageBreakBefore w:val="0"/>
              <w:widowControl/>
              <w:kinsoku/>
              <w:wordWrap w:val="0"/>
              <w:overflowPunct/>
              <w:topLinePunct w:val="0"/>
              <w:autoSpaceDE/>
              <w:autoSpaceDN/>
              <w:bidi w:val="0"/>
              <w:adjustRightInd/>
              <w:snapToGrid/>
              <w:spacing w:line="360" w:lineRule="auto"/>
              <w:ind w:left="216" w:leftChars="103" w:firstLine="0" w:firstLineChars="0"/>
              <w:jc w:val="left"/>
              <w:textAlignment w:val="auto"/>
              <w:rPr>
                <w:rFonts w:hint="default"/>
                <w:color w:val="auto"/>
                <w:highlight w:val="none"/>
                <w:lang w:val="en-US" w:eastAsia="zh-CN"/>
              </w:rPr>
            </w:pPr>
            <w:r>
              <w:rPr>
                <w:rFonts w:hint="eastAsia"/>
                <w:color w:val="auto"/>
                <w:highlight w:val="none"/>
                <w:lang w:val="en-US" w:eastAsia="zh-CN"/>
              </w:rPr>
              <w:t>3.语音遥控类型：支持远场语音遥控；</w:t>
            </w:r>
          </w:p>
          <w:p w14:paraId="2D7F8219">
            <w:pPr>
              <w:keepNext w:val="0"/>
              <w:keepLines w:val="0"/>
              <w:pageBreakBefore w:val="0"/>
              <w:widowControl/>
              <w:kinsoku/>
              <w:wordWrap w:val="0"/>
              <w:overflowPunct/>
              <w:topLinePunct w:val="0"/>
              <w:autoSpaceDE/>
              <w:autoSpaceDN/>
              <w:bidi w:val="0"/>
              <w:adjustRightInd/>
              <w:snapToGrid/>
              <w:spacing w:line="360" w:lineRule="auto"/>
              <w:ind w:left="216" w:leftChars="103" w:firstLine="0" w:firstLineChars="0"/>
              <w:jc w:val="left"/>
              <w:textAlignment w:val="auto"/>
              <w:rPr>
                <w:rFonts w:hint="default"/>
                <w:color w:val="auto"/>
                <w:highlight w:val="none"/>
                <w:lang w:val="en-US" w:eastAsia="zh-CN"/>
              </w:rPr>
            </w:pPr>
            <w:r>
              <w:rPr>
                <w:rFonts w:hint="eastAsia"/>
                <w:color w:val="auto"/>
                <w:highlight w:val="none"/>
                <w:lang w:val="en-US" w:eastAsia="zh-CN"/>
              </w:rPr>
              <w:t>4.接收制式：支持NTSC PAL；</w:t>
            </w:r>
          </w:p>
          <w:p w14:paraId="61295090">
            <w:pPr>
              <w:keepNext w:val="0"/>
              <w:keepLines w:val="0"/>
              <w:pageBreakBefore w:val="0"/>
              <w:widowControl/>
              <w:kinsoku/>
              <w:wordWrap w:val="0"/>
              <w:overflowPunct/>
              <w:topLinePunct w:val="0"/>
              <w:autoSpaceDE/>
              <w:autoSpaceDN/>
              <w:bidi w:val="0"/>
              <w:adjustRightInd/>
              <w:snapToGrid/>
              <w:spacing w:line="360" w:lineRule="auto"/>
              <w:ind w:left="216" w:leftChars="103" w:firstLine="0" w:firstLineChars="0"/>
              <w:jc w:val="left"/>
              <w:textAlignment w:val="auto"/>
              <w:rPr>
                <w:rFonts w:hint="default"/>
                <w:color w:val="auto"/>
                <w:highlight w:val="none"/>
                <w:lang w:val="en-US" w:eastAsia="zh-CN"/>
              </w:rPr>
            </w:pPr>
            <w:r>
              <w:rPr>
                <w:rFonts w:hint="eastAsia"/>
                <w:color w:val="auto"/>
                <w:highlight w:val="none"/>
                <w:lang w:val="en-US" w:eastAsia="zh-CN"/>
              </w:rPr>
              <w:t>5..刷屏率：≥120Hz；</w:t>
            </w:r>
          </w:p>
          <w:p w14:paraId="0C9CE9C0">
            <w:pPr>
              <w:keepNext w:val="0"/>
              <w:keepLines w:val="0"/>
              <w:pageBreakBefore w:val="0"/>
              <w:widowControl/>
              <w:kinsoku/>
              <w:wordWrap w:val="0"/>
              <w:overflowPunct/>
              <w:topLinePunct w:val="0"/>
              <w:autoSpaceDE/>
              <w:autoSpaceDN/>
              <w:bidi w:val="0"/>
              <w:adjustRightInd/>
              <w:snapToGrid/>
              <w:spacing w:line="360" w:lineRule="auto"/>
              <w:ind w:left="216" w:leftChars="103" w:firstLine="0" w:firstLineChars="0"/>
              <w:jc w:val="left"/>
              <w:textAlignment w:val="auto"/>
              <w:rPr>
                <w:rFonts w:hint="default"/>
                <w:color w:val="auto"/>
                <w:highlight w:val="none"/>
                <w:lang w:val="en-US" w:eastAsia="zh-CN"/>
              </w:rPr>
            </w:pPr>
            <w:r>
              <w:rPr>
                <w:rFonts w:hint="eastAsia"/>
                <w:color w:val="auto"/>
                <w:highlight w:val="none"/>
                <w:lang w:val="en-US" w:eastAsia="zh-CN"/>
              </w:rPr>
              <w:t>6.能效等级：一级；</w:t>
            </w:r>
          </w:p>
          <w:p w14:paraId="03860B2F">
            <w:pPr>
              <w:keepNext w:val="0"/>
              <w:keepLines w:val="0"/>
              <w:pageBreakBefore w:val="0"/>
              <w:widowControl/>
              <w:kinsoku/>
              <w:wordWrap w:val="0"/>
              <w:overflowPunct/>
              <w:topLinePunct w:val="0"/>
              <w:autoSpaceDE/>
              <w:autoSpaceDN/>
              <w:bidi w:val="0"/>
              <w:adjustRightInd/>
              <w:snapToGrid/>
              <w:spacing w:line="360" w:lineRule="auto"/>
              <w:ind w:left="216" w:leftChars="103" w:firstLine="0" w:firstLineChars="0"/>
              <w:jc w:val="left"/>
              <w:textAlignment w:val="auto"/>
              <w:rPr>
                <w:rFonts w:hint="default"/>
                <w:color w:val="auto"/>
                <w:highlight w:val="none"/>
                <w:lang w:val="en-US" w:eastAsia="zh-CN"/>
              </w:rPr>
            </w:pPr>
            <w:r>
              <w:rPr>
                <w:rFonts w:hint="eastAsia"/>
                <w:color w:val="auto"/>
                <w:highlight w:val="none"/>
                <w:lang w:val="en-US" w:eastAsia="zh-CN"/>
              </w:rPr>
              <w:t>7.电视形态：平板；</w:t>
            </w:r>
          </w:p>
          <w:p w14:paraId="5ABBF8B4">
            <w:pPr>
              <w:keepNext w:val="0"/>
              <w:keepLines w:val="0"/>
              <w:pageBreakBefore w:val="0"/>
              <w:widowControl/>
              <w:kinsoku/>
              <w:wordWrap w:val="0"/>
              <w:overflowPunct/>
              <w:topLinePunct w:val="0"/>
              <w:autoSpaceDE/>
              <w:autoSpaceDN/>
              <w:bidi w:val="0"/>
              <w:adjustRightInd/>
              <w:snapToGrid/>
              <w:spacing w:line="360" w:lineRule="auto"/>
              <w:ind w:left="216" w:leftChars="103" w:firstLine="0" w:firstLineChars="0"/>
              <w:jc w:val="left"/>
              <w:textAlignment w:val="auto"/>
              <w:rPr>
                <w:rFonts w:hint="default"/>
                <w:color w:val="auto"/>
                <w:highlight w:val="none"/>
                <w:lang w:val="en-US" w:eastAsia="zh-CN"/>
              </w:rPr>
            </w:pPr>
            <w:r>
              <w:rPr>
                <w:rFonts w:hint="eastAsia"/>
                <w:color w:val="auto"/>
                <w:highlight w:val="none"/>
                <w:lang w:val="en-US" w:eastAsia="zh-CN"/>
              </w:rPr>
              <w:t>8.电视类型：MiniLED电视4K电视；</w:t>
            </w:r>
          </w:p>
          <w:p w14:paraId="7650E39F">
            <w:pPr>
              <w:keepNext w:val="0"/>
              <w:keepLines w:val="0"/>
              <w:pageBreakBefore w:val="0"/>
              <w:widowControl/>
              <w:kinsoku/>
              <w:wordWrap w:val="0"/>
              <w:overflowPunct/>
              <w:topLinePunct w:val="0"/>
              <w:autoSpaceDE/>
              <w:autoSpaceDN/>
              <w:bidi w:val="0"/>
              <w:adjustRightInd/>
              <w:snapToGrid/>
              <w:spacing w:line="360" w:lineRule="auto"/>
              <w:ind w:left="216" w:leftChars="103" w:firstLine="0" w:firstLineChars="0"/>
              <w:jc w:val="left"/>
              <w:textAlignment w:val="auto"/>
              <w:rPr>
                <w:rFonts w:hint="default"/>
                <w:color w:val="auto"/>
                <w:highlight w:val="none"/>
                <w:lang w:val="en-US" w:eastAsia="zh-CN"/>
              </w:rPr>
            </w:pPr>
            <w:r>
              <w:rPr>
                <w:rFonts w:hint="eastAsia"/>
                <w:color w:val="auto"/>
                <w:highlight w:val="none"/>
                <w:lang w:val="en-US" w:eastAsia="zh-CN"/>
              </w:rPr>
              <w:t>9.分辨率：≥3840×2160；</w:t>
            </w:r>
          </w:p>
          <w:p w14:paraId="7CFB1F98">
            <w:pPr>
              <w:keepNext w:val="0"/>
              <w:keepLines w:val="0"/>
              <w:pageBreakBefore w:val="0"/>
              <w:widowControl/>
              <w:kinsoku/>
              <w:wordWrap w:val="0"/>
              <w:overflowPunct/>
              <w:topLinePunct w:val="0"/>
              <w:autoSpaceDE/>
              <w:autoSpaceDN/>
              <w:bidi w:val="0"/>
              <w:adjustRightInd/>
              <w:snapToGrid/>
              <w:spacing w:line="360" w:lineRule="auto"/>
              <w:ind w:left="216" w:leftChars="103" w:firstLine="0" w:firstLineChars="0"/>
              <w:jc w:val="left"/>
              <w:textAlignment w:val="auto"/>
              <w:rPr>
                <w:rFonts w:hint="default"/>
                <w:color w:val="auto"/>
                <w:highlight w:val="none"/>
                <w:lang w:val="en-US" w:eastAsia="zh-CN"/>
              </w:rPr>
            </w:pPr>
            <w:r>
              <w:rPr>
                <w:rFonts w:hint="eastAsia"/>
                <w:color w:val="auto"/>
                <w:highlight w:val="none"/>
                <w:lang w:val="en-US" w:eastAsia="zh-CN"/>
              </w:rPr>
              <w:t>10.接口类型：支持AV HDMI USB RF射频接口；</w:t>
            </w:r>
          </w:p>
          <w:p w14:paraId="56D60EAC">
            <w:pPr>
              <w:keepNext w:val="0"/>
              <w:keepLines w:val="0"/>
              <w:pageBreakBefore w:val="0"/>
              <w:widowControl/>
              <w:kinsoku/>
              <w:wordWrap w:val="0"/>
              <w:overflowPunct/>
              <w:topLinePunct w:val="0"/>
              <w:autoSpaceDE/>
              <w:autoSpaceDN/>
              <w:bidi w:val="0"/>
              <w:adjustRightInd/>
              <w:snapToGrid/>
              <w:spacing w:line="360" w:lineRule="auto"/>
              <w:ind w:left="216" w:leftChars="103" w:firstLine="0" w:firstLineChars="0"/>
              <w:jc w:val="left"/>
              <w:textAlignment w:val="auto"/>
              <w:rPr>
                <w:rFonts w:hint="default"/>
                <w:color w:val="auto"/>
                <w:highlight w:val="none"/>
                <w:lang w:val="en-US" w:eastAsia="zh-CN"/>
              </w:rPr>
            </w:pPr>
            <w:r>
              <w:rPr>
                <w:rFonts w:hint="eastAsia"/>
                <w:color w:val="auto"/>
                <w:highlight w:val="none"/>
                <w:lang w:val="en-US" w:eastAsia="zh-CN"/>
              </w:rPr>
              <w:t>11.屏幕尺寸：≥98英寸；</w:t>
            </w:r>
          </w:p>
          <w:p w14:paraId="6598AA54">
            <w:pPr>
              <w:keepNext w:val="0"/>
              <w:keepLines w:val="0"/>
              <w:pageBreakBefore w:val="0"/>
              <w:widowControl/>
              <w:kinsoku/>
              <w:wordWrap w:val="0"/>
              <w:overflowPunct/>
              <w:topLinePunct w:val="0"/>
              <w:autoSpaceDE/>
              <w:autoSpaceDN/>
              <w:bidi w:val="0"/>
              <w:adjustRightInd/>
              <w:snapToGrid/>
              <w:spacing w:line="360" w:lineRule="auto"/>
              <w:ind w:left="216" w:leftChars="103" w:firstLine="0" w:firstLineChars="0"/>
              <w:jc w:val="left"/>
              <w:textAlignment w:val="auto"/>
              <w:rPr>
                <w:rFonts w:hint="default"/>
                <w:color w:val="auto"/>
                <w:highlight w:val="none"/>
                <w:lang w:val="en-US" w:eastAsia="zh-CN"/>
              </w:rPr>
            </w:pPr>
            <w:r>
              <w:rPr>
                <w:rFonts w:hint="eastAsia"/>
                <w:color w:val="auto"/>
                <w:highlight w:val="none"/>
                <w:lang w:val="en-US" w:eastAsia="zh-CN"/>
              </w:rPr>
              <w:t>12.内置存储容量：≥4GB+128GB；</w:t>
            </w:r>
          </w:p>
          <w:p w14:paraId="67745306">
            <w:pPr>
              <w:keepNext w:val="0"/>
              <w:keepLines w:val="0"/>
              <w:pageBreakBefore w:val="0"/>
              <w:widowControl/>
              <w:kinsoku/>
              <w:wordWrap w:val="0"/>
              <w:overflowPunct/>
              <w:topLinePunct w:val="0"/>
              <w:autoSpaceDE/>
              <w:autoSpaceDN/>
              <w:bidi w:val="0"/>
              <w:adjustRightInd/>
              <w:snapToGrid/>
              <w:spacing w:line="360" w:lineRule="auto"/>
              <w:ind w:left="216" w:leftChars="103" w:firstLine="0" w:firstLineChars="0"/>
              <w:jc w:val="left"/>
              <w:textAlignment w:val="auto"/>
              <w:rPr>
                <w:rFonts w:hint="eastAsia"/>
                <w:color w:val="auto"/>
                <w:highlight w:val="none"/>
                <w:lang w:val="en-US" w:eastAsia="zh-CN"/>
              </w:rPr>
            </w:pPr>
            <w:r>
              <w:rPr>
                <w:rFonts w:hint="eastAsia"/>
                <w:color w:val="auto"/>
                <w:highlight w:val="none"/>
                <w:lang w:val="en-US" w:eastAsia="zh-CN"/>
              </w:rPr>
              <w:t>13.配套可移动支架；</w:t>
            </w:r>
          </w:p>
        </w:tc>
      </w:tr>
      <w:tr w14:paraId="0DF316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427" w:type="dxa"/>
            <w:vAlign w:val="center"/>
          </w:tcPr>
          <w:p w14:paraId="6AC04068">
            <w:pPr>
              <w:pStyle w:val="77"/>
              <w:spacing w:before="65" w:line="270" w:lineRule="exact"/>
              <w:jc w:val="center"/>
              <w:rPr>
                <w:rFonts w:hint="eastAsia" w:eastAsia="宋体"/>
                <w:color w:val="auto"/>
                <w:position w:val="1"/>
                <w:highlight w:val="none"/>
                <w:lang w:val="en-US" w:eastAsia="zh-CN"/>
              </w:rPr>
            </w:pPr>
            <w:r>
              <w:rPr>
                <w:rFonts w:hint="eastAsia"/>
                <w:color w:val="auto"/>
                <w:position w:val="1"/>
                <w:highlight w:val="none"/>
                <w:lang w:val="en-US" w:eastAsia="zh-CN"/>
              </w:rPr>
              <w:t>7</w:t>
            </w:r>
          </w:p>
        </w:tc>
        <w:tc>
          <w:tcPr>
            <w:tcW w:w="791" w:type="dxa"/>
            <w:vAlign w:val="center"/>
          </w:tcPr>
          <w:p w14:paraId="430ED1A4">
            <w:pPr>
              <w:widowControl/>
              <w:wordWrap w:val="0"/>
              <w:spacing w:line="400" w:lineRule="exact"/>
              <w:jc w:val="center"/>
              <w:rPr>
                <w:rFonts w:hint="eastAsia" w:ascii="宋体" w:hAnsi="宋体" w:cs="Courier New"/>
                <w:color w:val="auto"/>
                <w:szCs w:val="21"/>
                <w:highlight w:val="none"/>
                <w:lang w:val="en-US" w:eastAsia="zh-CN"/>
              </w:rPr>
            </w:pPr>
            <w:r>
              <w:rPr>
                <w:rFonts w:hint="eastAsia" w:ascii="宋体" w:hAnsi="宋体" w:cs="Courier New"/>
                <w:color w:val="auto"/>
                <w:szCs w:val="21"/>
                <w:highlight w:val="none"/>
                <w:lang w:val="en-US" w:eastAsia="zh-CN"/>
              </w:rPr>
              <w:t>网络交换机</w:t>
            </w:r>
          </w:p>
        </w:tc>
        <w:tc>
          <w:tcPr>
            <w:tcW w:w="709" w:type="dxa"/>
            <w:vAlign w:val="center"/>
          </w:tcPr>
          <w:p w14:paraId="375E5F6C">
            <w:pPr>
              <w:widowControl/>
              <w:wordWrap w:val="0"/>
              <w:spacing w:line="400" w:lineRule="exact"/>
              <w:jc w:val="center"/>
              <w:rPr>
                <w:rFonts w:hint="default" w:ascii="宋体" w:hAnsi="宋体" w:cs="Courier New"/>
                <w:color w:val="auto"/>
                <w:szCs w:val="21"/>
                <w:highlight w:val="none"/>
                <w:lang w:val="en-US" w:eastAsia="zh-CN"/>
              </w:rPr>
            </w:pPr>
            <w:r>
              <w:rPr>
                <w:rFonts w:hint="eastAsia" w:ascii="宋体" w:hAnsi="宋体" w:cs="Courier New"/>
                <w:color w:val="auto"/>
                <w:szCs w:val="21"/>
                <w:highlight w:val="none"/>
                <w:lang w:val="en-US" w:eastAsia="zh-CN"/>
              </w:rPr>
              <w:t>1台</w:t>
            </w:r>
          </w:p>
        </w:tc>
        <w:tc>
          <w:tcPr>
            <w:tcW w:w="736" w:type="dxa"/>
            <w:vAlign w:val="center"/>
          </w:tcPr>
          <w:p w14:paraId="52B3F74E">
            <w:pPr>
              <w:widowControl/>
              <w:wordWrap w:val="0"/>
              <w:spacing w:line="400" w:lineRule="exact"/>
              <w:jc w:val="center"/>
              <w:rPr>
                <w:rFonts w:hint="eastAsia" w:ascii="宋体" w:hAnsi="宋体" w:cs="Courier New"/>
                <w:color w:val="auto"/>
                <w:szCs w:val="21"/>
                <w:highlight w:val="none"/>
              </w:rPr>
            </w:pPr>
            <w:r>
              <w:rPr>
                <w:rFonts w:hint="eastAsia" w:ascii="宋体" w:hAnsi="宋体" w:cs="Courier New"/>
                <w:color w:val="auto"/>
                <w:szCs w:val="21"/>
                <w:highlight w:val="none"/>
                <w:lang w:val="en-US" w:eastAsia="zh-CN"/>
              </w:rPr>
              <w:t>工业</w:t>
            </w:r>
          </w:p>
        </w:tc>
        <w:tc>
          <w:tcPr>
            <w:tcW w:w="6123" w:type="dxa"/>
            <w:shd w:val="clear" w:color="auto" w:fill="auto"/>
            <w:vAlign w:val="center"/>
          </w:tcPr>
          <w:p w14:paraId="324DA2C5">
            <w:pPr>
              <w:keepNext w:val="0"/>
              <w:keepLines w:val="0"/>
              <w:pageBreakBefore w:val="0"/>
              <w:widowControl/>
              <w:kinsoku/>
              <w:wordWrap w:val="0"/>
              <w:overflowPunct/>
              <w:topLinePunct w:val="0"/>
              <w:autoSpaceDE/>
              <w:autoSpaceDN/>
              <w:bidi w:val="0"/>
              <w:adjustRightInd/>
              <w:snapToGrid/>
              <w:spacing w:line="360" w:lineRule="auto"/>
              <w:ind w:left="197" w:leftChars="94" w:firstLine="21" w:firstLineChars="10"/>
              <w:jc w:val="left"/>
              <w:textAlignment w:val="auto"/>
              <w:rPr>
                <w:rFonts w:hint="eastAsia" w:eastAsia="宋体"/>
                <w:color w:val="auto"/>
                <w:highlight w:val="none"/>
                <w:lang w:val="en-US" w:eastAsia="zh-CN"/>
              </w:rPr>
            </w:pPr>
            <w:r>
              <w:rPr>
                <w:rFonts w:hint="eastAsia" w:eastAsia="宋体"/>
                <w:color w:val="auto"/>
                <w:highlight w:val="none"/>
                <w:lang w:val="en-US" w:eastAsia="zh-CN"/>
              </w:rPr>
              <w:t>1.交换容量：</w:t>
            </w:r>
            <w:r>
              <w:rPr>
                <w:rFonts w:hint="eastAsia"/>
                <w:color w:val="auto"/>
                <w:highlight w:val="none"/>
                <w:lang w:val="en-US" w:eastAsia="zh-CN"/>
              </w:rPr>
              <w:t>≥</w:t>
            </w:r>
            <w:r>
              <w:rPr>
                <w:rFonts w:hint="eastAsia" w:eastAsia="宋体"/>
                <w:color w:val="auto"/>
                <w:highlight w:val="none"/>
                <w:lang w:val="en-US" w:eastAsia="zh-CN"/>
              </w:rPr>
              <w:t>96Gbps；</w:t>
            </w:r>
          </w:p>
          <w:p w14:paraId="08F6376C">
            <w:pPr>
              <w:keepNext w:val="0"/>
              <w:keepLines w:val="0"/>
              <w:pageBreakBefore w:val="0"/>
              <w:widowControl/>
              <w:kinsoku/>
              <w:wordWrap w:val="0"/>
              <w:overflowPunct/>
              <w:topLinePunct w:val="0"/>
              <w:autoSpaceDE/>
              <w:autoSpaceDN/>
              <w:bidi w:val="0"/>
              <w:adjustRightInd/>
              <w:snapToGrid/>
              <w:spacing w:line="360" w:lineRule="auto"/>
              <w:ind w:left="197" w:leftChars="94" w:firstLine="21" w:firstLineChars="10"/>
              <w:jc w:val="left"/>
              <w:textAlignment w:val="auto"/>
              <w:rPr>
                <w:rFonts w:hint="eastAsia" w:eastAsia="宋体"/>
                <w:color w:val="auto"/>
                <w:highlight w:val="none"/>
                <w:lang w:val="en-US" w:eastAsia="zh-CN"/>
              </w:rPr>
            </w:pPr>
            <w:r>
              <w:rPr>
                <w:rFonts w:hint="eastAsia" w:eastAsia="宋体"/>
                <w:color w:val="auto"/>
                <w:highlight w:val="none"/>
                <w:lang w:val="en-US" w:eastAsia="zh-CN"/>
              </w:rPr>
              <w:t>2.包转发率：</w:t>
            </w:r>
            <w:r>
              <w:rPr>
                <w:rFonts w:hint="eastAsia"/>
                <w:color w:val="auto"/>
                <w:highlight w:val="none"/>
                <w:lang w:val="en-US" w:eastAsia="zh-CN"/>
              </w:rPr>
              <w:t>≥</w:t>
            </w:r>
            <w:r>
              <w:rPr>
                <w:rFonts w:hint="eastAsia" w:eastAsia="宋体"/>
                <w:color w:val="auto"/>
                <w:highlight w:val="none"/>
                <w:lang w:val="en-US" w:eastAsia="zh-CN"/>
              </w:rPr>
              <w:t>72Mpps；</w:t>
            </w:r>
          </w:p>
          <w:p w14:paraId="32825866">
            <w:pPr>
              <w:keepNext w:val="0"/>
              <w:keepLines w:val="0"/>
              <w:pageBreakBefore w:val="0"/>
              <w:widowControl/>
              <w:kinsoku/>
              <w:wordWrap w:val="0"/>
              <w:overflowPunct/>
              <w:topLinePunct w:val="0"/>
              <w:autoSpaceDE/>
              <w:autoSpaceDN/>
              <w:bidi w:val="0"/>
              <w:adjustRightInd/>
              <w:snapToGrid/>
              <w:spacing w:line="360" w:lineRule="auto"/>
              <w:ind w:left="197" w:leftChars="94" w:firstLine="21" w:firstLineChars="10"/>
              <w:jc w:val="left"/>
              <w:textAlignment w:val="auto"/>
              <w:rPr>
                <w:rFonts w:hint="eastAsia" w:eastAsia="宋体"/>
                <w:color w:val="auto"/>
                <w:highlight w:val="none"/>
                <w:lang w:val="en-US" w:eastAsia="zh-CN"/>
              </w:rPr>
            </w:pPr>
            <w:r>
              <w:rPr>
                <w:rFonts w:hint="eastAsia" w:eastAsia="宋体"/>
                <w:color w:val="auto"/>
                <w:highlight w:val="none"/>
                <w:lang w:val="en-US" w:eastAsia="zh-CN"/>
              </w:rPr>
              <w:t>3.固定端口：≥24个，每个端口含10/100/1000POE+BASE-T电口；</w:t>
            </w:r>
          </w:p>
          <w:p w14:paraId="488D9F43">
            <w:pPr>
              <w:keepNext w:val="0"/>
              <w:keepLines w:val="0"/>
              <w:pageBreakBefore w:val="0"/>
              <w:widowControl/>
              <w:kinsoku/>
              <w:wordWrap w:val="0"/>
              <w:overflowPunct/>
              <w:topLinePunct w:val="0"/>
              <w:autoSpaceDE/>
              <w:autoSpaceDN/>
              <w:bidi w:val="0"/>
              <w:adjustRightInd/>
              <w:snapToGrid/>
              <w:spacing w:line="360" w:lineRule="auto"/>
              <w:ind w:left="197" w:leftChars="94" w:firstLine="21" w:firstLineChars="10"/>
              <w:jc w:val="left"/>
              <w:textAlignment w:val="auto"/>
              <w:rPr>
                <w:rFonts w:hint="eastAsia" w:eastAsia="宋体"/>
                <w:color w:val="auto"/>
                <w:highlight w:val="none"/>
                <w:lang w:val="en-US" w:eastAsia="zh-CN"/>
              </w:rPr>
            </w:pPr>
            <w:r>
              <w:rPr>
                <w:rFonts w:hint="eastAsia" w:eastAsia="宋体"/>
                <w:color w:val="auto"/>
                <w:highlight w:val="none"/>
                <w:lang w:val="en-US" w:eastAsia="zh-CN"/>
              </w:rPr>
              <w:t>4.电口属性：支持半双工、全双工、自协商工作模式支持MDI/MDI-X；</w:t>
            </w:r>
          </w:p>
          <w:p w14:paraId="187A0867">
            <w:pPr>
              <w:keepNext w:val="0"/>
              <w:keepLines w:val="0"/>
              <w:pageBreakBefore w:val="0"/>
              <w:widowControl/>
              <w:kinsoku/>
              <w:wordWrap w:val="0"/>
              <w:overflowPunct/>
              <w:topLinePunct w:val="0"/>
              <w:autoSpaceDE/>
              <w:autoSpaceDN/>
              <w:bidi w:val="0"/>
              <w:adjustRightInd/>
              <w:snapToGrid/>
              <w:spacing w:line="360" w:lineRule="auto"/>
              <w:ind w:left="197" w:leftChars="94" w:firstLine="21" w:firstLineChars="10"/>
              <w:jc w:val="left"/>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eastAsia="宋体"/>
                <w:color w:val="auto"/>
                <w:highlight w:val="none"/>
                <w:lang w:val="en-US" w:eastAsia="zh-CN"/>
              </w:rPr>
              <w:t>5.以太网功能：静态MAC配置支持MAC地址（MAC地址深度支持≥8K）；均安装于机柜内。</w:t>
            </w:r>
          </w:p>
        </w:tc>
      </w:tr>
      <w:tr w14:paraId="506CB2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0" w:hRule="atLeast"/>
        </w:trPr>
        <w:tc>
          <w:tcPr>
            <w:tcW w:w="8786" w:type="dxa"/>
            <w:gridSpan w:val="5"/>
            <w:vAlign w:val="center"/>
          </w:tcPr>
          <w:p w14:paraId="213263A7">
            <w:pPr>
              <w:widowControl/>
              <w:wordWrap w:val="0"/>
              <w:spacing w:line="400" w:lineRule="exact"/>
              <w:jc w:val="left"/>
              <w:rPr>
                <w:rFonts w:hint="eastAsia" w:ascii="宋体" w:hAnsi="宋体" w:cs="Courier New"/>
                <w:color w:val="auto"/>
                <w:szCs w:val="21"/>
                <w:highlight w:val="none"/>
              </w:rPr>
            </w:pPr>
            <w:r>
              <w:rPr>
                <w:rFonts w:hint="eastAsia" w:ascii="宋体" w:hAnsi="宋体" w:cs="Courier New"/>
                <w:b/>
                <w:bCs/>
                <w:color w:val="auto"/>
                <w:szCs w:val="21"/>
                <w:highlight w:val="none"/>
              </w:rPr>
              <w:t>▲二、商务要求</w:t>
            </w:r>
          </w:p>
        </w:tc>
      </w:tr>
      <w:tr w14:paraId="64E907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0" w:hRule="atLeast"/>
        </w:trPr>
        <w:tc>
          <w:tcPr>
            <w:tcW w:w="1218" w:type="dxa"/>
            <w:gridSpan w:val="2"/>
            <w:vAlign w:val="center"/>
          </w:tcPr>
          <w:p w14:paraId="03559ED1">
            <w:pPr>
              <w:widowControl/>
              <w:wordWrap w:val="0"/>
              <w:spacing w:line="400" w:lineRule="exact"/>
              <w:jc w:val="center"/>
              <w:rPr>
                <w:rFonts w:hint="eastAsia" w:ascii="宋体" w:hAnsi="宋体" w:cs="Courier New"/>
                <w:color w:val="auto"/>
                <w:szCs w:val="21"/>
                <w:highlight w:val="none"/>
              </w:rPr>
            </w:pPr>
            <w:r>
              <w:rPr>
                <w:rFonts w:hint="eastAsia" w:ascii="宋体" w:hAnsi="宋体" w:cs="Courier New"/>
                <w:color w:val="auto"/>
                <w:szCs w:val="21"/>
                <w:highlight w:val="none"/>
                <w:lang w:val="en-US" w:eastAsia="zh-CN"/>
              </w:rPr>
              <w:t>签订合同时间</w:t>
            </w:r>
          </w:p>
        </w:tc>
        <w:tc>
          <w:tcPr>
            <w:tcW w:w="7568" w:type="dxa"/>
            <w:gridSpan w:val="3"/>
            <w:vAlign w:val="center"/>
          </w:tcPr>
          <w:p w14:paraId="0E01B6DF">
            <w:pPr>
              <w:widowControl/>
              <w:wordWrap w:val="0"/>
              <w:spacing w:line="400" w:lineRule="exact"/>
              <w:jc w:val="left"/>
              <w:rPr>
                <w:rFonts w:hint="eastAsia" w:ascii="宋体" w:hAnsi="宋体" w:cs="Courier New"/>
                <w:color w:val="auto"/>
                <w:szCs w:val="21"/>
                <w:highlight w:val="none"/>
              </w:rPr>
            </w:pPr>
            <w:r>
              <w:rPr>
                <w:rFonts w:hint="eastAsia" w:ascii="宋体" w:hAnsi="宋体"/>
                <w:color w:val="auto"/>
                <w:highlight w:val="none"/>
                <w:lang w:val="en-US" w:eastAsia="zh-CN"/>
              </w:rPr>
              <w:t>自成交通知书发出之日起10日内</w:t>
            </w:r>
            <w:r>
              <w:rPr>
                <w:rFonts w:hint="eastAsia" w:ascii="宋体" w:hAnsi="宋体" w:cs="Courier New"/>
                <w:color w:val="auto"/>
                <w:szCs w:val="21"/>
                <w:highlight w:val="none"/>
                <w:lang w:val="en-US" w:eastAsia="zh-CN"/>
              </w:rPr>
              <w:t>。</w:t>
            </w:r>
          </w:p>
        </w:tc>
      </w:tr>
      <w:tr w14:paraId="2CC7AA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0" w:hRule="atLeast"/>
        </w:trPr>
        <w:tc>
          <w:tcPr>
            <w:tcW w:w="1218" w:type="dxa"/>
            <w:gridSpan w:val="2"/>
            <w:vAlign w:val="center"/>
          </w:tcPr>
          <w:p w14:paraId="42D299B6">
            <w:pPr>
              <w:widowControl/>
              <w:wordWrap w:val="0"/>
              <w:spacing w:line="400" w:lineRule="exact"/>
              <w:jc w:val="center"/>
              <w:rPr>
                <w:rFonts w:hint="eastAsia" w:ascii="宋体" w:hAnsi="宋体" w:cs="Courier New"/>
                <w:color w:val="auto"/>
                <w:szCs w:val="21"/>
                <w:highlight w:val="none"/>
              </w:rPr>
            </w:pPr>
            <w:r>
              <w:rPr>
                <w:rFonts w:hint="eastAsia" w:ascii="宋体" w:hAnsi="宋体" w:cs="Courier New"/>
                <w:color w:val="auto"/>
                <w:szCs w:val="21"/>
                <w:highlight w:val="none"/>
              </w:rPr>
              <w:t>质量保证期</w:t>
            </w:r>
          </w:p>
        </w:tc>
        <w:tc>
          <w:tcPr>
            <w:tcW w:w="7568" w:type="dxa"/>
            <w:gridSpan w:val="3"/>
            <w:vAlign w:val="center"/>
          </w:tcPr>
          <w:p w14:paraId="61B4764F">
            <w:pPr>
              <w:widowControl/>
              <w:wordWrap w:val="0"/>
              <w:spacing w:line="400" w:lineRule="exact"/>
              <w:jc w:val="left"/>
              <w:rPr>
                <w:rFonts w:hint="eastAsia"/>
                <w:color w:val="auto"/>
                <w:highlight w:val="none"/>
              </w:rPr>
            </w:pPr>
            <w:r>
              <w:rPr>
                <w:rFonts w:hint="eastAsia"/>
                <w:color w:val="auto"/>
                <w:highlight w:val="none"/>
              </w:rPr>
              <w:t>质量保证期：</w:t>
            </w:r>
            <w:r>
              <w:rPr>
                <w:rFonts w:hint="eastAsia"/>
                <w:color w:val="auto"/>
                <w:highlight w:val="none"/>
                <w:u w:val="single"/>
              </w:rPr>
              <w:t xml:space="preserve"> 壹 </w:t>
            </w:r>
            <w:r>
              <w:rPr>
                <w:rFonts w:hint="eastAsia"/>
                <w:color w:val="auto"/>
                <w:highlight w:val="none"/>
              </w:rPr>
              <w:t>年（自最终验收合格之日算），分项货物有要求按分项要求。在质保期内设备运行发生故障，</w:t>
            </w:r>
            <w:r>
              <w:rPr>
                <w:rFonts w:hint="eastAsia"/>
                <w:color w:val="auto"/>
                <w:highlight w:val="none"/>
                <w:lang w:val="en-US" w:eastAsia="zh-CN"/>
              </w:rPr>
              <w:t>成交供应商</w:t>
            </w:r>
            <w:r>
              <w:rPr>
                <w:rFonts w:hint="eastAsia"/>
                <w:color w:val="auto"/>
                <w:highlight w:val="none"/>
              </w:rPr>
              <w:t>必须免费提供维修服务。</w:t>
            </w:r>
            <w:r>
              <w:rPr>
                <w:rFonts w:hint="eastAsia"/>
                <w:color w:val="auto"/>
                <w:highlight w:val="none"/>
                <w:lang w:val="en-US" w:eastAsia="zh-CN"/>
              </w:rPr>
              <w:t>供应商竞</w:t>
            </w:r>
            <w:r>
              <w:rPr>
                <w:rFonts w:hint="eastAsia"/>
                <w:color w:val="auto"/>
                <w:highlight w:val="none"/>
              </w:rPr>
              <w:t>标时必须承诺对本项目设备提供终身服务，保修期外的服务费用由采购人和</w:t>
            </w:r>
            <w:r>
              <w:rPr>
                <w:rFonts w:hint="eastAsia"/>
                <w:color w:val="auto"/>
                <w:highlight w:val="none"/>
                <w:lang w:val="en-US" w:eastAsia="zh-CN"/>
              </w:rPr>
              <w:t>成交供应商</w:t>
            </w:r>
            <w:r>
              <w:rPr>
                <w:rFonts w:hint="eastAsia"/>
                <w:color w:val="auto"/>
                <w:highlight w:val="none"/>
              </w:rPr>
              <w:t>另行商议</w:t>
            </w:r>
            <w:r>
              <w:rPr>
                <w:color w:val="auto"/>
                <w:highlight w:val="none"/>
              </w:rPr>
              <w:t>。</w:t>
            </w:r>
          </w:p>
        </w:tc>
      </w:tr>
      <w:tr w14:paraId="5FC412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0" w:hRule="atLeast"/>
        </w:trPr>
        <w:tc>
          <w:tcPr>
            <w:tcW w:w="1218" w:type="dxa"/>
            <w:gridSpan w:val="2"/>
            <w:vAlign w:val="center"/>
          </w:tcPr>
          <w:p w14:paraId="49018825">
            <w:pPr>
              <w:widowControl/>
              <w:wordWrap w:val="0"/>
              <w:spacing w:line="400" w:lineRule="exact"/>
              <w:jc w:val="center"/>
              <w:rPr>
                <w:rFonts w:hint="eastAsia"/>
                <w:color w:val="auto"/>
                <w:highlight w:val="none"/>
              </w:rPr>
            </w:pPr>
            <w:r>
              <w:rPr>
                <w:rFonts w:hint="eastAsia"/>
                <w:color w:val="auto"/>
                <w:highlight w:val="none"/>
              </w:rPr>
              <w:t>交货时间及地点</w:t>
            </w:r>
          </w:p>
        </w:tc>
        <w:tc>
          <w:tcPr>
            <w:tcW w:w="7568" w:type="dxa"/>
            <w:gridSpan w:val="3"/>
            <w:vAlign w:val="center"/>
          </w:tcPr>
          <w:p w14:paraId="1ED0CFB8">
            <w:pPr>
              <w:widowControl/>
              <w:wordWrap w:val="0"/>
              <w:spacing w:line="400" w:lineRule="exact"/>
              <w:jc w:val="left"/>
              <w:rPr>
                <w:color w:val="auto"/>
                <w:highlight w:val="none"/>
              </w:rPr>
            </w:pPr>
            <w:r>
              <w:rPr>
                <w:color w:val="auto"/>
                <w:highlight w:val="none"/>
              </w:rPr>
              <w:t>1.</w:t>
            </w:r>
            <w:r>
              <w:rPr>
                <w:rFonts w:hint="eastAsia"/>
                <w:color w:val="auto"/>
                <w:highlight w:val="none"/>
              </w:rPr>
              <w:t>交付使用时间</w:t>
            </w:r>
            <w:r>
              <w:rPr>
                <w:color w:val="auto"/>
                <w:highlight w:val="none"/>
              </w:rPr>
              <w:t>：</w:t>
            </w:r>
            <w:r>
              <w:rPr>
                <w:rFonts w:hint="eastAsia"/>
                <w:color w:val="auto"/>
                <w:highlight w:val="none"/>
              </w:rPr>
              <w:t>自签订合同之日起</w:t>
            </w:r>
            <w:r>
              <w:rPr>
                <w:rFonts w:hint="eastAsia"/>
                <w:color w:val="auto"/>
                <w:highlight w:val="none"/>
                <w:u w:val="single"/>
              </w:rPr>
              <w:t xml:space="preserve">  30 </w:t>
            </w:r>
            <w:r>
              <w:rPr>
                <w:rFonts w:hint="eastAsia"/>
                <w:color w:val="auto"/>
                <w:highlight w:val="none"/>
              </w:rPr>
              <w:t>日内</w:t>
            </w:r>
            <w:r>
              <w:rPr>
                <w:color w:val="auto"/>
                <w:highlight w:val="none"/>
              </w:rPr>
              <w:t>。</w:t>
            </w:r>
          </w:p>
          <w:p w14:paraId="510C41FE">
            <w:pPr>
              <w:widowControl/>
              <w:wordWrap w:val="0"/>
              <w:spacing w:line="400" w:lineRule="exact"/>
              <w:jc w:val="left"/>
              <w:rPr>
                <w:color w:val="auto"/>
                <w:highlight w:val="none"/>
              </w:rPr>
            </w:pPr>
            <w:r>
              <w:rPr>
                <w:color w:val="auto"/>
                <w:highlight w:val="none"/>
              </w:rPr>
              <w:t>2.交货地点：</w:t>
            </w:r>
            <w:r>
              <w:rPr>
                <w:rFonts w:hint="eastAsia"/>
                <w:color w:val="auto"/>
                <w:highlight w:val="none"/>
              </w:rPr>
              <w:t>广西生态工程职业技术学院</w:t>
            </w:r>
            <w:r>
              <w:rPr>
                <w:rFonts w:hint="eastAsia"/>
                <w:color w:val="auto"/>
                <w:highlight w:val="none"/>
                <w:u w:val="single"/>
              </w:rPr>
              <w:t xml:space="preserve"> </w:t>
            </w:r>
            <w:r>
              <w:rPr>
                <w:rFonts w:hint="eastAsia"/>
                <w:color w:val="auto"/>
                <w:highlight w:val="none"/>
                <w:u w:val="single"/>
                <w:lang w:val="en-US" w:eastAsia="zh-CN"/>
              </w:rPr>
              <w:t>智能制造与装备学院</w:t>
            </w:r>
            <w:r>
              <w:rPr>
                <w:rFonts w:hint="eastAsia"/>
                <w:color w:val="auto"/>
                <w:highlight w:val="none"/>
                <w:u w:val="single"/>
              </w:rPr>
              <w:t xml:space="preserve"> </w:t>
            </w:r>
            <w:r>
              <w:rPr>
                <w:color w:val="auto"/>
                <w:highlight w:val="none"/>
              </w:rPr>
              <w:t>。</w:t>
            </w:r>
          </w:p>
        </w:tc>
      </w:tr>
      <w:tr w14:paraId="6B5083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trPr>
        <w:tc>
          <w:tcPr>
            <w:tcW w:w="1218" w:type="dxa"/>
            <w:gridSpan w:val="2"/>
            <w:vAlign w:val="center"/>
          </w:tcPr>
          <w:p w14:paraId="6E08142C">
            <w:pPr>
              <w:widowControl/>
              <w:wordWrap w:val="0"/>
              <w:spacing w:line="400" w:lineRule="exact"/>
              <w:jc w:val="center"/>
              <w:rPr>
                <w:rFonts w:hint="eastAsia"/>
                <w:color w:val="auto"/>
                <w:highlight w:val="none"/>
              </w:rPr>
            </w:pPr>
            <w:r>
              <w:rPr>
                <w:rFonts w:hint="eastAsia"/>
                <w:color w:val="auto"/>
                <w:highlight w:val="none"/>
              </w:rPr>
              <w:t>售后服务</w:t>
            </w:r>
          </w:p>
        </w:tc>
        <w:tc>
          <w:tcPr>
            <w:tcW w:w="7568" w:type="dxa"/>
            <w:gridSpan w:val="3"/>
            <w:vAlign w:val="center"/>
          </w:tcPr>
          <w:p w14:paraId="4A7C8DFC">
            <w:pPr>
              <w:widowControl/>
              <w:wordWrap w:val="0"/>
              <w:spacing w:line="400" w:lineRule="exact"/>
              <w:jc w:val="left"/>
              <w:rPr>
                <w:rFonts w:hint="eastAsia"/>
                <w:color w:val="auto"/>
                <w:highlight w:val="none"/>
              </w:rPr>
            </w:pPr>
            <w:r>
              <w:rPr>
                <w:color w:val="auto"/>
                <w:highlight w:val="none"/>
              </w:rPr>
              <w:t>1.</w:t>
            </w:r>
            <w:r>
              <w:rPr>
                <w:rFonts w:hint="eastAsia"/>
                <w:color w:val="auto"/>
                <w:highlight w:val="none"/>
              </w:rPr>
              <w:t>免费送货上门，免费安装调试，提供必要的零配件或备件供应。</w:t>
            </w:r>
          </w:p>
          <w:p w14:paraId="6A093847">
            <w:pPr>
              <w:widowControl/>
              <w:wordWrap w:val="0"/>
              <w:spacing w:line="400" w:lineRule="exact"/>
              <w:jc w:val="left"/>
              <w:rPr>
                <w:color w:val="auto"/>
                <w:highlight w:val="none"/>
              </w:rPr>
            </w:pPr>
            <w:r>
              <w:rPr>
                <w:color w:val="auto"/>
                <w:highlight w:val="none"/>
              </w:rPr>
              <w:t>2.</w:t>
            </w:r>
            <w:r>
              <w:rPr>
                <w:rFonts w:hint="eastAsia"/>
                <w:color w:val="auto"/>
                <w:highlight w:val="none"/>
                <w:lang w:val="en-US" w:eastAsia="zh-CN"/>
              </w:rPr>
              <w:t>竞</w:t>
            </w:r>
            <w:r>
              <w:rPr>
                <w:rFonts w:hint="eastAsia"/>
                <w:color w:val="auto"/>
                <w:highlight w:val="none"/>
              </w:rPr>
              <w:t>标产品必须是具备厂家合法渠道的全新正品，必须按厂家承诺实行“三包”</w:t>
            </w:r>
            <w:r>
              <w:rPr>
                <w:color w:val="auto"/>
                <w:highlight w:val="none"/>
              </w:rPr>
              <w:t>。</w:t>
            </w:r>
          </w:p>
          <w:p w14:paraId="49C0A1AD">
            <w:pPr>
              <w:widowControl/>
              <w:wordWrap w:val="0"/>
              <w:spacing w:line="400" w:lineRule="exact"/>
              <w:jc w:val="left"/>
              <w:rPr>
                <w:color w:val="auto"/>
                <w:highlight w:val="none"/>
              </w:rPr>
            </w:pPr>
            <w:r>
              <w:rPr>
                <w:color w:val="auto"/>
                <w:highlight w:val="none"/>
              </w:rPr>
              <w:t>3.</w:t>
            </w:r>
            <w:r>
              <w:rPr>
                <w:rFonts w:hint="eastAsia"/>
                <w:color w:val="auto"/>
                <w:highlight w:val="none"/>
              </w:rPr>
              <w:t>要求</w:t>
            </w:r>
            <w:r>
              <w:rPr>
                <w:rFonts w:hint="eastAsia"/>
                <w:color w:val="auto"/>
                <w:highlight w:val="none"/>
                <w:lang w:val="en-US" w:eastAsia="zh-CN"/>
              </w:rPr>
              <w:t>成交供应商</w:t>
            </w:r>
            <w:r>
              <w:rPr>
                <w:rFonts w:hint="eastAsia"/>
                <w:color w:val="auto"/>
                <w:highlight w:val="none"/>
              </w:rPr>
              <w:t>对采购人的服务通知，紧急故障处理：必须在4小时之内赴现场处理，不需要更换备件的条件下应在12小时内解除故障，需要更换备件时应在24小时内解除故障</w:t>
            </w:r>
            <w:r>
              <w:rPr>
                <w:color w:val="auto"/>
                <w:highlight w:val="none"/>
              </w:rPr>
              <w:t>。重大问题或其它无法迅速解决的问题应在五个工作日内解决，供应商在接到采购人通知后拒不响应或解决故障的，采购人有权聘请第三方进行维修，由此产生的费用由供应商承担。</w:t>
            </w:r>
          </w:p>
          <w:p w14:paraId="72379AD3">
            <w:pPr>
              <w:widowControl/>
              <w:wordWrap w:val="0"/>
              <w:spacing w:line="400" w:lineRule="exact"/>
              <w:jc w:val="left"/>
              <w:rPr>
                <w:color w:val="auto"/>
                <w:highlight w:val="none"/>
              </w:rPr>
            </w:pPr>
            <w:r>
              <w:rPr>
                <w:color w:val="auto"/>
                <w:highlight w:val="none"/>
              </w:rPr>
              <w:t>5.提供维护手册、维修手册、故障代码表、备件清单。质保期外，成交供应商提供维修密码在该项目的永久使用权并承担相应费用。</w:t>
            </w:r>
          </w:p>
        </w:tc>
      </w:tr>
      <w:tr w14:paraId="5E6155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0" w:hRule="atLeast"/>
        </w:trPr>
        <w:tc>
          <w:tcPr>
            <w:tcW w:w="1218" w:type="dxa"/>
            <w:gridSpan w:val="2"/>
            <w:vAlign w:val="center"/>
          </w:tcPr>
          <w:p w14:paraId="68090F4F">
            <w:pPr>
              <w:widowControl/>
              <w:wordWrap w:val="0"/>
              <w:spacing w:line="400" w:lineRule="exact"/>
              <w:jc w:val="center"/>
              <w:rPr>
                <w:rFonts w:hint="eastAsia"/>
                <w:color w:val="auto"/>
                <w:highlight w:val="none"/>
              </w:rPr>
            </w:pPr>
            <w:r>
              <w:rPr>
                <w:rFonts w:hint="eastAsia"/>
                <w:color w:val="auto"/>
                <w:highlight w:val="none"/>
              </w:rPr>
              <w:t>付款条件</w:t>
            </w:r>
          </w:p>
        </w:tc>
        <w:tc>
          <w:tcPr>
            <w:tcW w:w="7568" w:type="dxa"/>
            <w:gridSpan w:val="3"/>
            <w:vAlign w:val="center"/>
          </w:tcPr>
          <w:p w14:paraId="5FE6884B">
            <w:pPr>
              <w:widowControl/>
              <w:wordWrap w:val="0"/>
              <w:spacing w:line="400" w:lineRule="exact"/>
              <w:jc w:val="left"/>
              <w:rPr>
                <w:color w:val="auto"/>
                <w:highlight w:val="none"/>
              </w:rPr>
            </w:pPr>
            <w:r>
              <w:rPr>
                <w:rFonts w:hint="eastAsia"/>
                <w:color w:val="auto"/>
                <w:highlight w:val="none"/>
              </w:rPr>
              <w:t>本项目无预付款，</w:t>
            </w:r>
            <w:r>
              <w:rPr>
                <w:rFonts w:hint="eastAsia"/>
                <w:color w:val="auto"/>
                <w:highlight w:val="none"/>
                <w:lang w:val="en-US" w:eastAsia="zh-CN"/>
              </w:rPr>
              <w:t>供应商</w:t>
            </w:r>
            <w:r>
              <w:rPr>
                <w:rFonts w:hint="eastAsia"/>
                <w:color w:val="auto"/>
                <w:highlight w:val="none"/>
              </w:rPr>
              <w:t>在安装完毕并通过验收合格后三个工作日内将增值税专用发票开具给</w:t>
            </w:r>
            <w:r>
              <w:rPr>
                <w:rFonts w:hint="eastAsia"/>
                <w:color w:val="auto"/>
                <w:highlight w:val="none"/>
                <w:lang w:val="en-US" w:eastAsia="zh-CN"/>
              </w:rPr>
              <w:t>采购人</w:t>
            </w:r>
            <w:r>
              <w:rPr>
                <w:rFonts w:hint="eastAsia"/>
                <w:color w:val="auto"/>
                <w:highlight w:val="none"/>
              </w:rPr>
              <w:t>，</w:t>
            </w:r>
            <w:r>
              <w:rPr>
                <w:rFonts w:hint="eastAsia"/>
                <w:color w:val="auto"/>
                <w:highlight w:val="none"/>
                <w:lang w:val="en-US" w:eastAsia="zh-CN"/>
              </w:rPr>
              <w:t>采购人</w:t>
            </w:r>
            <w:r>
              <w:rPr>
                <w:rFonts w:hint="eastAsia"/>
                <w:color w:val="auto"/>
                <w:highlight w:val="none"/>
              </w:rPr>
              <w:t>在收到增值税专用发票后三十个工作日内一次性付清</w:t>
            </w:r>
            <w:r>
              <w:rPr>
                <w:rFonts w:hint="eastAsia"/>
                <w:color w:val="auto"/>
                <w:highlight w:val="none"/>
                <w:lang w:val="en-US" w:eastAsia="zh-CN"/>
              </w:rPr>
              <w:t>供应商</w:t>
            </w:r>
            <w:r>
              <w:rPr>
                <w:rFonts w:hint="eastAsia"/>
                <w:color w:val="auto"/>
                <w:highlight w:val="none"/>
              </w:rPr>
              <w:t>的全部货款。</w:t>
            </w:r>
          </w:p>
        </w:tc>
      </w:tr>
      <w:tr w14:paraId="1A02AF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0" w:hRule="atLeast"/>
        </w:trPr>
        <w:tc>
          <w:tcPr>
            <w:tcW w:w="1218" w:type="dxa"/>
            <w:gridSpan w:val="2"/>
            <w:vAlign w:val="center"/>
          </w:tcPr>
          <w:p w14:paraId="79F22BDA">
            <w:pPr>
              <w:widowControl/>
              <w:wordWrap w:val="0"/>
              <w:spacing w:line="400" w:lineRule="exact"/>
              <w:jc w:val="center"/>
              <w:rPr>
                <w:rFonts w:hint="eastAsia"/>
                <w:color w:val="auto"/>
                <w:highlight w:val="none"/>
              </w:rPr>
            </w:pPr>
            <w:r>
              <w:rPr>
                <w:rFonts w:hint="eastAsia"/>
                <w:color w:val="auto"/>
                <w:highlight w:val="none"/>
              </w:rPr>
              <w:t>履约保证金</w:t>
            </w:r>
          </w:p>
        </w:tc>
        <w:tc>
          <w:tcPr>
            <w:tcW w:w="7568" w:type="dxa"/>
            <w:gridSpan w:val="3"/>
            <w:vAlign w:val="center"/>
          </w:tcPr>
          <w:p w14:paraId="287F456D">
            <w:pPr>
              <w:widowControl/>
              <w:wordWrap w:val="0"/>
              <w:spacing w:line="400" w:lineRule="exact"/>
              <w:jc w:val="left"/>
              <w:rPr>
                <w:color w:val="auto"/>
                <w:highlight w:val="none"/>
              </w:rPr>
            </w:pPr>
            <w:r>
              <w:rPr>
                <w:color w:val="auto"/>
                <w:highlight w:val="none"/>
              </w:rPr>
              <w:t>1.履约保证金金额：按</w:t>
            </w:r>
            <w:r>
              <w:rPr>
                <w:rFonts w:hint="eastAsia"/>
                <w:color w:val="auto"/>
                <w:highlight w:val="none"/>
                <w:lang w:val="en-US" w:eastAsia="zh-CN"/>
              </w:rPr>
              <w:t>成交</w:t>
            </w:r>
            <w:r>
              <w:rPr>
                <w:color w:val="auto"/>
                <w:highlight w:val="none"/>
              </w:rPr>
              <w:t>金额的5%。（注：若为中小企业，履约保证金按成交金额的2%）</w:t>
            </w:r>
          </w:p>
          <w:p w14:paraId="00330E5C">
            <w:pPr>
              <w:widowControl/>
              <w:wordWrap w:val="0"/>
              <w:spacing w:line="400" w:lineRule="exact"/>
              <w:jc w:val="left"/>
              <w:rPr>
                <w:color w:val="auto"/>
                <w:highlight w:val="none"/>
              </w:rPr>
            </w:pPr>
            <w:r>
              <w:rPr>
                <w:color w:val="auto"/>
                <w:highlight w:val="none"/>
              </w:rPr>
              <w:t>2.履约保证金提交方式：银行转账或电汇或其它政府采购法律法规允许的方式。</w:t>
            </w:r>
          </w:p>
          <w:p w14:paraId="72771023">
            <w:pPr>
              <w:widowControl/>
              <w:wordWrap w:val="0"/>
              <w:spacing w:line="400" w:lineRule="exact"/>
              <w:jc w:val="left"/>
              <w:rPr>
                <w:color w:val="auto"/>
                <w:highlight w:val="none"/>
              </w:rPr>
            </w:pPr>
            <w:r>
              <w:rPr>
                <w:color w:val="auto"/>
                <w:highlight w:val="none"/>
              </w:rPr>
              <w:t>3.履约保证金退付方式、时间及条件：在签订合同之前，成交供应商需把履约保证金足额交到采购人指定账户。未提交履约保证金的，不予签订本合同。履约保证金自项目验收合格后，待成交供应商履行完质保义务且无违约情况下，由成交供应商提出书面申请后，采购人无息退还。本合同履行过程中，成交供应商存在违约的，采购人有权从履约保证金中先行扣除按本合同约定成交供应商应付款项，不足部分由成交供应商另行支付，采购人直接从履约保证金中扣除按本合同约定成交供应商应付款项的，成交供应商应于接到采购人补足履约保证金通知之日起3个工作日内补足。</w:t>
            </w:r>
          </w:p>
          <w:p w14:paraId="044DC50E">
            <w:pPr>
              <w:widowControl/>
              <w:wordWrap w:val="0"/>
              <w:spacing w:line="400" w:lineRule="exact"/>
              <w:jc w:val="left"/>
              <w:rPr>
                <w:color w:val="auto"/>
                <w:highlight w:val="none"/>
              </w:rPr>
            </w:pPr>
            <w:r>
              <w:rPr>
                <w:color w:val="auto"/>
                <w:highlight w:val="none"/>
              </w:rPr>
              <w:t>4.符合《广西壮族自治区财政厅关于规范政府采购货物和服务项目保证金管理的通知》桂财规〔2022〕8号文件要求的，按照相关要求执行。</w:t>
            </w:r>
          </w:p>
        </w:tc>
      </w:tr>
      <w:tr w14:paraId="110416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0" w:hRule="atLeast"/>
        </w:trPr>
        <w:tc>
          <w:tcPr>
            <w:tcW w:w="1218" w:type="dxa"/>
            <w:gridSpan w:val="2"/>
            <w:vAlign w:val="center"/>
          </w:tcPr>
          <w:p w14:paraId="340120AB">
            <w:pPr>
              <w:widowControl/>
              <w:wordWrap w:val="0"/>
              <w:spacing w:line="400" w:lineRule="exact"/>
              <w:jc w:val="center"/>
              <w:rPr>
                <w:rFonts w:hint="eastAsia"/>
                <w:color w:val="auto"/>
                <w:highlight w:val="none"/>
              </w:rPr>
            </w:pPr>
            <w:r>
              <w:rPr>
                <w:rFonts w:hint="eastAsia"/>
                <w:color w:val="auto"/>
                <w:highlight w:val="none"/>
              </w:rPr>
              <w:t>项目验收要求和标准</w:t>
            </w:r>
          </w:p>
        </w:tc>
        <w:tc>
          <w:tcPr>
            <w:tcW w:w="7568" w:type="dxa"/>
            <w:gridSpan w:val="3"/>
            <w:vAlign w:val="center"/>
          </w:tcPr>
          <w:p w14:paraId="09B29D40">
            <w:pPr>
              <w:widowControl/>
              <w:wordWrap w:val="0"/>
              <w:spacing w:line="400" w:lineRule="exact"/>
              <w:jc w:val="left"/>
              <w:rPr>
                <w:color w:val="auto"/>
                <w:highlight w:val="none"/>
              </w:rPr>
            </w:pPr>
            <w:r>
              <w:rPr>
                <w:color w:val="auto"/>
                <w:highlight w:val="none"/>
              </w:rPr>
              <w:t>1. 采购人对成交供应商交付的货物依据采购文件上的技术规格要求和国家及行业有关质量标准进行现场检查，外观、说明书符合采购文件技术要求的，给予签收，不合格的不予签收。该签收仅指外观、说明书符合采购文件技术要求而非认可货物验收合格。</w:t>
            </w:r>
          </w:p>
          <w:p w14:paraId="1A8FACF1">
            <w:pPr>
              <w:widowControl/>
              <w:wordWrap w:val="0"/>
              <w:spacing w:line="400" w:lineRule="exact"/>
              <w:jc w:val="left"/>
              <w:rPr>
                <w:color w:val="auto"/>
                <w:highlight w:val="none"/>
              </w:rPr>
            </w:pPr>
            <w:r>
              <w:rPr>
                <w:color w:val="auto"/>
                <w:highlight w:val="none"/>
              </w:rPr>
              <w:t>2.成交供应商交货前应对拟提交的货物进行全面检查和对验收文件进行整理，并列出清单，作为采购人收货验收和使用的技术条件依据，与之相关检查、检验的结果应随货物交采购人。成交供应商不能完整交付货物及本款规定的单证和工具的，必须负责在采购人要求的期限内补齐，否则视为未按合同约定交货。</w:t>
            </w:r>
          </w:p>
          <w:p w14:paraId="7A1D3A47">
            <w:pPr>
              <w:widowControl/>
              <w:wordWrap w:val="0"/>
              <w:spacing w:line="400" w:lineRule="exact"/>
              <w:jc w:val="left"/>
              <w:rPr>
                <w:color w:val="auto"/>
                <w:highlight w:val="none"/>
              </w:rPr>
            </w:pPr>
            <w:r>
              <w:rPr>
                <w:color w:val="auto"/>
                <w:highlight w:val="none"/>
              </w:rPr>
              <w:t>3.成交供应商需负责安装、调试，并培训采购人的使用操作人员，直到运行符合技术要求及采购人人员熟练操作后，采购人再进行组织验收。</w:t>
            </w:r>
          </w:p>
          <w:p w14:paraId="5E147D65">
            <w:pPr>
              <w:widowControl/>
              <w:wordWrap w:val="0"/>
              <w:spacing w:line="400" w:lineRule="exact"/>
              <w:jc w:val="left"/>
              <w:rPr>
                <w:color w:val="auto"/>
                <w:highlight w:val="none"/>
              </w:rPr>
            </w:pPr>
            <w:r>
              <w:rPr>
                <w:color w:val="auto"/>
                <w:highlight w:val="none"/>
              </w:rPr>
              <w:t>4.采购人组织验收，成交供应商必须到场配合，验收合格后双方签署验收合格凭证。成交供应商未到场的，视为认可采购人的验收结论。对技术复杂的货物，采购人可请国家认可的专业检测机构参与验收，费用由成交供应商承担。</w:t>
            </w:r>
          </w:p>
          <w:p w14:paraId="46BE200D">
            <w:pPr>
              <w:widowControl/>
              <w:wordWrap w:val="0"/>
              <w:spacing w:line="400" w:lineRule="exact"/>
              <w:jc w:val="left"/>
              <w:rPr>
                <w:color w:val="auto"/>
                <w:highlight w:val="none"/>
              </w:rPr>
            </w:pPr>
            <w:r>
              <w:rPr>
                <w:color w:val="auto"/>
                <w:highlight w:val="none"/>
              </w:rPr>
              <w:t>5.其他未尽事宜应严格参照《关于印发广西壮族自治区政府采购项目履约验收管理办法的通知》[桂财采〔2015〕22号]以及《财政部关于进一步加强政府采购需求和履约验收管理的指导意见》 [财库〔2016〕205号]规定执行。</w:t>
            </w:r>
          </w:p>
          <w:p w14:paraId="5D2809D9">
            <w:pPr>
              <w:widowControl/>
              <w:wordWrap w:val="0"/>
              <w:spacing w:line="400" w:lineRule="exact"/>
              <w:jc w:val="left"/>
              <w:rPr>
                <w:color w:val="auto"/>
                <w:highlight w:val="none"/>
              </w:rPr>
            </w:pPr>
            <w:r>
              <w:rPr>
                <w:color w:val="auto"/>
                <w:highlight w:val="none"/>
              </w:rPr>
              <w:t>6.其它按合同的要求。</w:t>
            </w:r>
          </w:p>
        </w:tc>
      </w:tr>
      <w:tr w14:paraId="2DF858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0" w:hRule="atLeast"/>
        </w:trPr>
        <w:tc>
          <w:tcPr>
            <w:tcW w:w="1218" w:type="dxa"/>
            <w:gridSpan w:val="2"/>
            <w:vAlign w:val="center"/>
          </w:tcPr>
          <w:p w14:paraId="367ECE81">
            <w:pPr>
              <w:widowControl/>
              <w:wordWrap w:val="0"/>
              <w:spacing w:line="400" w:lineRule="exact"/>
              <w:jc w:val="center"/>
              <w:rPr>
                <w:rFonts w:hint="eastAsia"/>
                <w:color w:val="auto"/>
                <w:highlight w:val="none"/>
              </w:rPr>
            </w:pPr>
            <w:r>
              <w:rPr>
                <w:rFonts w:hint="eastAsia"/>
                <w:color w:val="auto"/>
                <w:highlight w:val="none"/>
              </w:rPr>
              <w:t>其他要求</w:t>
            </w:r>
          </w:p>
        </w:tc>
        <w:tc>
          <w:tcPr>
            <w:tcW w:w="7568" w:type="dxa"/>
            <w:gridSpan w:val="3"/>
            <w:vAlign w:val="center"/>
          </w:tcPr>
          <w:p w14:paraId="14D4E3F0">
            <w:pPr>
              <w:widowControl/>
              <w:wordWrap w:val="0"/>
              <w:spacing w:line="400" w:lineRule="exact"/>
              <w:jc w:val="left"/>
              <w:rPr>
                <w:rFonts w:hint="eastAsia"/>
                <w:color w:val="auto"/>
                <w:highlight w:val="none"/>
              </w:rPr>
            </w:pPr>
            <w:r>
              <w:rPr>
                <w:rFonts w:hint="eastAsia"/>
                <w:color w:val="auto"/>
                <w:highlight w:val="none"/>
              </w:rPr>
              <w:t>1、</w:t>
            </w:r>
            <w:r>
              <w:rPr>
                <w:color w:val="auto"/>
                <w:highlight w:val="none"/>
              </w:rPr>
              <w:t>供应商报价文件中必须提供竞标产品的品牌和型号（品牌和型号均需提供），如不填写视为不满足。</w:t>
            </w:r>
          </w:p>
          <w:p w14:paraId="1FF27FBE">
            <w:pPr>
              <w:widowControl/>
              <w:wordWrap w:val="0"/>
              <w:spacing w:line="400" w:lineRule="exact"/>
              <w:jc w:val="left"/>
              <w:rPr>
                <w:rFonts w:hint="eastAsia"/>
                <w:color w:val="auto"/>
                <w:highlight w:val="none"/>
              </w:rPr>
            </w:pPr>
            <w:r>
              <w:rPr>
                <w:rFonts w:hint="eastAsia"/>
                <w:color w:val="auto"/>
                <w:highlight w:val="none"/>
                <w:lang w:val="en-US" w:eastAsia="zh-CN"/>
              </w:rPr>
              <w:t>2、</w:t>
            </w:r>
            <w:r>
              <w:rPr>
                <w:rFonts w:hint="eastAsia"/>
                <w:color w:val="auto"/>
                <w:highlight w:val="none"/>
              </w:rPr>
              <w:t>报价必须包含所有设备、随配附件、备品备件、运输、工具、报装、安装、调试、各种附材、附加培训、售后服务、税金及其他所有可能发生的一切费用。采购人不再支付任何费用。</w:t>
            </w:r>
          </w:p>
          <w:p w14:paraId="1CBF777E">
            <w:pPr>
              <w:widowControl/>
              <w:wordWrap w:val="0"/>
              <w:spacing w:line="400" w:lineRule="exact"/>
              <w:jc w:val="left"/>
              <w:rPr>
                <w:rFonts w:hint="eastAsia"/>
                <w:color w:val="auto"/>
                <w:highlight w:val="none"/>
              </w:rPr>
            </w:pPr>
            <w:r>
              <w:rPr>
                <w:rFonts w:hint="eastAsia"/>
                <w:color w:val="auto"/>
                <w:highlight w:val="none"/>
                <w:lang w:val="en-US" w:eastAsia="zh-CN"/>
              </w:rPr>
              <w:t>3</w:t>
            </w:r>
            <w:r>
              <w:rPr>
                <w:rFonts w:hint="eastAsia"/>
                <w:color w:val="auto"/>
                <w:highlight w:val="none"/>
              </w:rPr>
              <w:t>、项号1、2</w:t>
            </w:r>
            <w:r>
              <w:rPr>
                <w:rFonts w:hint="eastAsia"/>
                <w:color w:val="auto"/>
                <w:highlight w:val="none"/>
                <w:lang w:val="en-US" w:eastAsia="zh-CN"/>
              </w:rPr>
              <w:t>竞</w:t>
            </w:r>
            <w:r>
              <w:rPr>
                <w:rFonts w:hint="eastAsia"/>
                <w:color w:val="auto"/>
                <w:highlight w:val="none"/>
              </w:rPr>
              <w:t>标产品供货时必须提供原厂商售后服务承诺函、原厂授权书和供货证明原件，否则不予验收。</w:t>
            </w:r>
          </w:p>
          <w:p w14:paraId="3975931A">
            <w:pPr>
              <w:widowControl/>
              <w:wordWrap w:val="0"/>
              <w:spacing w:line="400" w:lineRule="exact"/>
              <w:jc w:val="left"/>
              <w:rPr>
                <w:rFonts w:hint="eastAsia"/>
                <w:color w:val="auto"/>
                <w:highlight w:val="none"/>
              </w:rPr>
            </w:pPr>
            <w:r>
              <w:rPr>
                <w:rFonts w:hint="eastAsia"/>
                <w:color w:val="auto"/>
                <w:highlight w:val="none"/>
                <w:lang w:val="en-US" w:eastAsia="zh-CN"/>
              </w:rPr>
              <w:t>4</w:t>
            </w:r>
            <w:r>
              <w:rPr>
                <w:rFonts w:hint="eastAsia"/>
                <w:color w:val="auto"/>
                <w:highlight w:val="none"/>
              </w:rPr>
              <w:t>、本</w:t>
            </w:r>
            <w:r>
              <w:rPr>
                <w:rFonts w:hint="eastAsia"/>
                <w:color w:val="auto"/>
                <w:highlight w:val="none"/>
                <w:lang w:val="en-US" w:eastAsia="zh-CN"/>
              </w:rPr>
              <w:t>项目</w:t>
            </w:r>
            <w:r>
              <w:rPr>
                <w:rFonts w:hint="eastAsia"/>
                <w:color w:val="auto"/>
                <w:highlight w:val="none"/>
              </w:rPr>
              <w:t>核心产品为第</w:t>
            </w:r>
            <w:r>
              <w:rPr>
                <w:rFonts w:hint="eastAsia"/>
                <w:color w:val="auto"/>
                <w:highlight w:val="none"/>
                <w:lang w:val="en-US" w:eastAsia="zh-CN"/>
              </w:rPr>
              <w:t>1</w:t>
            </w:r>
            <w:r>
              <w:rPr>
                <w:rFonts w:hint="eastAsia"/>
                <w:color w:val="auto"/>
                <w:highlight w:val="none"/>
              </w:rPr>
              <w:t>项产品</w:t>
            </w:r>
            <w:r>
              <w:rPr>
                <w:rFonts w:hint="eastAsia"/>
                <w:color w:val="auto"/>
                <w:highlight w:val="none"/>
                <w:lang w:eastAsia="zh-CN"/>
              </w:rPr>
              <w:t>“</w:t>
            </w:r>
            <w:r>
              <w:rPr>
                <w:rFonts w:hint="eastAsia"/>
                <w:color w:val="auto"/>
                <w:highlight w:val="none"/>
                <w:lang w:val="en-US" w:eastAsia="zh-CN"/>
              </w:rPr>
              <w:t>高速高精三轴加工中心</w:t>
            </w:r>
            <w:r>
              <w:rPr>
                <w:rFonts w:hint="eastAsia"/>
                <w:color w:val="auto"/>
                <w:highlight w:val="none"/>
                <w:lang w:eastAsia="zh-CN"/>
              </w:rPr>
              <w:t>”</w:t>
            </w:r>
            <w:r>
              <w:rPr>
                <w:rFonts w:hint="eastAsia"/>
                <w:color w:val="auto"/>
                <w:highlight w:val="none"/>
              </w:rPr>
              <w:t>。如其中两家或两家以上供应商所提供的产品为同品牌产品的，以其中通过资格审查、符合性审查且最后报价最低的参加评审；当最后报价相同时，则由谈判小组选择确定一个参加评审的供应商，</w:t>
            </w:r>
            <w:r>
              <w:rPr>
                <w:rFonts w:hint="eastAsia"/>
                <w:b/>
                <w:bCs/>
                <w:color w:val="auto"/>
                <w:highlight w:val="none"/>
              </w:rPr>
              <w:t>其他竞标无效。</w:t>
            </w:r>
          </w:p>
          <w:p w14:paraId="59A537F5">
            <w:pPr>
              <w:widowControl/>
              <w:wordWrap w:val="0"/>
              <w:spacing w:line="400" w:lineRule="exact"/>
              <w:jc w:val="left"/>
              <w:rPr>
                <w:rFonts w:hint="eastAsia"/>
                <w:b w:val="0"/>
                <w:bCs w:val="0"/>
                <w:color w:val="auto"/>
                <w:highlight w:val="none"/>
              </w:rPr>
            </w:pPr>
            <w:r>
              <w:rPr>
                <w:rFonts w:hint="eastAsia"/>
                <w:b w:val="0"/>
                <w:bCs w:val="0"/>
                <w:color w:val="auto"/>
                <w:highlight w:val="none"/>
                <w:lang w:val="en-US" w:eastAsia="zh-CN"/>
              </w:rPr>
              <w:t>5、</w:t>
            </w:r>
            <w:r>
              <w:rPr>
                <w:rFonts w:hint="eastAsia"/>
                <w:b w:val="0"/>
                <w:bCs w:val="0"/>
                <w:color w:val="auto"/>
                <w:highlight w:val="none"/>
              </w:rPr>
              <w:t>供应商所提供的</w:t>
            </w:r>
            <w:r>
              <w:rPr>
                <w:rFonts w:hint="eastAsia"/>
                <w:b w:val="0"/>
                <w:bCs w:val="0"/>
                <w:color w:val="auto"/>
                <w:highlight w:val="none"/>
                <w:lang w:val="en-US" w:eastAsia="zh-CN"/>
              </w:rPr>
              <w:t>第一项“高速高精三轴加工中心</w:t>
            </w:r>
            <w:r>
              <w:rPr>
                <w:rFonts w:hint="eastAsia"/>
                <w:b w:val="0"/>
                <w:bCs w:val="0"/>
                <w:color w:val="auto"/>
                <w:highlight w:val="none"/>
                <w:lang w:eastAsia="zh-CN"/>
              </w:rPr>
              <w:t>”</w:t>
            </w:r>
            <w:r>
              <w:rPr>
                <w:rFonts w:hint="eastAsia"/>
                <w:b w:val="0"/>
                <w:bCs w:val="0"/>
                <w:color w:val="auto"/>
                <w:highlight w:val="none"/>
                <w:lang w:val="en-US" w:eastAsia="zh-CN"/>
              </w:rPr>
              <w:t>中</w:t>
            </w:r>
            <w:r>
              <w:rPr>
                <w:rFonts w:hint="eastAsia"/>
                <w:b w:val="0"/>
                <w:bCs w:val="0"/>
                <w:color w:val="auto"/>
                <w:highlight w:val="none"/>
              </w:rPr>
              <w:t>“</w:t>
            </w:r>
            <w:r>
              <w:rPr>
                <w:rFonts w:hint="eastAsia"/>
                <w:b w:val="0"/>
                <w:bCs w:val="0"/>
                <w:color w:val="auto"/>
                <w:highlight w:val="none"/>
                <w:lang w:val="en-US" w:eastAsia="zh-CN"/>
              </w:rPr>
              <w:t>三、</w:t>
            </w:r>
            <w:r>
              <w:rPr>
                <w:rFonts w:hint="eastAsia"/>
                <w:b w:val="0"/>
                <w:bCs w:val="0"/>
                <w:color w:val="auto"/>
                <w:highlight w:val="none"/>
              </w:rPr>
              <w:t>数控系统开通数控在线数据管理功能”与</w:t>
            </w:r>
            <w:r>
              <w:rPr>
                <w:rFonts w:hint="eastAsia"/>
                <w:b w:val="0"/>
                <w:bCs w:val="0"/>
                <w:color w:val="auto"/>
                <w:highlight w:val="none"/>
                <w:lang w:val="en-US" w:eastAsia="zh-CN"/>
              </w:rPr>
              <w:t>第二项“</w:t>
            </w:r>
            <w:r>
              <w:rPr>
                <w:rFonts w:hint="eastAsia"/>
                <w:b w:val="0"/>
                <w:bCs w:val="0"/>
                <w:color w:val="auto"/>
                <w:highlight w:val="none"/>
              </w:rPr>
              <w:t>数控车床</w:t>
            </w:r>
            <w:r>
              <w:rPr>
                <w:rFonts w:hint="eastAsia"/>
                <w:b w:val="0"/>
                <w:bCs w:val="0"/>
                <w:color w:val="auto"/>
                <w:highlight w:val="none"/>
                <w:lang w:val="en-US" w:eastAsia="zh-CN"/>
              </w:rPr>
              <w:t>”中</w:t>
            </w:r>
            <w:r>
              <w:rPr>
                <w:rFonts w:hint="eastAsia"/>
                <w:b w:val="0"/>
                <w:bCs w:val="0"/>
                <w:color w:val="auto"/>
                <w:highlight w:val="none"/>
              </w:rPr>
              <w:t>“四</w:t>
            </w:r>
            <w:r>
              <w:rPr>
                <w:rFonts w:hint="eastAsia"/>
                <w:b w:val="0"/>
                <w:bCs w:val="0"/>
                <w:color w:val="auto"/>
                <w:highlight w:val="none"/>
                <w:lang w:eastAsia="zh-CN"/>
              </w:rPr>
              <w:t>、</w:t>
            </w:r>
            <w:r>
              <w:rPr>
                <w:rFonts w:hint="eastAsia"/>
                <w:b w:val="0"/>
                <w:bCs w:val="0"/>
                <w:color w:val="auto"/>
                <w:highlight w:val="none"/>
              </w:rPr>
              <w:t>综合管理系统(数控车铣)”</w:t>
            </w:r>
            <w:r>
              <w:rPr>
                <w:rFonts w:hint="eastAsia"/>
                <w:b w:val="0"/>
                <w:bCs w:val="0"/>
                <w:color w:val="auto"/>
                <w:highlight w:val="none"/>
                <w:lang w:eastAsia="zh-CN"/>
              </w:rPr>
              <w:t>需分别</w:t>
            </w:r>
            <w:r>
              <w:rPr>
                <w:rFonts w:hint="eastAsia"/>
                <w:b w:val="0"/>
                <w:bCs w:val="0"/>
                <w:color w:val="auto"/>
                <w:highlight w:val="none"/>
              </w:rPr>
              <w:t>实现联网上传数据，验收时对此项要求进行测试，否则采购人有权不予整体验收。</w:t>
            </w:r>
          </w:p>
          <w:p w14:paraId="06FE863D">
            <w:pPr>
              <w:widowControl/>
              <w:wordWrap w:val="0"/>
              <w:spacing w:line="400" w:lineRule="exact"/>
              <w:jc w:val="left"/>
              <w:rPr>
                <w:rFonts w:hint="eastAsia" w:eastAsia="宋体"/>
                <w:b w:val="0"/>
                <w:bCs w:val="0"/>
                <w:color w:val="auto"/>
                <w:highlight w:val="none"/>
                <w:lang w:val="en-US" w:eastAsia="zh-CN"/>
              </w:rPr>
            </w:pPr>
            <w:r>
              <w:rPr>
                <w:rFonts w:hint="eastAsia" w:eastAsia="宋体"/>
                <w:b w:val="0"/>
                <w:bCs w:val="0"/>
                <w:color w:val="auto"/>
                <w:highlight w:val="none"/>
                <w:lang w:val="en-US" w:eastAsia="zh-CN"/>
              </w:rPr>
              <w:t>6、本项目不接受进口产品（即通过中国海关报关验放进入中国境内且产自关境外的产品）参与竞标，如有此类产品参与竞标的</w:t>
            </w:r>
            <w:r>
              <w:rPr>
                <w:rFonts w:hint="eastAsia" w:eastAsia="宋体"/>
                <w:b/>
                <w:bCs/>
                <w:color w:val="auto"/>
                <w:highlight w:val="none"/>
                <w:lang w:val="en-US" w:eastAsia="zh-CN"/>
              </w:rPr>
              <w:t>按竞标无效处理。</w:t>
            </w:r>
          </w:p>
        </w:tc>
      </w:tr>
    </w:tbl>
    <w:p w14:paraId="1A201D5E">
      <w:pPr>
        <w:spacing w:before="101" w:line="230" w:lineRule="auto"/>
        <w:ind w:left="262"/>
        <w:rPr>
          <w:rFonts w:ascii="黑体" w:hAnsi="黑体" w:eastAsia="黑体" w:cs="黑体"/>
          <w:color w:val="auto"/>
          <w:sz w:val="31"/>
          <w:szCs w:val="31"/>
          <w:highlight w:val="none"/>
        </w:rPr>
      </w:pPr>
      <w:r>
        <w:rPr>
          <w:rFonts w:ascii="黑体" w:hAnsi="黑体" w:eastAsia="黑体" w:cs="黑体"/>
          <w:color w:val="auto"/>
          <w:spacing w:val="-4"/>
          <w:sz w:val="31"/>
          <w:szCs w:val="31"/>
          <w:highlight w:val="none"/>
        </w:rPr>
        <w:t>附件：</w:t>
      </w:r>
    </w:p>
    <w:p w14:paraId="0A0447B8">
      <w:pPr>
        <w:spacing w:before="323" w:line="206" w:lineRule="auto"/>
        <w:ind w:left="1998"/>
        <w:rPr>
          <w:rFonts w:ascii="宋体" w:hAnsi="宋体" w:eastAsia="宋体" w:cs="宋体"/>
          <w:color w:val="auto"/>
          <w:sz w:val="43"/>
          <w:szCs w:val="43"/>
          <w:highlight w:val="none"/>
        </w:rPr>
      </w:pPr>
      <w:r>
        <w:rPr>
          <w:rFonts w:ascii="宋体" w:hAnsi="宋体" w:eastAsia="宋体" w:cs="宋体"/>
          <w:b/>
          <w:bCs/>
          <w:color w:val="auto"/>
          <w:spacing w:val="4"/>
          <w:sz w:val="43"/>
          <w:szCs w:val="43"/>
          <w:highlight w:val="none"/>
        </w:rPr>
        <w:t>节能产品政府采购品目清单</w:t>
      </w: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813"/>
        <w:gridCol w:w="1773"/>
        <w:gridCol w:w="1964"/>
        <w:gridCol w:w="3595"/>
      </w:tblGrid>
      <w:tr w14:paraId="49A6E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51EDD54D">
            <w:pPr>
              <w:keepNext w:val="0"/>
              <w:keepLines w:val="0"/>
              <w:suppressLineNumbers w:val="0"/>
              <w:spacing w:before="0" w:beforeAutospacing="0" w:after="0" w:afterAutospacing="0" w:line="400" w:lineRule="exact"/>
              <w:ind w:left="0" w:right="0"/>
              <w:jc w:val="center"/>
              <w:rPr>
                <w:rFonts w:hint="eastAsia" w:ascii="宋体" w:hAnsi="宋体"/>
                <w:b/>
                <w:color w:val="auto"/>
                <w:sz w:val="21"/>
                <w:szCs w:val="21"/>
                <w:highlight w:val="none"/>
                <w:vertAlign w:val="baseline"/>
              </w:rPr>
            </w:pPr>
            <w:r>
              <w:rPr>
                <w:rFonts w:hint="eastAsia" w:ascii="宋体" w:hAnsi="宋体"/>
                <w:b/>
                <w:color w:val="auto"/>
                <w:sz w:val="21"/>
                <w:szCs w:val="21"/>
                <w:highlight w:val="none"/>
                <w:vertAlign w:val="baseline"/>
              </w:rPr>
              <w:t>品目序号</w:t>
            </w:r>
          </w:p>
        </w:tc>
        <w:tc>
          <w:tcPr>
            <w:tcW w:w="5550" w:type="dxa"/>
            <w:gridSpan w:val="3"/>
            <w:vAlign w:val="center"/>
          </w:tcPr>
          <w:p w14:paraId="13781E9D">
            <w:pPr>
              <w:keepNext w:val="0"/>
              <w:keepLines w:val="0"/>
              <w:suppressLineNumbers w:val="0"/>
              <w:spacing w:before="0" w:beforeAutospacing="0" w:after="0" w:afterAutospacing="0" w:line="400" w:lineRule="exact"/>
              <w:ind w:left="0" w:right="0"/>
              <w:jc w:val="center"/>
              <w:rPr>
                <w:rFonts w:hint="eastAsia" w:ascii="宋体" w:hAnsi="宋体"/>
                <w:b/>
                <w:color w:val="auto"/>
                <w:sz w:val="21"/>
                <w:szCs w:val="21"/>
                <w:highlight w:val="none"/>
                <w:vertAlign w:val="baseline"/>
              </w:rPr>
            </w:pPr>
            <w:r>
              <w:rPr>
                <w:rFonts w:hint="eastAsia" w:ascii="宋体" w:hAnsi="宋体"/>
                <w:b/>
                <w:color w:val="auto"/>
                <w:sz w:val="21"/>
                <w:szCs w:val="21"/>
                <w:highlight w:val="none"/>
                <w:vertAlign w:val="baseline"/>
              </w:rPr>
              <w:t>名称</w:t>
            </w:r>
          </w:p>
        </w:tc>
        <w:tc>
          <w:tcPr>
            <w:tcW w:w="3595" w:type="dxa"/>
            <w:vAlign w:val="center"/>
          </w:tcPr>
          <w:p w14:paraId="67BDB991">
            <w:pPr>
              <w:keepNext w:val="0"/>
              <w:keepLines w:val="0"/>
              <w:suppressLineNumbers w:val="0"/>
              <w:spacing w:before="0" w:beforeAutospacing="0" w:after="0" w:afterAutospacing="0" w:line="400" w:lineRule="exact"/>
              <w:ind w:left="0" w:right="0"/>
              <w:jc w:val="center"/>
              <w:rPr>
                <w:rFonts w:hint="eastAsia" w:ascii="宋体" w:hAnsi="宋体"/>
                <w:b/>
                <w:color w:val="auto"/>
                <w:sz w:val="21"/>
                <w:szCs w:val="21"/>
                <w:highlight w:val="none"/>
                <w:vertAlign w:val="baseline"/>
              </w:rPr>
            </w:pPr>
            <w:r>
              <w:rPr>
                <w:rFonts w:hint="eastAsia" w:ascii="宋体" w:hAnsi="宋体"/>
                <w:b/>
                <w:color w:val="auto"/>
                <w:sz w:val="21"/>
                <w:szCs w:val="21"/>
                <w:highlight w:val="none"/>
                <w:vertAlign w:val="baseline"/>
              </w:rPr>
              <w:t>依据的标准</w:t>
            </w:r>
          </w:p>
        </w:tc>
      </w:tr>
      <w:tr w14:paraId="3DBF2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restart"/>
            <w:vAlign w:val="center"/>
          </w:tcPr>
          <w:p w14:paraId="7BAFB77D">
            <w:pPr>
              <w:keepNext w:val="0"/>
              <w:keepLines w:val="0"/>
              <w:suppressLineNumbers w:val="0"/>
              <w:spacing w:before="0" w:beforeAutospacing="0" w:after="0" w:afterAutospacing="0" w:line="400" w:lineRule="exact"/>
              <w:ind w:left="0" w:right="0"/>
              <w:jc w:val="center"/>
              <w:rPr>
                <w:rFonts w:hint="eastAsia" w:ascii="宋体" w:hAnsi="宋体" w:eastAsia="宋体"/>
                <w:b w:val="0"/>
                <w:bCs/>
                <w:color w:val="auto"/>
                <w:sz w:val="21"/>
                <w:szCs w:val="21"/>
                <w:highlight w:val="none"/>
                <w:vertAlign w:val="baseline"/>
                <w:lang w:val="en-US" w:eastAsia="zh-CN"/>
              </w:rPr>
            </w:pPr>
            <w:r>
              <w:rPr>
                <w:rFonts w:hint="eastAsia" w:ascii="宋体" w:hAnsi="宋体"/>
                <w:b w:val="0"/>
                <w:bCs/>
                <w:color w:val="auto"/>
                <w:sz w:val="21"/>
                <w:szCs w:val="21"/>
                <w:highlight w:val="none"/>
                <w:vertAlign w:val="baseline"/>
                <w:lang w:val="en-US" w:eastAsia="zh-CN"/>
              </w:rPr>
              <w:t>1</w:t>
            </w:r>
          </w:p>
        </w:tc>
        <w:tc>
          <w:tcPr>
            <w:tcW w:w="1813" w:type="dxa"/>
            <w:vMerge w:val="restart"/>
            <w:vAlign w:val="center"/>
          </w:tcPr>
          <w:p w14:paraId="47987EB3">
            <w:pPr>
              <w:keepNext w:val="0"/>
              <w:keepLines w:val="0"/>
              <w:suppressLineNumbers w:val="0"/>
              <w:spacing w:before="0" w:beforeAutospacing="0" w:after="0" w:afterAutospacing="0" w:line="400" w:lineRule="exact"/>
              <w:ind w:left="0" w:right="0"/>
              <w:jc w:val="center"/>
              <w:rPr>
                <w:rFonts w:hint="eastAsia" w:ascii="宋体" w:hAnsi="宋体"/>
                <w:b w:val="0"/>
                <w:bCs/>
                <w:color w:val="auto"/>
                <w:sz w:val="21"/>
                <w:szCs w:val="21"/>
                <w:highlight w:val="none"/>
                <w:vertAlign w:val="baseline"/>
              </w:rPr>
            </w:pPr>
            <w:r>
              <w:rPr>
                <w:rFonts w:hint="eastAsia" w:ascii="宋体" w:hAnsi="宋体"/>
                <w:b w:val="0"/>
                <w:bCs/>
                <w:color w:val="auto"/>
                <w:sz w:val="21"/>
                <w:szCs w:val="21"/>
                <w:highlight w:val="none"/>
                <w:vertAlign w:val="baseline"/>
              </w:rPr>
              <w:t>A02010100计算机</w:t>
            </w:r>
          </w:p>
        </w:tc>
        <w:tc>
          <w:tcPr>
            <w:tcW w:w="1773" w:type="dxa"/>
            <w:vAlign w:val="center"/>
          </w:tcPr>
          <w:p w14:paraId="390BF298">
            <w:pPr>
              <w:keepNext w:val="0"/>
              <w:keepLines w:val="0"/>
              <w:suppressLineNumbers w:val="0"/>
              <w:spacing w:before="0" w:beforeAutospacing="0" w:after="0" w:afterAutospacing="0" w:line="400" w:lineRule="exact"/>
              <w:ind w:left="0" w:right="0"/>
              <w:jc w:val="center"/>
              <w:rPr>
                <w:rFonts w:hint="eastAsia" w:ascii="宋体" w:hAnsi="宋体"/>
                <w:b w:val="0"/>
                <w:bCs/>
                <w:color w:val="auto"/>
                <w:sz w:val="21"/>
                <w:szCs w:val="21"/>
                <w:highlight w:val="none"/>
                <w:vertAlign w:val="baseline"/>
              </w:rPr>
            </w:pPr>
            <w:r>
              <w:rPr>
                <w:rFonts w:hint="eastAsia" w:ascii="宋体" w:hAnsi="宋体"/>
                <w:b w:val="0"/>
                <w:bCs/>
                <w:color w:val="auto"/>
                <w:sz w:val="21"/>
                <w:szCs w:val="21"/>
                <w:highlight w:val="none"/>
                <w:vertAlign w:val="baseline"/>
              </w:rPr>
              <w:t>★A02010105台式计算机</w:t>
            </w:r>
          </w:p>
        </w:tc>
        <w:tc>
          <w:tcPr>
            <w:tcW w:w="1964" w:type="dxa"/>
            <w:vAlign w:val="center"/>
          </w:tcPr>
          <w:p w14:paraId="1BDC18CC">
            <w:pPr>
              <w:keepNext w:val="0"/>
              <w:keepLines w:val="0"/>
              <w:suppressLineNumbers w:val="0"/>
              <w:spacing w:before="0" w:beforeAutospacing="0" w:after="0" w:afterAutospacing="0" w:line="400" w:lineRule="exact"/>
              <w:ind w:left="0" w:right="0"/>
              <w:jc w:val="center"/>
              <w:rPr>
                <w:rFonts w:hint="eastAsia" w:ascii="宋体" w:hAnsi="宋体"/>
                <w:b w:val="0"/>
                <w:bCs/>
                <w:color w:val="auto"/>
                <w:sz w:val="21"/>
                <w:szCs w:val="21"/>
                <w:highlight w:val="none"/>
                <w:vertAlign w:val="baseline"/>
              </w:rPr>
            </w:pPr>
          </w:p>
        </w:tc>
        <w:tc>
          <w:tcPr>
            <w:tcW w:w="3595" w:type="dxa"/>
            <w:vAlign w:val="center"/>
          </w:tcPr>
          <w:p w14:paraId="2B5E5186">
            <w:pPr>
              <w:keepNext w:val="0"/>
              <w:keepLines w:val="0"/>
              <w:suppressLineNumbers w:val="0"/>
              <w:spacing w:before="0" w:beforeAutospacing="0" w:after="0" w:afterAutospacing="0" w:line="400" w:lineRule="exact"/>
              <w:ind w:left="0" w:right="0"/>
              <w:jc w:val="left"/>
              <w:rPr>
                <w:rFonts w:hint="eastAsia" w:ascii="宋体" w:hAnsi="宋体"/>
                <w:b w:val="0"/>
                <w:bCs/>
                <w:color w:val="auto"/>
                <w:sz w:val="21"/>
                <w:szCs w:val="21"/>
                <w:highlight w:val="none"/>
                <w:vertAlign w:val="baseline"/>
              </w:rPr>
            </w:pPr>
            <w:r>
              <w:rPr>
                <w:rFonts w:hint="eastAsia" w:ascii="宋体" w:hAnsi="宋体"/>
                <w:b w:val="0"/>
                <w:bCs/>
                <w:color w:val="auto"/>
                <w:sz w:val="21"/>
                <w:szCs w:val="21"/>
                <w:highlight w:val="none"/>
                <w:vertAlign w:val="baseline"/>
              </w:rPr>
              <w:t>《微型计算机能效限定值及能效等级》（GB28380）</w:t>
            </w:r>
          </w:p>
        </w:tc>
      </w:tr>
      <w:tr w14:paraId="5CB54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14:paraId="22278DF9">
            <w:pPr>
              <w:keepNext w:val="0"/>
              <w:keepLines w:val="0"/>
              <w:suppressLineNumbers w:val="0"/>
              <w:spacing w:before="0" w:beforeAutospacing="0" w:after="0" w:afterAutospacing="0" w:line="400" w:lineRule="exact"/>
              <w:ind w:left="0" w:right="0"/>
              <w:jc w:val="center"/>
              <w:rPr>
                <w:rFonts w:hint="eastAsia" w:ascii="宋体" w:hAnsi="宋体"/>
                <w:b w:val="0"/>
                <w:bCs/>
                <w:color w:val="auto"/>
                <w:sz w:val="21"/>
                <w:szCs w:val="21"/>
                <w:highlight w:val="none"/>
                <w:vertAlign w:val="baseline"/>
              </w:rPr>
            </w:pPr>
          </w:p>
        </w:tc>
        <w:tc>
          <w:tcPr>
            <w:tcW w:w="1813" w:type="dxa"/>
            <w:vMerge w:val="continue"/>
            <w:vAlign w:val="center"/>
          </w:tcPr>
          <w:p w14:paraId="7C923F08">
            <w:pPr>
              <w:keepNext w:val="0"/>
              <w:keepLines w:val="0"/>
              <w:suppressLineNumbers w:val="0"/>
              <w:spacing w:before="0" w:beforeAutospacing="0" w:after="0" w:afterAutospacing="0" w:line="400" w:lineRule="exact"/>
              <w:ind w:left="0" w:right="0"/>
              <w:jc w:val="center"/>
              <w:rPr>
                <w:rFonts w:hint="eastAsia" w:ascii="宋体" w:hAnsi="宋体"/>
                <w:b w:val="0"/>
                <w:bCs/>
                <w:color w:val="auto"/>
                <w:sz w:val="21"/>
                <w:szCs w:val="21"/>
                <w:highlight w:val="none"/>
                <w:vertAlign w:val="baseline"/>
              </w:rPr>
            </w:pPr>
          </w:p>
        </w:tc>
        <w:tc>
          <w:tcPr>
            <w:tcW w:w="1773" w:type="dxa"/>
            <w:vAlign w:val="center"/>
          </w:tcPr>
          <w:p w14:paraId="2BA0799A">
            <w:pPr>
              <w:keepNext w:val="0"/>
              <w:keepLines w:val="0"/>
              <w:suppressLineNumbers w:val="0"/>
              <w:spacing w:before="0" w:beforeAutospacing="0" w:after="0" w:afterAutospacing="0" w:line="400" w:lineRule="exact"/>
              <w:ind w:left="0" w:right="0"/>
              <w:jc w:val="center"/>
              <w:rPr>
                <w:rFonts w:hint="eastAsia" w:ascii="宋体" w:hAnsi="宋体"/>
                <w:b w:val="0"/>
                <w:bCs/>
                <w:color w:val="auto"/>
                <w:sz w:val="21"/>
                <w:szCs w:val="21"/>
                <w:highlight w:val="none"/>
                <w:vertAlign w:val="baseline"/>
              </w:rPr>
            </w:pPr>
            <w:r>
              <w:rPr>
                <w:rFonts w:hint="eastAsia" w:ascii="宋体" w:hAnsi="宋体"/>
                <w:b w:val="0"/>
                <w:bCs/>
                <w:color w:val="auto"/>
                <w:sz w:val="21"/>
                <w:szCs w:val="21"/>
                <w:highlight w:val="none"/>
                <w:vertAlign w:val="baseline"/>
              </w:rPr>
              <w:t>★A02010108便携式计算机</w:t>
            </w:r>
          </w:p>
        </w:tc>
        <w:tc>
          <w:tcPr>
            <w:tcW w:w="1964" w:type="dxa"/>
            <w:vAlign w:val="center"/>
          </w:tcPr>
          <w:p w14:paraId="7D5BDC59">
            <w:pPr>
              <w:keepNext w:val="0"/>
              <w:keepLines w:val="0"/>
              <w:suppressLineNumbers w:val="0"/>
              <w:spacing w:before="0" w:beforeAutospacing="0" w:after="0" w:afterAutospacing="0" w:line="400" w:lineRule="exact"/>
              <w:ind w:left="0" w:right="0"/>
              <w:jc w:val="center"/>
              <w:rPr>
                <w:rFonts w:hint="eastAsia" w:ascii="宋体" w:hAnsi="宋体"/>
                <w:b w:val="0"/>
                <w:bCs/>
                <w:color w:val="auto"/>
                <w:sz w:val="21"/>
                <w:szCs w:val="21"/>
                <w:highlight w:val="none"/>
                <w:vertAlign w:val="baseline"/>
              </w:rPr>
            </w:pPr>
          </w:p>
        </w:tc>
        <w:tc>
          <w:tcPr>
            <w:tcW w:w="3595" w:type="dxa"/>
            <w:vAlign w:val="center"/>
          </w:tcPr>
          <w:p w14:paraId="5A61347D">
            <w:pPr>
              <w:keepNext w:val="0"/>
              <w:keepLines w:val="0"/>
              <w:suppressLineNumbers w:val="0"/>
              <w:spacing w:before="0" w:beforeAutospacing="0" w:after="0" w:afterAutospacing="0" w:line="400" w:lineRule="exact"/>
              <w:ind w:left="0" w:right="0"/>
              <w:jc w:val="left"/>
              <w:rPr>
                <w:rFonts w:hint="eastAsia" w:ascii="宋体" w:hAnsi="宋体"/>
                <w:b w:val="0"/>
                <w:bCs/>
                <w:color w:val="auto"/>
                <w:sz w:val="21"/>
                <w:szCs w:val="21"/>
                <w:highlight w:val="none"/>
                <w:vertAlign w:val="baseline"/>
              </w:rPr>
            </w:pPr>
            <w:r>
              <w:rPr>
                <w:rFonts w:hint="eastAsia" w:ascii="宋体" w:hAnsi="宋体"/>
                <w:b w:val="0"/>
                <w:bCs/>
                <w:color w:val="auto"/>
                <w:sz w:val="21"/>
                <w:szCs w:val="21"/>
                <w:highlight w:val="none"/>
                <w:vertAlign w:val="baseline"/>
              </w:rPr>
              <w:t>《微型计算机能效限定值及能效等级》（GB28380）</w:t>
            </w:r>
          </w:p>
        </w:tc>
      </w:tr>
      <w:tr w14:paraId="5A8B3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14:paraId="1D90E393">
            <w:pPr>
              <w:keepNext w:val="0"/>
              <w:keepLines w:val="0"/>
              <w:suppressLineNumbers w:val="0"/>
              <w:spacing w:before="0" w:beforeAutospacing="0" w:after="0" w:afterAutospacing="0" w:line="400" w:lineRule="exact"/>
              <w:ind w:left="0" w:right="0"/>
              <w:jc w:val="center"/>
              <w:rPr>
                <w:rFonts w:hint="eastAsia" w:ascii="宋体" w:hAnsi="宋体"/>
                <w:b w:val="0"/>
                <w:bCs/>
                <w:color w:val="auto"/>
                <w:sz w:val="21"/>
                <w:szCs w:val="21"/>
                <w:highlight w:val="none"/>
                <w:vertAlign w:val="baseline"/>
              </w:rPr>
            </w:pPr>
          </w:p>
        </w:tc>
        <w:tc>
          <w:tcPr>
            <w:tcW w:w="1813" w:type="dxa"/>
            <w:vMerge w:val="continue"/>
            <w:vAlign w:val="center"/>
          </w:tcPr>
          <w:p w14:paraId="669CE99B">
            <w:pPr>
              <w:keepNext w:val="0"/>
              <w:keepLines w:val="0"/>
              <w:suppressLineNumbers w:val="0"/>
              <w:spacing w:before="0" w:beforeAutospacing="0" w:after="0" w:afterAutospacing="0" w:line="400" w:lineRule="exact"/>
              <w:ind w:left="0" w:right="0"/>
              <w:jc w:val="center"/>
              <w:rPr>
                <w:rFonts w:hint="eastAsia" w:ascii="宋体" w:hAnsi="宋体"/>
                <w:b w:val="0"/>
                <w:bCs/>
                <w:color w:val="auto"/>
                <w:sz w:val="21"/>
                <w:szCs w:val="21"/>
                <w:highlight w:val="none"/>
                <w:vertAlign w:val="baseline"/>
              </w:rPr>
            </w:pPr>
          </w:p>
        </w:tc>
        <w:tc>
          <w:tcPr>
            <w:tcW w:w="1773" w:type="dxa"/>
            <w:vAlign w:val="center"/>
          </w:tcPr>
          <w:p w14:paraId="2025359E">
            <w:pPr>
              <w:keepNext w:val="0"/>
              <w:keepLines w:val="0"/>
              <w:suppressLineNumbers w:val="0"/>
              <w:spacing w:before="0" w:beforeAutospacing="0" w:after="0" w:afterAutospacing="0" w:line="400" w:lineRule="exact"/>
              <w:ind w:left="0" w:right="0"/>
              <w:jc w:val="center"/>
              <w:rPr>
                <w:rFonts w:hint="eastAsia" w:ascii="宋体" w:hAnsi="宋体"/>
                <w:b w:val="0"/>
                <w:bCs/>
                <w:color w:val="auto"/>
                <w:sz w:val="21"/>
                <w:szCs w:val="21"/>
                <w:highlight w:val="none"/>
                <w:vertAlign w:val="baseline"/>
              </w:rPr>
            </w:pPr>
            <w:r>
              <w:rPr>
                <w:rFonts w:hint="eastAsia" w:ascii="宋体" w:hAnsi="宋体"/>
                <w:b w:val="0"/>
                <w:bCs/>
                <w:color w:val="auto"/>
                <w:sz w:val="21"/>
                <w:szCs w:val="21"/>
                <w:highlight w:val="none"/>
                <w:vertAlign w:val="baseline"/>
              </w:rPr>
              <w:t>★A02010109平板式计算机</w:t>
            </w:r>
          </w:p>
        </w:tc>
        <w:tc>
          <w:tcPr>
            <w:tcW w:w="1964" w:type="dxa"/>
            <w:vAlign w:val="center"/>
          </w:tcPr>
          <w:p w14:paraId="23C9E0B7">
            <w:pPr>
              <w:keepNext w:val="0"/>
              <w:keepLines w:val="0"/>
              <w:suppressLineNumbers w:val="0"/>
              <w:spacing w:before="0" w:beforeAutospacing="0" w:after="0" w:afterAutospacing="0" w:line="400" w:lineRule="exact"/>
              <w:ind w:left="0" w:right="0"/>
              <w:jc w:val="center"/>
              <w:rPr>
                <w:rFonts w:hint="eastAsia" w:ascii="宋体" w:hAnsi="宋体"/>
                <w:b w:val="0"/>
                <w:bCs/>
                <w:color w:val="auto"/>
                <w:sz w:val="21"/>
                <w:szCs w:val="21"/>
                <w:highlight w:val="none"/>
                <w:vertAlign w:val="baseline"/>
              </w:rPr>
            </w:pPr>
          </w:p>
        </w:tc>
        <w:tc>
          <w:tcPr>
            <w:tcW w:w="3595" w:type="dxa"/>
            <w:vAlign w:val="center"/>
          </w:tcPr>
          <w:p w14:paraId="4E7575C0">
            <w:pPr>
              <w:keepNext w:val="0"/>
              <w:keepLines w:val="0"/>
              <w:suppressLineNumbers w:val="0"/>
              <w:spacing w:before="0" w:beforeAutospacing="0" w:after="0" w:afterAutospacing="0" w:line="400" w:lineRule="exact"/>
              <w:ind w:left="0" w:right="0"/>
              <w:jc w:val="left"/>
              <w:rPr>
                <w:rFonts w:hint="eastAsia" w:ascii="宋体" w:hAnsi="宋体"/>
                <w:b w:val="0"/>
                <w:bCs/>
                <w:color w:val="auto"/>
                <w:sz w:val="21"/>
                <w:szCs w:val="21"/>
                <w:highlight w:val="none"/>
                <w:vertAlign w:val="baseline"/>
              </w:rPr>
            </w:pPr>
            <w:r>
              <w:rPr>
                <w:rFonts w:hint="eastAsia" w:ascii="宋体" w:hAnsi="宋体"/>
                <w:b w:val="0"/>
                <w:bCs/>
                <w:color w:val="auto"/>
                <w:sz w:val="21"/>
                <w:szCs w:val="21"/>
                <w:highlight w:val="none"/>
                <w:vertAlign w:val="baseline"/>
              </w:rPr>
              <w:t>《微型计算机能效限定值及能效等级》（GB28380）</w:t>
            </w:r>
          </w:p>
        </w:tc>
      </w:tr>
      <w:tr w14:paraId="1D92C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restart"/>
            <w:vAlign w:val="center"/>
          </w:tcPr>
          <w:p w14:paraId="5A03504A">
            <w:pPr>
              <w:keepNext w:val="0"/>
              <w:keepLines w:val="0"/>
              <w:suppressLineNumbers w:val="0"/>
              <w:spacing w:before="0" w:beforeAutospacing="0" w:after="0" w:afterAutospacing="0" w:line="400" w:lineRule="exact"/>
              <w:ind w:left="0" w:right="0"/>
              <w:jc w:val="center"/>
              <w:rPr>
                <w:rFonts w:hint="eastAsia" w:ascii="宋体" w:hAnsi="宋体" w:eastAsia="宋体"/>
                <w:b w:val="0"/>
                <w:bCs/>
                <w:color w:val="auto"/>
                <w:sz w:val="21"/>
                <w:szCs w:val="21"/>
                <w:highlight w:val="none"/>
                <w:vertAlign w:val="baseline"/>
                <w:lang w:val="en-US" w:eastAsia="zh-CN"/>
              </w:rPr>
            </w:pPr>
            <w:r>
              <w:rPr>
                <w:rFonts w:hint="eastAsia" w:ascii="宋体" w:hAnsi="宋体"/>
                <w:b w:val="0"/>
                <w:bCs/>
                <w:color w:val="auto"/>
                <w:sz w:val="21"/>
                <w:szCs w:val="21"/>
                <w:highlight w:val="none"/>
                <w:vertAlign w:val="baseline"/>
                <w:lang w:val="en-US" w:eastAsia="zh-CN"/>
              </w:rPr>
              <w:t>2</w:t>
            </w:r>
          </w:p>
        </w:tc>
        <w:tc>
          <w:tcPr>
            <w:tcW w:w="1813" w:type="dxa"/>
            <w:vMerge w:val="restart"/>
            <w:vAlign w:val="center"/>
          </w:tcPr>
          <w:p w14:paraId="477ECFD3">
            <w:pPr>
              <w:keepNext w:val="0"/>
              <w:keepLines w:val="0"/>
              <w:suppressLineNumbers w:val="0"/>
              <w:spacing w:before="0" w:beforeAutospacing="0" w:after="0" w:afterAutospacing="0" w:line="400" w:lineRule="exact"/>
              <w:ind w:left="0" w:right="0"/>
              <w:jc w:val="center"/>
              <w:rPr>
                <w:rFonts w:hint="eastAsia" w:ascii="宋体" w:hAnsi="宋体"/>
                <w:b w:val="0"/>
                <w:bCs/>
                <w:color w:val="auto"/>
                <w:sz w:val="21"/>
                <w:szCs w:val="21"/>
                <w:highlight w:val="none"/>
                <w:vertAlign w:val="baseline"/>
              </w:rPr>
            </w:pPr>
            <w:r>
              <w:rPr>
                <w:rFonts w:hint="eastAsia" w:ascii="宋体" w:hAnsi="宋体"/>
                <w:b w:val="0"/>
                <w:bCs/>
                <w:color w:val="auto"/>
                <w:sz w:val="21"/>
                <w:szCs w:val="21"/>
                <w:highlight w:val="none"/>
                <w:vertAlign w:val="baseline"/>
              </w:rPr>
              <w:t>A02020000办公设备</w:t>
            </w:r>
          </w:p>
        </w:tc>
        <w:tc>
          <w:tcPr>
            <w:tcW w:w="1773" w:type="dxa"/>
            <w:vMerge w:val="restart"/>
            <w:vAlign w:val="center"/>
          </w:tcPr>
          <w:p w14:paraId="0DF57778">
            <w:pPr>
              <w:keepNext w:val="0"/>
              <w:keepLines w:val="0"/>
              <w:suppressLineNumbers w:val="0"/>
              <w:spacing w:before="0" w:beforeAutospacing="0" w:after="0" w:afterAutospacing="0" w:line="400" w:lineRule="exact"/>
              <w:ind w:left="0" w:right="0"/>
              <w:jc w:val="center"/>
              <w:rPr>
                <w:rFonts w:hint="eastAsia" w:ascii="宋体" w:hAnsi="宋体"/>
                <w:b w:val="0"/>
                <w:bCs/>
                <w:color w:val="auto"/>
                <w:sz w:val="21"/>
                <w:szCs w:val="21"/>
                <w:highlight w:val="none"/>
                <w:vertAlign w:val="baseline"/>
              </w:rPr>
            </w:pPr>
            <w:r>
              <w:rPr>
                <w:rFonts w:hint="eastAsia" w:ascii="宋体" w:hAnsi="宋体"/>
                <w:b w:val="0"/>
                <w:bCs/>
                <w:color w:val="auto"/>
                <w:sz w:val="21"/>
                <w:szCs w:val="21"/>
                <w:highlight w:val="none"/>
                <w:vertAlign w:val="baseline"/>
              </w:rPr>
              <w:t>A02021000 打印机</w:t>
            </w:r>
          </w:p>
        </w:tc>
        <w:tc>
          <w:tcPr>
            <w:tcW w:w="1964" w:type="dxa"/>
            <w:vAlign w:val="top"/>
          </w:tcPr>
          <w:p w14:paraId="346D8261">
            <w:pPr>
              <w:keepNext w:val="0"/>
              <w:keepLines w:val="0"/>
              <w:suppressLineNumbers w:val="0"/>
              <w:spacing w:before="0" w:beforeAutospacing="0" w:after="0" w:afterAutospacing="0" w:line="400" w:lineRule="exact"/>
              <w:ind w:left="0" w:right="0"/>
              <w:jc w:val="center"/>
              <w:rPr>
                <w:rFonts w:hint="eastAsia" w:ascii="宋体" w:hAnsi="宋体"/>
                <w:b w:val="0"/>
                <w:bCs/>
                <w:color w:val="auto"/>
                <w:sz w:val="21"/>
                <w:szCs w:val="21"/>
                <w:highlight w:val="none"/>
                <w:vertAlign w:val="baseline"/>
              </w:rPr>
            </w:pPr>
            <w:r>
              <w:rPr>
                <w:rFonts w:hint="eastAsia" w:ascii="宋体" w:hAnsi="宋体"/>
                <w:b w:val="0"/>
                <w:bCs/>
                <w:color w:val="auto"/>
                <w:sz w:val="21"/>
                <w:szCs w:val="21"/>
                <w:highlight w:val="none"/>
                <w:vertAlign w:val="baseline"/>
              </w:rPr>
              <w:t>A02021001 A3黑白打印机</w:t>
            </w:r>
          </w:p>
        </w:tc>
        <w:tc>
          <w:tcPr>
            <w:tcW w:w="3595" w:type="dxa"/>
            <w:vAlign w:val="top"/>
          </w:tcPr>
          <w:p w14:paraId="56C94D18">
            <w:pPr>
              <w:keepNext w:val="0"/>
              <w:keepLines w:val="0"/>
              <w:suppressLineNumbers w:val="0"/>
              <w:spacing w:before="0" w:beforeAutospacing="0" w:after="0" w:afterAutospacing="0" w:line="400" w:lineRule="exact"/>
              <w:ind w:left="0" w:right="0"/>
              <w:jc w:val="left"/>
              <w:rPr>
                <w:rFonts w:hint="eastAsia" w:ascii="宋体" w:hAnsi="宋体"/>
                <w:b w:val="0"/>
                <w:bCs/>
                <w:color w:val="auto"/>
                <w:sz w:val="21"/>
                <w:szCs w:val="21"/>
                <w:highlight w:val="none"/>
                <w:vertAlign w:val="baseline"/>
              </w:rPr>
            </w:pPr>
            <w:r>
              <w:rPr>
                <w:rFonts w:hint="eastAsia" w:ascii="宋体" w:hAnsi="宋体"/>
                <w:b w:val="0"/>
                <w:bCs/>
                <w:color w:val="auto"/>
                <w:sz w:val="21"/>
                <w:szCs w:val="21"/>
                <w:highlight w:val="none"/>
                <w:vertAlign w:val="baseline"/>
              </w:rPr>
              <w:t>《复印机、打印机和传真机能效限定值及能效等级》（GB21521）</w:t>
            </w:r>
          </w:p>
        </w:tc>
      </w:tr>
      <w:tr w14:paraId="74EE5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14:paraId="407A76EB">
            <w:pPr>
              <w:keepNext w:val="0"/>
              <w:keepLines w:val="0"/>
              <w:suppressLineNumbers w:val="0"/>
              <w:spacing w:before="0" w:beforeAutospacing="0" w:after="0" w:afterAutospacing="0" w:line="400" w:lineRule="exact"/>
              <w:ind w:left="0" w:right="0"/>
              <w:jc w:val="center"/>
              <w:rPr>
                <w:rFonts w:hint="eastAsia" w:ascii="宋体" w:hAnsi="宋体"/>
                <w:b w:val="0"/>
                <w:bCs/>
                <w:color w:val="auto"/>
                <w:sz w:val="21"/>
                <w:szCs w:val="21"/>
                <w:highlight w:val="none"/>
                <w:vertAlign w:val="baseline"/>
              </w:rPr>
            </w:pPr>
          </w:p>
        </w:tc>
        <w:tc>
          <w:tcPr>
            <w:tcW w:w="1813" w:type="dxa"/>
            <w:vMerge w:val="continue"/>
            <w:vAlign w:val="center"/>
          </w:tcPr>
          <w:p w14:paraId="4D194B17">
            <w:pPr>
              <w:keepNext w:val="0"/>
              <w:keepLines w:val="0"/>
              <w:suppressLineNumbers w:val="0"/>
              <w:spacing w:before="0" w:beforeAutospacing="0" w:after="0" w:afterAutospacing="0" w:line="400" w:lineRule="exact"/>
              <w:ind w:left="0" w:right="0"/>
              <w:jc w:val="center"/>
              <w:rPr>
                <w:rFonts w:hint="eastAsia" w:ascii="宋体" w:hAnsi="宋体"/>
                <w:b w:val="0"/>
                <w:bCs/>
                <w:color w:val="auto"/>
                <w:sz w:val="21"/>
                <w:szCs w:val="21"/>
                <w:highlight w:val="none"/>
                <w:vertAlign w:val="baseline"/>
              </w:rPr>
            </w:pPr>
          </w:p>
        </w:tc>
        <w:tc>
          <w:tcPr>
            <w:tcW w:w="1773" w:type="dxa"/>
            <w:vMerge w:val="continue"/>
            <w:vAlign w:val="center"/>
          </w:tcPr>
          <w:p w14:paraId="00868767">
            <w:pPr>
              <w:keepNext w:val="0"/>
              <w:keepLines w:val="0"/>
              <w:suppressLineNumbers w:val="0"/>
              <w:spacing w:before="0" w:beforeAutospacing="0" w:after="0" w:afterAutospacing="0" w:line="400" w:lineRule="exact"/>
              <w:ind w:left="0" w:right="0"/>
              <w:jc w:val="center"/>
              <w:rPr>
                <w:rFonts w:hint="eastAsia" w:ascii="宋体" w:hAnsi="宋体"/>
                <w:b w:val="0"/>
                <w:bCs/>
                <w:color w:val="auto"/>
                <w:sz w:val="21"/>
                <w:szCs w:val="21"/>
                <w:highlight w:val="none"/>
                <w:vertAlign w:val="baseline"/>
              </w:rPr>
            </w:pPr>
          </w:p>
        </w:tc>
        <w:tc>
          <w:tcPr>
            <w:tcW w:w="1964" w:type="dxa"/>
            <w:vAlign w:val="top"/>
          </w:tcPr>
          <w:p w14:paraId="5BDBEDC0">
            <w:pPr>
              <w:keepNext w:val="0"/>
              <w:keepLines w:val="0"/>
              <w:suppressLineNumbers w:val="0"/>
              <w:spacing w:before="0" w:beforeAutospacing="0" w:after="0" w:afterAutospacing="0" w:line="400" w:lineRule="exact"/>
              <w:ind w:left="0" w:right="0"/>
              <w:jc w:val="center"/>
              <w:rPr>
                <w:rFonts w:hint="eastAsia" w:ascii="宋体" w:hAnsi="宋体"/>
                <w:b w:val="0"/>
                <w:bCs/>
                <w:color w:val="auto"/>
                <w:sz w:val="21"/>
                <w:szCs w:val="21"/>
                <w:highlight w:val="none"/>
                <w:vertAlign w:val="baseline"/>
              </w:rPr>
            </w:pPr>
            <w:r>
              <w:rPr>
                <w:rFonts w:hint="eastAsia" w:ascii="宋体" w:hAnsi="宋体"/>
                <w:b w:val="0"/>
                <w:bCs/>
                <w:color w:val="auto"/>
                <w:sz w:val="21"/>
                <w:szCs w:val="21"/>
                <w:highlight w:val="none"/>
                <w:vertAlign w:val="baseline"/>
              </w:rPr>
              <w:t>A02021002 A3彩色打印机</w:t>
            </w:r>
          </w:p>
        </w:tc>
        <w:tc>
          <w:tcPr>
            <w:tcW w:w="3595" w:type="dxa"/>
            <w:vAlign w:val="top"/>
          </w:tcPr>
          <w:p w14:paraId="4AB73422">
            <w:pPr>
              <w:keepNext w:val="0"/>
              <w:keepLines w:val="0"/>
              <w:suppressLineNumbers w:val="0"/>
              <w:spacing w:before="0" w:beforeAutospacing="0" w:after="0" w:afterAutospacing="0" w:line="400" w:lineRule="exact"/>
              <w:ind w:left="0" w:right="0"/>
              <w:jc w:val="left"/>
              <w:rPr>
                <w:rFonts w:hint="eastAsia" w:ascii="宋体" w:hAnsi="宋体"/>
                <w:b w:val="0"/>
                <w:bCs/>
                <w:color w:val="auto"/>
                <w:sz w:val="21"/>
                <w:szCs w:val="21"/>
                <w:highlight w:val="none"/>
                <w:vertAlign w:val="baseline"/>
              </w:rPr>
            </w:pPr>
            <w:r>
              <w:rPr>
                <w:rFonts w:hint="eastAsia" w:ascii="宋体" w:hAnsi="宋体"/>
                <w:b w:val="0"/>
                <w:bCs/>
                <w:color w:val="auto"/>
                <w:sz w:val="21"/>
                <w:szCs w:val="21"/>
                <w:highlight w:val="none"/>
                <w:vertAlign w:val="baseline"/>
              </w:rPr>
              <w:t>《复印机、打印机和传真机能效限定值及能效等级》（GB21521）</w:t>
            </w:r>
          </w:p>
        </w:tc>
      </w:tr>
      <w:tr w14:paraId="24B1C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14:paraId="540A7C95">
            <w:pPr>
              <w:keepNext w:val="0"/>
              <w:keepLines w:val="0"/>
              <w:suppressLineNumbers w:val="0"/>
              <w:spacing w:before="0" w:beforeAutospacing="0" w:after="0" w:afterAutospacing="0" w:line="400" w:lineRule="exact"/>
              <w:ind w:left="0" w:right="0"/>
              <w:jc w:val="center"/>
              <w:rPr>
                <w:rFonts w:hint="eastAsia" w:ascii="宋体" w:hAnsi="宋体"/>
                <w:b w:val="0"/>
                <w:bCs/>
                <w:color w:val="auto"/>
                <w:sz w:val="21"/>
                <w:szCs w:val="21"/>
                <w:highlight w:val="none"/>
                <w:vertAlign w:val="baseline"/>
              </w:rPr>
            </w:pPr>
          </w:p>
        </w:tc>
        <w:tc>
          <w:tcPr>
            <w:tcW w:w="1813" w:type="dxa"/>
            <w:vMerge w:val="continue"/>
            <w:vAlign w:val="center"/>
          </w:tcPr>
          <w:p w14:paraId="38246C52">
            <w:pPr>
              <w:keepNext w:val="0"/>
              <w:keepLines w:val="0"/>
              <w:suppressLineNumbers w:val="0"/>
              <w:spacing w:before="0" w:beforeAutospacing="0" w:after="0" w:afterAutospacing="0" w:line="400" w:lineRule="exact"/>
              <w:ind w:left="0" w:right="0"/>
              <w:jc w:val="center"/>
              <w:rPr>
                <w:rFonts w:hint="eastAsia" w:ascii="宋体" w:hAnsi="宋体"/>
                <w:b w:val="0"/>
                <w:bCs/>
                <w:color w:val="auto"/>
                <w:sz w:val="21"/>
                <w:szCs w:val="21"/>
                <w:highlight w:val="none"/>
                <w:vertAlign w:val="baseline"/>
              </w:rPr>
            </w:pPr>
          </w:p>
        </w:tc>
        <w:tc>
          <w:tcPr>
            <w:tcW w:w="1773" w:type="dxa"/>
            <w:vMerge w:val="continue"/>
            <w:vAlign w:val="center"/>
          </w:tcPr>
          <w:p w14:paraId="64EB47A4">
            <w:pPr>
              <w:keepNext w:val="0"/>
              <w:keepLines w:val="0"/>
              <w:suppressLineNumbers w:val="0"/>
              <w:spacing w:before="0" w:beforeAutospacing="0" w:after="0" w:afterAutospacing="0" w:line="400" w:lineRule="exact"/>
              <w:ind w:left="0" w:right="0"/>
              <w:jc w:val="center"/>
              <w:rPr>
                <w:rFonts w:hint="eastAsia" w:ascii="宋体" w:hAnsi="宋体"/>
                <w:b w:val="0"/>
                <w:bCs/>
                <w:color w:val="auto"/>
                <w:sz w:val="21"/>
                <w:szCs w:val="21"/>
                <w:highlight w:val="none"/>
                <w:vertAlign w:val="baseline"/>
              </w:rPr>
            </w:pPr>
          </w:p>
        </w:tc>
        <w:tc>
          <w:tcPr>
            <w:tcW w:w="1964" w:type="dxa"/>
            <w:vAlign w:val="top"/>
          </w:tcPr>
          <w:p w14:paraId="386FC406">
            <w:pPr>
              <w:keepNext w:val="0"/>
              <w:keepLines w:val="0"/>
              <w:suppressLineNumbers w:val="0"/>
              <w:spacing w:before="0" w:beforeAutospacing="0" w:after="0" w:afterAutospacing="0" w:line="400" w:lineRule="exact"/>
              <w:ind w:left="0" w:right="0"/>
              <w:jc w:val="center"/>
              <w:rPr>
                <w:rFonts w:hint="eastAsia" w:ascii="宋体" w:hAnsi="宋体"/>
                <w:b w:val="0"/>
                <w:bCs/>
                <w:color w:val="auto"/>
                <w:sz w:val="21"/>
                <w:szCs w:val="21"/>
                <w:highlight w:val="none"/>
                <w:vertAlign w:val="baseline"/>
              </w:rPr>
            </w:pPr>
            <w:r>
              <w:rPr>
                <w:rFonts w:hint="eastAsia" w:ascii="宋体" w:hAnsi="宋体"/>
                <w:b w:val="0"/>
                <w:bCs/>
                <w:color w:val="auto"/>
                <w:sz w:val="21"/>
                <w:szCs w:val="21"/>
                <w:highlight w:val="none"/>
                <w:vertAlign w:val="baseline"/>
              </w:rPr>
              <w:t>A02021003 A4黑白打印机</w:t>
            </w:r>
          </w:p>
        </w:tc>
        <w:tc>
          <w:tcPr>
            <w:tcW w:w="3595" w:type="dxa"/>
            <w:vAlign w:val="top"/>
          </w:tcPr>
          <w:p w14:paraId="3CD01E36">
            <w:pPr>
              <w:keepNext w:val="0"/>
              <w:keepLines w:val="0"/>
              <w:suppressLineNumbers w:val="0"/>
              <w:spacing w:before="0" w:beforeAutospacing="0" w:after="0" w:afterAutospacing="0" w:line="400" w:lineRule="exact"/>
              <w:ind w:left="0" w:right="0"/>
              <w:jc w:val="left"/>
              <w:rPr>
                <w:rFonts w:hint="eastAsia" w:ascii="宋体" w:hAnsi="宋体"/>
                <w:b w:val="0"/>
                <w:bCs/>
                <w:color w:val="auto"/>
                <w:sz w:val="21"/>
                <w:szCs w:val="21"/>
                <w:highlight w:val="none"/>
                <w:vertAlign w:val="baseline"/>
              </w:rPr>
            </w:pPr>
            <w:r>
              <w:rPr>
                <w:rFonts w:hint="eastAsia" w:ascii="宋体" w:hAnsi="宋体"/>
                <w:b w:val="0"/>
                <w:bCs/>
                <w:color w:val="auto"/>
                <w:sz w:val="21"/>
                <w:szCs w:val="21"/>
                <w:highlight w:val="none"/>
                <w:vertAlign w:val="baseline"/>
              </w:rPr>
              <w:t>《复印机、打印机和传真机能效限定值及能效等级》（GB21521）</w:t>
            </w:r>
          </w:p>
        </w:tc>
      </w:tr>
      <w:tr w14:paraId="5E251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14:paraId="38696878">
            <w:pPr>
              <w:keepNext w:val="0"/>
              <w:keepLines w:val="0"/>
              <w:suppressLineNumbers w:val="0"/>
              <w:spacing w:before="0" w:beforeAutospacing="0" w:after="0" w:afterAutospacing="0" w:line="400" w:lineRule="exact"/>
              <w:ind w:left="0" w:right="0"/>
              <w:jc w:val="center"/>
              <w:rPr>
                <w:rFonts w:hint="eastAsia" w:ascii="宋体" w:hAnsi="宋体"/>
                <w:b w:val="0"/>
                <w:bCs/>
                <w:color w:val="auto"/>
                <w:sz w:val="21"/>
                <w:szCs w:val="21"/>
                <w:highlight w:val="none"/>
                <w:vertAlign w:val="baseline"/>
              </w:rPr>
            </w:pPr>
          </w:p>
        </w:tc>
        <w:tc>
          <w:tcPr>
            <w:tcW w:w="1813" w:type="dxa"/>
            <w:vMerge w:val="continue"/>
            <w:vAlign w:val="center"/>
          </w:tcPr>
          <w:p w14:paraId="49199D18">
            <w:pPr>
              <w:keepNext w:val="0"/>
              <w:keepLines w:val="0"/>
              <w:suppressLineNumbers w:val="0"/>
              <w:spacing w:before="0" w:beforeAutospacing="0" w:after="0" w:afterAutospacing="0" w:line="400" w:lineRule="exact"/>
              <w:ind w:left="0" w:right="0"/>
              <w:jc w:val="center"/>
              <w:rPr>
                <w:rFonts w:hint="eastAsia" w:ascii="宋体" w:hAnsi="宋体"/>
                <w:b w:val="0"/>
                <w:bCs/>
                <w:color w:val="auto"/>
                <w:sz w:val="21"/>
                <w:szCs w:val="21"/>
                <w:highlight w:val="none"/>
                <w:vertAlign w:val="baseline"/>
              </w:rPr>
            </w:pPr>
          </w:p>
        </w:tc>
        <w:tc>
          <w:tcPr>
            <w:tcW w:w="1773" w:type="dxa"/>
            <w:vMerge w:val="continue"/>
            <w:vAlign w:val="center"/>
          </w:tcPr>
          <w:p w14:paraId="6C08235E">
            <w:pPr>
              <w:keepNext w:val="0"/>
              <w:keepLines w:val="0"/>
              <w:suppressLineNumbers w:val="0"/>
              <w:spacing w:before="0" w:beforeAutospacing="0" w:after="0" w:afterAutospacing="0" w:line="400" w:lineRule="exact"/>
              <w:ind w:left="0" w:right="0"/>
              <w:jc w:val="center"/>
              <w:rPr>
                <w:rFonts w:hint="eastAsia" w:ascii="宋体" w:hAnsi="宋体"/>
                <w:b w:val="0"/>
                <w:bCs/>
                <w:color w:val="auto"/>
                <w:sz w:val="21"/>
                <w:szCs w:val="21"/>
                <w:highlight w:val="none"/>
                <w:vertAlign w:val="baseline"/>
              </w:rPr>
            </w:pPr>
          </w:p>
        </w:tc>
        <w:tc>
          <w:tcPr>
            <w:tcW w:w="1964" w:type="dxa"/>
            <w:vAlign w:val="top"/>
          </w:tcPr>
          <w:p w14:paraId="500C0EFA">
            <w:pPr>
              <w:keepNext w:val="0"/>
              <w:keepLines w:val="0"/>
              <w:suppressLineNumbers w:val="0"/>
              <w:spacing w:before="0" w:beforeAutospacing="0" w:after="0" w:afterAutospacing="0" w:line="400" w:lineRule="exact"/>
              <w:ind w:left="0" w:right="0"/>
              <w:jc w:val="center"/>
              <w:rPr>
                <w:rFonts w:hint="eastAsia" w:ascii="宋体" w:hAnsi="宋体"/>
                <w:b w:val="0"/>
                <w:bCs/>
                <w:color w:val="auto"/>
                <w:sz w:val="21"/>
                <w:szCs w:val="21"/>
                <w:highlight w:val="none"/>
                <w:vertAlign w:val="baseline"/>
              </w:rPr>
            </w:pPr>
            <w:r>
              <w:rPr>
                <w:rFonts w:hint="eastAsia" w:ascii="宋体" w:hAnsi="宋体"/>
                <w:b w:val="0"/>
                <w:bCs/>
                <w:color w:val="auto"/>
                <w:sz w:val="21"/>
                <w:szCs w:val="21"/>
                <w:highlight w:val="none"/>
                <w:vertAlign w:val="baseline"/>
              </w:rPr>
              <w:t>A02021004 A4彩色打印机</w:t>
            </w:r>
          </w:p>
        </w:tc>
        <w:tc>
          <w:tcPr>
            <w:tcW w:w="3595" w:type="dxa"/>
            <w:vAlign w:val="top"/>
          </w:tcPr>
          <w:p w14:paraId="73BDF43F">
            <w:pPr>
              <w:keepNext w:val="0"/>
              <w:keepLines w:val="0"/>
              <w:suppressLineNumbers w:val="0"/>
              <w:spacing w:before="0" w:beforeAutospacing="0" w:after="0" w:afterAutospacing="0" w:line="400" w:lineRule="exact"/>
              <w:ind w:left="0" w:right="0"/>
              <w:jc w:val="left"/>
              <w:rPr>
                <w:rFonts w:hint="eastAsia" w:ascii="宋体" w:hAnsi="宋体"/>
                <w:b w:val="0"/>
                <w:bCs/>
                <w:color w:val="auto"/>
                <w:sz w:val="21"/>
                <w:szCs w:val="21"/>
                <w:highlight w:val="none"/>
                <w:vertAlign w:val="baseline"/>
              </w:rPr>
            </w:pPr>
            <w:r>
              <w:rPr>
                <w:rFonts w:hint="eastAsia" w:ascii="宋体" w:hAnsi="宋体"/>
                <w:b w:val="0"/>
                <w:bCs/>
                <w:color w:val="auto"/>
                <w:sz w:val="21"/>
                <w:szCs w:val="21"/>
                <w:highlight w:val="none"/>
                <w:vertAlign w:val="baseline"/>
              </w:rPr>
              <w:t>《复印机、打印机和传真机能效限定值及能效等级》（GB21521）</w:t>
            </w:r>
          </w:p>
        </w:tc>
      </w:tr>
      <w:tr w14:paraId="6DDBB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14:paraId="0FF293B9">
            <w:pPr>
              <w:keepNext w:val="0"/>
              <w:keepLines w:val="0"/>
              <w:suppressLineNumbers w:val="0"/>
              <w:spacing w:before="0" w:beforeAutospacing="0" w:after="0" w:afterAutospacing="0" w:line="400" w:lineRule="exact"/>
              <w:ind w:left="0" w:right="0"/>
              <w:jc w:val="center"/>
              <w:rPr>
                <w:rFonts w:hint="eastAsia" w:ascii="宋体" w:hAnsi="宋体"/>
                <w:b w:val="0"/>
                <w:bCs/>
                <w:color w:val="auto"/>
                <w:sz w:val="21"/>
                <w:szCs w:val="21"/>
                <w:highlight w:val="none"/>
                <w:vertAlign w:val="baseline"/>
              </w:rPr>
            </w:pPr>
          </w:p>
        </w:tc>
        <w:tc>
          <w:tcPr>
            <w:tcW w:w="1813" w:type="dxa"/>
            <w:vMerge w:val="continue"/>
            <w:vAlign w:val="center"/>
          </w:tcPr>
          <w:p w14:paraId="61B47271">
            <w:pPr>
              <w:keepNext w:val="0"/>
              <w:keepLines w:val="0"/>
              <w:suppressLineNumbers w:val="0"/>
              <w:spacing w:before="0" w:beforeAutospacing="0" w:after="0" w:afterAutospacing="0" w:line="400" w:lineRule="exact"/>
              <w:ind w:left="0" w:right="0"/>
              <w:jc w:val="center"/>
              <w:rPr>
                <w:rFonts w:hint="eastAsia" w:ascii="宋体" w:hAnsi="宋体"/>
                <w:b w:val="0"/>
                <w:bCs/>
                <w:color w:val="auto"/>
                <w:sz w:val="21"/>
                <w:szCs w:val="21"/>
                <w:highlight w:val="none"/>
                <w:vertAlign w:val="baseline"/>
              </w:rPr>
            </w:pPr>
          </w:p>
        </w:tc>
        <w:tc>
          <w:tcPr>
            <w:tcW w:w="1773" w:type="dxa"/>
            <w:vMerge w:val="continue"/>
            <w:vAlign w:val="center"/>
          </w:tcPr>
          <w:p w14:paraId="22E3C0D0">
            <w:pPr>
              <w:keepNext w:val="0"/>
              <w:keepLines w:val="0"/>
              <w:suppressLineNumbers w:val="0"/>
              <w:spacing w:before="0" w:beforeAutospacing="0" w:after="0" w:afterAutospacing="0" w:line="400" w:lineRule="exact"/>
              <w:ind w:left="0" w:right="0"/>
              <w:jc w:val="center"/>
              <w:rPr>
                <w:rFonts w:hint="eastAsia" w:ascii="宋体" w:hAnsi="宋体"/>
                <w:b w:val="0"/>
                <w:bCs/>
                <w:color w:val="auto"/>
                <w:sz w:val="21"/>
                <w:szCs w:val="21"/>
                <w:highlight w:val="none"/>
                <w:vertAlign w:val="baseline"/>
              </w:rPr>
            </w:pPr>
          </w:p>
        </w:tc>
        <w:tc>
          <w:tcPr>
            <w:tcW w:w="1964" w:type="dxa"/>
            <w:vAlign w:val="top"/>
          </w:tcPr>
          <w:p w14:paraId="40324AF3">
            <w:pPr>
              <w:keepNext w:val="0"/>
              <w:keepLines w:val="0"/>
              <w:suppressLineNumbers w:val="0"/>
              <w:spacing w:before="0" w:beforeAutospacing="0" w:after="0" w:afterAutospacing="0" w:line="400" w:lineRule="exact"/>
              <w:ind w:left="0" w:right="0"/>
              <w:jc w:val="center"/>
              <w:rPr>
                <w:rFonts w:hint="eastAsia" w:ascii="宋体" w:hAnsi="宋体"/>
                <w:b w:val="0"/>
                <w:bCs/>
                <w:color w:val="auto"/>
                <w:sz w:val="21"/>
                <w:szCs w:val="21"/>
                <w:highlight w:val="none"/>
                <w:vertAlign w:val="baseline"/>
              </w:rPr>
            </w:pPr>
            <w:r>
              <w:rPr>
                <w:rFonts w:hint="eastAsia" w:ascii="宋体" w:hAnsi="宋体"/>
                <w:b w:val="0"/>
                <w:bCs/>
                <w:color w:val="auto"/>
                <w:sz w:val="21"/>
                <w:szCs w:val="21"/>
                <w:highlight w:val="none"/>
                <w:vertAlign w:val="baseline"/>
              </w:rPr>
              <w:t>A02021005 3D打印机</w:t>
            </w:r>
          </w:p>
        </w:tc>
        <w:tc>
          <w:tcPr>
            <w:tcW w:w="3595" w:type="dxa"/>
            <w:vAlign w:val="top"/>
          </w:tcPr>
          <w:p w14:paraId="7DCB668B">
            <w:pPr>
              <w:keepNext w:val="0"/>
              <w:keepLines w:val="0"/>
              <w:suppressLineNumbers w:val="0"/>
              <w:spacing w:before="0" w:beforeAutospacing="0" w:after="0" w:afterAutospacing="0" w:line="400" w:lineRule="exact"/>
              <w:ind w:left="0" w:right="0"/>
              <w:jc w:val="left"/>
              <w:rPr>
                <w:rFonts w:hint="eastAsia" w:ascii="宋体" w:hAnsi="宋体"/>
                <w:b w:val="0"/>
                <w:bCs/>
                <w:color w:val="auto"/>
                <w:sz w:val="21"/>
                <w:szCs w:val="21"/>
                <w:highlight w:val="none"/>
                <w:vertAlign w:val="baseline"/>
              </w:rPr>
            </w:pPr>
            <w:r>
              <w:rPr>
                <w:rFonts w:hint="eastAsia" w:ascii="宋体" w:hAnsi="宋体"/>
                <w:b w:val="0"/>
                <w:bCs/>
                <w:color w:val="auto"/>
                <w:sz w:val="21"/>
                <w:szCs w:val="21"/>
                <w:highlight w:val="none"/>
                <w:vertAlign w:val="baseline"/>
              </w:rPr>
              <w:t>《复印机、打印机和传真机能效限定值及能效等级》（GB21521）</w:t>
            </w:r>
          </w:p>
        </w:tc>
      </w:tr>
      <w:tr w14:paraId="49808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14:paraId="45339F3E">
            <w:pPr>
              <w:keepNext w:val="0"/>
              <w:keepLines w:val="0"/>
              <w:suppressLineNumbers w:val="0"/>
              <w:spacing w:before="0" w:beforeAutospacing="0" w:after="0" w:afterAutospacing="0" w:line="400" w:lineRule="exact"/>
              <w:ind w:left="0" w:right="0"/>
              <w:jc w:val="center"/>
              <w:rPr>
                <w:rFonts w:hint="eastAsia" w:ascii="宋体" w:hAnsi="宋体"/>
                <w:b w:val="0"/>
                <w:bCs/>
                <w:color w:val="auto"/>
                <w:sz w:val="21"/>
                <w:szCs w:val="21"/>
                <w:highlight w:val="none"/>
                <w:vertAlign w:val="baseline"/>
              </w:rPr>
            </w:pPr>
          </w:p>
        </w:tc>
        <w:tc>
          <w:tcPr>
            <w:tcW w:w="1813" w:type="dxa"/>
            <w:vMerge w:val="continue"/>
            <w:vAlign w:val="center"/>
          </w:tcPr>
          <w:p w14:paraId="16DB3D27">
            <w:pPr>
              <w:keepNext w:val="0"/>
              <w:keepLines w:val="0"/>
              <w:suppressLineNumbers w:val="0"/>
              <w:spacing w:before="0" w:beforeAutospacing="0" w:after="0" w:afterAutospacing="0" w:line="400" w:lineRule="exact"/>
              <w:ind w:left="0" w:right="0"/>
              <w:jc w:val="center"/>
              <w:rPr>
                <w:rFonts w:hint="eastAsia" w:ascii="宋体" w:hAnsi="宋体"/>
                <w:b w:val="0"/>
                <w:bCs/>
                <w:color w:val="auto"/>
                <w:sz w:val="21"/>
                <w:szCs w:val="21"/>
                <w:highlight w:val="none"/>
                <w:vertAlign w:val="baseline"/>
              </w:rPr>
            </w:pPr>
          </w:p>
        </w:tc>
        <w:tc>
          <w:tcPr>
            <w:tcW w:w="1773" w:type="dxa"/>
            <w:vMerge w:val="continue"/>
            <w:vAlign w:val="center"/>
          </w:tcPr>
          <w:p w14:paraId="345CAA26">
            <w:pPr>
              <w:keepNext w:val="0"/>
              <w:keepLines w:val="0"/>
              <w:suppressLineNumbers w:val="0"/>
              <w:spacing w:before="0" w:beforeAutospacing="0" w:after="0" w:afterAutospacing="0" w:line="400" w:lineRule="exact"/>
              <w:ind w:left="0" w:right="0"/>
              <w:jc w:val="center"/>
              <w:rPr>
                <w:rFonts w:hint="eastAsia" w:ascii="宋体" w:hAnsi="宋体"/>
                <w:b w:val="0"/>
                <w:bCs/>
                <w:color w:val="auto"/>
                <w:sz w:val="21"/>
                <w:szCs w:val="21"/>
                <w:highlight w:val="none"/>
                <w:vertAlign w:val="baseline"/>
              </w:rPr>
            </w:pPr>
          </w:p>
        </w:tc>
        <w:tc>
          <w:tcPr>
            <w:tcW w:w="1964" w:type="dxa"/>
            <w:vAlign w:val="top"/>
          </w:tcPr>
          <w:p w14:paraId="6DBCADD5">
            <w:pPr>
              <w:keepNext w:val="0"/>
              <w:keepLines w:val="0"/>
              <w:suppressLineNumbers w:val="0"/>
              <w:spacing w:before="0" w:beforeAutospacing="0" w:after="0" w:afterAutospacing="0" w:line="400" w:lineRule="exact"/>
              <w:ind w:left="0" w:right="0"/>
              <w:jc w:val="center"/>
              <w:rPr>
                <w:rFonts w:hint="eastAsia" w:ascii="宋体" w:hAnsi="宋体"/>
                <w:b w:val="0"/>
                <w:bCs/>
                <w:color w:val="auto"/>
                <w:sz w:val="21"/>
                <w:szCs w:val="21"/>
                <w:highlight w:val="none"/>
                <w:vertAlign w:val="baseline"/>
              </w:rPr>
            </w:pPr>
            <w:r>
              <w:rPr>
                <w:rFonts w:hint="eastAsia" w:ascii="宋体" w:hAnsi="宋体"/>
                <w:b w:val="0"/>
                <w:bCs/>
                <w:color w:val="auto"/>
                <w:sz w:val="21"/>
                <w:szCs w:val="21"/>
                <w:highlight w:val="none"/>
                <w:vertAlign w:val="baseline"/>
              </w:rPr>
              <w:t>A02021006 票据打印机</w:t>
            </w:r>
          </w:p>
        </w:tc>
        <w:tc>
          <w:tcPr>
            <w:tcW w:w="3595" w:type="dxa"/>
            <w:vAlign w:val="top"/>
          </w:tcPr>
          <w:p w14:paraId="79D25187">
            <w:pPr>
              <w:keepNext w:val="0"/>
              <w:keepLines w:val="0"/>
              <w:suppressLineNumbers w:val="0"/>
              <w:spacing w:before="0" w:beforeAutospacing="0" w:after="0" w:afterAutospacing="0" w:line="400" w:lineRule="exact"/>
              <w:ind w:left="0" w:right="0"/>
              <w:jc w:val="left"/>
              <w:rPr>
                <w:rFonts w:hint="eastAsia" w:ascii="宋体" w:hAnsi="宋体"/>
                <w:b w:val="0"/>
                <w:bCs/>
                <w:color w:val="auto"/>
                <w:sz w:val="21"/>
                <w:szCs w:val="21"/>
                <w:highlight w:val="none"/>
                <w:vertAlign w:val="baseline"/>
              </w:rPr>
            </w:pPr>
            <w:r>
              <w:rPr>
                <w:rFonts w:hint="eastAsia" w:ascii="宋体" w:hAnsi="宋体"/>
                <w:b w:val="0"/>
                <w:bCs/>
                <w:color w:val="auto"/>
                <w:sz w:val="21"/>
                <w:szCs w:val="21"/>
                <w:highlight w:val="none"/>
                <w:vertAlign w:val="baseline"/>
              </w:rPr>
              <w:t>《复印机、打印机和传真机能效限定值及能效等级》（GB21521）</w:t>
            </w:r>
          </w:p>
        </w:tc>
      </w:tr>
      <w:tr w14:paraId="2DD5E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14:paraId="1F43E853">
            <w:pPr>
              <w:keepNext w:val="0"/>
              <w:keepLines w:val="0"/>
              <w:suppressLineNumbers w:val="0"/>
              <w:spacing w:before="0" w:beforeAutospacing="0" w:after="0" w:afterAutospacing="0" w:line="400" w:lineRule="exact"/>
              <w:ind w:left="0" w:right="0"/>
              <w:jc w:val="center"/>
              <w:rPr>
                <w:rFonts w:hint="eastAsia" w:ascii="宋体" w:hAnsi="宋体"/>
                <w:b w:val="0"/>
                <w:bCs/>
                <w:color w:val="auto"/>
                <w:sz w:val="21"/>
                <w:szCs w:val="21"/>
                <w:highlight w:val="none"/>
                <w:vertAlign w:val="baseline"/>
              </w:rPr>
            </w:pPr>
          </w:p>
        </w:tc>
        <w:tc>
          <w:tcPr>
            <w:tcW w:w="1813" w:type="dxa"/>
            <w:vMerge w:val="continue"/>
            <w:vAlign w:val="center"/>
          </w:tcPr>
          <w:p w14:paraId="4783BAF0">
            <w:pPr>
              <w:keepNext w:val="0"/>
              <w:keepLines w:val="0"/>
              <w:suppressLineNumbers w:val="0"/>
              <w:spacing w:before="0" w:beforeAutospacing="0" w:after="0" w:afterAutospacing="0" w:line="400" w:lineRule="exact"/>
              <w:ind w:left="0" w:right="0"/>
              <w:jc w:val="center"/>
              <w:rPr>
                <w:rFonts w:hint="eastAsia" w:ascii="宋体" w:hAnsi="宋体"/>
                <w:b w:val="0"/>
                <w:bCs/>
                <w:color w:val="auto"/>
                <w:sz w:val="21"/>
                <w:szCs w:val="21"/>
                <w:highlight w:val="none"/>
                <w:vertAlign w:val="baseline"/>
              </w:rPr>
            </w:pPr>
          </w:p>
        </w:tc>
        <w:tc>
          <w:tcPr>
            <w:tcW w:w="1773" w:type="dxa"/>
            <w:vMerge w:val="continue"/>
            <w:vAlign w:val="center"/>
          </w:tcPr>
          <w:p w14:paraId="62B3BEBF">
            <w:pPr>
              <w:keepNext w:val="0"/>
              <w:keepLines w:val="0"/>
              <w:suppressLineNumbers w:val="0"/>
              <w:spacing w:before="0" w:beforeAutospacing="0" w:after="0" w:afterAutospacing="0" w:line="400" w:lineRule="exact"/>
              <w:ind w:left="0" w:right="0"/>
              <w:jc w:val="center"/>
              <w:rPr>
                <w:rFonts w:hint="eastAsia" w:ascii="宋体" w:hAnsi="宋体"/>
                <w:b w:val="0"/>
                <w:bCs/>
                <w:color w:val="auto"/>
                <w:sz w:val="21"/>
                <w:szCs w:val="21"/>
                <w:highlight w:val="none"/>
                <w:vertAlign w:val="baseline"/>
              </w:rPr>
            </w:pPr>
          </w:p>
        </w:tc>
        <w:tc>
          <w:tcPr>
            <w:tcW w:w="1964" w:type="dxa"/>
            <w:vAlign w:val="top"/>
          </w:tcPr>
          <w:p w14:paraId="00EF2E80">
            <w:pPr>
              <w:keepNext w:val="0"/>
              <w:keepLines w:val="0"/>
              <w:suppressLineNumbers w:val="0"/>
              <w:spacing w:before="0" w:beforeAutospacing="0" w:after="0" w:afterAutospacing="0" w:line="400" w:lineRule="exact"/>
              <w:ind w:left="0" w:right="0"/>
              <w:jc w:val="center"/>
              <w:rPr>
                <w:rFonts w:hint="eastAsia" w:ascii="宋体" w:hAnsi="宋体"/>
                <w:b w:val="0"/>
                <w:bCs/>
                <w:color w:val="auto"/>
                <w:sz w:val="21"/>
                <w:szCs w:val="21"/>
                <w:highlight w:val="none"/>
                <w:vertAlign w:val="baseline"/>
              </w:rPr>
            </w:pPr>
            <w:r>
              <w:rPr>
                <w:rFonts w:hint="eastAsia" w:ascii="宋体" w:hAnsi="宋体"/>
                <w:b w:val="0"/>
                <w:bCs/>
                <w:color w:val="auto"/>
                <w:sz w:val="21"/>
                <w:szCs w:val="21"/>
                <w:highlight w:val="none"/>
                <w:vertAlign w:val="baseline"/>
              </w:rPr>
              <w:t>A02021007 条码打印机</w:t>
            </w:r>
          </w:p>
        </w:tc>
        <w:tc>
          <w:tcPr>
            <w:tcW w:w="3595" w:type="dxa"/>
            <w:vAlign w:val="top"/>
          </w:tcPr>
          <w:p w14:paraId="0537F710">
            <w:pPr>
              <w:keepNext w:val="0"/>
              <w:keepLines w:val="0"/>
              <w:suppressLineNumbers w:val="0"/>
              <w:spacing w:before="0" w:beforeAutospacing="0" w:after="0" w:afterAutospacing="0" w:line="400" w:lineRule="exact"/>
              <w:ind w:left="0" w:right="0"/>
              <w:jc w:val="left"/>
              <w:rPr>
                <w:rFonts w:hint="eastAsia" w:ascii="宋体" w:hAnsi="宋体"/>
                <w:b w:val="0"/>
                <w:bCs/>
                <w:color w:val="auto"/>
                <w:sz w:val="21"/>
                <w:szCs w:val="21"/>
                <w:highlight w:val="none"/>
                <w:vertAlign w:val="baseline"/>
              </w:rPr>
            </w:pPr>
            <w:r>
              <w:rPr>
                <w:rFonts w:hint="eastAsia" w:ascii="宋体" w:hAnsi="宋体"/>
                <w:b w:val="0"/>
                <w:bCs/>
                <w:color w:val="auto"/>
                <w:sz w:val="21"/>
                <w:szCs w:val="21"/>
                <w:highlight w:val="none"/>
                <w:vertAlign w:val="baseline"/>
              </w:rPr>
              <w:t>《复印机、打印机和传真机能效限定值及能效等级》（GB21521）</w:t>
            </w:r>
          </w:p>
        </w:tc>
      </w:tr>
      <w:tr w14:paraId="51458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14:paraId="40C5468F">
            <w:pPr>
              <w:keepNext w:val="0"/>
              <w:keepLines w:val="0"/>
              <w:suppressLineNumbers w:val="0"/>
              <w:spacing w:before="0" w:beforeAutospacing="0" w:after="0" w:afterAutospacing="0" w:line="400" w:lineRule="exact"/>
              <w:ind w:left="0" w:right="0"/>
              <w:jc w:val="center"/>
              <w:rPr>
                <w:rFonts w:hint="eastAsia" w:ascii="宋体" w:hAnsi="宋体"/>
                <w:b w:val="0"/>
                <w:bCs/>
                <w:color w:val="auto"/>
                <w:sz w:val="21"/>
                <w:szCs w:val="21"/>
                <w:highlight w:val="none"/>
                <w:vertAlign w:val="baseline"/>
              </w:rPr>
            </w:pPr>
          </w:p>
        </w:tc>
        <w:tc>
          <w:tcPr>
            <w:tcW w:w="1813" w:type="dxa"/>
            <w:vMerge w:val="continue"/>
            <w:vAlign w:val="center"/>
          </w:tcPr>
          <w:p w14:paraId="283229CF">
            <w:pPr>
              <w:keepNext w:val="0"/>
              <w:keepLines w:val="0"/>
              <w:suppressLineNumbers w:val="0"/>
              <w:spacing w:before="0" w:beforeAutospacing="0" w:after="0" w:afterAutospacing="0" w:line="400" w:lineRule="exact"/>
              <w:ind w:left="0" w:right="0"/>
              <w:jc w:val="center"/>
              <w:rPr>
                <w:rFonts w:hint="eastAsia" w:ascii="宋体" w:hAnsi="宋体"/>
                <w:b w:val="0"/>
                <w:bCs/>
                <w:color w:val="auto"/>
                <w:sz w:val="21"/>
                <w:szCs w:val="21"/>
                <w:highlight w:val="none"/>
                <w:vertAlign w:val="baseline"/>
              </w:rPr>
            </w:pPr>
          </w:p>
        </w:tc>
        <w:tc>
          <w:tcPr>
            <w:tcW w:w="1773" w:type="dxa"/>
            <w:vMerge w:val="continue"/>
            <w:vAlign w:val="center"/>
          </w:tcPr>
          <w:p w14:paraId="2ADA5104">
            <w:pPr>
              <w:keepNext w:val="0"/>
              <w:keepLines w:val="0"/>
              <w:suppressLineNumbers w:val="0"/>
              <w:spacing w:before="0" w:beforeAutospacing="0" w:after="0" w:afterAutospacing="0" w:line="400" w:lineRule="exact"/>
              <w:ind w:left="0" w:right="0"/>
              <w:jc w:val="center"/>
              <w:rPr>
                <w:rFonts w:hint="eastAsia" w:ascii="宋体" w:hAnsi="宋体"/>
                <w:b w:val="0"/>
                <w:bCs/>
                <w:color w:val="auto"/>
                <w:sz w:val="21"/>
                <w:szCs w:val="21"/>
                <w:highlight w:val="none"/>
                <w:vertAlign w:val="baseline"/>
              </w:rPr>
            </w:pPr>
          </w:p>
        </w:tc>
        <w:tc>
          <w:tcPr>
            <w:tcW w:w="1964" w:type="dxa"/>
            <w:vAlign w:val="top"/>
          </w:tcPr>
          <w:p w14:paraId="6FAC318E">
            <w:pPr>
              <w:keepNext w:val="0"/>
              <w:keepLines w:val="0"/>
              <w:suppressLineNumbers w:val="0"/>
              <w:spacing w:before="0" w:beforeAutospacing="0" w:after="0" w:afterAutospacing="0" w:line="400" w:lineRule="exact"/>
              <w:ind w:left="0" w:right="0"/>
              <w:jc w:val="center"/>
              <w:rPr>
                <w:rFonts w:hint="eastAsia" w:ascii="宋体" w:hAnsi="宋体"/>
                <w:b w:val="0"/>
                <w:bCs/>
                <w:color w:val="auto"/>
                <w:sz w:val="21"/>
                <w:szCs w:val="21"/>
                <w:highlight w:val="none"/>
                <w:vertAlign w:val="baseline"/>
              </w:rPr>
            </w:pPr>
            <w:r>
              <w:rPr>
                <w:rFonts w:hint="eastAsia" w:ascii="宋体" w:hAnsi="宋体"/>
                <w:b w:val="0"/>
                <w:bCs/>
                <w:color w:val="auto"/>
                <w:sz w:val="21"/>
                <w:szCs w:val="21"/>
                <w:highlight w:val="none"/>
                <w:vertAlign w:val="baseline"/>
              </w:rPr>
              <w:t>A02021008 地址打印机</w:t>
            </w:r>
          </w:p>
        </w:tc>
        <w:tc>
          <w:tcPr>
            <w:tcW w:w="3595" w:type="dxa"/>
            <w:vAlign w:val="top"/>
          </w:tcPr>
          <w:p w14:paraId="1196C34F">
            <w:pPr>
              <w:keepNext w:val="0"/>
              <w:keepLines w:val="0"/>
              <w:suppressLineNumbers w:val="0"/>
              <w:spacing w:before="0" w:beforeAutospacing="0" w:after="0" w:afterAutospacing="0" w:line="400" w:lineRule="exact"/>
              <w:ind w:left="0" w:right="0"/>
              <w:jc w:val="left"/>
              <w:rPr>
                <w:rFonts w:hint="eastAsia" w:ascii="宋体" w:hAnsi="宋体"/>
                <w:b w:val="0"/>
                <w:bCs/>
                <w:color w:val="auto"/>
                <w:sz w:val="21"/>
                <w:szCs w:val="21"/>
                <w:highlight w:val="none"/>
                <w:vertAlign w:val="baseline"/>
              </w:rPr>
            </w:pPr>
            <w:r>
              <w:rPr>
                <w:rFonts w:hint="eastAsia" w:ascii="宋体" w:hAnsi="宋体"/>
                <w:b w:val="0"/>
                <w:bCs/>
                <w:color w:val="auto"/>
                <w:sz w:val="21"/>
                <w:szCs w:val="21"/>
                <w:highlight w:val="none"/>
                <w:vertAlign w:val="baseline"/>
              </w:rPr>
              <w:t>《复印机、打印机和传真机能效限定值及能效等级》（GB21521）</w:t>
            </w:r>
          </w:p>
        </w:tc>
      </w:tr>
      <w:tr w14:paraId="61F8C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14:paraId="3559C0C0">
            <w:pPr>
              <w:keepNext w:val="0"/>
              <w:keepLines w:val="0"/>
              <w:suppressLineNumbers w:val="0"/>
              <w:spacing w:before="0" w:beforeAutospacing="0" w:after="0" w:afterAutospacing="0" w:line="400" w:lineRule="exact"/>
              <w:ind w:left="0" w:right="0"/>
              <w:jc w:val="center"/>
              <w:rPr>
                <w:rFonts w:hint="eastAsia" w:ascii="宋体" w:hAnsi="宋体"/>
                <w:b w:val="0"/>
                <w:bCs/>
                <w:color w:val="auto"/>
                <w:sz w:val="21"/>
                <w:szCs w:val="21"/>
                <w:highlight w:val="none"/>
                <w:vertAlign w:val="baseline"/>
              </w:rPr>
            </w:pPr>
          </w:p>
        </w:tc>
        <w:tc>
          <w:tcPr>
            <w:tcW w:w="1813" w:type="dxa"/>
            <w:vMerge w:val="continue"/>
            <w:vAlign w:val="center"/>
          </w:tcPr>
          <w:p w14:paraId="4B9C8E4E">
            <w:pPr>
              <w:keepNext w:val="0"/>
              <w:keepLines w:val="0"/>
              <w:suppressLineNumbers w:val="0"/>
              <w:spacing w:before="0" w:beforeAutospacing="0" w:after="0" w:afterAutospacing="0" w:line="400" w:lineRule="exact"/>
              <w:ind w:left="0" w:right="0"/>
              <w:jc w:val="center"/>
              <w:rPr>
                <w:rFonts w:hint="eastAsia" w:ascii="宋体" w:hAnsi="宋体"/>
                <w:b w:val="0"/>
                <w:bCs/>
                <w:color w:val="auto"/>
                <w:sz w:val="21"/>
                <w:szCs w:val="21"/>
                <w:highlight w:val="none"/>
                <w:vertAlign w:val="baseline"/>
              </w:rPr>
            </w:pPr>
          </w:p>
        </w:tc>
        <w:tc>
          <w:tcPr>
            <w:tcW w:w="1773" w:type="dxa"/>
            <w:vMerge w:val="continue"/>
            <w:vAlign w:val="center"/>
          </w:tcPr>
          <w:p w14:paraId="50D89640">
            <w:pPr>
              <w:keepNext w:val="0"/>
              <w:keepLines w:val="0"/>
              <w:suppressLineNumbers w:val="0"/>
              <w:spacing w:before="0" w:beforeAutospacing="0" w:after="0" w:afterAutospacing="0" w:line="400" w:lineRule="exact"/>
              <w:ind w:left="0" w:right="0"/>
              <w:jc w:val="center"/>
              <w:rPr>
                <w:rFonts w:hint="eastAsia" w:ascii="宋体" w:hAnsi="宋体"/>
                <w:b w:val="0"/>
                <w:bCs/>
                <w:color w:val="auto"/>
                <w:sz w:val="21"/>
                <w:szCs w:val="21"/>
                <w:highlight w:val="none"/>
                <w:vertAlign w:val="baseline"/>
              </w:rPr>
            </w:pPr>
          </w:p>
        </w:tc>
        <w:tc>
          <w:tcPr>
            <w:tcW w:w="1964" w:type="dxa"/>
            <w:vAlign w:val="center"/>
          </w:tcPr>
          <w:p w14:paraId="52EF800B">
            <w:pPr>
              <w:keepNext w:val="0"/>
              <w:keepLines w:val="0"/>
              <w:suppressLineNumbers w:val="0"/>
              <w:spacing w:before="0" w:beforeAutospacing="0" w:after="0" w:afterAutospacing="0" w:line="400" w:lineRule="exact"/>
              <w:ind w:left="0" w:right="0"/>
              <w:jc w:val="center"/>
              <w:rPr>
                <w:rFonts w:hint="eastAsia" w:ascii="宋体" w:hAnsi="宋体"/>
                <w:b w:val="0"/>
                <w:bCs/>
                <w:color w:val="auto"/>
                <w:sz w:val="21"/>
                <w:szCs w:val="21"/>
                <w:highlight w:val="none"/>
                <w:vertAlign w:val="baseline"/>
              </w:rPr>
            </w:pPr>
            <w:r>
              <w:rPr>
                <w:rFonts w:hint="eastAsia" w:ascii="宋体" w:hAnsi="宋体"/>
                <w:b w:val="0"/>
                <w:bCs/>
                <w:color w:val="auto"/>
                <w:sz w:val="21"/>
                <w:szCs w:val="21"/>
                <w:highlight w:val="none"/>
                <w:vertAlign w:val="baseline"/>
              </w:rPr>
              <w:t>A02021099 其他打印机</w:t>
            </w:r>
          </w:p>
        </w:tc>
        <w:tc>
          <w:tcPr>
            <w:tcW w:w="3595" w:type="dxa"/>
            <w:vAlign w:val="center"/>
          </w:tcPr>
          <w:p w14:paraId="6BF9B663">
            <w:pPr>
              <w:keepNext w:val="0"/>
              <w:keepLines w:val="0"/>
              <w:suppressLineNumbers w:val="0"/>
              <w:spacing w:before="0" w:beforeAutospacing="0" w:after="0" w:afterAutospacing="0" w:line="400" w:lineRule="exact"/>
              <w:ind w:left="0" w:right="0"/>
              <w:jc w:val="left"/>
              <w:rPr>
                <w:rFonts w:hint="eastAsia" w:ascii="宋体" w:hAnsi="宋体"/>
                <w:b w:val="0"/>
                <w:bCs/>
                <w:color w:val="auto"/>
                <w:sz w:val="21"/>
                <w:szCs w:val="21"/>
                <w:highlight w:val="none"/>
                <w:vertAlign w:val="baseline"/>
              </w:rPr>
            </w:pPr>
            <w:r>
              <w:rPr>
                <w:rFonts w:hint="eastAsia" w:ascii="宋体" w:hAnsi="宋体"/>
                <w:b w:val="0"/>
                <w:bCs/>
                <w:color w:val="auto"/>
                <w:sz w:val="21"/>
                <w:szCs w:val="21"/>
                <w:highlight w:val="none"/>
                <w:vertAlign w:val="baseline"/>
              </w:rPr>
              <w:t>《复印机、打印机和传真机能效限定值及能效等级》（GB21521）</w:t>
            </w:r>
          </w:p>
        </w:tc>
      </w:tr>
      <w:tr w14:paraId="731FB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06D6BE9F">
            <w:pPr>
              <w:keepNext w:val="0"/>
              <w:keepLines w:val="0"/>
              <w:suppressLineNumbers w:val="0"/>
              <w:spacing w:before="0" w:beforeAutospacing="0" w:after="0" w:afterAutospacing="0" w:line="400" w:lineRule="exact"/>
              <w:ind w:left="0" w:right="0"/>
              <w:jc w:val="center"/>
              <w:rPr>
                <w:rFonts w:hint="default" w:ascii="宋体" w:hAnsi="宋体" w:eastAsia="宋体"/>
                <w:b w:val="0"/>
                <w:bCs/>
                <w:color w:val="auto"/>
                <w:sz w:val="21"/>
                <w:szCs w:val="21"/>
                <w:highlight w:val="none"/>
                <w:vertAlign w:val="baseline"/>
                <w:lang w:val="en-US" w:eastAsia="zh-CN"/>
              </w:rPr>
            </w:pPr>
            <w:r>
              <w:rPr>
                <w:rFonts w:hint="eastAsia" w:ascii="宋体" w:hAnsi="宋体"/>
                <w:b w:val="0"/>
                <w:bCs/>
                <w:color w:val="auto"/>
                <w:sz w:val="21"/>
                <w:szCs w:val="21"/>
                <w:highlight w:val="none"/>
                <w:vertAlign w:val="baseline"/>
                <w:lang w:val="en-US" w:eastAsia="zh-CN"/>
              </w:rPr>
              <w:t>3</w:t>
            </w:r>
          </w:p>
        </w:tc>
        <w:tc>
          <w:tcPr>
            <w:tcW w:w="1813" w:type="dxa"/>
            <w:vAlign w:val="center"/>
          </w:tcPr>
          <w:p w14:paraId="1C7707EB">
            <w:pPr>
              <w:keepNext w:val="0"/>
              <w:keepLines w:val="0"/>
              <w:suppressLineNumbers w:val="0"/>
              <w:spacing w:before="0" w:beforeAutospacing="0" w:after="0" w:afterAutospacing="0" w:line="400" w:lineRule="exact"/>
              <w:ind w:left="0" w:right="0"/>
              <w:jc w:val="center"/>
              <w:rPr>
                <w:rFonts w:hint="eastAsia" w:ascii="宋体" w:hAnsi="宋体"/>
                <w:b w:val="0"/>
                <w:bCs/>
                <w:color w:val="auto"/>
                <w:sz w:val="21"/>
                <w:szCs w:val="21"/>
                <w:highlight w:val="none"/>
                <w:vertAlign w:val="baseline"/>
              </w:rPr>
            </w:pPr>
            <w:r>
              <w:rPr>
                <w:rFonts w:hint="eastAsia" w:ascii="宋体" w:hAnsi="宋体"/>
                <w:b w:val="0"/>
                <w:bCs/>
                <w:color w:val="auto"/>
                <w:sz w:val="21"/>
                <w:szCs w:val="21"/>
                <w:highlight w:val="none"/>
                <w:vertAlign w:val="baseline"/>
              </w:rPr>
              <w:t>A02020200投影仪</w:t>
            </w:r>
          </w:p>
        </w:tc>
        <w:tc>
          <w:tcPr>
            <w:tcW w:w="1773" w:type="dxa"/>
            <w:vAlign w:val="center"/>
          </w:tcPr>
          <w:p w14:paraId="6F6B6D02">
            <w:pPr>
              <w:keepNext w:val="0"/>
              <w:keepLines w:val="0"/>
              <w:suppressLineNumbers w:val="0"/>
              <w:spacing w:before="0" w:beforeAutospacing="0" w:after="0" w:afterAutospacing="0" w:line="400" w:lineRule="exact"/>
              <w:ind w:left="0" w:right="0"/>
              <w:jc w:val="center"/>
              <w:rPr>
                <w:rFonts w:hint="eastAsia" w:ascii="宋体" w:hAnsi="宋体"/>
                <w:b w:val="0"/>
                <w:bCs/>
                <w:color w:val="auto"/>
                <w:sz w:val="21"/>
                <w:szCs w:val="21"/>
                <w:highlight w:val="none"/>
                <w:vertAlign w:val="baseline"/>
              </w:rPr>
            </w:pPr>
          </w:p>
        </w:tc>
        <w:tc>
          <w:tcPr>
            <w:tcW w:w="1964" w:type="dxa"/>
            <w:vAlign w:val="center"/>
          </w:tcPr>
          <w:p w14:paraId="192E431E">
            <w:pPr>
              <w:keepNext w:val="0"/>
              <w:keepLines w:val="0"/>
              <w:suppressLineNumbers w:val="0"/>
              <w:spacing w:before="0" w:beforeAutospacing="0" w:after="0" w:afterAutospacing="0" w:line="400" w:lineRule="exact"/>
              <w:ind w:left="0" w:right="0"/>
              <w:jc w:val="center"/>
              <w:rPr>
                <w:rFonts w:hint="eastAsia" w:ascii="宋体" w:hAnsi="宋体"/>
                <w:b w:val="0"/>
                <w:bCs/>
                <w:color w:val="auto"/>
                <w:sz w:val="21"/>
                <w:szCs w:val="21"/>
                <w:highlight w:val="none"/>
                <w:vertAlign w:val="baseline"/>
              </w:rPr>
            </w:pPr>
          </w:p>
        </w:tc>
        <w:tc>
          <w:tcPr>
            <w:tcW w:w="3595" w:type="dxa"/>
            <w:vAlign w:val="center"/>
          </w:tcPr>
          <w:p w14:paraId="42532FB0">
            <w:pPr>
              <w:keepNext w:val="0"/>
              <w:keepLines w:val="0"/>
              <w:suppressLineNumbers w:val="0"/>
              <w:spacing w:before="0" w:beforeAutospacing="0" w:after="0" w:afterAutospacing="0" w:line="400" w:lineRule="exact"/>
              <w:ind w:left="0" w:right="0"/>
              <w:jc w:val="left"/>
              <w:rPr>
                <w:rFonts w:hint="eastAsia" w:ascii="宋体" w:hAnsi="宋体"/>
                <w:b w:val="0"/>
                <w:bCs/>
                <w:color w:val="auto"/>
                <w:sz w:val="21"/>
                <w:szCs w:val="21"/>
                <w:highlight w:val="none"/>
                <w:vertAlign w:val="baseline"/>
              </w:rPr>
            </w:pPr>
            <w:r>
              <w:rPr>
                <w:rFonts w:hint="eastAsia" w:ascii="宋体" w:hAnsi="宋体"/>
                <w:b w:val="0"/>
                <w:bCs/>
                <w:color w:val="auto"/>
                <w:sz w:val="21"/>
                <w:szCs w:val="21"/>
                <w:highlight w:val="none"/>
                <w:vertAlign w:val="baseline"/>
              </w:rPr>
              <w:t>《投影机能效 限定值及能效等级》 （GB32028）</w:t>
            </w:r>
          </w:p>
        </w:tc>
      </w:tr>
      <w:tr w14:paraId="710EE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1E3F9659">
            <w:pPr>
              <w:keepNext w:val="0"/>
              <w:keepLines w:val="0"/>
              <w:suppressLineNumbers w:val="0"/>
              <w:spacing w:before="0" w:beforeAutospacing="0" w:after="0" w:afterAutospacing="0" w:line="400" w:lineRule="exact"/>
              <w:ind w:left="0" w:right="0"/>
              <w:jc w:val="center"/>
              <w:rPr>
                <w:rFonts w:hint="eastAsia" w:ascii="宋体" w:hAnsi="宋体" w:eastAsia="宋体"/>
                <w:b w:val="0"/>
                <w:bCs/>
                <w:color w:val="auto"/>
                <w:sz w:val="21"/>
                <w:szCs w:val="21"/>
                <w:highlight w:val="none"/>
                <w:vertAlign w:val="baseline"/>
                <w:lang w:val="en-US" w:eastAsia="zh-CN"/>
              </w:rPr>
            </w:pPr>
            <w:r>
              <w:rPr>
                <w:rFonts w:hint="eastAsia" w:ascii="宋体" w:hAnsi="宋体"/>
                <w:b w:val="0"/>
                <w:bCs/>
                <w:color w:val="auto"/>
                <w:sz w:val="21"/>
                <w:szCs w:val="21"/>
                <w:highlight w:val="none"/>
                <w:vertAlign w:val="baseline"/>
                <w:lang w:val="en-US" w:eastAsia="zh-CN"/>
              </w:rPr>
              <w:t>4</w:t>
            </w:r>
          </w:p>
        </w:tc>
        <w:tc>
          <w:tcPr>
            <w:tcW w:w="1813" w:type="dxa"/>
            <w:vAlign w:val="center"/>
          </w:tcPr>
          <w:p w14:paraId="6E07A93A">
            <w:pPr>
              <w:keepNext w:val="0"/>
              <w:keepLines w:val="0"/>
              <w:suppressLineNumbers w:val="0"/>
              <w:spacing w:before="0" w:beforeAutospacing="0" w:after="0" w:afterAutospacing="0" w:line="400" w:lineRule="exact"/>
              <w:ind w:left="0" w:right="0"/>
              <w:jc w:val="center"/>
              <w:rPr>
                <w:rFonts w:hint="eastAsia" w:ascii="宋体" w:hAnsi="宋体"/>
                <w:b w:val="0"/>
                <w:bCs/>
                <w:color w:val="auto"/>
                <w:sz w:val="21"/>
                <w:szCs w:val="21"/>
                <w:highlight w:val="none"/>
                <w:vertAlign w:val="baseline"/>
              </w:rPr>
            </w:pPr>
            <w:r>
              <w:rPr>
                <w:rFonts w:hint="eastAsia" w:ascii="宋体" w:hAnsi="宋体"/>
                <w:b w:val="0"/>
                <w:bCs/>
                <w:color w:val="auto"/>
                <w:sz w:val="21"/>
                <w:szCs w:val="21"/>
                <w:highlight w:val="none"/>
                <w:vertAlign w:val="baseline"/>
              </w:rPr>
              <w:t>A02020400</w:t>
            </w:r>
          </w:p>
          <w:p w14:paraId="724A43C7">
            <w:pPr>
              <w:keepNext w:val="0"/>
              <w:keepLines w:val="0"/>
              <w:suppressLineNumbers w:val="0"/>
              <w:spacing w:before="0" w:beforeAutospacing="0" w:after="0" w:afterAutospacing="0" w:line="400" w:lineRule="exact"/>
              <w:ind w:left="0" w:right="0"/>
              <w:jc w:val="center"/>
              <w:rPr>
                <w:rFonts w:hint="eastAsia" w:ascii="宋体" w:hAnsi="宋体"/>
                <w:b w:val="0"/>
                <w:bCs/>
                <w:color w:val="auto"/>
                <w:sz w:val="21"/>
                <w:szCs w:val="21"/>
                <w:highlight w:val="none"/>
                <w:vertAlign w:val="baseline"/>
              </w:rPr>
            </w:pPr>
            <w:r>
              <w:rPr>
                <w:rFonts w:hint="eastAsia" w:ascii="宋体" w:hAnsi="宋体"/>
                <w:b w:val="0"/>
                <w:bCs/>
                <w:color w:val="auto"/>
                <w:sz w:val="21"/>
                <w:szCs w:val="21"/>
                <w:highlight w:val="none"/>
                <w:vertAlign w:val="baseline"/>
              </w:rPr>
              <w:t>多功能一体</w:t>
            </w:r>
          </w:p>
          <w:p w14:paraId="58731BC4">
            <w:pPr>
              <w:keepNext w:val="0"/>
              <w:keepLines w:val="0"/>
              <w:suppressLineNumbers w:val="0"/>
              <w:spacing w:before="0" w:beforeAutospacing="0" w:after="0" w:afterAutospacing="0" w:line="400" w:lineRule="exact"/>
              <w:ind w:left="0" w:right="0"/>
              <w:jc w:val="center"/>
              <w:rPr>
                <w:rFonts w:hint="eastAsia" w:ascii="宋体" w:hAnsi="宋体"/>
                <w:b w:val="0"/>
                <w:bCs/>
                <w:color w:val="auto"/>
                <w:sz w:val="21"/>
                <w:szCs w:val="21"/>
                <w:highlight w:val="none"/>
                <w:vertAlign w:val="baseline"/>
              </w:rPr>
            </w:pPr>
            <w:r>
              <w:rPr>
                <w:rFonts w:hint="eastAsia" w:ascii="宋体" w:hAnsi="宋体"/>
                <w:b w:val="0"/>
                <w:bCs/>
                <w:color w:val="auto"/>
                <w:sz w:val="21"/>
                <w:szCs w:val="21"/>
                <w:highlight w:val="none"/>
                <w:vertAlign w:val="baseline"/>
              </w:rPr>
              <w:t>机</w:t>
            </w:r>
          </w:p>
        </w:tc>
        <w:tc>
          <w:tcPr>
            <w:tcW w:w="1773" w:type="dxa"/>
            <w:vAlign w:val="center"/>
          </w:tcPr>
          <w:p w14:paraId="79D921E7">
            <w:pPr>
              <w:keepNext w:val="0"/>
              <w:keepLines w:val="0"/>
              <w:suppressLineNumbers w:val="0"/>
              <w:spacing w:before="0" w:beforeAutospacing="0" w:after="0" w:afterAutospacing="0" w:line="400" w:lineRule="exact"/>
              <w:ind w:left="0" w:right="0"/>
              <w:jc w:val="center"/>
              <w:rPr>
                <w:rFonts w:hint="eastAsia" w:ascii="宋体" w:hAnsi="宋体"/>
                <w:b w:val="0"/>
                <w:bCs/>
                <w:color w:val="auto"/>
                <w:sz w:val="21"/>
                <w:szCs w:val="21"/>
                <w:highlight w:val="none"/>
                <w:vertAlign w:val="baseline"/>
              </w:rPr>
            </w:pPr>
          </w:p>
        </w:tc>
        <w:tc>
          <w:tcPr>
            <w:tcW w:w="1964" w:type="dxa"/>
            <w:vAlign w:val="center"/>
          </w:tcPr>
          <w:p w14:paraId="0776ABB9">
            <w:pPr>
              <w:keepNext w:val="0"/>
              <w:keepLines w:val="0"/>
              <w:suppressLineNumbers w:val="0"/>
              <w:spacing w:before="0" w:beforeAutospacing="0" w:after="0" w:afterAutospacing="0" w:line="400" w:lineRule="exact"/>
              <w:ind w:left="0" w:right="0"/>
              <w:jc w:val="center"/>
              <w:rPr>
                <w:rFonts w:hint="eastAsia" w:ascii="宋体" w:hAnsi="宋体"/>
                <w:b w:val="0"/>
                <w:bCs/>
                <w:color w:val="auto"/>
                <w:sz w:val="21"/>
                <w:szCs w:val="21"/>
                <w:highlight w:val="none"/>
                <w:vertAlign w:val="baseline"/>
              </w:rPr>
            </w:pPr>
          </w:p>
        </w:tc>
        <w:tc>
          <w:tcPr>
            <w:tcW w:w="3595" w:type="dxa"/>
            <w:vAlign w:val="center"/>
          </w:tcPr>
          <w:p w14:paraId="0AF46E3D">
            <w:pPr>
              <w:keepNext w:val="0"/>
              <w:keepLines w:val="0"/>
              <w:suppressLineNumbers w:val="0"/>
              <w:spacing w:before="0" w:beforeAutospacing="0" w:after="0" w:afterAutospacing="0" w:line="400" w:lineRule="exact"/>
              <w:ind w:left="0" w:right="0"/>
              <w:jc w:val="left"/>
              <w:rPr>
                <w:rFonts w:hint="eastAsia" w:ascii="宋体" w:hAnsi="宋体"/>
                <w:b w:val="0"/>
                <w:bCs/>
                <w:color w:val="auto"/>
                <w:sz w:val="21"/>
                <w:szCs w:val="21"/>
                <w:highlight w:val="none"/>
                <w:vertAlign w:val="baseline"/>
              </w:rPr>
            </w:pPr>
            <w:r>
              <w:rPr>
                <w:rFonts w:hint="eastAsia" w:ascii="宋体" w:hAnsi="宋体"/>
                <w:b w:val="0"/>
                <w:bCs/>
                <w:color w:val="auto"/>
                <w:sz w:val="21"/>
                <w:szCs w:val="21"/>
                <w:highlight w:val="none"/>
                <w:vertAlign w:val="baseline"/>
              </w:rPr>
              <w:t>《复印机、打印机和传真机能效限定值及能效等级》（GB21521）</w:t>
            </w:r>
          </w:p>
        </w:tc>
      </w:tr>
      <w:tr w14:paraId="0BC7F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734FA797">
            <w:pPr>
              <w:keepNext w:val="0"/>
              <w:keepLines w:val="0"/>
              <w:suppressLineNumbers w:val="0"/>
              <w:spacing w:before="0" w:beforeAutospacing="0" w:after="0" w:afterAutospacing="0" w:line="400" w:lineRule="exact"/>
              <w:ind w:left="0" w:right="0"/>
              <w:jc w:val="center"/>
              <w:rPr>
                <w:rFonts w:hint="eastAsia" w:ascii="宋体" w:hAnsi="宋体" w:eastAsia="宋体"/>
                <w:b w:val="0"/>
                <w:bCs/>
                <w:color w:val="auto"/>
                <w:sz w:val="21"/>
                <w:szCs w:val="21"/>
                <w:highlight w:val="none"/>
                <w:vertAlign w:val="baseline"/>
                <w:lang w:val="en-US" w:eastAsia="zh-CN"/>
              </w:rPr>
            </w:pPr>
            <w:r>
              <w:rPr>
                <w:rFonts w:hint="eastAsia" w:ascii="宋体" w:hAnsi="宋体"/>
                <w:b w:val="0"/>
                <w:bCs/>
                <w:color w:val="auto"/>
                <w:sz w:val="21"/>
                <w:szCs w:val="21"/>
                <w:highlight w:val="none"/>
                <w:vertAlign w:val="baseline"/>
                <w:lang w:val="en-US" w:eastAsia="zh-CN"/>
              </w:rPr>
              <w:t>5</w:t>
            </w:r>
          </w:p>
        </w:tc>
        <w:tc>
          <w:tcPr>
            <w:tcW w:w="1813" w:type="dxa"/>
            <w:vAlign w:val="center"/>
          </w:tcPr>
          <w:p w14:paraId="516E279E">
            <w:pPr>
              <w:keepNext w:val="0"/>
              <w:keepLines w:val="0"/>
              <w:suppressLineNumbers w:val="0"/>
              <w:spacing w:before="0" w:beforeAutospacing="0" w:after="0" w:afterAutospacing="0" w:line="400" w:lineRule="exact"/>
              <w:ind w:left="0" w:right="0"/>
              <w:jc w:val="center"/>
              <w:rPr>
                <w:rFonts w:hint="eastAsia" w:ascii="宋体" w:hAnsi="宋体"/>
                <w:b w:val="0"/>
                <w:bCs/>
                <w:color w:val="auto"/>
                <w:sz w:val="21"/>
                <w:szCs w:val="21"/>
                <w:highlight w:val="none"/>
                <w:vertAlign w:val="baseline"/>
              </w:rPr>
            </w:pPr>
            <w:r>
              <w:rPr>
                <w:rFonts w:hint="eastAsia" w:ascii="宋体" w:hAnsi="宋体"/>
                <w:b w:val="0"/>
                <w:bCs/>
                <w:color w:val="auto"/>
                <w:sz w:val="21"/>
                <w:szCs w:val="21"/>
                <w:highlight w:val="none"/>
                <w:vertAlign w:val="baseline"/>
              </w:rPr>
              <w:t>A02051900泵</w:t>
            </w:r>
          </w:p>
        </w:tc>
        <w:tc>
          <w:tcPr>
            <w:tcW w:w="1773" w:type="dxa"/>
            <w:vAlign w:val="center"/>
          </w:tcPr>
          <w:p w14:paraId="281E818B">
            <w:pPr>
              <w:keepNext w:val="0"/>
              <w:keepLines w:val="0"/>
              <w:suppressLineNumbers w:val="0"/>
              <w:spacing w:before="0" w:beforeAutospacing="0" w:after="0" w:afterAutospacing="0" w:line="400" w:lineRule="exact"/>
              <w:ind w:left="0" w:right="0"/>
              <w:jc w:val="center"/>
              <w:rPr>
                <w:rFonts w:hint="eastAsia" w:ascii="宋体" w:hAnsi="宋体"/>
                <w:b w:val="0"/>
                <w:bCs/>
                <w:color w:val="auto"/>
                <w:sz w:val="21"/>
                <w:szCs w:val="21"/>
                <w:highlight w:val="none"/>
                <w:vertAlign w:val="baseline"/>
              </w:rPr>
            </w:pPr>
            <w:r>
              <w:rPr>
                <w:rFonts w:hint="eastAsia" w:ascii="宋体" w:hAnsi="宋体"/>
                <w:b w:val="0"/>
                <w:bCs/>
                <w:color w:val="auto"/>
                <w:sz w:val="21"/>
                <w:szCs w:val="21"/>
                <w:highlight w:val="none"/>
                <w:vertAlign w:val="baseline"/>
              </w:rPr>
              <w:t>A02051901 离心泵</w:t>
            </w:r>
          </w:p>
        </w:tc>
        <w:tc>
          <w:tcPr>
            <w:tcW w:w="1964" w:type="dxa"/>
            <w:vAlign w:val="center"/>
          </w:tcPr>
          <w:p w14:paraId="677D0800">
            <w:pPr>
              <w:keepNext w:val="0"/>
              <w:keepLines w:val="0"/>
              <w:suppressLineNumbers w:val="0"/>
              <w:spacing w:before="0" w:beforeAutospacing="0" w:after="0" w:afterAutospacing="0" w:line="400" w:lineRule="exact"/>
              <w:ind w:left="0" w:right="0"/>
              <w:jc w:val="center"/>
              <w:rPr>
                <w:rFonts w:hint="eastAsia" w:ascii="宋体" w:hAnsi="宋体"/>
                <w:b w:val="0"/>
                <w:bCs/>
                <w:color w:val="auto"/>
                <w:sz w:val="21"/>
                <w:szCs w:val="21"/>
                <w:highlight w:val="none"/>
                <w:vertAlign w:val="baseline"/>
              </w:rPr>
            </w:pPr>
          </w:p>
        </w:tc>
        <w:tc>
          <w:tcPr>
            <w:tcW w:w="3595" w:type="dxa"/>
            <w:vAlign w:val="center"/>
          </w:tcPr>
          <w:p w14:paraId="2993089D">
            <w:pPr>
              <w:keepNext w:val="0"/>
              <w:keepLines w:val="0"/>
              <w:suppressLineNumbers w:val="0"/>
              <w:spacing w:before="0" w:beforeAutospacing="0" w:after="0" w:afterAutospacing="0" w:line="400" w:lineRule="exact"/>
              <w:ind w:left="0" w:right="0"/>
              <w:jc w:val="left"/>
              <w:rPr>
                <w:rFonts w:hint="eastAsia" w:ascii="宋体" w:hAnsi="宋体"/>
                <w:b w:val="0"/>
                <w:bCs/>
                <w:color w:val="auto"/>
                <w:sz w:val="21"/>
                <w:szCs w:val="21"/>
                <w:highlight w:val="none"/>
                <w:vertAlign w:val="baseline"/>
              </w:rPr>
            </w:pPr>
            <w:r>
              <w:rPr>
                <w:rFonts w:hint="eastAsia" w:ascii="宋体" w:hAnsi="宋体"/>
                <w:b w:val="0"/>
                <w:bCs/>
                <w:color w:val="auto"/>
                <w:sz w:val="21"/>
                <w:szCs w:val="21"/>
                <w:highlight w:val="none"/>
                <w:vertAlign w:val="baseline"/>
              </w:rPr>
              <w:t>《清水离心泵能效 限定值及节能评价值》（GB19762）</w:t>
            </w:r>
          </w:p>
        </w:tc>
      </w:tr>
      <w:tr w14:paraId="0E546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restart"/>
            <w:vAlign w:val="center"/>
          </w:tcPr>
          <w:p w14:paraId="3C5D5533">
            <w:pPr>
              <w:keepNext w:val="0"/>
              <w:keepLines w:val="0"/>
              <w:suppressLineNumbers w:val="0"/>
              <w:spacing w:before="0" w:beforeAutospacing="0" w:after="0" w:afterAutospacing="0" w:line="400" w:lineRule="exact"/>
              <w:ind w:left="0" w:right="0"/>
              <w:jc w:val="center"/>
              <w:rPr>
                <w:rFonts w:hint="eastAsia" w:ascii="宋体" w:hAnsi="宋体" w:eastAsia="宋体"/>
                <w:b w:val="0"/>
                <w:bCs/>
                <w:color w:val="auto"/>
                <w:sz w:val="21"/>
                <w:szCs w:val="21"/>
                <w:highlight w:val="none"/>
                <w:vertAlign w:val="baseline"/>
                <w:lang w:val="en-US" w:eastAsia="zh-CN"/>
              </w:rPr>
            </w:pPr>
            <w:r>
              <w:rPr>
                <w:rFonts w:hint="eastAsia" w:ascii="宋体" w:hAnsi="宋体"/>
                <w:b w:val="0"/>
                <w:bCs/>
                <w:color w:val="auto"/>
                <w:sz w:val="21"/>
                <w:szCs w:val="21"/>
                <w:highlight w:val="none"/>
                <w:vertAlign w:val="baseline"/>
                <w:lang w:val="en-US" w:eastAsia="zh-CN"/>
              </w:rPr>
              <w:t>6</w:t>
            </w:r>
          </w:p>
        </w:tc>
        <w:tc>
          <w:tcPr>
            <w:tcW w:w="1813" w:type="dxa"/>
            <w:vMerge w:val="restart"/>
            <w:vAlign w:val="center"/>
          </w:tcPr>
          <w:p w14:paraId="75D813B7">
            <w:pPr>
              <w:keepNext w:val="0"/>
              <w:keepLines w:val="0"/>
              <w:suppressLineNumbers w:val="0"/>
              <w:spacing w:before="0" w:beforeAutospacing="0" w:after="0" w:afterAutospacing="0" w:line="400" w:lineRule="exact"/>
              <w:ind w:left="0" w:right="0"/>
              <w:jc w:val="center"/>
              <w:rPr>
                <w:rFonts w:hint="eastAsia" w:ascii="宋体" w:hAnsi="宋体"/>
                <w:b w:val="0"/>
                <w:bCs/>
                <w:color w:val="auto"/>
                <w:sz w:val="21"/>
                <w:szCs w:val="21"/>
                <w:highlight w:val="none"/>
                <w:vertAlign w:val="baseline"/>
              </w:rPr>
            </w:pPr>
            <w:r>
              <w:rPr>
                <w:rFonts w:hint="eastAsia" w:ascii="宋体" w:hAnsi="宋体"/>
                <w:b w:val="0"/>
                <w:bCs/>
                <w:color w:val="auto"/>
                <w:sz w:val="21"/>
                <w:szCs w:val="21"/>
                <w:highlight w:val="none"/>
                <w:vertAlign w:val="baseline"/>
              </w:rPr>
              <w:t>A02052300</w:t>
            </w:r>
          </w:p>
          <w:p w14:paraId="6D4F9842">
            <w:pPr>
              <w:keepNext w:val="0"/>
              <w:keepLines w:val="0"/>
              <w:suppressLineNumbers w:val="0"/>
              <w:spacing w:before="0" w:beforeAutospacing="0" w:after="0" w:afterAutospacing="0" w:line="400" w:lineRule="exact"/>
              <w:ind w:left="0" w:right="0"/>
              <w:jc w:val="center"/>
              <w:rPr>
                <w:rFonts w:hint="eastAsia" w:ascii="宋体" w:hAnsi="宋体"/>
                <w:b w:val="0"/>
                <w:bCs/>
                <w:color w:val="auto"/>
                <w:sz w:val="21"/>
                <w:szCs w:val="21"/>
                <w:highlight w:val="none"/>
                <w:vertAlign w:val="baseline"/>
              </w:rPr>
            </w:pPr>
            <w:r>
              <w:rPr>
                <w:rFonts w:hint="eastAsia" w:ascii="宋体" w:hAnsi="宋体"/>
                <w:b w:val="0"/>
                <w:bCs/>
                <w:color w:val="auto"/>
                <w:sz w:val="21"/>
                <w:szCs w:val="21"/>
                <w:highlight w:val="none"/>
                <w:vertAlign w:val="baseline"/>
              </w:rPr>
              <w:t>制冷空调设</w:t>
            </w:r>
          </w:p>
          <w:p w14:paraId="04D8A43E">
            <w:pPr>
              <w:keepNext w:val="0"/>
              <w:keepLines w:val="0"/>
              <w:suppressLineNumbers w:val="0"/>
              <w:spacing w:before="0" w:beforeAutospacing="0" w:after="0" w:afterAutospacing="0" w:line="400" w:lineRule="exact"/>
              <w:ind w:left="0" w:right="0"/>
              <w:jc w:val="center"/>
              <w:rPr>
                <w:rFonts w:hint="eastAsia" w:ascii="宋体" w:hAnsi="宋体"/>
                <w:b w:val="0"/>
                <w:bCs/>
                <w:color w:val="auto"/>
                <w:sz w:val="21"/>
                <w:szCs w:val="21"/>
                <w:highlight w:val="none"/>
                <w:vertAlign w:val="baseline"/>
              </w:rPr>
            </w:pPr>
            <w:r>
              <w:rPr>
                <w:rFonts w:hint="eastAsia" w:ascii="宋体" w:hAnsi="宋体"/>
                <w:b w:val="0"/>
                <w:bCs/>
                <w:color w:val="auto"/>
                <w:sz w:val="21"/>
                <w:szCs w:val="21"/>
                <w:highlight w:val="none"/>
                <w:vertAlign w:val="baseline"/>
              </w:rPr>
              <w:t>备</w:t>
            </w:r>
          </w:p>
        </w:tc>
        <w:tc>
          <w:tcPr>
            <w:tcW w:w="1773" w:type="dxa"/>
            <w:vMerge w:val="restart"/>
            <w:vAlign w:val="center"/>
          </w:tcPr>
          <w:p w14:paraId="2C424C0A">
            <w:pPr>
              <w:keepNext w:val="0"/>
              <w:keepLines w:val="0"/>
              <w:suppressLineNumbers w:val="0"/>
              <w:spacing w:before="0" w:beforeAutospacing="0" w:after="0" w:afterAutospacing="0" w:line="400" w:lineRule="exact"/>
              <w:ind w:left="0" w:right="0"/>
              <w:jc w:val="center"/>
              <w:rPr>
                <w:rFonts w:hint="eastAsia" w:ascii="宋体" w:hAnsi="宋体"/>
                <w:b w:val="0"/>
                <w:bCs/>
                <w:color w:val="auto"/>
                <w:sz w:val="21"/>
                <w:szCs w:val="21"/>
                <w:highlight w:val="none"/>
                <w:vertAlign w:val="baseline"/>
              </w:rPr>
            </w:pPr>
            <w:r>
              <w:rPr>
                <w:rFonts w:hint="eastAsia" w:ascii="宋体" w:hAnsi="宋体"/>
                <w:b w:val="0"/>
                <w:bCs/>
                <w:color w:val="auto"/>
                <w:sz w:val="21"/>
                <w:szCs w:val="21"/>
                <w:highlight w:val="none"/>
                <w:vertAlign w:val="baseline"/>
              </w:rPr>
              <w:t>★A02052301制冷压缩机</w:t>
            </w:r>
          </w:p>
        </w:tc>
        <w:tc>
          <w:tcPr>
            <w:tcW w:w="1964" w:type="dxa"/>
            <w:vAlign w:val="center"/>
          </w:tcPr>
          <w:p w14:paraId="178F2D2F">
            <w:pPr>
              <w:keepNext w:val="0"/>
              <w:keepLines w:val="0"/>
              <w:suppressLineNumbers w:val="0"/>
              <w:spacing w:before="0" w:beforeAutospacing="0" w:after="0" w:afterAutospacing="0" w:line="400" w:lineRule="exact"/>
              <w:ind w:left="0" w:right="0"/>
              <w:jc w:val="center"/>
              <w:rPr>
                <w:rFonts w:hint="eastAsia" w:ascii="宋体" w:hAnsi="宋体"/>
                <w:b w:val="0"/>
                <w:bCs/>
                <w:color w:val="auto"/>
                <w:sz w:val="21"/>
                <w:szCs w:val="21"/>
                <w:highlight w:val="none"/>
                <w:vertAlign w:val="baseline"/>
              </w:rPr>
            </w:pPr>
            <w:r>
              <w:rPr>
                <w:rFonts w:hint="eastAsia" w:ascii="宋体" w:hAnsi="宋体"/>
                <w:b w:val="0"/>
                <w:bCs/>
                <w:color w:val="auto"/>
                <w:sz w:val="21"/>
                <w:szCs w:val="21"/>
                <w:highlight w:val="none"/>
                <w:vertAlign w:val="baseline"/>
              </w:rPr>
              <w:t>冷水机组</w:t>
            </w:r>
          </w:p>
        </w:tc>
        <w:tc>
          <w:tcPr>
            <w:tcW w:w="3595" w:type="dxa"/>
            <w:vAlign w:val="top"/>
          </w:tcPr>
          <w:p w14:paraId="2F1F8BC3">
            <w:pPr>
              <w:pStyle w:val="77"/>
              <w:keepNext w:val="0"/>
              <w:keepLines w:val="0"/>
              <w:suppressLineNumbers w:val="0"/>
              <w:spacing w:before="164" w:beforeAutospacing="0" w:after="0" w:afterAutospacing="0" w:line="289" w:lineRule="auto"/>
              <w:ind w:left="120" w:right="19" w:rightChars="0" w:firstLine="6"/>
              <w:jc w:val="left"/>
              <w:rPr>
                <w:rFonts w:hint="default"/>
                <w:color w:val="auto"/>
                <w:highlight w:val="none"/>
              </w:rPr>
            </w:pPr>
            <w:r>
              <w:rPr>
                <w:rFonts w:hint="default"/>
                <w:color w:val="auto"/>
                <w:spacing w:val="20"/>
                <w:highlight w:val="none"/>
              </w:rPr>
              <w:t>《冷水机组能效</w:t>
            </w:r>
            <w:r>
              <w:rPr>
                <w:rFonts w:hint="default"/>
                <w:color w:val="auto"/>
                <w:spacing w:val="-56"/>
                <w:highlight w:val="none"/>
              </w:rPr>
              <w:t xml:space="preserve"> </w:t>
            </w:r>
            <w:r>
              <w:rPr>
                <w:rFonts w:hint="default"/>
                <w:color w:val="auto"/>
                <w:spacing w:val="20"/>
                <w:highlight w:val="none"/>
              </w:rPr>
              <w:t>限定值及能效等</w:t>
            </w:r>
            <w:r>
              <w:rPr>
                <w:rFonts w:hint="default"/>
                <w:color w:val="auto"/>
                <w:spacing w:val="17"/>
                <w:highlight w:val="none"/>
              </w:rPr>
              <w:t>级</w:t>
            </w:r>
            <w:r>
              <w:rPr>
                <w:rFonts w:hint="default"/>
                <w:color w:val="auto"/>
                <w:spacing w:val="-59"/>
                <w:highlight w:val="none"/>
              </w:rPr>
              <w:t xml:space="preserve"> </w:t>
            </w:r>
            <w:r>
              <w:rPr>
                <w:rFonts w:hint="default"/>
                <w:color w:val="auto"/>
                <w:spacing w:val="17"/>
                <w:highlight w:val="none"/>
              </w:rPr>
              <w:t>》</w:t>
            </w:r>
            <w:r>
              <w:rPr>
                <w:rFonts w:hint="default"/>
                <w:color w:val="auto"/>
                <w:spacing w:val="-68"/>
                <w:highlight w:val="none"/>
              </w:rPr>
              <w:t xml:space="preserve"> </w:t>
            </w:r>
            <w:r>
              <w:rPr>
                <w:rFonts w:hint="default"/>
                <w:color w:val="auto"/>
                <w:spacing w:val="17"/>
                <w:highlight w:val="none"/>
              </w:rPr>
              <w:t>（</w:t>
            </w:r>
            <w:r>
              <w:rPr>
                <w:rFonts w:hint="default"/>
                <w:color w:val="auto"/>
                <w:highlight w:val="none"/>
              </w:rPr>
              <w:t>GB</w:t>
            </w:r>
            <w:r>
              <w:rPr>
                <w:rFonts w:hint="default"/>
                <w:color w:val="auto"/>
                <w:spacing w:val="17"/>
                <w:highlight w:val="none"/>
              </w:rPr>
              <w:t>19577</w:t>
            </w:r>
            <w:r>
              <w:rPr>
                <w:rFonts w:hint="default"/>
                <w:color w:val="auto"/>
                <w:spacing w:val="-10"/>
                <w:highlight w:val="none"/>
              </w:rPr>
              <w:t>）</w:t>
            </w:r>
            <w:r>
              <w:rPr>
                <w:rFonts w:hint="default"/>
                <w:color w:val="auto"/>
                <w:spacing w:val="-32"/>
                <w:highlight w:val="none"/>
              </w:rPr>
              <w:t xml:space="preserve"> </w:t>
            </w:r>
            <w:r>
              <w:rPr>
                <w:rFonts w:hint="default"/>
                <w:color w:val="auto"/>
                <w:spacing w:val="-10"/>
                <w:highlight w:val="none"/>
              </w:rPr>
              <w:t>，</w:t>
            </w:r>
            <w:r>
              <w:rPr>
                <w:rFonts w:hint="default"/>
                <w:color w:val="auto"/>
                <w:spacing w:val="-67"/>
                <w:highlight w:val="none"/>
              </w:rPr>
              <w:t xml:space="preserve"> </w:t>
            </w:r>
            <w:r>
              <w:rPr>
                <w:rFonts w:hint="default"/>
                <w:color w:val="auto"/>
                <w:spacing w:val="17"/>
                <w:highlight w:val="none"/>
              </w:rPr>
              <w:t>《低环境温</w:t>
            </w:r>
            <w:r>
              <w:rPr>
                <w:rFonts w:hint="default"/>
                <w:color w:val="auto"/>
                <w:spacing w:val="23"/>
                <w:highlight w:val="none"/>
              </w:rPr>
              <w:t>度空气源热泵（冷水）</w:t>
            </w:r>
            <w:r>
              <w:rPr>
                <w:rFonts w:hint="default"/>
                <w:color w:val="auto"/>
                <w:spacing w:val="-32"/>
                <w:highlight w:val="none"/>
              </w:rPr>
              <w:t xml:space="preserve"> </w:t>
            </w:r>
            <w:r>
              <w:rPr>
                <w:rFonts w:hint="default"/>
                <w:color w:val="auto"/>
                <w:spacing w:val="23"/>
                <w:highlight w:val="none"/>
              </w:rPr>
              <w:t>机组能效限定值及能效等级</w:t>
            </w:r>
            <w:r>
              <w:rPr>
                <w:rFonts w:hint="default"/>
                <w:color w:val="auto"/>
                <w:spacing w:val="-55"/>
                <w:highlight w:val="none"/>
              </w:rPr>
              <w:t xml:space="preserve"> </w:t>
            </w:r>
            <w:r>
              <w:rPr>
                <w:rFonts w:hint="default"/>
                <w:color w:val="auto"/>
                <w:spacing w:val="23"/>
                <w:highlight w:val="none"/>
              </w:rPr>
              <w:t>》</w:t>
            </w:r>
          </w:p>
          <w:p w14:paraId="003446D8">
            <w:pPr>
              <w:pStyle w:val="77"/>
              <w:keepNext w:val="0"/>
              <w:keepLines w:val="0"/>
              <w:suppressLineNumbers w:val="0"/>
              <w:spacing w:before="0" w:beforeAutospacing="0" w:after="0" w:afterAutospacing="0" w:line="239" w:lineRule="auto"/>
              <w:ind w:left="131" w:leftChars="0" w:right="0"/>
              <w:jc w:val="left"/>
              <w:rPr>
                <w:rFonts w:hint="eastAsia" w:ascii="宋体" w:hAnsi="宋体"/>
                <w:b w:val="0"/>
                <w:bCs/>
                <w:color w:val="auto"/>
                <w:sz w:val="21"/>
                <w:szCs w:val="21"/>
                <w:highlight w:val="none"/>
                <w:vertAlign w:val="baseline"/>
              </w:rPr>
            </w:pPr>
            <w:r>
              <w:rPr>
                <w:rFonts w:hint="default"/>
                <w:color w:val="auto"/>
                <w:spacing w:val="15"/>
                <w:highlight w:val="none"/>
              </w:rPr>
              <w:t>（</w:t>
            </w:r>
            <w:r>
              <w:rPr>
                <w:rFonts w:hint="default"/>
                <w:color w:val="auto"/>
                <w:highlight w:val="none"/>
              </w:rPr>
              <w:t>GB</w:t>
            </w:r>
            <w:r>
              <w:rPr>
                <w:rFonts w:hint="default"/>
                <w:color w:val="auto"/>
                <w:spacing w:val="15"/>
                <w:highlight w:val="none"/>
              </w:rPr>
              <w:t>37480）</w:t>
            </w:r>
          </w:p>
        </w:tc>
      </w:tr>
      <w:tr w14:paraId="2231A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14:paraId="597B493A">
            <w:pPr>
              <w:keepNext w:val="0"/>
              <w:keepLines w:val="0"/>
              <w:suppressLineNumbers w:val="0"/>
              <w:spacing w:before="0" w:beforeAutospacing="0" w:after="0" w:afterAutospacing="0" w:line="400" w:lineRule="exact"/>
              <w:ind w:left="0" w:right="0"/>
              <w:jc w:val="center"/>
              <w:rPr>
                <w:rFonts w:hint="eastAsia" w:ascii="宋体" w:hAnsi="宋体"/>
                <w:b w:val="0"/>
                <w:bCs/>
                <w:color w:val="auto"/>
                <w:sz w:val="21"/>
                <w:szCs w:val="21"/>
                <w:highlight w:val="none"/>
                <w:vertAlign w:val="baseline"/>
              </w:rPr>
            </w:pPr>
          </w:p>
        </w:tc>
        <w:tc>
          <w:tcPr>
            <w:tcW w:w="1813" w:type="dxa"/>
            <w:vMerge w:val="continue"/>
            <w:vAlign w:val="center"/>
          </w:tcPr>
          <w:p w14:paraId="176EEAB2">
            <w:pPr>
              <w:keepNext w:val="0"/>
              <w:keepLines w:val="0"/>
              <w:suppressLineNumbers w:val="0"/>
              <w:spacing w:before="0" w:beforeAutospacing="0" w:after="0" w:afterAutospacing="0" w:line="400" w:lineRule="exact"/>
              <w:ind w:left="0" w:right="0"/>
              <w:jc w:val="center"/>
              <w:rPr>
                <w:rFonts w:hint="eastAsia" w:ascii="宋体" w:hAnsi="宋体"/>
                <w:b w:val="0"/>
                <w:bCs/>
                <w:color w:val="auto"/>
                <w:sz w:val="21"/>
                <w:szCs w:val="21"/>
                <w:highlight w:val="none"/>
                <w:vertAlign w:val="baseline"/>
              </w:rPr>
            </w:pPr>
          </w:p>
        </w:tc>
        <w:tc>
          <w:tcPr>
            <w:tcW w:w="1773" w:type="dxa"/>
            <w:vMerge w:val="continue"/>
            <w:vAlign w:val="center"/>
          </w:tcPr>
          <w:p w14:paraId="46A27616">
            <w:pPr>
              <w:keepNext w:val="0"/>
              <w:keepLines w:val="0"/>
              <w:suppressLineNumbers w:val="0"/>
              <w:spacing w:before="0" w:beforeAutospacing="0" w:after="0" w:afterAutospacing="0" w:line="400" w:lineRule="exact"/>
              <w:ind w:left="0" w:right="0"/>
              <w:jc w:val="center"/>
              <w:rPr>
                <w:rFonts w:hint="eastAsia" w:ascii="宋体" w:hAnsi="宋体"/>
                <w:b w:val="0"/>
                <w:bCs/>
                <w:color w:val="auto"/>
                <w:sz w:val="21"/>
                <w:szCs w:val="21"/>
                <w:highlight w:val="none"/>
                <w:vertAlign w:val="baseline"/>
              </w:rPr>
            </w:pPr>
          </w:p>
        </w:tc>
        <w:tc>
          <w:tcPr>
            <w:tcW w:w="1964" w:type="dxa"/>
            <w:vAlign w:val="center"/>
          </w:tcPr>
          <w:p w14:paraId="7498E947">
            <w:pPr>
              <w:keepNext w:val="0"/>
              <w:keepLines w:val="0"/>
              <w:suppressLineNumbers w:val="0"/>
              <w:spacing w:before="0" w:beforeAutospacing="0" w:after="0" w:afterAutospacing="0" w:line="400" w:lineRule="exact"/>
              <w:ind w:left="0" w:right="0"/>
              <w:jc w:val="center"/>
              <w:rPr>
                <w:rFonts w:hint="eastAsia" w:ascii="宋体" w:hAnsi="宋体"/>
                <w:b w:val="0"/>
                <w:bCs/>
                <w:color w:val="auto"/>
                <w:sz w:val="21"/>
                <w:szCs w:val="21"/>
                <w:highlight w:val="none"/>
                <w:vertAlign w:val="baseline"/>
              </w:rPr>
            </w:pPr>
            <w:r>
              <w:rPr>
                <w:rFonts w:hint="eastAsia" w:ascii="宋体" w:hAnsi="宋体"/>
                <w:b w:val="0"/>
                <w:bCs/>
                <w:color w:val="auto"/>
                <w:sz w:val="21"/>
                <w:szCs w:val="21"/>
                <w:highlight w:val="none"/>
                <w:vertAlign w:val="baseline"/>
              </w:rPr>
              <w:t>溴化锂吸收式冷水机组</w:t>
            </w:r>
          </w:p>
        </w:tc>
        <w:tc>
          <w:tcPr>
            <w:tcW w:w="3595" w:type="dxa"/>
            <w:vAlign w:val="top"/>
          </w:tcPr>
          <w:p w14:paraId="141E84A7">
            <w:pPr>
              <w:keepNext w:val="0"/>
              <w:keepLines w:val="0"/>
              <w:suppressLineNumbers w:val="0"/>
              <w:spacing w:before="0" w:beforeAutospacing="0" w:after="0" w:afterAutospacing="0" w:line="400" w:lineRule="exact"/>
              <w:ind w:left="0" w:right="0"/>
              <w:jc w:val="left"/>
              <w:rPr>
                <w:rFonts w:hint="eastAsia" w:ascii="宋体" w:hAnsi="宋体"/>
                <w:b w:val="0"/>
                <w:bCs/>
                <w:color w:val="auto"/>
                <w:sz w:val="21"/>
                <w:szCs w:val="21"/>
                <w:highlight w:val="none"/>
                <w:vertAlign w:val="baseline"/>
              </w:rPr>
            </w:pPr>
            <w:r>
              <w:rPr>
                <w:rFonts w:hint="eastAsia" w:ascii="宋体" w:hAnsi="宋体"/>
                <w:b w:val="0"/>
                <w:bCs/>
                <w:color w:val="auto"/>
                <w:sz w:val="21"/>
                <w:szCs w:val="21"/>
                <w:highlight w:val="none"/>
                <w:vertAlign w:val="baseline"/>
              </w:rPr>
              <w:t>《溴化锂吸收式冷水机组能效 限定值及能效等级 》（GB29540）</w:t>
            </w:r>
          </w:p>
        </w:tc>
      </w:tr>
      <w:tr w14:paraId="0BED4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14:paraId="78B91A29">
            <w:pPr>
              <w:keepNext w:val="0"/>
              <w:keepLines w:val="0"/>
              <w:suppressLineNumbers w:val="0"/>
              <w:spacing w:before="0" w:beforeAutospacing="0" w:after="0" w:afterAutospacing="0" w:line="400" w:lineRule="exact"/>
              <w:ind w:left="0" w:right="0"/>
              <w:jc w:val="center"/>
              <w:rPr>
                <w:rFonts w:hint="eastAsia" w:ascii="宋体" w:hAnsi="宋体"/>
                <w:b w:val="0"/>
                <w:bCs/>
                <w:color w:val="auto"/>
                <w:sz w:val="21"/>
                <w:szCs w:val="21"/>
                <w:highlight w:val="none"/>
                <w:vertAlign w:val="baseline"/>
              </w:rPr>
            </w:pPr>
          </w:p>
        </w:tc>
        <w:tc>
          <w:tcPr>
            <w:tcW w:w="1813" w:type="dxa"/>
            <w:vMerge w:val="continue"/>
            <w:vAlign w:val="center"/>
          </w:tcPr>
          <w:p w14:paraId="0C482846">
            <w:pPr>
              <w:keepNext w:val="0"/>
              <w:keepLines w:val="0"/>
              <w:suppressLineNumbers w:val="0"/>
              <w:spacing w:before="0" w:beforeAutospacing="0" w:after="0" w:afterAutospacing="0" w:line="400" w:lineRule="exact"/>
              <w:ind w:left="0" w:right="0"/>
              <w:jc w:val="center"/>
              <w:rPr>
                <w:rFonts w:hint="eastAsia" w:ascii="宋体" w:hAnsi="宋体"/>
                <w:b w:val="0"/>
                <w:bCs/>
                <w:color w:val="auto"/>
                <w:sz w:val="21"/>
                <w:szCs w:val="21"/>
                <w:highlight w:val="none"/>
                <w:vertAlign w:val="baseline"/>
              </w:rPr>
            </w:pPr>
          </w:p>
        </w:tc>
        <w:tc>
          <w:tcPr>
            <w:tcW w:w="1773" w:type="dxa"/>
            <w:vMerge w:val="restart"/>
            <w:vAlign w:val="center"/>
          </w:tcPr>
          <w:p w14:paraId="79B0F08A">
            <w:pPr>
              <w:keepNext w:val="0"/>
              <w:keepLines w:val="0"/>
              <w:suppressLineNumbers w:val="0"/>
              <w:spacing w:before="0" w:beforeAutospacing="0" w:after="0" w:afterAutospacing="0" w:line="400" w:lineRule="exact"/>
              <w:ind w:left="0" w:right="0"/>
              <w:jc w:val="center"/>
              <w:rPr>
                <w:rFonts w:hint="eastAsia" w:ascii="宋体" w:hAnsi="宋体"/>
                <w:b w:val="0"/>
                <w:bCs/>
                <w:color w:val="auto"/>
                <w:sz w:val="21"/>
                <w:szCs w:val="21"/>
                <w:highlight w:val="none"/>
                <w:vertAlign w:val="baseline"/>
              </w:rPr>
            </w:pPr>
            <w:r>
              <w:rPr>
                <w:rFonts w:hint="eastAsia" w:ascii="宋体" w:hAnsi="宋体"/>
                <w:b w:val="0"/>
                <w:bCs/>
                <w:color w:val="auto"/>
                <w:sz w:val="21"/>
                <w:szCs w:val="21"/>
                <w:highlight w:val="none"/>
                <w:vertAlign w:val="baseline"/>
              </w:rPr>
              <w:t>★A02052305空调机组</w:t>
            </w:r>
          </w:p>
        </w:tc>
        <w:tc>
          <w:tcPr>
            <w:tcW w:w="1964" w:type="dxa"/>
            <w:vAlign w:val="center"/>
          </w:tcPr>
          <w:p w14:paraId="56997320">
            <w:pPr>
              <w:keepNext w:val="0"/>
              <w:keepLines w:val="0"/>
              <w:suppressLineNumbers w:val="0"/>
              <w:spacing w:before="0" w:beforeAutospacing="0" w:after="0" w:afterAutospacing="0" w:line="400" w:lineRule="exact"/>
              <w:ind w:left="0" w:right="0"/>
              <w:jc w:val="center"/>
              <w:rPr>
                <w:rFonts w:hint="eastAsia" w:ascii="宋体" w:hAnsi="宋体"/>
                <w:b w:val="0"/>
                <w:bCs/>
                <w:color w:val="auto"/>
                <w:sz w:val="21"/>
                <w:szCs w:val="21"/>
                <w:highlight w:val="none"/>
                <w:vertAlign w:val="baseline"/>
              </w:rPr>
            </w:pPr>
            <w:r>
              <w:rPr>
                <w:rFonts w:hint="eastAsia" w:ascii="宋体" w:hAnsi="宋体"/>
                <w:b w:val="0"/>
                <w:bCs/>
                <w:color w:val="auto"/>
                <w:sz w:val="21"/>
                <w:szCs w:val="21"/>
                <w:highlight w:val="none"/>
                <w:vertAlign w:val="baseline"/>
              </w:rPr>
              <w:t>多联式空调</w:t>
            </w:r>
          </w:p>
          <w:p w14:paraId="7EAA9BFF">
            <w:pPr>
              <w:keepNext w:val="0"/>
              <w:keepLines w:val="0"/>
              <w:suppressLineNumbers w:val="0"/>
              <w:spacing w:before="0" w:beforeAutospacing="0" w:after="0" w:afterAutospacing="0" w:line="400" w:lineRule="exact"/>
              <w:ind w:left="0" w:right="0"/>
              <w:jc w:val="center"/>
              <w:rPr>
                <w:rFonts w:hint="eastAsia" w:ascii="宋体" w:hAnsi="宋体"/>
                <w:b w:val="0"/>
                <w:bCs/>
                <w:color w:val="auto"/>
                <w:sz w:val="21"/>
                <w:szCs w:val="21"/>
                <w:highlight w:val="none"/>
                <w:vertAlign w:val="baseline"/>
              </w:rPr>
            </w:pPr>
            <w:r>
              <w:rPr>
                <w:rFonts w:hint="eastAsia" w:ascii="宋体" w:hAnsi="宋体"/>
                <w:b w:val="0"/>
                <w:bCs/>
                <w:color w:val="auto"/>
                <w:sz w:val="21"/>
                <w:szCs w:val="21"/>
                <w:highlight w:val="none"/>
                <w:vertAlign w:val="baseline"/>
              </w:rPr>
              <w:t>（热泵）机组（制冷量&gt;14000W）</w:t>
            </w:r>
          </w:p>
        </w:tc>
        <w:tc>
          <w:tcPr>
            <w:tcW w:w="3595" w:type="dxa"/>
            <w:vAlign w:val="top"/>
          </w:tcPr>
          <w:p w14:paraId="7F740627">
            <w:pPr>
              <w:keepNext w:val="0"/>
              <w:keepLines w:val="0"/>
              <w:suppressLineNumbers w:val="0"/>
              <w:spacing w:before="0" w:beforeAutospacing="0" w:after="0" w:afterAutospacing="0" w:line="400" w:lineRule="exact"/>
              <w:ind w:left="0" w:right="0"/>
              <w:jc w:val="left"/>
              <w:rPr>
                <w:rFonts w:hint="eastAsia" w:ascii="宋体" w:hAnsi="宋体"/>
                <w:b w:val="0"/>
                <w:bCs/>
                <w:color w:val="auto"/>
                <w:sz w:val="21"/>
                <w:szCs w:val="21"/>
                <w:highlight w:val="none"/>
                <w:vertAlign w:val="baseline"/>
              </w:rPr>
            </w:pPr>
            <w:r>
              <w:rPr>
                <w:rFonts w:hint="eastAsia" w:ascii="宋体" w:hAnsi="宋体"/>
                <w:b w:val="0"/>
                <w:bCs/>
                <w:color w:val="auto"/>
                <w:sz w:val="21"/>
                <w:szCs w:val="21"/>
                <w:highlight w:val="none"/>
                <w:vertAlign w:val="baseline"/>
              </w:rPr>
              <w:t>《多联式空调（热泵）机组能效限定值及能源效率等级》</w:t>
            </w:r>
          </w:p>
          <w:p w14:paraId="300955F0">
            <w:pPr>
              <w:keepNext w:val="0"/>
              <w:keepLines w:val="0"/>
              <w:suppressLineNumbers w:val="0"/>
              <w:spacing w:before="0" w:beforeAutospacing="0" w:after="0" w:afterAutospacing="0" w:line="400" w:lineRule="exact"/>
              <w:ind w:left="0" w:right="0"/>
              <w:jc w:val="left"/>
              <w:rPr>
                <w:rFonts w:hint="eastAsia" w:ascii="宋体" w:hAnsi="宋体"/>
                <w:b w:val="0"/>
                <w:bCs/>
                <w:color w:val="auto"/>
                <w:sz w:val="21"/>
                <w:szCs w:val="21"/>
                <w:highlight w:val="none"/>
                <w:vertAlign w:val="baseline"/>
              </w:rPr>
            </w:pPr>
            <w:r>
              <w:rPr>
                <w:rFonts w:hint="eastAsia" w:ascii="宋体" w:hAnsi="宋体"/>
                <w:b w:val="0"/>
                <w:bCs/>
                <w:color w:val="auto"/>
                <w:sz w:val="21"/>
                <w:szCs w:val="21"/>
                <w:highlight w:val="none"/>
                <w:vertAlign w:val="baseline"/>
              </w:rPr>
              <w:t>（GB21454）</w:t>
            </w:r>
          </w:p>
        </w:tc>
      </w:tr>
      <w:tr w14:paraId="5D65D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14:paraId="37B954B5">
            <w:pPr>
              <w:keepNext w:val="0"/>
              <w:keepLines w:val="0"/>
              <w:suppressLineNumbers w:val="0"/>
              <w:spacing w:before="0" w:beforeAutospacing="0" w:after="0" w:afterAutospacing="0" w:line="400" w:lineRule="exact"/>
              <w:ind w:left="0" w:right="0"/>
              <w:jc w:val="center"/>
              <w:rPr>
                <w:rFonts w:hint="eastAsia" w:ascii="宋体" w:hAnsi="宋体"/>
                <w:b w:val="0"/>
                <w:bCs/>
                <w:color w:val="auto"/>
                <w:sz w:val="21"/>
                <w:szCs w:val="21"/>
                <w:highlight w:val="none"/>
                <w:vertAlign w:val="baseline"/>
              </w:rPr>
            </w:pPr>
          </w:p>
        </w:tc>
        <w:tc>
          <w:tcPr>
            <w:tcW w:w="1813" w:type="dxa"/>
            <w:vMerge w:val="continue"/>
            <w:vAlign w:val="center"/>
          </w:tcPr>
          <w:p w14:paraId="37BB3A10">
            <w:pPr>
              <w:keepNext w:val="0"/>
              <w:keepLines w:val="0"/>
              <w:suppressLineNumbers w:val="0"/>
              <w:spacing w:before="0" w:beforeAutospacing="0" w:after="0" w:afterAutospacing="0" w:line="400" w:lineRule="exact"/>
              <w:ind w:left="0" w:right="0"/>
              <w:jc w:val="center"/>
              <w:rPr>
                <w:rFonts w:hint="eastAsia" w:ascii="宋体" w:hAnsi="宋体"/>
                <w:b w:val="0"/>
                <w:bCs/>
                <w:color w:val="auto"/>
                <w:sz w:val="21"/>
                <w:szCs w:val="21"/>
                <w:highlight w:val="none"/>
                <w:vertAlign w:val="baseline"/>
              </w:rPr>
            </w:pPr>
          </w:p>
        </w:tc>
        <w:tc>
          <w:tcPr>
            <w:tcW w:w="1773" w:type="dxa"/>
            <w:vMerge w:val="continue"/>
            <w:vAlign w:val="center"/>
          </w:tcPr>
          <w:p w14:paraId="6DC33436">
            <w:pPr>
              <w:keepNext w:val="0"/>
              <w:keepLines w:val="0"/>
              <w:suppressLineNumbers w:val="0"/>
              <w:spacing w:before="0" w:beforeAutospacing="0" w:after="0" w:afterAutospacing="0" w:line="400" w:lineRule="exact"/>
              <w:ind w:left="0" w:right="0"/>
              <w:jc w:val="center"/>
              <w:rPr>
                <w:rFonts w:hint="eastAsia" w:ascii="宋体" w:hAnsi="宋体"/>
                <w:b w:val="0"/>
                <w:bCs/>
                <w:color w:val="auto"/>
                <w:sz w:val="21"/>
                <w:szCs w:val="21"/>
                <w:highlight w:val="none"/>
                <w:vertAlign w:val="baseline"/>
              </w:rPr>
            </w:pPr>
          </w:p>
        </w:tc>
        <w:tc>
          <w:tcPr>
            <w:tcW w:w="1964" w:type="dxa"/>
            <w:vAlign w:val="center"/>
          </w:tcPr>
          <w:p w14:paraId="10740F0C">
            <w:pPr>
              <w:keepNext w:val="0"/>
              <w:keepLines w:val="0"/>
              <w:suppressLineNumbers w:val="0"/>
              <w:spacing w:before="0" w:beforeAutospacing="0" w:after="0" w:afterAutospacing="0" w:line="400" w:lineRule="exact"/>
              <w:ind w:left="0" w:right="0"/>
              <w:jc w:val="center"/>
              <w:rPr>
                <w:rFonts w:hint="eastAsia" w:ascii="宋体" w:hAnsi="宋体"/>
                <w:b w:val="0"/>
                <w:bCs/>
                <w:color w:val="auto"/>
                <w:sz w:val="21"/>
                <w:szCs w:val="21"/>
                <w:highlight w:val="none"/>
                <w:vertAlign w:val="baseline"/>
              </w:rPr>
            </w:pPr>
            <w:r>
              <w:rPr>
                <w:rFonts w:hint="eastAsia" w:ascii="宋体" w:hAnsi="宋体"/>
                <w:b w:val="0"/>
                <w:bCs/>
                <w:color w:val="auto"/>
                <w:sz w:val="21"/>
                <w:szCs w:val="21"/>
                <w:highlight w:val="none"/>
                <w:vertAlign w:val="baseline"/>
              </w:rPr>
              <w:t>单元式空气调节机</w:t>
            </w:r>
          </w:p>
        </w:tc>
        <w:tc>
          <w:tcPr>
            <w:tcW w:w="3595" w:type="dxa"/>
            <w:vAlign w:val="top"/>
          </w:tcPr>
          <w:p w14:paraId="4EA916AB">
            <w:pPr>
              <w:keepNext w:val="0"/>
              <w:keepLines w:val="0"/>
              <w:suppressLineNumbers w:val="0"/>
              <w:spacing w:before="0" w:beforeAutospacing="0" w:after="0" w:afterAutospacing="0" w:line="400" w:lineRule="exact"/>
              <w:ind w:left="0" w:right="0"/>
              <w:jc w:val="left"/>
              <w:rPr>
                <w:rFonts w:hint="eastAsia" w:ascii="宋体" w:hAnsi="宋体"/>
                <w:b w:val="0"/>
                <w:bCs/>
                <w:color w:val="auto"/>
                <w:sz w:val="21"/>
                <w:szCs w:val="21"/>
                <w:highlight w:val="none"/>
                <w:vertAlign w:val="baseline"/>
              </w:rPr>
            </w:pPr>
            <w:r>
              <w:rPr>
                <w:rFonts w:hint="eastAsia" w:ascii="宋体" w:hAnsi="宋体"/>
                <w:b w:val="0"/>
                <w:bCs/>
                <w:color w:val="auto"/>
                <w:sz w:val="21"/>
                <w:szCs w:val="21"/>
                <w:highlight w:val="none"/>
                <w:vertAlign w:val="baseline"/>
              </w:rPr>
              <w:t>《单元式空气调节机能效 限定值及能效等级》（GB19576）《风管送风式空调机组能效 限定值及能效等级》 （GB37479）</w:t>
            </w:r>
          </w:p>
        </w:tc>
      </w:tr>
      <w:tr w14:paraId="5586B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14:paraId="4825B674">
            <w:pPr>
              <w:keepNext w:val="0"/>
              <w:keepLines w:val="0"/>
              <w:suppressLineNumbers w:val="0"/>
              <w:spacing w:before="0" w:beforeAutospacing="0" w:after="0" w:afterAutospacing="0" w:line="400" w:lineRule="exact"/>
              <w:ind w:left="0" w:right="0"/>
              <w:jc w:val="center"/>
              <w:rPr>
                <w:rFonts w:hint="eastAsia" w:ascii="宋体" w:hAnsi="宋体"/>
                <w:b w:val="0"/>
                <w:bCs/>
                <w:color w:val="auto"/>
                <w:sz w:val="21"/>
                <w:szCs w:val="21"/>
                <w:highlight w:val="none"/>
                <w:vertAlign w:val="baseline"/>
              </w:rPr>
            </w:pPr>
          </w:p>
        </w:tc>
        <w:tc>
          <w:tcPr>
            <w:tcW w:w="1813" w:type="dxa"/>
            <w:vMerge w:val="continue"/>
            <w:vAlign w:val="center"/>
          </w:tcPr>
          <w:p w14:paraId="64B1788E">
            <w:pPr>
              <w:keepNext w:val="0"/>
              <w:keepLines w:val="0"/>
              <w:suppressLineNumbers w:val="0"/>
              <w:spacing w:before="0" w:beforeAutospacing="0" w:after="0" w:afterAutospacing="0" w:line="400" w:lineRule="exact"/>
              <w:ind w:left="0" w:right="0"/>
              <w:jc w:val="center"/>
              <w:rPr>
                <w:rFonts w:hint="eastAsia" w:ascii="宋体" w:hAnsi="宋体"/>
                <w:b w:val="0"/>
                <w:bCs/>
                <w:color w:val="auto"/>
                <w:sz w:val="21"/>
                <w:szCs w:val="21"/>
                <w:highlight w:val="none"/>
                <w:vertAlign w:val="baseline"/>
              </w:rPr>
            </w:pPr>
          </w:p>
        </w:tc>
        <w:tc>
          <w:tcPr>
            <w:tcW w:w="1773" w:type="dxa"/>
            <w:vAlign w:val="center"/>
          </w:tcPr>
          <w:p w14:paraId="14168B5A">
            <w:pPr>
              <w:keepNext w:val="0"/>
              <w:keepLines w:val="0"/>
              <w:suppressLineNumbers w:val="0"/>
              <w:spacing w:before="0" w:beforeAutospacing="0" w:after="0" w:afterAutospacing="0" w:line="400" w:lineRule="exact"/>
              <w:ind w:left="0" w:right="0"/>
              <w:jc w:val="center"/>
              <w:rPr>
                <w:rFonts w:hint="eastAsia" w:ascii="宋体" w:hAnsi="宋体"/>
                <w:b w:val="0"/>
                <w:bCs/>
                <w:color w:val="auto"/>
                <w:sz w:val="21"/>
                <w:szCs w:val="21"/>
                <w:highlight w:val="none"/>
                <w:vertAlign w:val="baseline"/>
              </w:rPr>
            </w:pPr>
            <w:r>
              <w:rPr>
                <w:rFonts w:hint="eastAsia" w:ascii="宋体" w:hAnsi="宋体"/>
                <w:b w:val="0"/>
                <w:bCs/>
                <w:color w:val="auto"/>
                <w:sz w:val="21"/>
                <w:szCs w:val="21"/>
                <w:highlight w:val="none"/>
                <w:vertAlign w:val="baseline"/>
              </w:rPr>
              <w:t>★A02052309</w:t>
            </w:r>
          </w:p>
          <w:p w14:paraId="3FA1A31D">
            <w:pPr>
              <w:keepNext w:val="0"/>
              <w:keepLines w:val="0"/>
              <w:suppressLineNumbers w:val="0"/>
              <w:spacing w:before="0" w:beforeAutospacing="0" w:after="0" w:afterAutospacing="0" w:line="400" w:lineRule="exact"/>
              <w:ind w:left="0" w:right="0"/>
              <w:jc w:val="center"/>
              <w:rPr>
                <w:rFonts w:hint="eastAsia" w:ascii="宋体" w:hAnsi="宋体"/>
                <w:b w:val="0"/>
                <w:bCs/>
                <w:color w:val="auto"/>
                <w:sz w:val="21"/>
                <w:szCs w:val="21"/>
                <w:highlight w:val="none"/>
                <w:vertAlign w:val="baseline"/>
              </w:rPr>
            </w:pPr>
            <w:r>
              <w:rPr>
                <w:rFonts w:hint="eastAsia" w:ascii="宋体" w:hAnsi="宋体"/>
                <w:b w:val="0"/>
                <w:bCs/>
                <w:color w:val="auto"/>
                <w:sz w:val="21"/>
                <w:szCs w:val="21"/>
                <w:highlight w:val="none"/>
                <w:vertAlign w:val="baseline"/>
              </w:rPr>
              <w:t>专用制冷、空</w:t>
            </w:r>
          </w:p>
          <w:p w14:paraId="502259FD">
            <w:pPr>
              <w:keepNext w:val="0"/>
              <w:keepLines w:val="0"/>
              <w:suppressLineNumbers w:val="0"/>
              <w:spacing w:before="0" w:beforeAutospacing="0" w:after="0" w:afterAutospacing="0" w:line="400" w:lineRule="exact"/>
              <w:ind w:left="0" w:right="0"/>
              <w:jc w:val="center"/>
              <w:rPr>
                <w:rFonts w:hint="eastAsia" w:ascii="宋体" w:hAnsi="宋体"/>
                <w:b w:val="0"/>
                <w:bCs/>
                <w:color w:val="auto"/>
                <w:sz w:val="21"/>
                <w:szCs w:val="21"/>
                <w:highlight w:val="none"/>
                <w:vertAlign w:val="baseline"/>
              </w:rPr>
            </w:pPr>
            <w:r>
              <w:rPr>
                <w:rFonts w:hint="eastAsia" w:ascii="宋体" w:hAnsi="宋体"/>
                <w:b w:val="0"/>
                <w:bCs/>
                <w:color w:val="auto"/>
                <w:sz w:val="21"/>
                <w:szCs w:val="21"/>
                <w:highlight w:val="none"/>
                <w:vertAlign w:val="baseline"/>
              </w:rPr>
              <w:t>调设备</w:t>
            </w:r>
          </w:p>
        </w:tc>
        <w:tc>
          <w:tcPr>
            <w:tcW w:w="1964" w:type="dxa"/>
            <w:vAlign w:val="center"/>
          </w:tcPr>
          <w:p w14:paraId="08CD0E5B">
            <w:pPr>
              <w:keepNext w:val="0"/>
              <w:keepLines w:val="0"/>
              <w:suppressLineNumbers w:val="0"/>
              <w:spacing w:before="0" w:beforeAutospacing="0" w:after="0" w:afterAutospacing="0" w:line="400" w:lineRule="exact"/>
              <w:ind w:left="0" w:right="0"/>
              <w:jc w:val="center"/>
              <w:rPr>
                <w:rFonts w:hint="eastAsia" w:ascii="宋体" w:hAnsi="宋体"/>
                <w:b w:val="0"/>
                <w:bCs/>
                <w:color w:val="auto"/>
                <w:sz w:val="21"/>
                <w:szCs w:val="21"/>
                <w:highlight w:val="none"/>
                <w:vertAlign w:val="baseline"/>
              </w:rPr>
            </w:pPr>
            <w:r>
              <w:rPr>
                <w:rFonts w:hint="eastAsia" w:ascii="宋体" w:hAnsi="宋体"/>
                <w:b w:val="0"/>
                <w:bCs/>
                <w:color w:val="auto"/>
                <w:sz w:val="21"/>
                <w:szCs w:val="21"/>
                <w:highlight w:val="none"/>
                <w:vertAlign w:val="baseline"/>
              </w:rPr>
              <w:t>机房空调</w:t>
            </w:r>
          </w:p>
        </w:tc>
        <w:tc>
          <w:tcPr>
            <w:tcW w:w="3595" w:type="dxa"/>
            <w:vAlign w:val="top"/>
          </w:tcPr>
          <w:p w14:paraId="46E3A717">
            <w:pPr>
              <w:keepNext w:val="0"/>
              <w:keepLines w:val="0"/>
              <w:suppressLineNumbers w:val="0"/>
              <w:spacing w:before="0" w:beforeAutospacing="0" w:after="0" w:afterAutospacing="0" w:line="400" w:lineRule="exact"/>
              <w:ind w:left="0" w:right="0"/>
              <w:jc w:val="left"/>
              <w:rPr>
                <w:rFonts w:hint="eastAsia" w:ascii="宋体" w:hAnsi="宋体"/>
                <w:b w:val="0"/>
                <w:bCs/>
                <w:color w:val="auto"/>
                <w:sz w:val="21"/>
                <w:szCs w:val="21"/>
                <w:highlight w:val="none"/>
                <w:vertAlign w:val="baseline"/>
              </w:rPr>
            </w:pPr>
            <w:r>
              <w:rPr>
                <w:rFonts w:hint="eastAsia" w:ascii="宋体" w:hAnsi="宋体"/>
                <w:b w:val="0"/>
                <w:bCs/>
                <w:color w:val="auto"/>
                <w:sz w:val="21"/>
                <w:szCs w:val="21"/>
                <w:highlight w:val="none"/>
                <w:vertAlign w:val="baseline"/>
              </w:rPr>
              <w:t>《单元式空气调节机能效 限定值及能效等级 》（GB19576）</w:t>
            </w:r>
          </w:p>
        </w:tc>
      </w:tr>
      <w:tr w14:paraId="40E9D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14:paraId="4405EDC4">
            <w:pPr>
              <w:keepNext w:val="0"/>
              <w:keepLines w:val="0"/>
              <w:suppressLineNumbers w:val="0"/>
              <w:spacing w:before="0" w:beforeAutospacing="0" w:after="0" w:afterAutospacing="0" w:line="400" w:lineRule="exact"/>
              <w:ind w:left="0" w:right="0"/>
              <w:jc w:val="center"/>
              <w:rPr>
                <w:rFonts w:hint="eastAsia" w:ascii="宋体" w:hAnsi="宋体"/>
                <w:b w:val="0"/>
                <w:bCs/>
                <w:color w:val="auto"/>
                <w:sz w:val="21"/>
                <w:szCs w:val="21"/>
                <w:highlight w:val="none"/>
                <w:vertAlign w:val="baseline"/>
              </w:rPr>
            </w:pPr>
          </w:p>
        </w:tc>
        <w:tc>
          <w:tcPr>
            <w:tcW w:w="1813" w:type="dxa"/>
            <w:vMerge w:val="continue"/>
            <w:vAlign w:val="center"/>
          </w:tcPr>
          <w:p w14:paraId="0432079B">
            <w:pPr>
              <w:keepNext w:val="0"/>
              <w:keepLines w:val="0"/>
              <w:suppressLineNumbers w:val="0"/>
              <w:spacing w:before="0" w:beforeAutospacing="0" w:after="0" w:afterAutospacing="0" w:line="400" w:lineRule="exact"/>
              <w:ind w:left="0" w:right="0"/>
              <w:jc w:val="center"/>
              <w:rPr>
                <w:rFonts w:hint="eastAsia" w:ascii="宋体" w:hAnsi="宋体"/>
                <w:b w:val="0"/>
                <w:bCs/>
                <w:color w:val="auto"/>
                <w:sz w:val="21"/>
                <w:szCs w:val="21"/>
                <w:highlight w:val="none"/>
                <w:vertAlign w:val="baseline"/>
              </w:rPr>
            </w:pPr>
          </w:p>
        </w:tc>
        <w:tc>
          <w:tcPr>
            <w:tcW w:w="1773" w:type="dxa"/>
            <w:vAlign w:val="center"/>
          </w:tcPr>
          <w:p w14:paraId="3ACF746B">
            <w:pPr>
              <w:keepNext w:val="0"/>
              <w:keepLines w:val="0"/>
              <w:suppressLineNumbers w:val="0"/>
              <w:spacing w:before="0" w:beforeAutospacing="0" w:after="0" w:afterAutospacing="0" w:line="400" w:lineRule="exact"/>
              <w:ind w:left="0" w:right="0"/>
              <w:jc w:val="center"/>
              <w:rPr>
                <w:rFonts w:hint="eastAsia" w:ascii="宋体" w:hAnsi="宋体"/>
                <w:b w:val="0"/>
                <w:bCs/>
                <w:color w:val="auto"/>
                <w:sz w:val="21"/>
                <w:szCs w:val="21"/>
                <w:highlight w:val="none"/>
                <w:vertAlign w:val="baseline"/>
              </w:rPr>
            </w:pPr>
            <w:r>
              <w:rPr>
                <w:rFonts w:hint="eastAsia" w:ascii="宋体" w:hAnsi="宋体"/>
                <w:b w:val="0"/>
                <w:bCs/>
                <w:color w:val="auto"/>
                <w:sz w:val="21"/>
                <w:szCs w:val="21"/>
                <w:highlight w:val="none"/>
                <w:vertAlign w:val="baseline"/>
              </w:rPr>
              <w:t>A02052399 其他制冷</w:t>
            </w:r>
          </w:p>
          <w:p w14:paraId="3452D5F4">
            <w:pPr>
              <w:keepNext w:val="0"/>
              <w:keepLines w:val="0"/>
              <w:suppressLineNumbers w:val="0"/>
              <w:spacing w:before="0" w:beforeAutospacing="0" w:after="0" w:afterAutospacing="0" w:line="400" w:lineRule="exact"/>
              <w:ind w:left="0" w:right="0"/>
              <w:jc w:val="center"/>
              <w:rPr>
                <w:rFonts w:hint="eastAsia" w:ascii="宋体" w:hAnsi="宋体"/>
                <w:b w:val="0"/>
                <w:bCs/>
                <w:color w:val="auto"/>
                <w:sz w:val="21"/>
                <w:szCs w:val="21"/>
                <w:highlight w:val="none"/>
                <w:vertAlign w:val="baseline"/>
              </w:rPr>
            </w:pPr>
            <w:r>
              <w:rPr>
                <w:rFonts w:hint="eastAsia" w:ascii="宋体" w:hAnsi="宋体"/>
                <w:b w:val="0"/>
                <w:bCs/>
                <w:color w:val="auto"/>
                <w:sz w:val="21"/>
                <w:szCs w:val="21"/>
                <w:highlight w:val="none"/>
                <w:vertAlign w:val="baseline"/>
              </w:rPr>
              <w:t>空调设备</w:t>
            </w:r>
          </w:p>
        </w:tc>
        <w:tc>
          <w:tcPr>
            <w:tcW w:w="1964" w:type="dxa"/>
            <w:vAlign w:val="center"/>
          </w:tcPr>
          <w:p w14:paraId="098F682C">
            <w:pPr>
              <w:keepNext w:val="0"/>
              <w:keepLines w:val="0"/>
              <w:suppressLineNumbers w:val="0"/>
              <w:spacing w:before="0" w:beforeAutospacing="0" w:after="0" w:afterAutospacing="0" w:line="400" w:lineRule="exact"/>
              <w:ind w:left="0" w:right="0"/>
              <w:jc w:val="center"/>
              <w:rPr>
                <w:rFonts w:hint="eastAsia" w:ascii="宋体" w:hAnsi="宋体"/>
                <w:b w:val="0"/>
                <w:bCs/>
                <w:color w:val="auto"/>
                <w:sz w:val="21"/>
                <w:szCs w:val="21"/>
                <w:highlight w:val="none"/>
                <w:vertAlign w:val="baseline"/>
              </w:rPr>
            </w:pPr>
            <w:r>
              <w:rPr>
                <w:rFonts w:hint="eastAsia" w:ascii="宋体" w:hAnsi="宋体"/>
                <w:b w:val="0"/>
                <w:bCs/>
                <w:color w:val="auto"/>
                <w:sz w:val="21"/>
                <w:szCs w:val="21"/>
                <w:highlight w:val="none"/>
                <w:vertAlign w:val="baseline"/>
              </w:rPr>
              <w:t>冷却塔</w:t>
            </w:r>
          </w:p>
        </w:tc>
        <w:tc>
          <w:tcPr>
            <w:tcW w:w="3595" w:type="dxa"/>
            <w:vAlign w:val="top"/>
          </w:tcPr>
          <w:p w14:paraId="64210536">
            <w:pPr>
              <w:keepNext w:val="0"/>
              <w:keepLines w:val="0"/>
              <w:suppressLineNumbers w:val="0"/>
              <w:spacing w:before="0" w:beforeAutospacing="0" w:after="0" w:afterAutospacing="0" w:line="400" w:lineRule="exact"/>
              <w:ind w:left="0" w:right="0"/>
              <w:jc w:val="left"/>
              <w:rPr>
                <w:rFonts w:hint="eastAsia" w:ascii="宋体" w:hAnsi="宋体"/>
                <w:b w:val="0"/>
                <w:bCs/>
                <w:color w:val="auto"/>
                <w:sz w:val="21"/>
                <w:szCs w:val="21"/>
                <w:highlight w:val="none"/>
                <w:vertAlign w:val="baseline"/>
              </w:rPr>
            </w:pPr>
            <w:r>
              <w:rPr>
                <w:rFonts w:hint="eastAsia" w:ascii="宋体" w:hAnsi="宋体"/>
                <w:b w:val="0"/>
                <w:bCs/>
                <w:color w:val="auto"/>
                <w:sz w:val="21"/>
                <w:szCs w:val="21"/>
                <w:highlight w:val="none"/>
                <w:vertAlign w:val="baseline"/>
              </w:rPr>
              <w:t>《机械通风冷却塔第1部分：中小型开式冷却塔》</w:t>
            </w:r>
          </w:p>
          <w:p w14:paraId="5D78B4CF">
            <w:pPr>
              <w:keepNext w:val="0"/>
              <w:keepLines w:val="0"/>
              <w:suppressLineNumbers w:val="0"/>
              <w:spacing w:before="0" w:beforeAutospacing="0" w:after="0" w:afterAutospacing="0" w:line="400" w:lineRule="exact"/>
              <w:ind w:left="0" w:right="0"/>
              <w:jc w:val="left"/>
              <w:rPr>
                <w:rFonts w:hint="eastAsia" w:ascii="宋体" w:hAnsi="宋体"/>
                <w:b w:val="0"/>
                <w:bCs/>
                <w:color w:val="auto"/>
                <w:sz w:val="21"/>
                <w:szCs w:val="21"/>
                <w:highlight w:val="none"/>
                <w:vertAlign w:val="baseline"/>
              </w:rPr>
            </w:pPr>
            <w:r>
              <w:rPr>
                <w:rFonts w:hint="eastAsia" w:ascii="宋体" w:hAnsi="宋体"/>
                <w:b w:val="0"/>
                <w:bCs/>
                <w:color w:val="auto"/>
                <w:sz w:val="21"/>
                <w:szCs w:val="21"/>
                <w:highlight w:val="none"/>
                <w:vertAlign w:val="baseline"/>
              </w:rPr>
              <w:t>（GB/T7190.1）</w:t>
            </w:r>
          </w:p>
          <w:p w14:paraId="7E68DC30">
            <w:pPr>
              <w:keepNext w:val="0"/>
              <w:keepLines w:val="0"/>
              <w:suppressLineNumbers w:val="0"/>
              <w:spacing w:before="0" w:beforeAutospacing="0" w:after="0" w:afterAutospacing="0" w:line="400" w:lineRule="exact"/>
              <w:ind w:left="0" w:right="0"/>
              <w:jc w:val="left"/>
              <w:rPr>
                <w:rFonts w:hint="eastAsia" w:ascii="宋体" w:hAnsi="宋体"/>
                <w:b w:val="0"/>
                <w:bCs/>
                <w:color w:val="auto"/>
                <w:sz w:val="21"/>
                <w:szCs w:val="21"/>
                <w:highlight w:val="none"/>
                <w:vertAlign w:val="baseline"/>
              </w:rPr>
            </w:pPr>
            <w:r>
              <w:rPr>
                <w:rFonts w:hint="eastAsia" w:ascii="宋体" w:hAnsi="宋体"/>
                <w:b w:val="0"/>
                <w:bCs/>
                <w:color w:val="auto"/>
                <w:sz w:val="21"/>
                <w:szCs w:val="21"/>
                <w:highlight w:val="none"/>
                <w:vertAlign w:val="baseline"/>
              </w:rPr>
              <w:t>《机械通风冷却塔第 2 部分：大型开式冷却塔》（GB/T7190.2）</w:t>
            </w:r>
          </w:p>
        </w:tc>
      </w:tr>
      <w:tr w14:paraId="79637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50F308AF">
            <w:pPr>
              <w:keepNext w:val="0"/>
              <w:keepLines w:val="0"/>
              <w:suppressLineNumbers w:val="0"/>
              <w:spacing w:before="0" w:beforeAutospacing="0" w:after="0" w:afterAutospacing="0" w:line="400" w:lineRule="exact"/>
              <w:ind w:left="0" w:right="0"/>
              <w:jc w:val="center"/>
              <w:rPr>
                <w:rFonts w:hint="eastAsia" w:ascii="宋体" w:hAnsi="宋体" w:eastAsia="宋体"/>
                <w:b w:val="0"/>
                <w:bCs/>
                <w:color w:val="auto"/>
                <w:sz w:val="21"/>
                <w:szCs w:val="21"/>
                <w:highlight w:val="none"/>
                <w:vertAlign w:val="baseline"/>
                <w:lang w:val="en-US" w:eastAsia="zh-CN"/>
              </w:rPr>
            </w:pPr>
            <w:r>
              <w:rPr>
                <w:rFonts w:hint="eastAsia" w:ascii="宋体" w:hAnsi="宋体"/>
                <w:b w:val="0"/>
                <w:bCs/>
                <w:color w:val="auto"/>
                <w:sz w:val="21"/>
                <w:szCs w:val="21"/>
                <w:highlight w:val="none"/>
                <w:vertAlign w:val="baseline"/>
                <w:lang w:val="en-US" w:eastAsia="zh-CN"/>
              </w:rPr>
              <w:t>7</w:t>
            </w:r>
          </w:p>
        </w:tc>
        <w:tc>
          <w:tcPr>
            <w:tcW w:w="1813" w:type="dxa"/>
            <w:vAlign w:val="center"/>
          </w:tcPr>
          <w:p w14:paraId="6691E617">
            <w:pPr>
              <w:keepNext w:val="0"/>
              <w:keepLines w:val="0"/>
              <w:suppressLineNumbers w:val="0"/>
              <w:spacing w:before="0" w:beforeAutospacing="0" w:after="0" w:afterAutospacing="0" w:line="400" w:lineRule="exact"/>
              <w:ind w:left="0" w:right="0"/>
              <w:jc w:val="center"/>
              <w:rPr>
                <w:rFonts w:hint="default"/>
                <w:color w:val="auto"/>
                <w:spacing w:val="4"/>
                <w:position w:val="1"/>
                <w:highlight w:val="none"/>
              </w:rPr>
            </w:pPr>
            <w:r>
              <w:rPr>
                <w:rFonts w:hint="default"/>
                <w:color w:val="auto"/>
                <w:spacing w:val="4"/>
                <w:position w:val="1"/>
                <w:highlight w:val="none"/>
              </w:rPr>
              <w:t>A02060100</w:t>
            </w:r>
          </w:p>
          <w:p w14:paraId="192B3BAA">
            <w:pPr>
              <w:keepNext w:val="0"/>
              <w:keepLines w:val="0"/>
              <w:suppressLineNumbers w:val="0"/>
              <w:spacing w:before="0" w:beforeAutospacing="0" w:after="0" w:afterAutospacing="0" w:line="400" w:lineRule="exact"/>
              <w:ind w:left="0" w:right="0"/>
              <w:jc w:val="center"/>
              <w:rPr>
                <w:rFonts w:hint="eastAsia" w:ascii="宋体" w:hAnsi="宋体"/>
                <w:b w:val="0"/>
                <w:bCs/>
                <w:color w:val="auto"/>
                <w:sz w:val="21"/>
                <w:szCs w:val="21"/>
                <w:highlight w:val="none"/>
                <w:vertAlign w:val="baseline"/>
              </w:rPr>
            </w:pPr>
            <w:r>
              <w:rPr>
                <w:rFonts w:hint="default"/>
                <w:color w:val="auto"/>
                <w:spacing w:val="4"/>
                <w:position w:val="1"/>
                <w:highlight w:val="none"/>
              </w:rPr>
              <w:t>电机</w:t>
            </w:r>
          </w:p>
        </w:tc>
        <w:tc>
          <w:tcPr>
            <w:tcW w:w="1773" w:type="dxa"/>
            <w:vAlign w:val="center"/>
          </w:tcPr>
          <w:p w14:paraId="3701F741">
            <w:pPr>
              <w:keepNext w:val="0"/>
              <w:keepLines w:val="0"/>
              <w:suppressLineNumbers w:val="0"/>
              <w:spacing w:before="0" w:beforeAutospacing="0" w:after="0" w:afterAutospacing="0" w:line="400" w:lineRule="exact"/>
              <w:ind w:left="0" w:right="0"/>
              <w:jc w:val="center"/>
              <w:rPr>
                <w:rFonts w:hint="eastAsia" w:ascii="宋体" w:hAnsi="宋体"/>
                <w:b w:val="0"/>
                <w:bCs/>
                <w:color w:val="auto"/>
                <w:sz w:val="21"/>
                <w:szCs w:val="21"/>
                <w:highlight w:val="none"/>
                <w:vertAlign w:val="baseline"/>
              </w:rPr>
            </w:pPr>
          </w:p>
        </w:tc>
        <w:tc>
          <w:tcPr>
            <w:tcW w:w="1964" w:type="dxa"/>
            <w:vAlign w:val="center"/>
          </w:tcPr>
          <w:p w14:paraId="465CEF77">
            <w:pPr>
              <w:keepNext w:val="0"/>
              <w:keepLines w:val="0"/>
              <w:suppressLineNumbers w:val="0"/>
              <w:spacing w:before="0" w:beforeAutospacing="0" w:after="0" w:afterAutospacing="0" w:line="400" w:lineRule="exact"/>
              <w:ind w:left="0" w:right="0"/>
              <w:jc w:val="center"/>
              <w:rPr>
                <w:rFonts w:hint="eastAsia" w:ascii="宋体" w:hAnsi="宋体"/>
                <w:b w:val="0"/>
                <w:bCs/>
                <w:color w:val="auto"/>
                <w:sz w:val="21"/>
                <w:szCs w:val="21"/>
                <w:highlight w:val="none"/>
                <w:vertAlign w:val="baseline"/>
              </w:rPr>
            </w:pPr>
          </w:p>
        </w:tc>
        <w:tc>
          <w:tcPr>
            <w:tcW w:w="3595" w:type="dxa"/>
            <w:vAlign w:val="center"/>
          </w:tcPr>
          <w:p w14:paraId="2ACEC9C8">
            <w:pPr>
              <w:keepNext w:val="0"/>
              <w:keepLines w:val="0"/>
              <w:suppressLineNumbers w:val="0"/>
              <w:spacing w:before="0" w:beforeAutospacing="0" w:after="0" w:afterAutospacing="0" w:line="400" w:lineRule="exact"/>
              <w:ind w:left="0" w:right="0"/>
              <w:jc w:val="left"/>
              <w:rPr>
                <w:rFonts w:hint="eastAsia" w:ascii="宋体" w:hAnsi="宋体"/>
                <w:b w:val="0"/>
                <w:bCs/>
                <w:color w:val="auto"/>
                <w:sz w:val="21"/>
                <w:szCs w:val="21"/>
                <w:highlight w:val="none"/>
                <w:vertAlign w:val="baseline"/>
              </w:rPr>
            </w:pPr>
            <w:r>
              <w:rPr>
                <w:rFonts w:hint="eastAsia" w:ascii="宋体" w:hAnsi="宋体"/>
                <w:b w:val="0"/>
                <w:bCs/>
                <w:color w:val="auto"/>
                <w:sz w:val="21"/>
                <w:szCs w:val="21"/>
                <w:highlight w:val="none"/>
                <w:vertAlign w:val="baseline"/>
              </w:rPr>
              <w:t>《中小型三相异步 电动机能效 限定值及能效等级》（GB18613）</w:t>
            </w:r>
          </w:p>
        </w:tc>
      </w:tr>
      <w:tr w14:paraId="248D0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626F66BA">
            <w:pPr>
              <w:keepNext w:val="0"/>
              <w:keepLines w:val="0"/>
              <w:suppressLineNumbers w:val="0"/>
              <w:spacing w:before="0" w:beforeAutospacing="0" w:after="0" w:afterAutospacing="0" w:line="400" w:lineRule="exact"/>
              <w:ind w:left="0" w:right="0"/>
              <w:jc w:val="center"/>
              <w:rPr>
                <w:rFonts w:hint="eastAsia" w:ascii="宋体" w:hAnsi="宋体" w:eastAsia="宋体"/>
                <w:b w:val="0"/>
                <w:bCs/>
                <w:color w:val="auto"/>
                <w:sz w:val="21"/>
                <w:szCs w:val="21"/>
                <w:highlight w:val="none"/>
                <w:vertAlign w:val="baseline"/>
                <w:lang w:val="en-US" w:eastAsia="zh-CN"/>
              </w:rPr>
            </w:pPr>
            <w:r>
              <w:rPr>
                <w:rFonts w:hint="eastAsia" w:ascii="宋体" w:hAnsi="宋体"/>
                <w:b w:val="0"/>
                <w:bCs/>
                <w:color w:val="auto"/>
                <w:sz w:val="21"/>
                <w:szCs w:val="21"/>
                <w:highlight w:val="none"/>
                <w:vertAlign w:val="baseline"/>
                <w:lang w:val="en-US" w:eastAsia="zh-CN"/>
              </w:rPr>
              <w:t>8</w:t>
            </w:r>
          </w:p>
        </w:tc>
        <w:tc>
          <w:tcPr>
            <w:tcW w:w="1813" w:type="dxa"/>
            <w:vAlign w:val="center"/>
          </w:tcPr>
          <w:p w14:paraId="30619938">
            <w:pPr>
              <w:keepNext w:val="0"/>
              <w:keepLines w:val="0"/>
              <w:suppressLineNumbers w:val="0"/>
              <w:spacing w:before="0" w:beforeAutospacing="0" w:after="0" w:afterAutospacing="0" w:line="400" w:lineRule="exact"/>
              <w:ind w:left="0" w:right="0"/>
              <w:jc w:val="center"/>
              <w:rPr>
                <w:rFonts w:hint="eastAsia" w:ascii="宋体" w:hAnsi="宋体"/>
                <w:b w:val="0"/>
                <w:bCs/>
                <w:color w:val="auto"/>
                <w:sz w:val="21"/>
                <w:szCs w:val="21"/>
                <w:highlight w:val="none"/>
                <w:vertAlign w:val="baseline"/>
              </w:rPr>
            </w:pPr>
            <w:r>
              <w:rPr>
                <w:rFonts w:hint="eastAsia" w:ascii="宋体" w:hAnsi="宋体"/>
                <w:b w:val="0"/>
                <w:bCs/>
                <w:color w:val="auto"/>
                <w:sz w:val="21"/>
                <w:szCs w:val="21"/>
                <w:highlight w:val="none"/>
                <w:vertAlign w:val="baseline"/>
              </w:rPr>
              <w:t>A02060200变压</w:t>
            </w:r>
          </w:p>
        </w:tc>
        <w:tc>
          <w:tcPr>
            <w:tcW w:w="1773" w:type="dxa"/>
            <w:vAlign w:val="center"/>
          </w:tcPr>
          <w:p w14:paraId="66763F99">
            <w:pPr>
              <w:keepNext w:val="0"/>
              <w:keepLines w:val="0"/>
              <w:suppressLineNumbers w:val="0"/>
              <w:spacing w:before="0" w:beforeAutospacing="0" w:after="0" w:afterAutospacing="0" w:line="400" w:lineRule="exact"/>
              <w:ind w:left="0" w:right="0"/>
              <w:jc w:val="center"/>
              <w:rPr>
                <w:rFonts w:hint="eastAsia" w:ascii="宋体" w:hAnsi="宋体"/>
                <w:b w:val="0"/>
                <w:bCs/>
                <w:color w:val="auto"/>
                <w:sz w:val="21"/>
                <w:szCs w:val="21"/>
                <w:highlight w:val="none"/>
                <w:vertAlign w:val="baseline"/>
              </w:rPr>
            </w:pPr>
            <w:r>
              <w:rPr>
                <w:rFonts w:hint="eastAsia" w:ascii="宋体" w:hAnsi="宋体"/>
                <w:b w:val="0"/>
                <w:bCs/>
                <w:color w:val="auto"/>
                <w:sz w:val="21"/>
                <w:szCs w:val="21"/>
                <w:highlight w:val="none"/>
                <w:vertAlign w:val="baseline"/>
              </w:rPr>
              <w:t>配电变压器</w:t>
            </w:r>
          </w:p>
        </w:tc>
        <w:tc>
          <w:tcPr>
            <w:tcW w:w="1964" w:type="dxa"/>
            <w:vAlign w:val="center"/>
          </w:tcPr>
          <w:p w14:paraId="1D4AB5D4">
            <w:pPr>
              <w:keepNext w:val="0"/>
              <w:keepLines w:val="0"/>
              <w:suppressLineNumbers w:val="0"/>
              <w:spacing w:before="0" w:beforeAutospacing="0" w:after="0" w:afterAutospacing="0" w:line="400" w:lineRule="exact"/>
              <w:ind w:left="0" w:right="0"/>
              <w:jc w:val="center"/>
              <w:rPr>
                <w:rFonts w:hint="eastAsia" w:ascii="宋体" w:hAnsi="宋体"/>
                <w:b w:val="0"/>
                <w:bCs/>
                <w:color w:val="auto"/>
                <w:sz w:val="21"/>
                <w:szCs w:val="21"/>
                <w:highlight w:val="none"/>
                <w:vertAlign w:val="baseline"/>
              </w:rPr>
            </w:pPr>
          </w:p>
        </w:tc>
        <w:tc>
          <w:tcPr>
            <w:tcW w:w="3595" w:type="dxa"/>
            <w:vAlign w:val="center"/>
          </w:tcPr>
          <w:p w14:paraId="5278F7F0">
            <w:pPr>
              <w:keepNext w:val="0"/>
              <w:keepLines w:val="0"/>
              <w:suppressLineNumbers w:val="0"/>
              <w:spacing w:before="0" w:beforeAutospacing="0" w:after="0" w:afterAutospacing="0" w:line="400" w:lineRule="exact"/>
              <w:ind w:left="0" w:right="0"/>
              <w:jc w:val="left"/>
              <w:rPr>
                <w:rFonts w:hint="eastAsia" w:ascii="宋体" w:hAnsi="宋体"/>
                <w:b w:val="0"/>
                <w:bCs/>
                <w:color w:val="auto"/>
                <w:sz w:val="21"/>
                <w:szCs w:val="21"/>
                <w:highlight w:val="none"/>
                <w:vertAlign w:val="baseline"/>
              </w:rPr>
            </w:pPr>
            <w:r>
              <w:rPr>
                <w:rFonts w:hint="eastAsia" w:ascii="宋体" w:hAnsi="宋体"/>
                <w:b w:val="0"/>
                <w:bCs/>
                <w:color w:val="auto"/>
                <w:sz w:val="21"/>
                <w:szCs w:val="21"/>
                <w:highlight w:val="none"/>
                <w:vertAlign w:val="baseline"/>
              </w:rPr>
              <w:t>《三相配电变压器能效限定值及能效等级》（GB 20052）</w:t>
            </w:r>
          </w:p>
        </w:tc>
      </w:tr>
      <w:tr w14:paraId="410E9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2B2862CB">
            <w:pPr>
              <w:keepNext w:val="0"/>
              <w:keepLines w:val="0"/>
              <w:suppressLineNumbers w:val="0"/>
              <w:spacing w:before="0" w:beforeAutospacing="0" w:after="0" w:afterAutospacing="0" w:line="400" w:lineRule="exact"/>
              <w:ind w:left="0" w:right="0"/>
              <w:jc w:val="center"/>
              <w:rPr>
                <w:rFonts w:hint="eastAsia" w:ascii="宋体" w:hAnsi="宋体" w:eastAsia="宋体"/>
                <w:b w:val="0"/>
                <w:bCs/>
                <w:color w:val="auto"/>
                <w:sz w:val="21"/>
                <w:szCs w:val="21"/>
                <w:highlight w:val="none"/>
                <w:vertAlign w:val="baseline"/>
                <w:lang w:val="en-US" w:eastAsia="zh-CN"/>
              </w:rPr>
            </w:pPr>
            <w:r>
              <w:rPr>
                <w:rFonts w:hint="eastAsia" w:ascii="宋体" w:hAnsi="宋体"/>
                <w:b w:val="0"/>
                <w:bCs/>
                <w:color w:val="auto"/>
                <w:sz w:val="21"/>
                <w:szCs w:val="21"/>
                <w:highlight w:val="none"/>
                <w:vertAlign w:val="baseline"/>
                <w:lang w:val="en-US" w:eastAsia="zh-CN"/>
              </w:rPr>
              <w:t>9</w:t>
            </w:r>
          </w:p>
        </w:tc>
        <w:tc>
          <w:tcPr>
            <w:tcW w:w="1813" w:type="dxa"/>
            <w:vAlign w:val="center"/>
          </w:tcPr>
          <w:p w14:paraId="27F90B0E">
            <w:pPr>
              <w:keepNext w:val="0"/>
              <w:keepLines w:val="0"/>
              <w:suppressLineNumbers w:val="0"/>
              <w:spacing w:before="0" w:beforeAutospacing="0" w:after="0" w:afterAutospacing="0" w:line="400" w:lineRule="exact"/>
              <w:ind w:left="0" w:right="0"/>
              <w:jc w:val="center"/>
              <w:rPr>
                <w:rFonts w:hint="eastAsia" w:ascii="宋体" w:hAnsi="宋体"/>
                <w:b w:val="0"/>
                <w:bCs/>
                <w:color w:val="auto"/>
                <w:sz w:val="21"/>
                <w:szCs w:val="21"/>
                <w:highlight w:val="none"/>
                <w:vertAlign w:val="baseline"/>
              </w:rPr>
            </w:pPr>
            <w:r>
              <w:rPr>
                <w:rFonts w:hint="eastAsia" w:ascii="宋体" w:hAnsi="宋体"/>
                <w:b w:val="0"/>
                <w:bCs/>
                <w:color w:val="auto"/>
                <w:sz w:val="21"/>
                <w:szCs w:val="21"/>
                <w:highlight w:val="none"/>
                <w:vertAlign w:val="baseline"/>
              </w:rPr>
              <w:t>★A02060900镇流器</w:t>
            </w:r>
          </w:p>
        </w:tc>
        <w:tc>
          <w:tcPr>
            <w:tcW w:w="1773" w:type="dxa"/>
            <w:vAlign w:val="center"/>
          </w:tcPr>
          <w:p w14:paraId="527DB965">
            <w:pPr>
              <w:keepNext w:val="0"/>
              <w:keepLines w:val="0"/>
              <w:suppressLineNumbers w:val="0"/>
              <w:spacing w:before="0" w:beforeAutospacing="0" w:after="0" w:afterAutospacing="0" w:line="400" w:lineRule="exact"/>
              <w:ind w:left="0" w:right="0"/>
              <w:jc w:val="center"/>
              <w:rPr>
                <w:rFonts w:hint="eastAsia" w:ascii="宋体" w:hAnsi="宋体"/>
                <w:b w:val="0"/>
                <w:bCs/>
                <w:color w:val="auto"/>
                <w:sz w:val="21"/>
                <w:szCs w:val="21"/>
                <w:highlight w:val="none"/>
                <w:vertAlign w:val="baseline"/>
              </w:rPr>
            </w:pPr>
            <w:r>
              <w:rPr>
                <w:rFonts w:hint="eastAsia" w:ascii="宋体" w:hAnsi="宋体"/>
                <w:b w:val="0"/>
                <w:bCs/>
                <w:color w:val="auto"/>
                <w:sz w:val="21"/>
                <w:szCs w:val="21"/>
                <w:highlight w:val="none"/>
                <w:vertAlign w:val="baseline"/>
              </w:rPr>
              <w:t>管型荧光灯镇流器</w:t>
            </w:r>
          </w:p>
        </w:tc>
        <w:tc>
          <w:tcPr>
            <w:tcW w:w="1964" w:type="dxa"/>
            <w:vAlign w:val="center"/>
          </w:tcPr>
          <w:p w14:paraId="284E702E">
            <w:pPr>
              <w:keepNext w:val="0"/>
              <w:keepLines w:val="0"/>
              <w:suppressLineNumbers w:val="0"/>
              <w:spacing w:before="0" w:beforeAutospacing="0" w:after="0" w:afterAutospacing="0" w:line="400" w:lineRule="exact"/>
              <w:ind w:left="0" w:right="0"/>
              <w:jc w:val="center"/>
              <w:rPr>
                <w:rFonts w:hint="eastAsia" w:ascii="宋体" w:hAnsi="宋体"/>
                <w:b w:val="0"/>
                <w:bCs/>
                <w:color w:val="auto"/>
                <w:sz w:val="21"/>
                <w:szCs w:val="21"/>
                <w:highlight w:val="none"/>
                <w:vertAlign w:val="baseline"/>
              </w:rPr>
            </w:pPr>
          </w:p>
        </w:tc>
        <w:tc>
          <w:tcPr>
            <w:tcW w:w="3595" w:type="dxa"/>
            <w:vAlign w:val="center"/>
          </w:tcPr>
          <w:p w14:paraId="48ADF5D4">
            <w:pPr>
              <w:keepNext w:val="0"/>
              <w:keepLines w:val="0"/>
              <w:suppressLineNumbers w:val="0"/>
              <w:spacing w:before="0" w:beforeAutospacing="0" w:after="0" w:afterAutospacing="0" w:line="400" w:lineRule="exact"/>
              <w:ind w:left="0" w:right="0"/>
              <w:jc w:val="left"/>
              <w:rPr>
                <w:rFonts w:hint="eastAsia" w:ascii="宋体" w:hAnsi="宋体"/>
                <w:b w:val="0"/>
                <w:bCs/>
                <w:color w:val="auto"/>
                <w:sz w:val="21"/>
                <w:szCs w:val="21"/>
                <w:highlight w:val="none"/>
                <w:vertAlign w:val="baseline"/>
              </w:rPr>
            </w:pPr>
            <w:r>
              <w:rPr>
                <w:rFonts w:hint="eastAsia" w:ascii="宋体" w:hAnsi="宋体"/>
                <w:b w:val="0"/>
                <w:bCs/>
                <w:color w:val="auto"/>
                <w:sz w:val="21"/>
                <w:szCs w:val="21"/>
                <w:highlight w:val="none"/>
                <w:vertAlign w:val="baseline"/>
              </w:rPr>
              <w:t>《管形荧光灯镇流器能效限定值及能效等级》（GB17896）</w:t>
            </w:r>
          </w:p>
        </w:tc>
      </w:tr>
      <w:tr w14:paraId="0C1D6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restart"/>
            <w:vAlign w:val="center"/>
          </w:tcPr>
          <w:p w14:paraId="7FC00C34">
            <w:pPr>
              <w:keepNext w:val="0"/>
              <w:keepLines w:val="0"/>
              <w:suppressLineNumbers w:val="0"/>
              <w:spacing w:before="0" w:beforeAutospacing="0" w:after="0" w:afterAutospacing="0" w:line="400" w:lineRule="exact"/>
              <w:ind w:left="0" w:right="0"/>
              <w:jc w:val="center"/>
              <w:rPr>
                <w:rFonts w:hint="default" w:ascii="宋体" w:hAnsi="宋体" w:eastAsia="宋体"/>
                <w:b w:val="0"/>
                <w:bCs/>
                <w:color w:val="auto"/>
                <w:sz w:val="21"/>
                <w:szCs w:val="21"/>
                <w:highlight w:val="none"/>
                <w:vertAlign w:val="baseline"/>
                <w:lang w:val="en-US" w:eastAsia="zh-CN"/>
              </w:rPr>
            </w:pPr>
            <w:r>
              <w:rPr>
                <w:rFonts w:hint="eastAsia" w:ascii="宋体" w:hAnsi="宋体"/>
                <w:b w:val="0"/>
                <w:bCs/>
                <w:color w:val="auto"/>
                <w:sz w:val="21"/>
                <w:szCs w:val="21"/>
                <w:highlight w:val="none"/>
                <w:vertAlign w:val="baseline"/>
                <w:lang w:val="en-US" w:eastAsia="zh-CN"/>
              </w:rPr>
              <w:t>10</w:t>
            </w:r>
          </w:p>
        </w:tc>
        <w:tc>
          <w:tcPr>
            <w:tcW w:w="1813" w:type="dxa"/>
            <w:vMerge w:val="restart"/>
            <w:vAlign w:val="center"/>
          </w:tcPr>
          <w:p w14:paraId="70FE1289">
            <w:pPr>
              <w:keepNext w:val="0"/>
              <w:keepLines w:val="0"/>
              <w:suppressLineNumbers w:val="0"/>
              <w:spacing w:before="0" w:beforeAutospacing="0" w:after="0" w:afterAutospacing="0" w:line="400" w:lineRule="exact"/>
              <w:ind w:left="0" w:right="0"/>
              <w:jc w:val="center"/>
              <w:rPr>
                <w:rFonts w:hint="eastAsia" w:ascii="宋体" w:hAnsi="宋体"/>
                <w:b w:val="0"/>
                <w:bCs/>
                <w:color w:val="auto"/>
                <w:sz w:val="21"/>
                <w:szCs w:val="21"/>
                <w:highlight w:val="none"/>
                <w:vertAlign w:val="baseline"/>
              </w:rPr>
            </w:pPr>
            <w:r>
              <w:rPr>
                <w:rFonts w:hint="eastAsia" w:ascii="宋体" w:hAnsi="宋体"/>
                <w:b w:val="0"/>
                <w:bCs/>
                <w:color w:val="auto"/>
                <w:sz w:val="21"/>
                <w:szCs w:val="21"/>
                <w:highlight w:val="none"/>
                <w:vertAlign w:val="baseline"/>
              </w:rPr>
              <w:t>A02061800生活用电器</w:t>
            </w:r>
          </w:p>
        </w:tc>
        <w:tc>
          <w:tcPr>
            <w:tcW w:w="1773" w:type="dxa"/>
            <w:vAlign w:val="center"/>
          </w:tcPr>
          <w:p w14:paraId="2B64C0F7">
            <w:pPr>
              <w:keepNext w:val="0"/>
              <w:keepLines w:val="0"/>
              <w:suppressLineNumbers w:val="0"/>
              <w:spacing w:before="0" w:beforeAutospacing="0" w:after="0" w:afterAutospacing="0" w:line="400" w:lineRule="exact"/>
              <w:ind w:left="0" w:right="0"/>
              <w:jc w:val="center"/>
              <w:rPr>
                <w:rFonts w:hint="eastAsia" w:ascii="宋体" w:hAnsi="宋体"/>
                <w:b w:val="0"/>
                <w:bCs/>
                <w:color w:val="auto"/>
                <w:sz w:val="21"/>
                <w:szCs w:val="21"/>
                <w:highlight w:val="none"/>
                <w:vertAlign w:val="baseline"/>
              </w:rPr>
            </w:pPr>
            <w:r>
              <w:rPr>
                <w:rFonts w:hint="eastAsia" w:ascii="宋体" w:hAnsi="宋体"/>
                <w:b w:val="0"/>
                <w:bCs/>
                <w:color w:val="auto"/>
                <w:sz w:val="21"/>
                <w:szCs w:val="21"/>
                <w:highlight w:val="none"/>
                <w:vertAlign w:val="baseline"/>
              </w:rPr>
              <w:t>A02061801 电冰箱</w:t>
            </w:r>
          </w:p>
        </w:tc>
        <w:tc>
          <w:tcPr>
            <w:tcW w:w="1964" w:type="dxa"/>
            <w:vAlign w:val="center"/>
          </w:tcPr>
          <w:p w14:paraId="3D8A7AB4">
            <w:pPr>
              <w:keepNext w:val="0"/>
              <w:keepLines w:val="0"/>
              <w:suppressLineNumbers w:val="0"/>
              <w:spacing w:before="0" w:beforeAutospacing="0" w:after="0" w:afterAutospacing="0" w:line="400" w:lineRule="exact"/>
              <w:ind w:left="0" w:right="0"/>
              <w:jc w:val="center"/>
              <w:rPr>
                <w:rFonts w:hint="eastAsia" w:ascii="宋体" w:hAnsi="宋体"/>
                <w:b w:val="0"/>
                <w:bCs/>
                <w:color w:val="auto"/>
                <w:sz w:val="21"/>
                <w:szCs w:val="21"/>
                <w:highlight w:val="none"/>
                <w:vertAlign w:val="baseline"/>
              </w:rPr>
            </w:pPr>
          </w:p>
        </w:tc>
        <w:tc>
          <w:tcPr>
            <w:tcW w:w="3595" w:type="dxa"/>
            <w:vAlign w:val="center"/>
          </w:tcPr>
          <w:p w14:paraId="10D186CD">
            <w:pPr>
              <w:keepNext w:val="0"/>
              <w:keepLines w:val="0"/>
              <w:suppressLineNumbers w:val="0"/>
              <w:spacing w:before="0" w:beforeAutospacing="0" w:after="0" w:afterAutospacing="0" w:line="400" w:lineRule="exact"/>
              <w:ind w:left="0" w:right="0"/>
              <w:jc w:val="left"/>
              <w:rPr>
                <w:rFonts w:hint="eastAsia" w:ascii="宋体" w:hAnsi="宋体"/>
                <w:b w:val="0"/>
                <w:bCs/>
                <w:color w:val="auto"/>
                <w:sz w:val="21"/>
                <w:szCs w:val="21"/>
                <w:highlight w:val="none"/>
                <w:vertAlign w:val="baseline"/>
              </w:rPr>
            </w:pPr>
            <w:r>
              <w:rPr>
                <w:rFonts w:hint="eastAsia" w:ascii="宋体" w:hAnsi="宋体"/>
                <w:b w:val="0"/>
                <w:bCs/>
                <w:color w:val="auto"/>
                <w:sz w:val="21"/>
                <w:szCs w:val="21"/>
                <w:highlight w:val="none"/>
                <w:vertAlign w:val="baseline"/>
              </w:rPr>
              <w:t>《家用电冰箱耗电量限定值及能效等级》（GB12021.2）</w:t>
            </w:r>
          </w:p>
        </w:tc>
      </w:tr>
      <w:tr w14:paraId="4B931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09" w:type="dxa"/>
            <w:vMerge w:val="continue"/>
            <w:vAlign w:val="center"/>
          </w:tcPr>
          <w:p w14:paraId="452BE395">
            <w:pPr>
              <w:keepNext w:val="0"/>
              <w:keepLines w:val="0"/>
              <w:suppressLineNumbers w:val="0"/>
              <w:spacing w:before="0" w:beforeAutospacing="0" w:after="0" w:afterAutospacing="0" w:line="400" w:lineRule="exact"/>
              <w:ind w:left="0" w:right="0"/>
              <w:jc w:val="center"/>
              <w:rPr>
                <w:rFonts w:hint="eastAsia" w:ascii="宋体" w:hAnsi="宋体"/>
                <w:b w:val="0"/>
                <w:bCs/>
                <w:color w:val="auto"/>
                <w:sz w:val="21"/>
                <w:szCs w:val="21"/>
                <w:highlight w:val="none"/>
                <w:vertAlign w:val="baseline"/>
              </w:rPr>
            </w:pPr>
          </w:p>
        </w:tc>
        <w:tc>
          <w:tcPr>
            <w:tcW w:w="1813" w:type="dxa"/>
            <w:vMerge w:val="continue"/>
            <w:vAlign w:val="center"/>
          </w:tcPr>
          <w:p w14:paraId="572E1599">
            <w:pPr>
              <w:keepNext w:val="0"/>
              <w:keepLines w:val="0"/>
              <w:suppressLineNumbers w:val="0"/>
              <w:spacing w:before="0" w:beforeAutospacing="0" w:after="0" w:afterAutospacing="0" w:line="400" w:lineRule="exact"/>
              <w:ind w:left="0" w:right="0"/>
              <w:jc w:val="center"/>
              <w:rPr>
                <w:rFonts w:hint="eastAsia" w:ascii="宋体" w:hAnsi="宋体"/>
                <w:b w:val="0"/>
                <w:bCs/>
                <w:color w:val="auto"/>
                <w:sz w:val="21"/>
                <w:szCs w:val="21"/>
                <w:highlight w:val="none"/>
                <w:vertAlign w:val="baseline"/>
              </w:rPr>
            </w:pPr>
          </w:p>
        </w:tc>
        <w:tc>
          <w:tcPr>
            <w:tcW w:w="1773" w:type="dxa"/>
            <w:vMerge w:val="restart"/>
            <w:vAlign w:val="center"/>
          </w:tcPr>
          <w:p w14:paraId="72252E0C">
            <w:pPr>
              <w:keepNext w:val="0"/>
              <w:keepLines w:val="0"/>
              <w:suppressLineNumbers w:val="0"/>
              <w:spacing w:before="0" w:beforeAutospacing="0" w:after="0" w:afterAutospacing="0" w:line="400" w:lineRule="exact"/>
              <w:ind w:left="0" w:right="0"/>
              <w:jc w:val="center"/>
              <w:rPr>
                <w:rFonts w:hint="eastAsia" w:ascii="宋体" w:hAnsi="宋体"/>
                <w:b w:val="0"/>
                <w:bCs/>
                <w:color w:val="auto"/>
                <w:sz w:val="21"/>
                <w:szCs w:val="21"/>
                <w:highlight w:val="none"/>
                <w:vertAlign w:val="baseline"/>
              </w:rPr>
            </w:pPr>
            <w:r>
              <w:rPr>
                <w:rFonts w:hint="eastAsia" w:ascii="宋体" w:hAnsi="宋体"/>
                <w:b w:val="0"/>
                <w:bCs/>
                <w:color w:val="auto"/>
                <w:sz w:val="21"/>
                <w:szCs w:val="21"/>
                <w:highlight w:val="none"/>
                <w:vertAlign w:val="baseline"/>
              </w:rPr>
              <w:t>★A02061804空调机</w:t>
            </w:r>
          </w:p>
        </w:tc>
        <w:tc>
          <w:tcPr>
            <w:tcW w:w="1964" w:type="dxa"/>
            <w:vAlign w:val="center"/>
          </w:tcPr>
          <w:p w14:paraId="1E032025">
            <w:pPr>
              <w:keepNext w:val="0"/>
              <w:keepLines w:val="0"/>
              <w:suppressLineNumbers w:val="0"/>
              <w:spacing w:before="0" w:beforeAutospacing="0" w:after="0" w:afterAutospacing="0" w:line="400" w:lineRule="exact"/>
              <w:ind w:left="0" w:right="0"/>
              <w:jc w:val="center"/>
              <w:rPr>
                <w:rFonts w:hint="eastAsia" w:ascii="宋体" w:hAnsi="宋体"/>
                <w:b w:val="0"/>
                <w:bCs/>
                <w:color w:val="auto"/>
                <w:sz w:val="21"/>
                <w:szCs w:val="21"/>
                <w:highlight w:val="none"/>
                <w:vertAlign w:val="baseline"/>
              </w:rPr>
            </w:pPr>
            <w:r>
              <w:rPr>
                <w:rFonts w:hint="eastAsia" w:ascii="宋体" w:hAnsi="宋体"/>
                <w:b w:val="0"/>
                <w:bCs/>
                <w:color w:val="auto"/>
                <w:sz w:val="21"/>
                <w:szCs w:val="21"/>
                <w:highlight w:val="none"/>
                <w:vertAlign w:val="baseline"/>
              </w:rPr>
              <w:t>房间空气调节器</w:t>
            </w:r>
          </w:p>
        </w:tc>
        <w:tc>
          <w:tcPr>
            <w:tcW w:w="3595" w:type="dxa"/>
            <w:vAlign w:val="top"/>
          </w:tcPr>
          <w:p w14:paraId="34BE0C57">
            <w:pPr>
              <w:keepNext w:val="0"/>
              <w:keepLines w:val="0"/>
              <w:suppressLineNumbers w:val="0"/>
              <w:spacing w:before="0" w:beforeAutospacing="0" w:after="0" w:afterAutospacing="0" w:line="400" w:lineRule="exact"/>
              <w:ind w:left="0" w:right="0"/>
              <w:jc w:val="left"/>
              <w:rPr>
                <w:rFonts w:hint="eastAsia" w:ascii="宋体" w:hAnsi="宋体"/>
                <w:b w:val="0"/>
                <w:bCs/>
                <w:color w:val="auto"/>
                <w:sz w:val="21"/>
                <w:szCs w:val="21"/>
                <w:highlight w:val="none"/>
                <w:vertAlign w:val="baseline"/>
              </w:rPr>
            </w:pPr>
            <w:r>
              <w:rPr>
                <w:rFonts w:hint="eastAsia" w:ascii="宋体" w:hAnsi="宋体"/>
                <w:b w:val="0"/>
                <w:bCs/>
                <w:color w:val="auto"/>
                <w:sz w:val="21"/>
                <w:szCs w:val="21"/>
                <w:highlight w:val="none"/>
                <w:vertAlign w:val="baseline"/>
              </w:rPr>
              <w:t>《房间空气调节器能效限定值及能效等级》（GB21455-2019）</w:t>
            </w:r>
          </w:p>
        </w:tc>
      </w:tr>
      <w:tr w14:paraId="7A3B3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14:paraId="4AA59292">
            <w:pPr>
              <w:keepNext w:val="0"/>
              <w:keepLines w:val="0"/>
              <w:suppressLineNumbers w:val="0"/>
              <w:spacing w:before="0" w:beforeAutospacing="0" w:after="0" w:afterAutospacing="0" w:line="400" w:lineRule="exact"/>
              <w:ind w:left="0" w:right="0"/>
              <w:jc w:val="center"/>
              <w:rPr>
                <w:rFonts w:hint="eastAsia" w:ascii="宋体" w:hAnsi="宋体"/>
                <w:b w:val="0"/>
                <w:bCs/>
                <w:color w:val="auto"/>
                <w:sz w:val="21"/>
                <w:szCs w:val="21"/>
                <w:highlight w:val="none"/>
                <w:vertAlign w:val="baseline"/>
              </w:rPr>
            </w:pPr>
          </w:p>
        </w:tc>
        <w:tc>
          <w:tcPr>
            <w:tcW w:w="1813" w:type="dxa"/>
            <w:vMerge w:val="continue"/>
            <w:vAlign w:val="center"/>
          </w:tcPr>
          <w:p w14:paraId="3BD10ECF">
            <w:pPr>
              <w:keepNext w:val="0"/>
              <w:keepLines w:val="0"/>
              <w:suppressLineNumbers w:val="0"/>
              <w:spacing w:before="0" w:beforeAutospacing="0" w:after="0" w:afterAutospacing="0" w:line="400" w:lineRule="exact"/>
              <w:ind w:left="0" w:right="0"/>
              <w:jc w:val="center"/>
              <w:rPr>
                <w:rFonts w:hint="eastAsia" w:ascii="宋体" w:hAnsi="宋体"/>
                <w:b w:val="0"/>
                <w:bCs/>
                <w:color w:val="auto"/>
                <w:sz w:val="21"/>
                <w:szCs w:val="21"/>
                <w:highlight w:val="none"/>
                <w:vertAlign w:val="baseline"/>
              </w:rPr>
            </w:pPr>
          </w:p>
        </w:tc>
        <w:tc>
          <w:tcPr>
            <w:tcW w:w="1773" w:type="dxa"/>
            <w:vMerge w:val="continue"/>
            <w:vAlign w:val="center"/>
          </w:tcPr>
          <w:p w14:paraId="48EBF046">
            <w:pPr>
              <w:keepNext w:val="0"/>
              <w:keepLines w:val="0"/>
              <w:suppressLineNumbers w:val="0"/>
              <w:spacing w:before="0" w:beforeAutospacing="0" w:after="0" w:afterAutospacing="0" w:line="400" w:lineRule="exact"/>
              <w:ind w:left="0" w:right="0"/>
              <w:jc w:val="center"/>
              <w:rPr>
                <w:rFonts w:hint="eastAsia" w:ascii="宋体" w:hAnsi="宋体"/>
                <w:b w:val="0"/>
                <w:bCs/>
                <w:color w:val="auto"/>
                <w:sz w:val="21"/>
                <w:szCs w:val="21"/>
                <w:highlight w:val="none"/>
                <w:vertAlign w:val="baseline"/>
              </w:rPr>
            </w:pPr>
          </w:p>
        </w:tc>
        <w:tc>
          <w:tcPr>
            <w:tcW w:w="1964" w:type="dxa"/>
            <w:vAlign w:val="center"/>
          </w:tcPr>
          <w:p w14:paraId="5778C64C">
            <w:pPr>
              <w:keepNext w:val="0"/>
              <w:keepLines w:val="0"/>
              <w:suppressLineNumbers w:val="0"/>
              <w:spacing w:before="0" w:beforeAutospacing="0" w:after="0" w:afterAutospacing="0" w:line="400" w:lineRule="exact"/>
              <w:ind w:left="0" w:right="0"/>
              <w:jc w:val="center"/>
              <w:rPr>
                <w:rFonts w:hint="eastAsia" w:ascii="宋体" w:hAnsi="宋体"/>
                <w:b w:val="0"/>
                <w:bCs/>
                <w:color w:val="auto"/>
                <w:sz w:val="21"/>
                <w:szCs w:val="21"/>
                <w:highlight w:val="none"/>
                <w:vertAlign w:val="baseline"/>
              </w:rPr>
            </w:pPr>
            <w:r>
              <w:rPr>
                <w:rFonts w:hint="eastAsia" w:ascii="宋体" w:hAnsi="宋体"/>
                <w:b w:val="0"/>
                <w:bCs/>
                <w:color w:val="auto"/>
                <w:sz w:val="21"/>
                <w:szCs w:val="21"/>
                <w:highlight w:val="none"/>
                <w:vertAlign w:val="baseline"/>
              </w:rPr>
              <w:t>多联式空调</w:t>
            </w:r>
          </w:p>
          <w:p w14:paraId="7ED5CB00">
            <w:pPr>
              <w:keepNext w:val="0"/>
              <w:keepLines w:val="0"/>
              <w:suppressLineNumbers w:val="0"/>
              <w:spacing w:before="0" w:beforeAutospacing="0" w:after="0" w:afterAutospacing="0" w:line="400" w:lineRule="exact"/>
              <w:ind w:left="0" w:right="0"/>
              <w:jc w:val="center"/>
              <w:rPr>
                <w:rFonts w:hint="eastAsia" w:ascii="宋体" w:hAnsi="宋体"/>
                <w:b w:val="0"/>
                <w:bCs/>
                <w:color w:val="auto"/>
                <w:sz w:val="21"/>
                <w:szCs w:val="21"/>
                <w:highlight w:val="none"/>
                <w:vertAlign w:val="baseline"/>
              </w:rPr>
            </w:pPr>
            <w:r>
              <w:rPr>
                <w:rFonts w:hint="eastAsia" w:ascii="宋体" w:hAnsi="宋体"/>
                <w:b w:val="0"/>
                <w:bCs/>
                <w:color w:val="auto"/>
                <w:sz w:val="21"/>
                <w:szCs w:val="21"/>
                <w:highlight w:val="none"/>
                <w:vertAlign w:val="baseline"/>
              </w:rPr>
              <w:t>（热泵）机</w:t>
            </w:r>
          </w:p>
          <w:p w14:paraId="599A8EE1">
            <w:pPr>
              <w:keepNext w:val="0"/>
              <w:keepLines w:val="0"/>
              <w:suppressLineNumbers w:val="0"/>
              <w:spacing w:before="0" w:beforeAutospacing="0" w:after="0" w:afterAutospacing="0" w:line="400" w:lineRule="exact"/>
              <w:ind w:left="0" w:right="0"/>
              <w:jc w:val="center"/>
              <w:rPr>
                <w:rFonts w:hint="eastAsia" w:ascii="宋体" w:hAnsi="宋体"/>
                <w:b w:val="0"/>
                <w:bCs/>
                <w:color w:val="auto"/>
                <w:sz w:val="21"/>
                <w:szCs w:val="21"/>
                <w:highlight w:val="none"/>
                <w:vertAlign w:val="baseline"/>
              </w:rPr>
            </w:pPr>
            <w:r>
              <w:rPr>
                <w:rFonts w:hint="eastAsia" w:ascii="宋体" w:hAnsi="宋体"/>
                <w:b w:val="0"/>
                <w:bCs/>
                <w:color w:val="auto"/>
                <w:sz w:val="21"/>
                <w:szCs w:val="21"/>
                <w:highlight w:val="none"/>
                <w:vertAlign w:val="baseline"/>
              </w:rPr>
              <w:t>组（制冷量≤ 14000W）</w:t>
            </w:r>
          </w:p>
        </w:tc>
        <w:tc>
          <w:tcPr>
            <w:tcW w:w="3595" w:type="dxa"/>
            <w:vAlign w:val="top"/>
          </w:tcPr>
          <w:p w14:paraId="27D2AA8E">
            <w:pPr>
              <w:keepNext w:val="0"/>
              <w:keepLines w:val="0"/>
              <w:suppressLineNumbers w:val="0"/>
              <w:spacing w:before="0" w:beforeAutospacing="0" w:after="0" w:afterAutospacing="0" w:line="400" w:lineRule="exact"/>
              <w:ind w:left="0" w:right="0"/>
              <w:jc w:val="left"/>
              <w:rPr>
                <w:rFonts w:hint="eastAsia" w:ascii="宋体" w:hAnsi="宋体"/>
                <w:b w:val="0"/>
                <w:bCs/>
                <w:color w:val="auto"/>
                <w:sz w:val="21"/>
                <w:szCs w:val="21"/>
                <w:highlight w:val="none"/>
                <w:vertAlign w:val="baseline"/>
              </w:rPr>
            </w:pPr>
            <w:r>
              <w:rPr>
                <w:rFonts w:hint="eastAsia" w:ascii="宋体" w:hAnsi="宋体"/>
                <w:b w:val="0"/>
                <w:bCs/>
                <w:color w:val="auto"/>
                <w:sz w:val="21"/>
                <w:szCs w:val="21"/>
                <w:highlight w:val="none"/>
                <w:vertAlign w:val="baseline"/>
              </w:rPr>
              <w:t>《多联式空调（热泵） 机组能效限定值及能源效率等级》</w:t>
            </w:r>
          </w:p>
          <w:p w14:paraId="3AFD434B">
            <w:pPr>
              <w:keepNext w:val="0"/>
              <w:keepLines w:val="0"/>
              <w:suppressLineNumbers w:val="0"/>
              <w:spacing w:before="0" w:beforeAutospacing="0" w:after="0" w:afterAutospacing="0" w:line="400" w:lineRule="exact"/>
              <w:ind w:left="0" w:right="0"/>
              <w:jc w:val="left"/>
              <w:rPr>
                <w:rFonts w:hint="eastAsia" w:ascii="宋体" w:hAnsi="宋体"/>
                <w:b w:val="0"/>
                <w:bCs/>
                <w:color w:val="auto"/>
                <w:sz w:val="21"/>
                <w:szCs w:val="21"/>
                <w:highlight w:val="none"/>
                <w:vertAlign w:val="baseline"/>
              </w:rPr>
            </w:pPr>
            <w:r>
              <w:rPr>
                <w:rFonts w:hint="eastAsia" w:ascii="宋体" w:hAnsi="宋体"/>
                <w:b w:val="0"/>
                <w:bCs/>
                <w:color w:val="auto"/>
                <w:sz w:val="21"/>
                <w:szCs w:val="21"/>
                <w:highlight w:val="none"/>
                <w:vertAlign w:val="baseline"/>
              </w:rPr>
              <w:t>（GB21454）</w:t>
            </w:r>
          </w:p>
        </w:tc>
      </w:tr>
      <w:tr w14:paraId="72490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14:paraId="5D224C00">
            <w:pPr>
              <w:keepNext w:val="0"/>
              <w:keepLines w:val="0"/>
              <w:suppressLineNumbers w:val="0"/>
              <w:spacing w:before="0" w:beforeAutospacing="0" w:after="0" w:afterAutospacing="0" w:line="400" w:lineRule="exact"/>
              <w:ind w:left="0" w:right="0"/>
              <w:jc w:val="center"/>
              <w:rPr>
                <w:rFonts w:hint="eastAsia" w:ascii="宋体" w:hAnsi="宋体"/>
                <w:b w:val="0"/>
                <w:bCs/>
                <w:color w:val="auto"/>
                <w:sz w:val="21"/>
                <w:szCs w:val="21"/>
                <w:highlight w:val="none"/>
                <w:vertAlign w:val="baseline"/>
              </w:rPr>
            </w:pPr>
          </w:p>
        </w:tc>
        <w:tc>
          <w:tcPr>
            <w:tcW w:w="1813" w:type="dxa"/>
            <w:vMerge w:val="continue"/>
            <w:vAlign w:val="center"/>
          </w:tcPr>
          <w:p w14:paraId="2A12E3B3">
            <w:pPr>
              <w:keepNext w:val="0"/>
              <w:keepLines w:val="0"/>
              <w:suppressLineNumbers w:val="0"/>
              <w:spacing w:before="0" w:beforeAutospacing="0" w:after="0" w:afterAutospacing="0" w:line="400" w:lineRule="exact"/>
              <w:ind w:left="0" w:right="0"/>
              <w:jc w:val="center"/>
              <w:rPr>
                <w:rFonts w:hint="eastAsia" w:ascii="宋体" w:hAnsi="宋体"/>
                <w:b w:val="0"/>
                <w:bCs/>
                <w:color w:val="auto"/>
                <w:sz w:val="21"/>
                <w:szCs w:val="21"/>
                <w:highlight w:val="none"/>
                <w:vertAlign w:val="baseline"/>
              </w:rPr>
            </w:pPr>
          </w:p>
        </w:tc>
        <w:tc>
          <w:tcPr>
            <w:tcW w:w="1773" w:type="dxa"/>
            <w:vMerge w:val="continue"/>
            <w:vAlign w:val="center"/>
          </w:tcPr>
          <w:p w14:paraId="784AE0BE">
            <w:pPr>
              <w:keepNext w:val="0"/>
              <w:keepLines w:val="0"/>
              <w:suppressLineNumbers w:val="0"/>
              <w:spacing w:before="0" w:beforeAutospacing="0" w:after="0" w:afterAutospacing="0" w:line="400" w:lineRule="exact"/>
              <w:ind w:left="0" w:right="0"/>
              <w:jc w:val="center"/>
              <w:rPr>
                <w:rFonts w:hint="eastAsia" w:ascii="宋体" w:hAnsi="宋体"/>
                <w:b w:val="0"/>
                <w:bCs/>
                <w:color w:val="auto"/>
                <w:sz w:val="21"/>
                <w:szCs w:val="21"/>
                <w:highlight w:val="none"/>
                <w:vertAlign w:val="baseline"/>
              </w:rPr>
            </w:pPr>
          </w:p>
        </w:tc>
        <w:tc>
          <w:tcPr>
            <w:tcW w:w="1964" w:type="dxa"/>
            <w:vAlign w:val="center"/>
          </w:tcPr>
          <w:p w14:paraId="6AD3BDC8">
            <w:pPr>
              <w:keepNext w:val="0"/>
              <w:keepLines w:val="0"/>
              <w:suppressLineNumbers w:val="0"/>
              <w:spacing w:before="0" w:beforeAutospacing="0" w:after="0" w:afterAutospacing="0" w:line="400" w:lineRule="exact"/>
              <w:ind w:left="0" w:right="0"/>
              <w:jc w:val="center"/>
              <w:rPr>
                <w:rFonts w:hint="eastAsia" w:ascii="宋体" w:hAnsi="宋体"/>
                <w:b w:val="0"/>
                <w:bCs/>
                <w:color w:val="auto"/>
                <w:sz w:val="21"/>
                <w:szCs w:val="21"/>
                <w:highlight w:val="none"/>
                <w:vertAlign w:val="baseline"/>
              </w:rPr>
            </w:pPr>
            <w:r>
              <w:rPr>
                <w:rFonts w:hint="eastAsia" w:ascii="宋体" w:hAnsi="宋体"/>
                <w:b w:val="0"/>
                <w:bCs/>
                <w:color w:val="auto"/>
                <w:sz w:val="21"/>
                <w:szCs w:val="21"/>
                <w:highlight w:val="none"/>
                <w:vertAlign w:val="baseline"/>
              </w:rPr>
              <w:t>单元式空气调节机（制冷量≤ 14000W）</w:t>
            </w:r>
          </w:p>
        </w:tc>
        <w:tc>
          <w:tcPr>
            <w:tcW w:w="3595" w:type="dxa"/>
            <w:vAlign w:val="top"/>
          </w:tcPr>
          <w:p w14:paraId="4EEDEF00">
            <w:pPr>
              <w:keepNext w:val="0"/>
              <w:keepLines w:val="0"/>
              <w:suppressLineNumbers w:val="0"/>
              <w:spacing w:before="0" w:beforeAutospacing="0" w:after="0" w:afterAutospacing="0" w:line="400" w:lineRule="exact"/>
              <w:ind w:left="0" w:right="0"/>
              <w:jc w:val="left"/>
              <w:rPr>
                <w:rFonts w:hint="eastAsia" w:ascii="宋体" w:hAnsi="宋体"/>
                <w:b w:val="0"/>
                <w:bCs/>
                <w:color w:val="auto"/>
                <w:sz w:val="21"/>
                <w:szCs w:val="21"/>
                <w:highlight w:val="none"/>
                <w:vertAlign w:val="baseline"/>
              </w:rPr>
            </w:pPr>
            <w:r>
              <w:rPr>
                <w:rFonts w:hint="eastAsia" w:ascii="宋体" w:hAnsi="宋体"/>
                <w:b w:val="0"/>
                <w:bCs/>
                <w:color w:val="auto"/>
                <w:sz w:val="21"/>
                <w:szCs w:val="21"/>
                <w:highlight w:val="none"/>
                <w:vertAlign w:val="baseline"/>
              </w:rPr>
              <w:t>《单元式空气调节机能效限定值及能源效率等级》（GB19576）</w:t>
            </w:r>
          </w:p>
          <w:p w14:paraId="483822FA">
            <w:pPr>
              <w:keepNext w:val="0"/>
              <w:keepLines w:val="0"/>
              <w:suppressLineNumbers w:val="0"/>
              <w:spacing w:before="0" w:beforeAutospacing="0" w:after="0" w:afterAutospacing="0" w:line="400" w:lineRule="exact"/>
              <w:ind w:left="0" w:right="0"/>
              <w:jc w:val="left"/>
              <w:rPr>
                <w:rFonts w:hint="eastAsia" w:ascii="宋体" w:hAnsi="宋体"/>
                <w:b w:val="0"/>
                <w:bCs/>
                <w:color w:val="auto"/>
                <w:sz w:val="21"/>
                <w:szCs w:val="21"/>
                <w:highlight w:val="none"/>
                <w:vertAlign w:val="baseline"/>
              </w:rPr>
            </w:pPr>
            <w:r>
              <w:rPr>
                <w:rFonts w:hint="eastAsia" w:ascii="宋体" w:hAnsi="宋体"/>
                <w:b w:val="0"/>
                <w:bCs/>
                <w:color w:val="auto"/>
                <w:sz w:val="21"/>
                <w:szCs w:val="21"/>
                <w:highlight w:val="none"/>
                <w:vertAlign w:val="baseline"/>
              </w:rPr>
              <w:t>《风管送风式空调机组能效限定值及能效等级》（GB37479）</w:t>
            </w:r>
          </w:p>
        </w:tc>
      </w:tr>
      <w:tr w14:paraId="63615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14:paraId="7C6A14D3">
            <w:pPr>
              <w:keepNext w:val="0"/>
              <w:keepLines w:val="0"/>
              <w:suppressLineNumbers w:val="0"/>
              <w:spacing w:before="0" w:beforeAutospacing="0" w:after="0" w:afterAutospacing="0" w:line="400" w:lineRule="exact"/>
              <w:ind w:left="0" w:right="0"/>
              <w:jc w:val="center"/>
              <w:rPr>
                <w:rFonts w:hint="eastAsia" w:ascii="宋体" w:hAnsi="宋体"/>
                <w:b w:val="0"/>
                <w:bCs/>
                <w:color w:val="auto"/>
                <w:sz w:val="21"/>
                <w:szCs w:val="21"/>
                <w:highlight w:val="none"/>
                <w:vertAlign w:val="baseline"/>
              </w:rPr>
            </w:pPr>
          </w:p>
        </w:tc>
        <w:tc>
          <w:tcPr>
            <w:tcW w:w="1813" w:type="dxa"/>
            <w:vMerge w:val="continue"/>
            <w:vAlign w:val="center"/>
          </w:tcPr>
          <w:p w14:paraId="29C1D2E3">
            <w:pPr>
              <w:keepNext w:val="0"/>
              <w:keepLines w:val="0"/>
              <w:suppressLineNumbers w:val="0"/>
              <w:spacing w:before="0" w:beforeAutospacing="0" w:after="0" w:afterAutospacing="0" w:line="400" w:lineRule="exact"/>
              <w:ind w:left="0" w:right="0"/>
              <w:jc w:val="center"/>
              <w:rPr>
                <w:rFonts w:hint="eastAsia" w:ascii="宋体" w:hAnsi="宋体"/>
                <w:b w:val="0"/>
                <w:bCs/>
                <w:color w:val="auto"/>
                <w:sz w:val="21"/>
                <w:szCs w:val="21"/>
                <w:highlight w:val="none"/>
                <w:vertAlign w:val="baseline"/>
              </w:rPr>
            </w:pPr>
          </w:p>
        </w:tc>
        <w:tc>
          <w:tcPr>
            <w:tcW w:w="1773" w:type="dxa"/>
            <w:vAlign w:val="center"/>
          </w:tcPr>
          <w:p w14:paraId="6868C4A4">
            <w:pPr>
              <w:keepNext w:val="0"/>
              <w:keepLines w:val="0"/>
              <w:suppressLineNumbers w:val="0"/>
              <w:spacing w:before="0" w:beforeAutospacing="0" w:after="0" w:afterAutospacing="0" w:line="400" w:lineRule="exact"/>
              <w:ind w:left="0" w:right="0"/>
              <w:jc w:val="center"/>
              <w:rPr>
                <w:rFonts w:hint="eastAsia" w:ascii="宋体" w:hAnsi="宋体"/>
                <w:b w:val="0"/>
                <w:bCs/>
                <w:color w:val="auto"/>
                <w:sz w:val="21"/>
                <w:szCs w:val="21"/>
                <w:highlight w:val="none"/>
                <w:vertAlign w:val="baseline"/>
              </w:rPr>
            </w:pPr>
            <w:r>
              <w:rPr>
                <w:rFonts w:hint="eastAsia" w:ascii="宋体" w:hAnsi="宋体"/>
                <w:b w:val="0"/>
                <w:bCs/>
                <w:color w:val="auto"/>
                <w:sz w:val="21"/>
                <w:szCs w:val="21"/>
                <w:highlight w:val="none"/>
                <w:vertAlign w:val="baseline"/>
              </w:rPr>
              <w:t>A02061810 洗衣机</w:t>
            </w:r>
          </w:p>
        </w:tc>
        <w:tc>
          <w:tcPr>
            <w:tcW w:w="1964" w:type="dxa"/>
            <w:vAlign w:val="center"/>
          </w:tcPr>
          <w:p w14:paraId="0FD181A0">
            <w:pPr>
              <w:keepNext w:val="0"/>
              <w:keepLines w:val="0"/>
              <w:suppressLineNumbers w:val="0"/>
              <w:spacing w:before="0" w:beforeAutospacing="0" w:after="0" w:afterAutospacing="0" w:line="400" w:lineRule="exact"/>
              <w:ind w:left="0" w:right="0"/>
              <w:jc w:val="center"/>
              <w:rPr>
                <w:rFonts w:hint="eastAsia" w:ascii="宋体" w:hAnsi="宋体"/>
                <w:b w:val="0"/>
                <w:bCs/>
                <w:color w:val="auto"/>
                <w:sz w:val="21"/>
                <w:szCs w:val="21"/>
                <w:highlight w:val="none"/>
                <w:vertAlign w:val="baseline"/>
              </w:rPr>
            </w:pPr>
          </w:p>
        </w:tc>
        <w:tc>
          <w:tcPr>
            <w:tcW w:w="3595" w:type="dxa"/>
            <w:vAlign w:val="top"/>
          </w:tcPr>
          <w:p w14:paraId="1BF2EF2A">
            <w:pPr>
              <w:keepNext w:val="0"/>
              <w:keepLines w:val="0"/>
              <w:suppressLineNumbers w:val="0"/>
              <w:spacing w:before="0" w:beforeAutospacing="0" w:after="0" w:afterAutospacing="0" w:line="400" w:lineRule="exact"/>
              <w:ind w:left="0" w:right="0"/>
              <w:jc w:val="left"/>
              <w:rPr>
                <w:rFonts w:hint="eastAsia" w:ascii="宋体" w:hAnsi="宋体"/>
                <w:b w:val="0"/>
                <w:bCs/>
                <w:color w:val="auto"/>
                <w:sz w:val="21"/>
                <w:szCs w:val="21"/>
                <w:highlight w:val="none"/>
                <w:vertAlign w:val="baseline"/>
              </w:rPr>
            </w:pPr>
            <w:r>
              <w:rPr>
                <w:rFonts w:hint="eastAsia" w:ascii="宋体" w:hAnsi="宋体"/>
                <w:b w:val="0"/>
                <w:bCs/>
                <w:color w:val="auto"/>
                <w:sz w:val="21"/>
                <w:szCs w:val="21"/>
                <w:highlight w:val="none"/>
                <w:vertAlign w:val="baseline"/>
              </w:rPr>
              <w:t>《电动洗衣机能效水效限定值及等级》（GB12021.4）</w:t>
            </w:r>
          </w:p>
        </w:tc>
      </w:tr>
      <w:tr w14:paraId="1F78D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09" w:type="dxa"/>
            <w:vMerge w:val="continue"/>
            <w:vAlign w:val="center"/>
          </w:tcPr>
          <w:p w14:paraId="1F43E72F">
            <w:pPr>
              <w:keepNext w:val="0"/>
              <w:keepLines w:val="0"/>
              <w:suppressLineNumbers w:val="0"/>
              <w:spacing w:before="0" w:beforeAutospacing="0" w:after="0" w:afterAutospacing="0" w:line="400" w:lineRule="exact"/>
              <w:ind w:left="0" w:right="0"/>
              <w:jc w:val="center"/>
              <w:rPr>
                <w:rFonts w:hint="eastAsia" w:ascii="宋体" w:hAnsi="宋体"/>
                <w:b w:val="0"/>
                <w:bCs/>
                <w:color w:val="auto"/>
                <w:sz w:val="21"/>
                <w:szCs w:val="21"/>
                <w:highlight w:val="none"/>
                <w:vertAlign w:val="baseline"/>
              </w:rPr>
            </w:pPr>
          </w:p>
        </w:tc>
        <w:tc>
          <w:tcPr>
            <w:tcW w:w="1813" w:type="dxa"/>
            <w:vMerge w:val="continue"/>
            <w:vAlign w:val="center"/>
          </w:tcPr>
          <w:p w14:paraId="72161DDA">
            <w:pPr>
              <w:keepNext w:val="0"/>
              <w:keepLines w:val="0"/>
              <w:suppressLineNumbers w:val="0"/>
              <w:spacing w:before="0" w:beforeAutospacing="0" w:after="0" w:afterAutospacing="0" w:line="400" w:lineRule="exact"/>
              <w:ind w:left="0" w:right="0"/>
              <w:jc w:val="center"/>
              <w:rPr>
                <w:rFonts w:hint="eastAsia" w:ascii="宋体" w:hAnsi="宋体"/>
                <w:b w:val="0"/>
                <w:bCs/>
                <w:color w:val="auto"/>
                <w:sz w:val="21"/>
                <w:szCs w:val="21"/>
                <w:highlight w:val="none"/>
                <w:vertAlign w:val="baseline"/>
              </w:rPr>
            </w:pPr>
          </w:p>
        </w:tc>
        <w:tc>
          <w:tcPr>
            <w:tcW w:w="1773" w:type="dxa"/>
            <w:vMerge w:val="restart"/>
            <w:vAlign w:val="center"/>
          </w:tcPr>
          <w:p w14:paraId="763A87E5">
            <w:pPr>
              <w:keepNext w:val="0"/>
              <w:keepLines w:val="0"/>
              <w:suppressLineNumbers w:val="0"/>
              <w:spacing w:before="0" w:beforeAutospacing="0" w:after="0" w:afterAutospacing="0" w:line="400" w:lineRule="exact"/>
              <w:ind w:left="0" w:right="0"/>
              <w:jc w:val="center"/>
              <w:rPr>
                <w:rFonts w:hint="eastAsia" w:ascii="宋体" w:hAnsi="宋体"/>
                <w:b w:val="0"/>
                <w:bCs/>
                <w:color w:val="auto"/>
                <w:sz w:val="21"/>
                <w:szCs w:val="21"/>
                <w:highlight w:val="none"/>
                <w:vertAlign w:val="baseline"/>
              </w:rPr>
            </w:pPr>
            <w:r>
              <w:rPr>
                <w:rFonts w:hint="eastAsia" w:ascii="宋体" w:hAnsi="宋体"/>
                <w:b w:val="0"/>
                <w:bCs/>
                <w:color w:val="auto"/>
                <w:sz w:val="21"/>
                <w:szCs w:val="21"/>
                <w:highlight w:val="none"/>
                <w:vertAlign w:val="baseline"/>
              </w:rPr>
              <w:t>A02061819 热水器</w:t>
            </w:r>
          </w:p>
        </w:tc>
        <w:tc>
          <w:tcPr>
            <w:tcW w:w="1964" w:type="dxa"/>
            <w:vAlign w:val="center"/>
          </w:tcPr>
          <w:p w14:paraId="64F8D7F2">
            <w:pPr>
              <w:pStyle w:val="77"/>
              <w:keepNext w:val="0"/>
              <w:keepLines w:val="0"/>
              <w:suppressLineNumbers w:val="0"/>
              <w:spacing w:before="272" w:beforeAutospacing="0" w:after="0" w:afterAutospacing="0" w:line="228" w:lineRule="auto"/>
              <w:ind w:left="0" w:right="0"/>
              <w:jc w:val="center"/>
              <w:rPr>
                <w:rFonts w:hint="eastAsia" w:ascii="宋体" w:hAnsi="宋体"/>
                <w:b w:val="0"/>
                <w:bCs/>
                <w:color w:val="auto"/>
                <w:sz w:val="21"/>
                <w:szCs w:val="21"/>
                <w:highlight w:val="none"/>
                <w:vertAlign w:val="baseline"/>
              </w:rPr>
            </w:pPr>
            <w:r>
              <w:rPr>
                <w:rFonts w:hint="default"/>
                <w:color w:val="auto"/>
                <w:spacing w:val="8"/>
                <w:highlight w:val="none"/>
              </w:rPr>
              <w:t>★电热水器</w:t>
            </w:r>
          </w:p>
        </w:tc>
        <w:tc>
          <w:tcPr>
            <w:tcW w:w="3595" w:type="dxa"/>
            <w:vAlign w:val="top"/>
          </w:tcPr>
          <w:p w14:paraId="0F8D1916">
            <w:pPr>
              <w:keepNext w:val="0"/>
              <w:keepLines w:val="0"/>
              <w:suppressLineNumbers w:val="0"/>
              <w:spacing w:before="0" w:beforeAutospacing="0" w:after="0" w:afterAutospacing="0" w:line="400" w:lineRule="exact"/>
              <w:ind w:left="0" w:right="0"/>
              <w:jc w:val="left"/>
              <w:rPr>
                <w:rFonts w:hint="eastAsia" w:ascii="宋体" w:hAnsi="宋体"/>
                <w:b w:val="0"/>
                <w:bCs/>
                <w:color w:val="auto"/>
                <w:sz w:val="21"/>
                <w:szCs w:val="21"/>
                <w:highlight w:val="none"/>
                <w:vertAlign w:val="baseline"/>
              </w:rPr>
            </w:pPr>
            <w:r>
              <w:rPr>
                <w:rFonts w:hint="eastAsia" w:ascii="宋体" w:hAnsi="宋体"/>
                <w:b w:val="0"/>
                <w:bCs/>
                <w:color w:val="auto"/>
                <w:sz w:val="21"/>
                <w:szCs w:val="21"/>
                <w:highlight w:val="none"/>
                <w:vertAlign w:val="baseline"/>
              </w:rPr>
              <w:t>《储水式电热水器能效限定值及能效等级》（GB21519）</w:t>
            </w:r>
          </w:p>
        </w:tc>
      </w:tr>
      <w:tr w14:paraId="1E34A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14:paraId="6E8400C7">
            <w:pPr>
              <w:keepNext w:val="0"/>
              <w:keepLines w:val="0"/>
              <w:suppressLineNumbers w:val="0"/>
              <w:spacing w:before="0" w:beforeAutospacing="0" w:after="0" w:afterAutospacing="0" w:line="400" w:lineRule="exact"/>
              <w:ind w:left="0" w:right="0"/>
              <w:jc w:val="center"/>
              <w:rPr>
                <w:rFonts w:hint="eastAsia" w:ascii="宋体" w:hAnsi="宋体"/>
                <w:b w:val="0"/>
                <w:bCs/>
                <w:color w:val="auto"/>
                <w:sz w:val="21"/>
                <w:szCs w:val="21"/>
                <w:highlight w:val="none"/>
                <w:vertAlign w:val="baseline"/>
              </w:rPr>
            </w:pPr>
          </w:p>
        </w:tc>
        <w:tc>
          <w:tcPr>
            <w:tcW w:w="1813" w:type="dxa"/>
            <w:vMerge w:val="continue"/>
            <w:vAlign w:val="center"/>
          </w:tcPr>
          <w:p w14:paraId="5BCF3653">
            <w:pPr>
              <w:keepNext w:val="0"/>
              <w:keepLines w:val="0"/>
              <w:suppressLineNumbers w:val="0"/>
              <w:spacing w:before="0" w:beforeAutospacing="0" w:after="0" w:afterAutospacing="0" w:line="400" w:lineRule="exact"/>
              <w:ind w:left="0" w:right="0"/>
              <w:jc w:val="center"/>
              <w:rPr>
                <w:rFonts w:hint="eastAsia" w:ascii="宋体" w:hAnsi="宋体"/>
                <w:b w:val="0"/>
                <w:bCs/>
                <w:color w:val="auto"/>
                <w:sz w:val="21"/>
                <w:szCs w:val="21"/>
                <w:highlight w:val="none"/>
                <w:vertAlign w:val="baseline"/>
              </w:rPr>
            </w:pPr>
          </w:p>
        </w:tc>
        <w:tc>
          <w:tcPr>
            <w:tcW w:w="1773" w:type="dxa"/>
            <w:vMerge w:val="continue"/>
            <w:vAlign w:val="center"/>
          </w:tcPr>
          <w:p w14:paraId="6338B723">
            <w:pPr>
              <w:keepNext w:val="0"/>
              <w:keepLines w:val="0"/>
              <w:suppressLineNumbers w:val="0"/>
              <w:spacing w:before="0" w:beforeAutospacing="0" w:after="0" w:afterAutospacing="0" w:line="400" w:lineRule="exact"/>
              <w:ind w:left="0" w:right="0"/>
              <w:jc w:val="center"/>
              <w:rPr>
                <w:rFonts w:hint="eastAsia" w:ascii="宋体" w:hAnsi="宋体"/>
                <w:b w:val="0"/>
                <w:bCs/>
                <w:color w:val="auto"/>
                <w:sz w:val="21"/>
                <w:szCs w:val="21"/>
                <w:highlight w:val="none"/>
                <w:vertAlign w:val="baseline"/>
              </w:rPr>
            </w:pPr>
          </w:p>
        </w:tc>
        <w:tc>
          <w:tcPr>
            <w:tcW w:w="1964" w:type="dxa"/>
            <w:vAlign w:val="center"/>
          </w:tcPr>
          <w:p w14:paraId="66149AF9">
            <w:pPr>
              <w:pStyle w:val="77"/>
              <w:keepNext w:val="0"/>
              <w:keepLines w:val="0"/>
              <w:suppressLineNumbers w:val="0"/>
              <w:spacing w:before="65" w:beforeAutospacing="0" w:after="0" w:afterAutospacing="0" w:line="228" w:lineRule="auto"/>
              <w:ind w:left="0" w:right="0"/>
              <w:jc w:val="center"/>
              <w:rPr>
                <w:rFonts w:hint="eastAsia" w:ascii="宋体" w:hAnsi="宋体"/>
                <w:b w:val="0"/>
                <w:bCs/>
                <w:color w:val="auto"/>
                <w:sz w:val="21"/>
                <w:szCs w:val="21"/>
                <w:highlight w:val="none"/>
                <w:vertAlign w:val="baseline"/>
              </w:rPr>
            </w:pPr>
            <w:r>
              <w:rPr>
                <w:rFonts w:hint="default"/>
                <w:color w:val="auto"/>
                <w:spacing w:val="8"/>
                <w:highlight w:val="none"/>
              </w:rPr>
              <w:t>燃气热水器</w:t>
            </w:r>
          </w:p>
        </w:tc>
        <w:tc>
          <w:tcPr>
            <w:tcW w:w="3595" w:type="dxa"/>
            <w:vAlign w:val="top"/>
          </w:tcPr>
          <w:p w14:paraId="3CBFAF21">
            <w:pPr>
              <w:keepNext w:val="0"/>
              <w:keepLines w:val="0"/>
              <w:suppressLineNumbers w:val="0"/>
              <w:spacing w:before="0" w:beforeAutospacing="0" w:after="0" w:afterAutospacing="0" w:line="400" w:lineRule="exact"/>
              <w:ind w:left="0" w:right="0"/>
              <w:jc w:val="left"/>
              <w:rPr>
                <w:rFonts w:hint="eastAsia" w:ascii="宋体" w:hAnsi="宋体"/>
                <w:b w:val="0"/>
                <w:bCs/>
                <w:color w:val="auto"/>
                <w:sz w:val="21"/>
                <w:szCs w:val="21"/>
                <w:highlight w:val="none"/>
                <w:vertAlign w:val="baseline"/>
              </w:rPr>
            </w:pPr>
            <w:r>
              <w:rPr>
                <w:rFonts w:hint="eastAsia" w:ascii="宋体" w:hAnsi="宋体"/>
                <w:b w:val="0"/>
                <w:bCs/>
                <w:color w:val="auto"/>
                <w:sz w:val="21"/>
                <w:szCs w:val="21"/>
                <w:highlight w:val="none"/>
                <w:vertAlign w:val="baseline"/>
              </w:rPr>
              <w:t>《家用燃气快速热水器和燃气采暖热水炉能效限定值及能效等</w:t>
            </w:r>
          </w:p>
          <w:p w14:paraId="52856DE3">
            <w:pPr>
              <w:keepNext w:val="0"/>
              <w:keepLines w:val="0"/>
              <w:suppressLineNumbers w:val="0"/>
              <w:spacing w:before="0" w:beforeAutospacing="0" w:after="0" w:afterAutospacing="0" w:line="400" w:lineRule="exact"/>
              <w:ind w:left="0" w:right="0"/>
              <w:jc w:val="left"/>
              <w:rPr>
                <w:rFonts w:hint="eastAsia" w:ascii="宋体" w:hAnsi="宋体"/>
                <w:b w:val="0"/>
                <w:bCs/>
                <w:color w:val="auto"/>
                <w:sz w:val="21"/>
                <w:szCs w:val="21"/>
                <w:highlight w:val="none"/>
                <w:vertAlign w:val="baseline"/>
              </w:rPr>
            </w:pPr>
            <w:r>
              <w:rPr>
                <w:rFonts w:hint="eastAsia" w:ascii="宋体" w:hAnsi="宋体"/>
                <w:b w:val="0"/>
                <w:bCs/>
                <w:color w:val="auto"/>
                <w:sz w:val="21"/>
                <w:szCs w:val="21"/>
                <w:highlight w:val="none"/>
                <w:vertAlign w:val="baseline"/>
              </w:rPr>
              <w:t>级》（GB20665）</w:t>
            </w:r>
          </w:p>
        </w:tc>
      </w:tr>
      <w:tr w14:paraId="1664B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14:paraId="6614A57C">
            <w:pPr>
              <w:keepNext w:val="0"/>
              <w:keepLines w:val="0"/>
              <w:suppressLineNumbers w:val="0"/>
              <w:spacing w:before="0" w:beforeAutospacing="0" w:after="0" w:afterAutospacing="0" w:line="400" w:lineRule="exact"/>
              <w:ind w:left="0" w:right="0"/>
              <w:jc w:val="center"/>
              <w:rPr>
                <w:rFonts w:hint="eastAsia" w:ascii="宋体" w:hAnsi="宋体"/>
                <w:b w:val="0"/>
                <w:bCs/>
                <w:color w:val="auto"/>
                <w:sz w:val="21"/>
                <w:szCs w:val="21"/>
                <w:highlight w:val="none"/>
                <w:vertAlign w:val="baseline"/>
              </w:rPr>
            </w:pPr>
          </w:p>
        </w:tc>
        <w:tc>
          <w:tcPr>
            <w:tcW w:w="1813" w:type="dxa"/>
            <w:vMerge w:val="continue"/>
            <w:vAlign w:val="center"/>
          </w:tcPr>
          <w:p w14:paraId="39EA92C2">
            <w:pPr>
              <w:keepNext w:val="0"/>
              <w:keepLines w:val="0"/>
              <w:suppressLineNumbers w:val="0"/>
              <w:spacing w:before="0" w:beforeAutospacing="0" w:after="0" w:afterAutospacing="0" w:line="400" w:lineRule="exact"/>
              <w:ind w:left="0" w:right="0"/>
              <w:jc w:val="center"/>
              <w:rPr>
                <w:rFonts w:hint="eastAsia" w:ascii="宋体" w:hAnsi="宋体"/>
                <w:b w:val="0"/>
                <w:bCs/>
                <w:color w:val="auto"/>
                <w:sz w:val="21"/>
                <w:szCs w:val="21"/>
                <w:highlight w:val="none"/>
                <w:vertAlign w:val="baseline"/>
              </w:rPr>
            </w:pPr>
          </w:p>
        </w:tc>
        <w:tc>
          <w:tcPr>
            <w:tcW w:w="1773" w:type="dxa"/>
            <w:vMerge w:val="continue"/>
            <w:vAlign w:val="center"/>
          </w:tcPr>
          <w:p w14:paraId="0FEF663D">
            <w:pPr>
              <w:keepNext w:val="0"/>
              <w:keepLines w:val="0"/>
              <w:suppressLineNumbers w:val="0"/>
              <w:spacing w:before="0" w:beforeAutospacing="0" w:after="0" w:afterAutospacing="0" w:line="400" w:lineRule="exact"/>
              <w:ind w:left="0" w:right="0"/>
              <w:jc w:val="center"/>
              <w:rPr>
                <w:rFonts w:hint="eastAsia" w:ascii="宋体" w:hAnsi="宋体"/>
                <w:b w:val="0"/>
                <w:bCs/>
                <w:color w:val="auto"/>
                <w:sz w:val="21"/>
                <w:szCs w:val="21"/>
                <w:highlight w:val="none"/>
                <w:vertAlign w:val="baseline"/>
              </w:rPr>
            </w:pPr>
          </w:p>
        </w:tc>
        <w:tc>
          <w:tcPr>
            <w:tcW w:w="1964" w:type="dxa"/>
            <w:vAlign w:val="center"/>
          </w:tcPr>
          <w:p w14:paraId="7E6804F6">
            <w:pPr>
              <w:pStyle w:val="77"/>
              <w:keepNext w:val="0"/>
              <w:keepLines w:val="0"/>
              <w:suppressLineNumbers w:val="0"/>
              <w:spacing w:before="273" w:beforeAutospacing="0" w:after="0" w:afterAutospacing="0" w:line="228" w:lineRule="auto"/>
              <w:ind w:left="0" w:right="0"/>
              <w:jc w:val="center"/>
              <w:rPr>
                <w:rFonts w:hint="eastAsia" w:ascii="宋体" w:hAnsi="宋体"/>
                <w:b w:val="0"/>
                <w:bCs/>
                <w:color w:val="auto"/>
                <w:sz w:val="21"/>
                <w:szCs w:val="21"/>
                <w:highlight w:val="none"/>
                <w:vertAlign w:val="baseline"/>
              </w:rPr>
            </w:pPr>
            <w:r>
              <w:rPr>
                <w:rFonts w:hint="default"/>
                <w:color w:val="auto"/>
                <w:spacing w:val="8"/>
                <w:highlight w:val="none"/>
              </w:rPr>
              <w:t>热泵热水器</w:t>
            </w:r>
          </w:p>
        </w:tc>
        <w:tc>
          <w:tcPr>
            <w:tcW w:w="3595" w:type="dxa"/>
            <w:vAlign w:val="top"/>
          </w:tcPr>
          <w:p w14:paraId="72B1498F">
            <w:pPr>
              <w:keepNext w:val="0"/>
              <w:keepLines w:val="0"/>
              <w:suppressLineNumbers w:val="0"/>
              <w:spacing w:before="0" w:beforeAutospacing="0" w:after="0" w:afterAutospacing="0" w:line="400" w:lineRule="exact"/>
              <w:ind w:left="0" w:right="0"/>
              <w:jc w:val="left"/>
              <w:rPr>
                <w:rFonts w:hint="eastAsia" w:ascii="宋体" w:hAnsi="宋体"/>
                <w:b w:val="0"/>
                <w:bCs/>
                <w:color w:val="auto"/>
                <w:sz w:val="21"/>
                <w:szCs w:val="21"/>
                <w:highlight w:val="none"/>
                <w:vertAlign w:val="baseline"/>
              </w:rPr>
            </w:pPr>
            <w:r>
              <w:rPr>
                <w:rFonts w:hint="eastAsia" w:ascii="宋体" w:hAnsi="宋体"/>
                <w:b w:val="0"/>
                <w:bCs/>
                <w:color w:val="auto"/>
                <w:sz w:val="21"/>
                <w:szCs w:val="21"/>
                <w:highlight w:val="none"/>
                <w:vertAlign w:val="baseline"/>
              </w:rPr>
              <w:t>《热泵热水机（器） 能效限定值及能效等级》（GB29541）</w:t>
            </w:r>
          </w:p>
        </w:tc>
      </w:tr>
      <w:tr w14:paraId="480FD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14:paraId="4B1006D1">
            <w:pPr>
              <w:keepNext w:val="0"/>
              <w:keepLines w:val="0"/>
              <w:suppressLineNumbers w:val="0"/>
              <w:spacing w:before="0" w:beforeAutospacing="0" w:after="0" w:afterAutospacing="0" w:line="400" w:lineRule="exact"/>
              <w:ind w:left="0" w:right="0"/>
              <w:jc w:val="center"/>
              <w:rPr>
                <w:rFonts w:hint="eastAsia" w:ascii="宋体" w:hAnsi="宋体"/>
                <w:b w:val="0"/>
                <w:bCs/>
                <w:color w:val="auto"/>
                <w:sz w:val="21"/>
                <w:szCs w:val="21"/>
                <w:highlight w:val="none"/>
                <w:vertAlign w:val="baseline"/>
              </w:rPr>
            </w:pPr>
          </w:p>
        </w:tc>
        <w:tc>
          <w:tcPr>
            <w:tcW w:w="1813" w:type="dxa"/>
            <w:vMerge w:val="continue"/>
            <w:vAlign w:val="center"/>
          </w:tcPr>
          <w:p w14:paraId="7BD2713F">
            <w:pPr>
              <w:keepNext w:val="0"/>
              <w:keepLines w:val="0"/>
              <w:suppressLineNumbers w:val="0"/>
              <w:spacing w:before="0" w:beforeAutospacing="0" w:after="0" w:afterAutospacing="0" w:line="400" w:lineRule="exact"/>
              <w:ind w:left="0" w:right="0"/>
              <w:jc w:val="center"/>
              <w:rPr>
                <w:rFonts w:hint="eastAsia" w:ascii="宋体" w:hAnsi="宋体"/>
                <w:b w:val="0"/>
                <w:bCs/>
                <w:color w:val="auto"/>
                <w:sz w:val="21"/>
                <w:szCs w:val="21"/>
                <w:highlight w:val="none"/>
                <w:vertAlign w:val="baseline"/>
              </w:rPr>
            </w:pPr>
          </w:p>
        </w:tc>
        <w:tc>
          <w:tcPr>
            <w:tcW w:w="1773" w:type="dxa"/>
            <w:vMerge w:val="continue"/>
            <w:vAlign w:val="center"/>
          </w:tcPr>
          <w:p w14:paraId="735771EB">
            <w:pPr>
              <w:keepNext w:val="0"/>
              <w:keepLines w:val="0"/>
              <w:suppressLineNumbers w:val="0"/>
              <w:spacing w:before="0" w:beforeAutospacing="0" w:after="0" w:afterAutospacing="0" w:line="400" w:lineRule="exact"/>
              <w:ind w:left="0" w:right="0"/>
              <w:jc w:val="center"/>
              <w:rPr>
                <w:rFonts w:hint="eastAsia" w:ascii="宋体" w:hAnsi="宋体"/>
                <w:b w:val="0"/>
                <w:bCs/>
                <w:color w:val="auto"/>
                <w:sz w:val="21"/>
                <w:szCs w:val="21"/>
                <w:highlight w:val="none"/>
                <w:vertAlign w:val="baseline"/>
              </w:rPr>
            </w:pPr>
          </w:p>
        </w:tc>
        <w:tc>
          <w:tcPr>
            <w:tcW w:w="1964" w:type="dxa"/>
            <w:vAlign w:val="center"/>
          </w:tcPr>
          <w:p w14:paraId="19623997">
            <w:pPr>
              <w:pStyle w:val="77"/>
              <w:keepNext w:val="0"/>
              <w:keepLines w:val="0"/>
              <w:suppressLineNumbers w:val="0"/>
              <w:spacing w:before="141" w:beforeAutospacing="0" w:after="0" w:afterAutospacing="0" w:line="252" w:lineRule="auto"/>
              <w:ind w:left="645" w:leftChars="0" w:right="107" w:rightChars="0" w:hanging="533" w:firstLineChars="0"/>
              <w:jc w:val="center"/>
              <w:rPr>
                <w:rFonts w:hint="eastAsia" w:ascii="宋体" w:hAnsi="宋体"/>
                <w:b w:val="0"/>
                <w:bCs/>
                <w:color w:val="auto"/>
                <w:sz w:val="21"/>
                <w:szCs w:val="21"/>
                <w:highlight w:val="none"/>
                <w:vertAlign w:val="baseline"/>
              </w:rPr>
            </w:pPr>
            <w:r>
              <w:rPr>
                <w:rFonts w:hint="default"/>
                <w:color w:val="auto"/>
                <w:spacing w:val="9"/>
                <w:highlight w:val="none"/>
              </w:rPr>
              <w:t>太阳能热水系</w:t>
            </w:r>
            <w:r>
              <w:rPr>
                <w:rFonts w:hint="default"/>
                <w:color w:val="auto"/>
                <w:highlight w:val="none"/>
              </w:rPr>
              <w:t>统</w:t>
            </w:r>
          </w:p>
        </w:tc>
        <w:tc>
          <w:tcPr>
            <w:tcW w:w="3595" w:type="dxa"/>
            <w:vAlign w:val="top"/>
          </w:tcPr>
          <w:p w14:paraId="2C19A239">
            <w:pPr>
              <w:keepNext w:val="0"/>
              <w:keepLines w:val="0"/>
              <w:suppressLineNumbers w:val="0"/>
              <w:spacing w:before="0" w:beforeAutospacing="0" w:after="0" w:afterAutospacing="0" w:line="400" w:lineRule="exact"/>
              <w:ind w:left="0" w:right="0"/>
              <w:jc w:val="left"/>
              <w:rPr>
                <w:rFonts w:hint="eastAsia" w:ascii="宋体" w:hAnsi="宋体"/>
                <w:b w:val="0"/>
                <w:bCs/>
                <w:color w:val="auto"/>
                <w:sz w:val="21"/>
                <w:szCs w:val="21"/>
                <w:highlight w:val="none"/>
                <w:vertAlign w:val="baseline"/>
              </w:rPr>
            </w:pPr>
            <w:r>
              <w:rPr>
                <w:rFonts w:hint="eastAsia" w:ascii="宋体" w:hAnsi="宋体"/>
                <w:b w:val="0"/>
                <w:bCs/>
                <w:color w:val="auto"/>
                <w:sz w:val="21"/>
                <w:szCs w:val="21"/>
                <w:highlight w:val="none"/>
                <w:vertAlign w:val="baseline"/>
              </w:rPr>
              <w:t>《家用太阳能热水系统能效限定值及能效等级》（GB26969）</w:t>
            </w:r>
          </w:p>
        </w:tc>
      </w:tr>
      <w:tr w14:paraId="7F62B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restart"/>
            <w:vAlign w:val="center"/>
          </w:tcPr>
          <w:p w14:paraId="6CA43045">
            <w:pPr>
              <w:keepNext w:val="0"/>
              <w:keepLines w:val="0"/>
              <w:suppressLineNumbers w:val="0"/>
              <w:spacing w:before="0" w:beforeAutospacing="0" w:after="0" w:afterAutospacing="0" w:line="400" w:lineRule="exact"/>
              <w:ind w:left="0" w:right="0"/>
              <w:jc w:val="center"/>
              <w:rPr>
                <w:rFonts w:hint="default" w:ascii="宋体" w:hAnsi="宋体" w:eastAsia="宋体"/>
                <w:b w:val="0"/>
                <w:bCs/>
                <w:color w:val="auto"/>
                <w:sz w:val="21"/>
                <w:szCs w:val="21"/>
                <w:highlight w:val="none"/>
                <w:vertAlign w:val="baseline"/>
                <w:lang w:val="en-US" w:eastAsia="zh-CN"/>
              </w:rPr>
            </w:pPr>
            <w:r>
              <w:rPr>
                <w:rFonts w:hint="eastAsia" w:ascii="宋体" w:hAnsi="宋体"/>
                <w:b w:val="0"/>
                <w:bCs/>
                <w:color w:val="auto"/>
                <w:sz w:val="21"/>
                <w:szCs w:val="21"/>
                <w:highlight w:val="none"/>
                <w:vertAlign w:val="baseline"/>
                <w:lang w:val="en-US" w:eastAsia="zh-CN"/>
              </w:rPr>
              <w:t>11</w:t>
            </w:r>
          </w:p>
        </w:tc>
        <w:tc>
          <w:tcPr>
            <w:tcW w:w="1813" w:type="dxa"/>
            <w:vMerge w:val="restart"/>
            <w:vAlign w:val="center"/>
          </w:tcPr>
          <w:p w14:paraId="11D51F25">
            <w:pPr>
              <w:keepNext w:val="0"/>
              <w:keepLines w:val="0"/>
              <w:suppressLineNumbers w:val="0"/>
              <w:spacing w:before="0" w:beforeAutospacing="0" w:after="0" w:afterAutospacing="0" w:line="400" w:lineRule="exact"/>
              <w:ind w:left="0" w:right="0"/>
              <w:jc w:val="center"/>
              <w:rPr>
                <w:rFonts w:hint="eastAsia" w:ascii="宋体" w:hAnsi="宋体"/>
                <w:b w:val="0"/>
                <w:bCs/>
                <w:color w:val="auto"/>
                <w:sz w:val="21"/>
                <w:szCs w:val="21"/>
                <w:highlight w:val="none"/>
                <w:vertAlign w:val="baseline"/>
              </w:rPr>
            </w:pPr>
            <w:r>
              <w:rPr>
                <w:rFonts w:hint="eastAsia" w:ascii="宋体" w:hAnsi="宋体"/>
                <w:b w:val="0"/>
                <w:bCs/>
                <w:color w:val="auto"/>
                <w:sz w:val="21"/>
                <w:szCs w:val="21"/>
                <w:highlight w:val="none"/>
                <w:vertAlign w:val="baseline"/>
              </w:rPr>
              <w:t>A02061900照明设备</w:t>
            </w:r>
          </w:p>
        </w:tc>
        <w:tc>
          <w:tcPr>
            <w:tcW w:w="1773" w:type="dxa"/>
            <w:vAlign w:val="top"/>
          </w:tcPr>
          <w:p w14:paraId="62FB5AE2">
            <w:pPr>
              <w:keepNext w:val="0"/>
              <w:keepLines w:val="0"/>
              <w:suppressLineNumbers w:val="0"/>
              <w:spacing w:before="0" w:beforeAutospacing="0" w:after="0" w:afterAutospacing="0" w:line="400" w:lineRule="exact"/>
              <w:ind w:left="0" w:right="0"/>
              <w:jc w:val="center"/>
              <w:rPr>
                <w:rFonts w:hint="eastAsia" w:ascii="宋体" w:hAnsi="宋体"/>
                <w:b w:val="0"/>
                <w:bCs/>
                <w:color w:val="auto"/>
                <w:sz w:val="21"/>
                <w:szCs w:val="21"/>
                <w:highlight w:val="none"/>
                <w:vertAlign w:val="baseline"/>
              </w:rPr>
            </w:pPr>
            <w:r>
              <w:rPr>
                <w:rFonts w:hint="eastAsia" w:ascii="宋体" w:hAnsi="宋体"/>
                <w:b w:val="0"/>
                <w:bCs/>
                <w:color w:val="auto"/>
                <w:sz w:val="21"/>
                <w:szCs w:val="21"/>
                <w:highlight w:val="none"/>
                <w:vertAlign w:val="baseline"/>
              </w:rPr>
              <w:t>★普通照明用双端荧光灯</w:t>
            </w:r>
          </w:p>
        </w:tc>
        <w:tc>
          <w:tcPr>
            <w:tcW w:w="1964" w:type="dxa"/>
            <w:vAlign w:val="center"/>
          </w:tcPr>
          <w:p w14:paraId="33328C26">
            <w:pPr>
              <w:keepNext w:val="0"/>
              <w:keepLines w:val="0"/>
              <w:suppressLineNumbers w:val="0"/>
              <w:spacing w:before="0" w:beforeAutospacing="0" w:after="0" w:afterAutospacing="0" w:line="400" w:lineRule="exact"/>
              <w:ind w:left="0" w:right="0"/>
              <w:jc w:val="center"/>
              <w:rPr>
                <w:rFonts w:hint="eastAsia" w:ascii="宋体" w:hAnsi="宋体"/>
                <w:b w:val="0"/>
                <w:bCs/>
                <w:color w:val="auto"/>
                <w:sz w:val="21"/>
                <w:szCs w:val="21"/>
                <w:highlight w:val="none"/>
                <w:vertAlign w:val="baseline"/>
              </w:rPr>
            </w:pPr>
          </w:p>
        </w:tc>
        <w:tc>
          <w:tcPr>
            <w:tcW w:w="3595" w:type="dxa"/>
            <w:vAlign w:val="top"/>
          </w:tcPr>
          <w:p w14:paraId="2A4C151E">
            <w:pPr>
              <w:keepNext w:val="0"/>
              <w:keepLines w:val="0"/>
              <w:suppressLineNumbers w:val="0"/>
              <w:spacing w:before="0" w:beforeAutospacing="0" w:after="0" w:afterAutospacing="0" w:line="400" w:lineRule="exact"/>
              <w:ind w:left="0" w:right="0"/>
              <w:jc w:val="left"/>
              <w:rPr>
                <w:rFonts w:hint="eastAsia" w:ascii="宋体" w:hAnsi="宋体"/>
                <w:b w:val="0"/>
                <w:bCs/>
                <w:color w:val="auto"/>
                <w:sz w:val="21"/>
                <w:szCs w:val="21"/>
                <w:highlight w:val="none"/>
                <w:vertAlign w:val="baseline"/>
              </w:rPr>
            </w:pPr>
            <w:r>
              <w:rPr>
                <w:rFonts w:hint="eastAsia" w:ascii="宋体" w:hAnsi="宋体"/>
                <w:b w:val="0"/>
                <w:bCs/>
                <w:color w:val="auto"/>
                <w:sz w:val="21"/>
                <w:szCs w:val="21"/>
                <w:highlight w:val="none"/>
                <w:vertAlign w:val="baseline"/>
              </w:rPr>
              <w:t>《普通照明用双端荧光灯能效限定值及能效等级》（GB19043）</w:t>
            </w:r>
          </w:p>
        </w:tc>
      </w:tr>
      <w:tr w14:paraId="3E597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14:paraId="4600C7CE">
            <w:pPr>
              <w:keepNext w:val="0"/>
              <w:keepLines w:val="0"/>
              <w:suppressLineNumbers w:val="0"/>
              <w:spacing w:before="0" w:beforeAutospacing="0" w:after="0" w:afterAutospacing="0" w:line="400" w:lineRule="exact"/>
              <w:ind w:left="0" w:right="0"/>
              <w:jc w:val="center"/>
              <w:rPr>
                <w:rFonts w:hint="eastAsia" w:ascii="宋体" w:hAnsi="宋体"/>
                <w:b w:val="0"/>
                <w:bCs/>
                <w:color w:val="auto"/>
                <w:sz w:val="21"/>
                <w:szCs w:val="21"/>
                <w:highlight w:val="none"/>
                <w:vertAlign w:val="baseline"/>
              </w:rPr>
            </w:pPr>
          </w:p>
        </w:tc>
        <w:tc>
          <w:tcPr>
            <w:tcW w:w="1813" w:type="dxa"/>
            <w:vMerge w:val="continue"/>
            <w:vAlign w:val="center"/>
          </w:tcPr>
          <w:p w14:paraId="22C2849F">
            <w:pPr>
              <w:keepNext w:val="0"/>
              <w:keepLines w:val="0"/>
              <w:suppressLineNumbers w:val="0"/>
              <w:spacing w:before="0" w:beforeAutospacing="0" w:after="0" w:afterAutospacing="0" w:line="400" w:lineRule="exact"/>
              <w:ind w:left="0" w:right="0"/>
              <w:jc w:val="center"/>
              <w:rPr>
                <w:rFonts w:hint="eastAsia" w:ascii="宋体" w:hAnsi="宋体"/>
                <w:b w:val="0"/>
                <w:bCs/>
                <w:color w:val="auto"/>
                <w:sz w:val="21"/>
                <w:szCs w:val="21"/>
                <w:highlight w:val="none"/>
                <w:vertAlign w:val="baseline"/>
              </w:rPr>
            </w:pPr>
          </w:p>
        </w:tc>
        <w:tc>
          <w:tcPr>
            <w:tcW w:w="1773" w:type="dxa"/>
            <w:vAlign w:val="top"/>
          </w:tcPr>
          <w:p w14:paraId="2AF6C994">
            <w:pPr>
              <w:keepNext w:val="0"/>
              <w:keepLines w:val="0"/>
              <w:suppressLineNumbers w:val="0"/>
              <w:spacing w:before="0" w:beforeAutospacing="0" w:after="0" w:afterAutospacing="0" w:line="400" w:lineRule="exact"/>
              <w:ind w:left="0" w:right="0"/>
              <w:jc w:val="center"/>
              <w:rPr>
                <w:rFonts w:hint="eastAsia" w:ascii="宋体" w:hAnsi="宋体"/>
                <w:b w:val="0"/>
                <w:bCs/>
                <w:color w:val="auto"/>
                <w:sz w:val="21"/>
                <w:szCs w:val="21"/>
                <w:highlight w:val="none"/>
                <w:vertAlign w:val="baseline"/>
              </w:rPr>
            </w:pPr>
            <w:r>
              <w:rPr>
                <w:rFonts w:hint="eastAsia" w:ascii="宋体" w:hAnsi="宋体"/>
                <w:b w:val="0"/>
                <w:bCs/>
                <w:color w:val="auto"/>
                <w:sz w:val="21"/>
                <w:szCs w:val="21"/>
                <w:highlight w:val="none"/>
                <w:vertAlign w:val="baseline"/>
              </w:rPr>
              <w:t>LED道路/隧道照明产品</w:t>
            </w:r>
          </w:p>
        </w:tc>
        <w:tc>
          <w:tcPr>
            <w:tcW w:w="1964" w:type="dxa"/>
            <w:vAlign w:val="center"/>
          </w:tcPr>
          <w:p w14:paraId="65A0BD9C">
            <w:pPr>
              <w:keepNext w:val="0"/>
              <w:keepLines w:val="0"/>
              <w:suppressLineNumbers w:val="0"/>
              <w:spacing w:before="0" w:beforeAutospacing="0" w:after="0" w:afterAutospacing="0" w:line="400" w:lineRule="exact"/>
              <w:ind w:left="0" w:right="0"/>
              <w:jc w:val="center"/>
              <w:rPr>
                <w:rFonts w:hint="eastAsia" w:ascii="宋体" w:hAnsi="宋体"/>
                <w:b w:val="0"/>
                <w:bCs/>
                <w:color w:val="auto"/>
                <w:sz w:val="21"/>
                <w:szCs w:val="21"/>
                <w:highlight w:val="none"/>
                <w:vertAlign w:val="baseline"/>
              </w:rPr>
            </w:pPr>
          </w:p>
        </w:tc>
        <w:tc>
          <w:tcPr>
            <w:tcW w:w="3595" w:type="dxa"/>
            <w:vAlign w:val="top"/>
          </w:tcPr>
          <w:p w14:paraId="68C09DCE">
            <w:pPr>
              <w:keepNext w:val="0"/>
              <w:keepLines w:val="0"/>
              <w:suppressLineNumbers w:val="0"/>
              <w:spacing w:before="0" w:beforeAutospacing="0" w:after="0" w:afterAutospacing="0" w:line="400" w:lineRule="exact"/>
              <w:ind w:left="0" w:right="0"/>
              <w:jc w:val="left"/>
              <w:rPr>
                <w:rFonts w:hint="eastAsia" w:ascii="宋体" w:hAnsi="宋体"/>
                <w:b w:val="0"/>
                <w:bCs/>
                <w:color w:val="auto"/>
                <w:sz w:val="21"/>
                <w:szCs w:val="21"/>
                <w:highlight w:val="none"/>
                <w:vertAlign w:val="baseline"/>
              </w:rPr>
            </w:pPr>
            <w:r>
              <w:rPr>
                <w:rFonts w:hint="eastAsia" w:ascii="宋体" w:hAnsi="宋体"/>
                <w:b w:val="0"/>
                <w:bCs/>
                <w:color w:val="auto"/>
                <w:sz w:val="21"/>
                <w:szCs w:val="21"/>
                <w:highlight w:val="none"/>
                <w:vertAlign w:val="baseline"/>
              </w:rPr>
              <w:t>《道路和隧道照明用 LED 灯具能效限定值及能效等级》</w:t>
            </w:r>
          </w:p>
          <w:p w14:paraId="69F6EB11">
            <w:pPr>
              <w:keepNext w:val="0"/>
              <w:keepLines w:val="0"/>
              <w:suppressLineNumbers w:val="0"/>
              <w:spacing w:before="0" w:beforeAutospacing="0" w:after="0" w:afterAutospacing="0" w:line="400" w:lineRule="exact"/>
              <w:ind w:left="0" w:right="0"/>
              <w:jc w:val="left"/>
              <w:rPr>
                <w:rFonts w:hint="eastAsia" w:ascii="宋体" w:hAnsi="宋体"/>
                <w:b w:val="0"/>
                <w:bCs/>
                <w:color w:val="auto"/>
                <w:sz w:val="21"/>
                <w:szCs w:val="21"/>
                <w:highlight w:val="none"/>
                <w:vertAlign w:val="baseline"/>
              </w:rPr>
            </w:pPr>
            <w:r>
              <w:rPr>
                <w:rFonts w:hint="eastAsia" w:ascii="宋体" w:hAnsi="宋体"/>
                <w:b w:val="0"/>
                <w:bCs/>
                <w:color w:val="auto"/>
                <w:sz w:val="21"/>
                <w:szCs w:val="21"/>
                <w:highlight w:val="none"/>
                <w:vertAlign w:val="baseline"/>
              </w:rPr>
              <w:t>（GB37478）</w:t>
            </w:r>
          </w:p>
        </w:tc>
      </w:tr>
      <w:tr w14:paraId="01ABB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14:paraId="126EB86C">
            <w:pPr>
              <w:keepNext w:val="0"/>
              <w:keepLines w:val="0"/>
              <w:suppressLineNumbers w:val="0"/>
              <w:spacing w:before="0" w:beforeAutospacing="0" w:after="0" w:afterAutospacing="0" w:line="400" w:lineRule="exact"/>
              <w:ind w:left="0" w:right="0"/>
              <w:jc w:val="center"/>
              <w:rPr>
                <w:rFonts w:hint="eastAsia" w:ascii="宋体" w:hAnsi="宋体"/>
                <w:b w:val="0"/>
                <w:bCs/>
                <w:color w:val="auto"/>
                <w:sz w:val="21"/>
                <w:szCs w:val="21"/>
                <w:highlight w:val="none"/>
                <w:vertAlign w:val="baseline"/>
              </w:rPr>
            </w:pPr>
          </w:p>
        </w:tc>
        <w:tc>
          <w:tcPr>
            <w:tcW w:w="1813" w:type="dxa"/>
            <w:vMerge w:val="continue"/>
            <w:vAlign w:val="center"/>
          </w:tcPr>
          <w:p w14:paraId="23347499">
            <w:pPr>
              <w:keepNext w:val="0"/>
              <w:keepLines w:val="0"/>
              <w:suppressLineNumbers w:val="0"/>
              <w:spacing w:before="0" w:beforeAutospacing="0" w:after="0" w:afterAutospacing="0" w:line="400" w:lineRule="exact"/>
              <w:ind w:left="0" w:right="0"/>
              <w:jc w:val="center"/>
              <w:rPr>
                <w:rFonts w:hint="eastAsia" w:ascii="宋体" w:hAnsi="宋体"/>
                <w:b w:val="0"/>
                <w:bCs/>
                <w:color w:val="auto"/>
                <w:sz w:val="21"/>
                <w:szCs w:val="21"/>
                <w:highlight w:val="none"/>
                <w:vertAlign w:val="baseline"/>
              </w:rPr>
            </w:pPr>
          </w:p>
        </w:tc>
        <w:tc>
          <w:tcPr>
            <w:tcW w:w="1773" w:type="dxa"/>
            <w:vAlign w:val="top"/>
          </w:tcPr>
          <w:p w14:paraId="3F4B40C3">
            <w:pPr>
              <w:keepNext w:val="0"/>
              <w:keepLines w:val="0"/>
              <w:suppressLineNumbers w:val="0"/>
              <w:spacing w:before="0" w:beforeAutospacing="0" w:after="0" w:afterAutospacing="0" w:line="400" w:lineRule="exact"/>
              <w:ind w:left="0" w:right="0"/>
              <w:jc w:val="center"/>
              <w:rPr>
                <w:rFonts w:hint="eastAsia" w:ascii="宋体" w:hAnsi="宋体"/>
                <w:b w:val="0"/>
                <w:bCs/>
                <w:color w:val="auto"/>
                <w:sz w:val="21"/>
                <w:szCs w:val="21"/>
                <w:highlight w:val="none"/>
                <w:vertAlign w:val="baseline"/>
              </w:rPr>
            </w:pPr>
            <w:r>
              <w:rPr>
                <w:rFonts w:hint="eastAsia" w:ascii="宋体" w:hAnsi="宋体"/>
                <w:b w:val="0"/>
                <w:bCs/>
                <w:color w:val="auto"/>
                <w:sz w:val="21"/>
                <w:szCs w:val="21"/>
                <w:highlight w:val="none"/>
                <w:vertAlign w:val="baseline"/>
              </w:rPr>
              <w:t>LED 筒灯</w:t>
            </w:r>
          </w:p>
        </w:tc>
        <w:tc>
          <w:tcPr>
            <w:tcW w:w="1964" w:type="dxa"/>
            <w:vAlign w:val="center"/>
          </w:tcPr>
          <w:p w14:paraId="54EBB3E9">
            <w:pPr>
              <w:keepNext w:val="0"/>
              <w:keepLines w:val="0"/>
              <w:suppressLineNumbers w:val="0"/>
              <w:spacing w:before="0" w:beforeAutospacing="0" w:after="0" w:afterAutospacing="0" w:line="400" w:lineRule="exact"/>
              <w:ind w:left="0" w:right="0"/>
              <w:jc w:val="center"/>
              <w:rPr>
                <w:rFonts w:hint="eastAsia" w:ascii="宋体" w:hAnsi="宋体"/>
                <w:b w:val="0"/>
                <w:bCs/>
                <w:color w:val="auto"/>
                <w:sz w:val="21"/>
                <w:szCs w:val="21"/>
                <w:highlight w:val="none"/>
                <w:vertAlign w:val="baseline"/>
              </w:rPr>
            </w:pPr>
          </w:p>
        </w:tc>
        <w:tc>
          <w:tcPr>
            <w:tcW w:w="3595" w:type="dxa"/>
            <w:vAlign w:val="top"/>
          </w:tcPr>
          <w:p w14:paraId="67489959">
            <w:pPr>
              <w:keepNext w:val="0"/>
              <w:keepLines w:val="0"/>
              <w:suppressLineNumbers w:val="0"/>
              <w:spacing w:before="0" w:beforeAutospacing="0" w:after="0" w:afterAutospacing="0" w:line="400" w:lineRule="exact"/>
              <w:ind w:left="0" w:right="0"/>
              <w:jc w:val="left"/>
              <w:rPr>
                <w:rFonts w:hint="eastAsia" w:ascii="宋体" w:hAnsi="宋体"/>
                <w:b w:val="0"/>
                <w:bCs/>
                <w:color w:val="auto"/>
                <w:sz w:val="21"/>
                <w:szCs w:val="21"/>
                <w:highlight w:val="none"/>
                <w:vertAlign w:val="baseline"/>
              </w:rPr>
            </w:pPr>
            <w:r>
              <w:rPr>
                <w:rFonts w:hint="eastAsia" w:ascii="宋体" w:hAnsi="宋体"/>
                <w:b w:val="0"/>
                <w:bCs/>
                <w:color w:val="auto"/>
                <w:sz w:val="21"/>
                <w:szCs w:val="21"/>
                <w:highlight w:val="none"/>
                <w:vertAlign w:val="baseline"/>
              </w:rPr>
              <w:t>《室内照明用 LED 产品能效限定值及能效等级》（GB30255）</w:t>
            </w:r>
          </w:p>
        </w:tc>
      </w:tr>
      <w:tr w14:paraId="49E9A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14:paraId="2488347E">
            <w:pPr>
              <w:keepNext w:val="0"/>
              <w:keepLines w:val="0"/>
              <w:suppressLineNumbers w:val="0"/>
              <w:spacing w:before="0" w:beforeAutospacing="0" w:after="0" w:afterAutospacing="0" w:line="400" w:lineRule="exact"/>
              <w:ind w:left="0" w:right="0"/>
              <w:jc w:val="center"/>
              <w:rPr>
                <w:rFonts w:hint="eastAsia" w:ascii="宋体" w:hAnsi="宋体"/>
                <w:b w:val="0"/>
                <w:bCs/>
                <w:color w:val="auto"/>
                <w:sz w:val="21"/>
                <w:szCs w:val="21"/>
                <w:highlight w:val="none"/>
                <w:vertAlign w:val="baseline"/>
              </w:rPr>
            </w:pPr>
          </w:p>
        </w:tc>
        <w:tc>
          <w:tcPr>
            <w:tcW w:w="1813" w:type="dxa"/>
            <w:vMerge w:val="continue"/>
            <w:vAlign w:val="center"/>
          </w:tcPr>
          <w:p w14:paraId="513850B3">
            <w:pPr>
              <w:keepNext w:val="0"/>
              <w:keepLines w:val="0"/>
              <w:suppressLineNumbers w:val="0"/>
              <w:spacing w:before="0" w:beforeAutospacing="0" w:after="0" w:afterAutospacing="0" w:line="400" w:lineRule="exact"/>
              <w:ind w:left="0" w:right="0"/>
              <w:jc w:val="center"/>
              <w:rPr>
                <w:rFonts w:hint="eastAsia" w:ascii="宋体" w:hAnsi="宋体"/>
                <w:b w:val="0"/>
                <w:bCs/>
                <w:color w:val="auto"/>
                <w:sz w:val="21"/>
                <w:szCs w:val="21"/>
                <w:highlight w:val="none"/>
                <w:vertAlign w:val="baseline"/>
              </w:rPr>
            </w:pPr>
          </w:p>
        </w:tc>
        <w:tc>
          <w:tcPr>
            <w:tcW w:w="1773" w:type="dxa"/>
            <w:vAlign w:val="top"/>
          </w:tcPr>
          <w:p w14:paraId="7847F33D">
            <w:pPr>
              <w:keepNext w:val="0"/>
              <w:keepLines w:val="0"/>
              <w:suppressLineNumbers w:val="0"/>
              <w:spacing w:before="0" w:beforeAutospacing="0" w:after="0" w:afterAutospacing="0" w:line="400" w:lineRule="exact"/>
              <w:ind w:left="0" w:right="0"/>
              <w:jc w:val="center"/>
              <w:rPr>
                <w:rFonts w:hint="eastAsia" w:ascii="宋体" w:hAnsi="宋体"/>
                <w:b w:val="0"/>
                <w:bCs/>
                <w:color w:val="auto"/>
                <w:sz w:val="21"/>
                <w:szCs w:val="21"/>
                <w:highlight w:val="none"/>
                <w:vertAlign w:val="baseline"/>
              </w:rPr>
            </w:pPr>
            <w:r>
              <w:rPr>
                <w:rFonts w:hint="eastAsia" w:ascii="宋体" w:hAnsi="宋体"/>
                <w:b w:val="0"/>
                <w:bCs/>
                <w:color w:val="auto"/>
                <w:sz w:val="21"/>
                <w:szCs w:val="21"/>
                <w:highlight w:val="none"/>
                <w:vertAlign w:val="baseline"/>
              </w:rPr>
              <w:t>普通照明用非定向自镇流LED灯</w:t>
            </w:r>
          </w:p>
        </w:tc>
        <w:tc>
          <w:tcPr>
            <w:tcW w:w="1964" w:type="dxa"/>
            <w:vAlign w:val="center"/>
          </w:tcPr>
          <w:p w14:paraId="7005A0B4">
            <w:pPr>
              <w:keepNext w:val="0"/>
              <w:keepLines w:val="0"/>
              <w:suppressLineNumbers w:val="0"/>
              <w:spacing w:before="0" w:beforeAutospacing="0" w:after="0" w:afterAutospacing="0" w:line="400" w:lineRule="exact"/>
              <w:ind w:left="0" w:right="0"/>
              <w:jc w:val="center"/>
              <w:rPr>
                <w:rFonts w:hint="eastAsia" w:ascii="宋体" w:hAnsi="宋体"/>
                <w:b w:val="0"/>
                <w:bCs/>
                <w:color w:val="auto"/>
                <w:sz w:val="21"/>
                <w:szCs w:val="21"/>
                <w:highlight w:val="none"/>
                <w:vertAlign w:val="baseline"/>
              </w:rPr>
            </w:pPr>
          </w:p>
        </w:tc>
        <w:tc>
          <w:tcPr>
            <w:tcW w:w="3595" w:type="dxa"/>
            <w:vAlign w:val="top"/>
          </w:tcPr>
          <w:p w14:paraId="71ACE52F">
            <w:pPr>
              <w:keepNext w:val="0"/>
              <w:keepLines w:val="0"/>
              <w:suppressLineNumbers w:val="0"/>
              <w:spacing w:before="0" w:beforeAutospacing="0" w:after="0" w:afterAutospacing="0" w:line="400" w:lineRule="exact"/>
              <w:ind w:left="0" w:right="0"/>
              <w:jc w:val="left"/>
              <w:rPr>
                <w:rFonts w:hint="eastAsia" w:ascii="宋体" w:hAnsi="宋体"/>
                <w:b w:val="0"/>
                <w:bCs/>
                <w:color w:val="auto"/>
                <w:sz w:val="21"/>
                <w:szCs w:val="21"/>
                <w:highlight w:val="none"/>
                <w:vertAlign w:val="baseline"/>
              </w:rPr>
            </w:pPr>
            <w:r>
              <w:rPr>
                <w:rFonts w:hint="eastAsia" w:ascii="宋体" w:hAnsi="宋体"/>
                <w:b w:val="0"/>
                <w:bCs/>
                <w:color w:val="auto"/>
                <w:sz w:val="21"/>
                <w:szCs w:val="21"/>
                <w:highlight w:val="none"/>
                <w:vertAlign w:val="baseline"/>
              </w:rPr>
              <w:t>《室内照明用 LED 产品能效限定值及能效等级》 （GB30255）</w:t>
            </w:r>
          </w:p>
        </w:tc>
      </w:tr>
      <w:tr w14:paraId="6D941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166488A8">
            <w:pPr>
              <w:keepNext w:val="0"/>
              <w:keepLines w:val="0"/>
              <w:suppressLineNumbers w:val="0"/>
              <w:spacing w:before="0" w:beforeAutospacing="0" w:after="0" w:afterAutospacing="0" w:line="400" w:lineRule="exact"/>
              <w:ind w:left="0" w:right="0"/>
              <w:jc w:val="center"/>
              <w:rPr>
                <w:rFonts w:hint="eastAsia" w:ascii="宋体" w:hAnsi="宋体"/>
                <w:b w:val="0"/>
                <w:bCs/>
                <w:color w:val="auto"/>
                <w:sz w:val="21"/>
                <w:szCs w:val="21"/>
                <w:highlight w:val="none"/>
                <w:vertAlign w:val="baseline"/>
              </w:rPr>
            </w:pPr>
            <w:r>
              <w:rPr>
                <w:rFonts w:hint="eastAsia" w:ascii="宋体" w:hAnsi="宋体"/>
                <w:b w:val="0"/>
                <w:bCs/>
                <w:color w:val="auto"/>
                <w:sz w:val="21"/>
                <w:szCs w:val="21"/>
                <w:highlight w:val="none"/>
                <w:vertAlign w:val="baseline"/>
              </w:rPr>
              <w:t>12</w:t>
            </w:r>
          </w:p>
        </w:tc>
        <w:tc>
          <w:tcPr>
            <w:tcW w:w="1813" w:type="dxa"/>
            <w:vAlign w:val="center"/>
          </w:tcPr>
          <w:p w14:paraId="53EE6E50">
            <w:pPr>
              <w:keepNext w:val="0"/>
              <w:keepLines w:val="0"/>
              <w:suppressLineNumbers w:val="0"/>
              <w:spacing w:before="0" w:beforeAutospacing="0" w:after="0" w:afterAutospacing="0" w:line="400" w:lineRule="exact"/>
              <w:ind w:left="0" w:right="0"/>
              <w:jc w:val="center"/>
              <w:rPr>
                <w:rFonts w:hint="eastAsia" w:ascii="宋体" w:hAnsi="宋体"/>
                <w:b w:val="0"/>
                <w:bCs/>
                <w:color w:val="auto"/>
                <w:sz w:val="21"/>
                <w:szCs w:val="21"/>
                <w:highlight w:val="none"/>
                <w:vertAlign w:val="baseline"/>
              </w:rPr>
            </w:pPr>
            <w:r>
              <w:rPr>
                <w:rFonts w:hint="eastAsia" w:ascii="宋体" w:hAnsi="宋体"/>
                <w:b w:val="0"/>
                <w:bCs/>
                <w:color w:val="auto"/>
                <w:sz w:val="21"/>
                <w:szCs w:val="21"/>
                <w:highlight w:val="none"/>
                <w:vertAlign w:val="baseline"/>
              </w:rPr>
              <w:t>★A02091000</w:t>
            </w:r>
            <w:r>
              <w:rPr>
                <w:rFonts w:hint="eastAsia" w:ascii="宋体" w:hAnsi="宋体"/>
                <w:b w:val="0"/>
                <w:bCs/>
                <w:color w:val="auto"/>
                <w:sz w:val="21"/>
                <w:szCs w:val="21"/>
                <w:highlight w:val="none"/>
                <w:vertAlign w:val="baseline"/>
                <w:lang w:val="en-US" w:eastAsia="zh-CN"/>
              </w:rPr>
              <w:t xml:space="preserve"> </w:t>
            </w:r>
            <w:r>
              <w:rPr>
                <w:rFonts w:hint="eastAsia" w:ascii="宋体" w:hAnsi="宋体"/>
                <w:b w:val="0"/>
                <w:bCs/>
                <w:color w:val="auto"/>
                <w:sz w:val="21"/>
                <w:szCs w:val="21"/>
                <w:highlight w:val="none"/>
                <w:vertAlign w:val="baseline"/>
              </w:rPr>
              <w:t>电视设备</w:t>
            </w:r>
          </w:p>
        </w:tc>
        <w:tc>
          <w:tcPr>
            <w:tcW w:w="1773" w:type="dxa"/>
            <w:vAlign w:val="center"/>
          </w:tcPr>
          <w:p w14:paraId="29C3D3F9">
            <w:pPr>
              <w:keepNext w:val="0"/>
              <w:keepLines w:val="0"/>
              <w:suppressLineNumbers w:val="0"/>
              <w:spacing w:before="0" w:beforeAutospacing="0" w:after="0" w:afterAutospacing="0" w:line="400" w:lineRule="exact"/>
              <w:ind w:left="0" w:right="0"/>
              <w:jc w:val="center"/>
              <w:rPr>
                <w:rFonts w:hint="eastAsia" w:ascii="宋体" w:hAnsi="宋体"/>
                <w:b w:val="0"/>
                <w:bCs/>
                <w:color w:val="auto"/>
                <w:sz w:val="21"/>
                <w:szCs w:val="21"/>
                <w:highlight w:val="none"/>
                <w:vertAlign w:val="baseline"/>
              </w:rPr>
            </w:pPr>
            <w:r>
              <w:rPr>
                <w:rFonts w:hint="eastAsia" w:ascii="宋体" w:hAnsi="宋体"/>
                <w:b w:val="0"/>
                <w:bCs/>
                <w:color w:val="auto"/>
                <w:sz w:val="21"/>
                <w:szCs w:val="21"/>
                <w:highlight w:val="none"/>
                <w:vertAlign w:val="baseline"/>
              </w:rPr>
              <w:t>A02091001 普通电视设备</w:t>
            </w:r>
          </w:p>
          <w:p w14:paraId="5C66C0DA">
            <w:pPr>
              <w:keepNext w:val="0"/>
              <w:keepLines w:val="0"/>
              <w:suppressLineNumbers w:val="0"/>
              <w:spacing w:before="0" w:beforeAutospacing="0" w:after="0" w:afterAutospacing="0" w:line="400" w:lineRule="exact"/>
              <w:ind w:left="0" w:right="0"/>
              <w:jc w:val="center"/>
              <w:rPr>
                <w:rFonts w:hint="eastAsia" w:ascii="宋体" w:hAnsi="宋体"/>
                <w:b w:val="0"/>
                <w:bCs/>
                <w:color w:val="auto"/>
                <w:sz w:val="21"/>
                <w:szCs w:val="21"/>
                <w:highlight w:val="none"/>
                <w:vertAlign w:val="baseline"/>
              </w:rPr>
            </w:pPr>
            <w:r>
              <w:rPr>
                <w:rFonts w:hint="eastAsia" w:ascii="宋体" w:hAnsi="宋体"/>
                <w:b w:val="0"/>
                <w:bCs/>
                <w:color w:val="auto"/>
                <w:sz w:val="21"/>
                <w:szCs w:val="21"/>
                <w:highlight w:val="none"/>
                <w:vertAlign w:val="baseline"/>
              </w:rPr>
              <w:t>（电视机）</w:t>
            </w:r>
          </w:p>
        </w:tc>
        <w:tc>
          <w:tcPr>
            <w:tcW w:w="1964" w:type="dxa"/>
            <w:vAlign w:val="center"/>
          </w:tcPr>
          <w:p w14:paraId="665FF830">
            <w:pPr>
              <w:keepNext w:val="0"/>
              <w:keepLines w:val="0"/>
              <w:suppressLineNumbers w:val="0"/>
              <w:spacing w:before="0" w:beforeAutospacing="0" w:after="0" w:afterAutospacing="0" w:line="400" w:lineRule="exact"/>
              <w:ind w:left="0" w:right="0"/>
              <w:jc w:val="center"/>
              <w:rPr>
                <w:rFonts w:hint="eastAsia" w:ascii="宋体" w:hAnsi="宋体"/>
                <w:b w:val="0"/>
                <w:bCs/>
                <w:color w:val="auto"/>
                <w:sz w:val="21"/>
                <w:szCs w:val="21"/>
                <w:highlight w:val="none"/>
                <w:vertAlign w:val="baseline"/>
              </w:rPr>
            </w:pPr>
          </w:p>
        </w:tc>
        <w:tc>
          <w:tcPr>
            <w:tcW w:w="3595" w:type="dxa"/>
            <w:vAlign w:val="center"/>
          </w:tcPr>
          <w:p w14:paraId="718E5E0A">
            <w:pPr>
              <w:keepNext w:val="0"/>
              <w:keepLines w:val="0"/>
              <w:suppressLineNumbers w:val="0"/>
              <w:spacing w:before="0" w:beforeAutospacing="0" w:after="0" w:afterAutospacing="0" w:line="400" w:lineRule="exact"/>
              <w:ind w:left="0" w:right="0"/>
              <w:jc w:val="left"/>
              <w:rPr>
                <w:rFonts w:hint="eastAsia" w:ascii="宋体" w:hAnsi="宋体"/>
                <w:b w:val="0"/>
                <w:bCs/>
                <w:color w:val="auto"/>
                <w:sz w:val="21"/>
                <w:szCs w:val="21"/>
                <w:highlight w:val="none"/>
                <w:vertAlign w:val="baseline"/>
              </w:rPr>
            </w:pPr>
            <w:r>
              <w:rPr>
                <w:rFonts w:hint="eastAsia" w:ascii="宋体" w:hAnsi="宋体"/>
                <w:b w:val="0"/>
                <w:bCs/>
                <w:color w:val="auto"/>
                <w:sz w:val="21"/>
                <w:szCs w:val="21"/>
                <w:highlight w:val="none"/>
                <w:vertAlign w:val="baseline"/>
              </w:rPr>
              <w:t>《平板电视能效限定值及能效等级》 （GB24850）</w:t>
            </w:r>
          </w:p>
        </w:tc>
      </w:tr>
      <w:tr w14:paraId="3AFEE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347BC8E6">
            <w:pPr>
              <w:keepNext w:val="0"/>
              <w:keepLines w:val="0"/>
              <w:suppressLineNumbers w:val="0"/>
              <w:spacing w:before="0" w:beforeAutospacing="0" w:after="0" w:afterAutospacing="0" w:line="400" w:lineRule="exact"/>
              <w:ind w:left="0" w:right="0"/>
              <w:jc w:val="center"/>
              <w:rPr>
                <w:rFonts w:hint="eastAsia" w:ascii="宋体" w:hAnsi="宋体"/>
                <w:b w:val="0"/>
                <w:bCs/>
                <w:color w:val="auto"/>
                <w:sz w:val="21"/>
                <w:szCs w:val="21"/>
                <w:highlight w:val="none"/>
                <w:vertAlign w:val="baseline"/>
              </w:rPr>
            </w:pPr>
            <w:r>
              <w:rPr>
                <w:rFonts w:hint="eastAsia" w:ascii="宋体" w:hAnsi="宋体"/>
                <w:b w:val="0"/>
                <w:bCs/>
                <w:color w:val="auto"/>
                <w:sz w:val="21"/>
                <w:szCs w:val="21"/>
                <w:highlight w:val="none"/>
                <w:vertAlign w:val="baseline"/>
              </w:rPr>
              <w:t>13</w:t>
            </w:r>
          </w:p>
        </w:tc>
        <w:tc>
          <w:tcPr>
            <w:tcW w:w="1813" w:type="dxa"/>
            <w:vAlign w:val="center"/>
          </w:tcPr>
          <w:p w14:paraId="38D8BDD4">
            <w:pPr>
              <w:keepNext w:val="0"/>
              <w:keepLines w:val="0"/>
              <w:suppressLineNumbers w:val="0"/>
              <w:spacing w:before="0" w:beforeAutospacing="0" w:after="0" w:afterAutospacing="0" w:line="400" w:lineRule="exact"/>
              <w:ind w:left="0" w:right="0"/>
              <w:jc w:val="center"/>
              <w:rPr>
                <w:rFonts w:hint="eastAsia" w:ascii="宋体" w:hAnsi="宋体"/>
                <w:b w:val="0"/>
                <w:bCs/>
                <w:color w:val="auto"/>
                <w:sz w:val="21"/>
                <w:szCs w:val="21"/>
                <w:highlight w:val="none"/>
                <w:vertAlign w:val="baseline"/>
              </w:rPr>
            </w:pPr>
            <w:r>
              <w:rPr>
                <w:rFonts w:hint="eastAsia" w:ascii="宋体" w:hAnsi="宋体"/>
                <w:b w:val="0"/>
                <w:bCs/>
                <w:color w:val="auto"/>
                <w:sz w:val="21"/>
                <w:szCs w:val="21"/>
                <w:highlight w:val="none"/>
                <w:vertAlign w:val="baseline"/>
              </w:rPr>
              <w:t>★A02091100视频设备</w:t>
            </w:r>
          </w:p>
        </w:tc>
        <w:tc>
          <w:tcPr>
            <w:tcW w:w="1773" w:type="dxa"/>
            <w:vAlign w:val="center"/>
          </w:tcPr>
          <w:p w14:paraId="2884DBAF">
            <w:pPr>
              <w:keepNext w:val="0"/>
              <w:keepLines w:val="0"/>
              <w:suppressLineNumbers w:val="0"/>
              <w:spacing w:before="0" w:beforeAutospacing="0" w:after="0" w:afterAutospacing="0" w:line="400" w:lineRule="exact"/>
              <w:ind w:left="0" w:right="0"/>
              <w:jc w:val="center"/>
              <w:rPr>
                <w:rFonts w:hint="eastAsia" w:ascii="宋体" w:hAnsi="宋体"/>
                <w:b w:val="0"/>
                <w:bCs/>
                <w:color w:val="auto"/>
                <w:sz w:val="21"/>
                <w:szCs w:val="21"/>
                <w:highlight w:val="none"/>
                <w:vertAlign w:val="baseline"/>
              </w:rPr>
            </w:pPr>
            <w:r>
              <w:rPr>
                <w:rFonts w:hint="eastAsia" w:ascii="宋体" w:hAnsi="宋体"/>
                <w:b w:val="0"/>
                <w:bCs/>
                <w:color w:val="auto"/>
                <w:sz w:val="21"/>
                <w:szCs w:val="21"/>
                <w:highlight w:val="none"/>
                <w:vertAlign w:val="baseline"/>
              </w:rPr>
              <w:t>A02091107 视频监控设备</w:t>
            </w:r>
          </w:p>
        </w:tc>
        <w:tc>
          <w:tcPr>
            <w:tcW w:w="1964" w:type="dxa"/>
            <w:vAlign w:val="center"/>
          </w:tcPr>
          <w:p w14:paraId="1DC1D666">
            <w:pPr>
              <w:keepNext w:val="0"/>
              <w:keepLines w:val="0"/>
              <w:suppressLineNumbers w:val="0"/>
              <w:spacing w:before="0" w:beforeAutospacing="0" w:after="0" w:afterAutospacing="0" w:line="400" w:lineRule="exact"/>
              <w:ind w:left="0" w:right="0"/>
              <w:jc w:val="center"/>
              <w:rPr>
                <w:rFonts w:hint="eastAsia" w:ascii="宋体" w:hAnsi="宋体"/>
                <w:b w:val="0"/>
                <w:bCs/>
                <w:color w:val="auto"/>
                <w:sz w:val="21"/>
                <w:szCs w:val="21"/>
                <w:highlight w:val="none"/>
                <w:vertAlign w:val="baseline"/>
              </w:rPr>
            </w:pPr>
            <w:r>
              <w:rPr>
                <w:rFonts w:hint="eastAsia" w:ascii="宋体" w:hAnsi="宋体"/>
                <w:b w:val="0"/>
                <w:bCs/>
                <w:color w:val="auto"/>
                <w:sz w:val="21"/>
                <w:szCs w:val="21"/>
                <w:highlight w:val="none"/>
                <w:vertAlign w:val="baseline"/>
              </w:rPr>
              <w:t>监视器</w:t>
            </w:r>
          </w:p>
        </w:tc>
        <w:tc>
          <w:tcPr>
            <w:tcW w:w="3595" w:type="dxa"/>
            <w:vAlign w:val="center"/>
          </w:tcPr>
          <w:p w14:paraId="6B748FA5">
            <w:pPr>
              <w:keepNext w:val="0"/>
              <w:keepLines w:val="0"/>
              <w:suppressLineNumbers w:val="0"/>
              <w:spacing w:before="0" w:beforeAutospacing="0" w:after="0" w:afterAutospacing="0" w:line="400" w:lineRule="exact"/>
              <w:ind w:left="0" w:right="0"/>
              <w:jc w:val="left"/>
              <w:rPr>
                <w:rFonts w:hint="eastAsia" w:ascii="宋体" w:hAnsi="宋体"/>
                <w:b w:val="0"/>
                <w:bCs/>
                <w:color w:val="auto"/>
                <w:sz w:val="21"/>
                <w:szCs w:val="21"/>
                <w:highlight w:val="none"/>
                <w:vertAlign w:val="baseline"/>
              </w:rPr>
            </w:pPr>
            <w:r>
              <w:rPr>
                <w:rFonts w:hint="eastAsia" w:ascii="宋体" w:hAnsi="宋体"/>
                <w:b w:val="0"/>
                <w:bCs/>
                <w:color w:val="auto"/>
                <w:sz w:val="21"/>
                <w:szCs w:val="21"/>
                <w:highlight w:val="none"/>
                <w:vertAlign w:val="baseline"/>
              </w:rPr>
              <w:t>以射频信号为主要信号输入的监视器应符合《平板电视能效限定值及能效等级》（GB24850），</w:t>
            </w:r>
          </w:p>
          <w:p w14:paraId="74DF5B30">
            <w:pPr>
              <w:keepNext w:val="0"/>
              <w:keepLines w:val="0"/>
              <w:suppressLineNumbers w:val="0"/>
              <w:spacing w:before="0" w:beforeAutospacing="0" w:after="0" w:afterAutospacing="0" w:line="400" w:lineRule="exact"/>
              <w:ind w:left="0" w:right="0"/>
              <w:jc w:val="left"/>
              <w:rPr>
                <w:rFonts w:hint="eastAsia" w:ascii="宋体" w:hAnsi="宋体"/>
                <w:b w:val="0"/>
                <w:bCs/>
                <w:color w:val="auto"/>
                <w:sz w:val="21"/>
                <w:szCs w:val="21"/>
                <w:highlight w:val="none"/>
                <w:vertAlign w:val="baseline"/>
              </w:rPr>
            </w:pPr>
            <w:r>
              <w:rPr>
                <w:rFonts w:hint="eastAsia" w:ascii="宋体" w:hAnsi="宋体"/>
                <w:b w:val="0"/>
                <w:bCs/>
                <w:color w:val="auto"/>
                <w:sz w:val="21"/>
                <w:szCs w:val="21"/>
                <w:highlight w:val="none"/>
                <w:vertAlign w:val="baseline"/>
              </w:rPr>
              <w:t>以数字信号为主要信号输入的监视器应符合《计算机显示器能效限定值及能效等级》</w:t>
            </w:r>
          </w:p>
          <w:p w14:paraId="7C9BCFD1">
            <w:pPr>
              <w:keepNext w:val="0"/>
              <w:keepLines w:val="0"/>
              <w:suppressLineNumbers w:val="0"/>
              <w:spacing w:before="0" w:beforeAutospacing="0" w:after="0" w:afterAutospacing="0" w:line="400" w:lineRule="exact"/>
              <w:ind w:left="0" w:right="0"/>
              <w:jc w:val="left"/>
              <w:rPr>
                <w:rFonts w:hint="eastAsia" w:ascii="宋体" w:hAnsi="宋体"/>
                <w:b w:val="0"/>
                <w:bCs/>
                <w:color w:val="auto"/>
                <w:sz w:val="21"/>
                <w:szCs w:val="21"/>
                <w:highlight w:val="none"/>
                <w:vertAlign w:val="baseline"/>
              </w:rPr>
            </w:pPr>
            <w:r>
              <w:rPr>
                <w:rFonts w:hint="eastAsia" w:ascii="宋体" w:hAnsi="宋体"/>
                <w:b w:val="0"/>
                <w:bCs/>
                <w:color w:val="auto"/>
                <w:sz w:val="21"/>
                <w:szCs w:val="21"/>
                <w:highlight w:val="none"/>
                <w:vertAlign w:val="baseline"/>
              </w:rPr>
              <w:t>（GB21520）</w:t>
            </w:r>
          </w:p>
        </w:tc>
      </w:tr>
      <w:tr w14:paraId="7FCC7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1586869A">
            <w:pPr>
              <w:keepNext w:val="0"/>
              <w:keepLines w:val="0"/>
              <w:suppressLineNumbers w:val="0"/>
              <w:spacing w:before="0" w:beforeAutospacing="0" w:after="0" w:afterAutospacing="0" w:line="400" w:lineRule="exact"/>
              <w:ind w:left="0" w:right="0"/>
              <w:jc w:val="center"/>
              <w:rPr>
                <w:rFonts w:hint="eastAsia" w:ascii="宋体" w:hAnsi="宋体"/>
                <w:b w:val="0"/>
                <w:bCs/>
                <w:color w:val="auto"/>
                <w:sz w:val="21"/>
                <w:szCs w:val="21"/>
                <w:highlight w:val="none"/>
                <w:vertAlign w:val="baseline"/>
              </w:rPr>
            </w:pPr>
            <w:r>
              <w:rPr>
                <w:rFonts w:hint="eastAsia" w:ascii="宋体" w:hAnsi="宋体"/>
                <w:b w:val="0"/>
                <w:bCs/>
                <w:color w:val="auto"/>
                <w:sz w:val="21"/>
                <w:szCs w:val="21"/>
                <w:highlight w:val="none"/>
                <w:vertAlign w:val="baseline"/>
              </w:rPr>
              <w:t>14</w:t>
            </w:r>
          </w:p>
        </w:tc>
        <w:tc>
          <w:tcPr>
            <w:tcW w:w="1813" w:type="dxa"/>
            <w:vAlign w:val="center"/>
          </w:tcPr>
          <w:p w14:paraId="7B342B13">
            <w:pPr>
              <w:keepNext w:val="0"/>
              <w:keepLines w:val="0"/>
              <w:suppressLineNumbers w:val="0"/>
              <w:spacing w:before="0" w:beforeAutospacing="0" w:after="0" w:afterAutospacing="0" w:line="400" w:lineRule="exact"/>
              <w:ind w:left="0" w:right="0"/>
              <w:jc w:val="center"/>
              <w:rPr>
                <w:rFonts w:hint="eastAsia" w:ascii="宋体" w:hAnsi="宋体"/>
                <w:b w:val="0"/>
                <w:bCs/>
                <w:color w:val="auto"/>
                <w:sz w:val="21"/>
                <w:szCs w:val="21"/>
                <w:highlight w:val="none"/>
                <w:vertAlign w:val="baseline"/>
              </w:rPr>
            </w:pPr>
            <w:r>
              <w:rPr>
                <w:rFonts w:hint="eastAsia" w:ascii="宋体" w:hAnsi="宋体"/>
                <w:b w:val="0"/>
                <w:bCs/>
                <w:color w:val="auto"/>
                <w:sz w:val="21"/>
                <w:szCs w:val="21"/>
                <w:highlight w:val="none"/>
                <w:vertAlign w:val="baseline"/>
              </w:rPr>
              <w:t>A02241000</w:t>
            </w:r>
          </w:p>
          <w:p w14:paraId="19D36DCF">
            <w:pPr>
              <w:keepNext w:val="0"/>
              <w:keepLines w:val="0"/>
              <w:suppressLineNumbers w:val="0"/>
              <w:spacing w:before="0" w:beforeAutospacing="0" w:after="0" w:afterAutospacing="0" w:line="400" w:lineRule="exact"/>
              <w:ind w:left="0" w:right="0"/>
              <w:jc w:val="center"/>
              <w:rPr>
                <w:rFonts w:hint="eastAsia" w:ascii="宋体" w:hAnsi="宋体"/>
                <w:b w:val="0"/>
                <w:bCs/>
                <w:color w:val="auto"/>
                <w:sz w:val="21"/>
                <w:szCs w:val="21"/>
                <w:highlight w:val="none"/>
                <w:vertAlign w:val="baseline"/>
              </w:rPr>
            </w:pPr>
            <w:r>
              <w:rPr>
                <w:rFonts w:hint="eastAsia" w:ascii="宋体" w:hAnsi="宋体"/>
                <w:b w:val="0"/>
                <w:bCs/>
                <w:color w:val="auto"/>
                <w:sz w:val="21"/>
                <w:szCs w:val="21"/>
                <w:highlight w:val="none"/>
                <w:vertAlign w:val="baseline"/>
              </w:rPr>
              <w:t>饮食炊事机</w:t>
            </w:r>
          </w:p>
          <w:p w14:paraId="052322E3">
            <w:pPr>
              <w:keepNext w:val="0"/>
              <w:keepLines w:val="0"/>
              <w:suppressLineNumbers w:val="0"/>
              <w:spacing w:before="0" w:beforeAutospacing="0" w:after="0" w:afterAutospacing="0" w:line="400" w:lineRule="exact"/>
              <w:ind w:left="0" w:right="0"/>
              <w:jc w:val="center"/>
              <w:rPr>
                <w:rFonts w:hint="eastAsia" w:ascii="宋体" w:hAnsi="宋体"/>
                <w:b w:val="0"/>
                <w:bCs/>
                <w:color w:val="auto"/>
                <w:sz w:val="21"/>
                <w:szCs w:val="21"/>
                <w:highlight w:val="none"/>
                <w:vertAlign w:val="baseline"/>
              </w:rPr>
            </w:pPr>
            <w:r>
              <w:rPr>
                <w:rFonts w:hint="eastAsia" w:ascii="宋体" w:hAnsi="宋体"/>
                <w:b w:val="0"/>
                <w:bCs/>
                <w:color w:val="auto"/>
                <w:sz w:val="21"/>
                <w:szCs w:val="21"/>
                <w:highlight w:val="none"/>
                <w:vertAlign w:val="baseline"/>
              </w:rPr>
              <w:t>械</w:t>
            </w:r>
          </w:p>
        </w:tc>
        <w:tc>
          <w:tcPr>
            <w:tcW w:w="1773" w:type="dxa"/>
            <w:vAlign w:val="center"/>
          </w:tcPr>
          <w:p w14:paraId="694D4D28">
            <w:pPr>
              <w:keepNext w:val="0"/>
              <w:keepLines w:val="0"/>
              <w:suppressLineNumbers w:val="0"/>
              <w:spacing w:before="0" w:beforeAutospacing="0" w:after="0" w:afterAutospacing="0" w:line="400" w:lineRule="exact"/>
              <w:ind w:left="0" w:right="0"/>
              <w:jc w:val="center"/>
              <w:rPr>
                <w:rFonts w:hint="eastAsia" w:ascii="宋体" w:hAnsi="宋体"/>
                <w:b w:val="0"/>
                <w:bCs/>
                <w:color w:val="auto"/>
                <w:sz w:val="21"/>
                <w:szCs w:val="21"/>
                <w:highlight w:val="none"/>
                <w:vertAlign w:val="baseline"/>
              </w:rPr>
            </w:pPr>
            <w:r>
              <w:rPr>
                <w:rFonts w:hint="eastAsia" w:ascii="宋体" w:hAnsi="宋体"/>
                <w:b w:val="0"/>
                <w:bCs/>
                <w:color w:val="auto"/>
                <w:sz w:val="21"/>
                <w:szCs w:val="21"/>
                <w:highlight w:val="none"/>
                <w:vertAlign w:val="baseline"/>
              </w:rPr>
              <w:t>商用燃气灶具</w:t>
            </w:r>
          </w:p>
        </w:tc>
        <w:tc>
          <w:tcPr>
            <w:tcW w:w="1964" w:type="dxa"/>
            <w:vAlign w:val="center"/>
          </w:tcPr>
          <w:p w14:paraId="645BA5CC">
            <w:pPr>
              <w:keepNext w:val="0"/>
              <w:keepLines w:val="0"/>
              <w:suppressLineNumbers w:val="0"/>
              <w:spacing w:before="0" w:beforeAutospacing="0" w:after="0" w:afterAutospacing="0" w:line="400" w:lineRule="exact"/>
              <w:ind w:left="0" w:right="0"/>
              <w:jc w:val="center"/>
              <w:rPr>
                <w:rFonts w:hint="eastAsia" w:ascii="宋体" w:hAnsi="宋体"/>
                <w:b w:val="0"/>
                <w:bCs/>
                <w:color w:val="auto"/>
                <w:sz w:val="21"/>
                <w:szCs w:val="21"/>
                <w:highlight w:val="none"/>
                <w:vertAlign w:val="baseline"/>
              </w:rPr>
            </w:pPr>
          </w:p>
        </w:tc>
        <w:tc>
          <w:tcPr>
            <w:tcW w:w="3595" w:type="dxa"/>
            <w:vAlign w:val="center"/>
          </w:tcPr>
          <w:p w14:paraId="1AB84689">
            <w:pPr>
              <w:keepNext w:val="0"/>
              <w:keepLines w:val="0"/>
              <w:suppressLineNumbers w:val="0"/>
              <w:spacing w:before="0" w:beforeAutospacing="0" w:after="0" w:afterAutospacing="0" w:line="400" w:lineRule="exact"/>
              <w:ind w:left="0" w:right="0"/>
              <w:jc w:val="left"/>
              <w:rPr>
                <w:rFonts w:hint="eastAsia" w:ascii="宋体" w:hAnsi="宋体"/>
                <w:b w:val="0"/>
                <w:bCs/>
                <w:color w:val="auto"/>
                <w:sz w:val="21"/>
                <w:szCs w:val="21"/>
                <w:highlight w:val="none"/>
                <w:vertAlign w:val="baseline"/>
              </w:rPr>
            </w:pPr>
            <w:r>
              <w:rPr>
                <w:rFonts w:hint="eastAsia" w:ascii="宋体" w:hAnsi="宋体"/>
                <w:b w:val="0"/>
                <w:bCs/>
                <w:color w:val="auto"/>
                <w:sz w:val="21"/>
                <w:szCs w:val="21"/>
                <w:highlight w:val="none"/>
                <w:vertAlign w:val="baseline"/>
              </w:rPr>
              <w:t>《商用燃气灶具能效限定值及能效等级》（GB30531）</w:t>
            </w:r>
          </w:p>
        </w:tc>
      </w:tr>
      <w:tr w14:paraId="7CBD4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restart"/>
            <w:vAlign w:val="center"/>
          </w:tcPr>
          <w:p w14:paraId="3F5290CE">
            <w:pPr>
              <w:keepNext w:val="0"/>
              <w:keepLines w:val="0"/>
              <w:suppressLineNumbers w:val="0"/>
              <w:spacing w:before="0" w:beforeAutospacing="0" w:after="0" w:afterAutospacing="0" w:line="400" w:lineRule="exact"/>
              <w:ind w:left="0" w:right="0"/>
              <w:jc w:val="center"/>
              <w:rPr>
                <w:rFonts w:hint="eastAsia" w:ascii="宋体" w:hAnsi="宋体"/>
                <w:b w:val="0"/>
                <w:bCs/>
                <w:color w:val="auto"/>
                <w:sz w:val="21"/>
                <w:szCs w:val="21"/>
                <w:highlight w:val="none"/>
                <w:vertAlign w:val="baseline"/>
              </w:rPr>
            </w:pPr>
            <w:r>
              <w:rPr>
                <w:rFonts w:hint="default"/>
                <w:color w:val="auto"/>
                <w:spacing w:val="-7"/>
                <w:position w:val="1"/>
                <w:highlight w:val="none"/>
              </w:rPr>
              <w:t>15</w:t>
            </w:r>
          </w:p>
        </w:tc>
        <w:tc>
          <w:tcPr>
            <w:tcW w:w="1813" w:type="dxa"/>
            <w:vMerge w:val="restart"/>
            <w:vAlign w:val="center"/>
          </w:tcPr>
          <w:p w14:paraId="4F52CF83">
            <w:pPr>
              <w:keepNext w:val="0"/>
              <w:keepLines w:val="0"/>
              <w:suppressLineNumbers w:val="0"/>
              <w:spacing w:before="0" w:beforeAutospacing="0" w:after="0" w:afterAutospacing="0" w:line="400" w:lineRule="exact"/>
              <w:ind w:left="0" w:right="0"/>
              <w:jc w:val="center"/>
              <w:rPr>
                <w:rFonts w:hint="eastAsia" w:ascii="宋体" w:hAnsi="宋体"/>
                <w:b w:val="0"/>
                <w:bCs/>
                <w:color w:val="auto"/>
                <w:sz w:val="21"/>
                <w:szCs w:val="21"/>
                <w:highlight w:val="none"/>
                <w:vertAlign w:val="baseline"/>
              </w:rPr>
            </w:pPr>
            <w:r>
              <w:rPr>
                <w:rFonts w:hint="eastAsia" w:ascii="宋体" w:hAnsi="宋体"/>
                <w:b w:val="0"/>
                <w:bCs/>
                <w:color w:val="auto"/>
                <w:sz w:val="21"/>
                <w:szCs w:val="21"/>
                <w:highlight w:val="none"/>
                <w:vertAlign w:val="baseline"/>
              </w:rPr>
              <w:t>★A05020105便器</w:t>
            </w:r>
          </w:p>
        </w:tc>
        <w:tc>
          <w:tcPr>
            <w:tcW w:w="1773" w:type="dxa"/>
            <w:vAlign w:val="top"/>
          </w:tcPr>
          <w:p w14:paraId="6EFC9FEB">
            <w:pPr>
              <w:keepNext w:val="0"/>
              <w:keepLines w:val="0"/>
              <w:suppressLineNumbers w:val="0"/>
              <w:spacing w:before="0" w:beforeAutospacing="0" w:after="0" w:afterAutospacing="0" w:line="272" w:lineRule="auto"/>
              <w:ind w:left="0" w:right="0"/>
              <w:rPr>
                <w:rFonts w:hint="default" w:ascii="Arial"/>
                <w:color w:val="auto"/>
                <w:sz w:val="21"/>
                <w:highlight w:val="none"/>
              </w:rPr>
            </w:pPr>
          </w:p>
          <w:p w14:paraId="4B856B4A">
            <w:pPr>
              <w:pStyle w:val="77"/>
              <w:keepNext w:val="0"/>
              <w:keepLines w:val="0"/>
              <w:suppressLineNumbers w:val="0"/>
              <w:spacing w:before="65" w:beforeAutospacing="0" w:after="0" w:afterAutospacing="0" w:line="228" w:lineRule="auto"/>
              <w:ind w:left="437" w:leftChars="0" w:right="0"/>
              <w:rPr>
                <w:rFonts w:hint="eastAsia" w:ascii="宋体" w:hAnsi="宋体"/>
                <w:b w:val="0"/>
                <w:bCs/>
                <w:color w:val="auto"/>
                <w:sz w:val="21"/>
                <w:szCs w:val="21"/>
                <w:highlight w:val="none"/>
                <w:vertAlign w:val="baseline"/>
              </w:rPr>
            </w:pPr>
            <w:r>
              <w:rPr>
                <w:rFonts w:hint="default"/>
                <w:color w:val="auto"/>
                <w:spacing w:val="6"/>
                <w:highlight w:val="none"/>
              </w:rPr>
              <w:t>坐便器</w:t>
            </w:r>
          </w:p>
        </w:tc>
        <w:tc>
          <w:tcPr>
            <w:tcW w:w="1964" w:type="dxa"/>
            <w:vAlign w:val="center"/>
          </w:tcPr>
          <w:p w14:paraId="606F72EB">
            <w:pPr>
              <w:keepNext w:val="0"/>
              <w:keepLines w:val="0"/>
              <w:suppressLineNumbers w:val="0"/>
              <w:spacing w:before="0" w:beforeAutospacing="0" w:after="0" w:afterAutospacing="0" w:line="400" w:lineRule="exact"/>
              <w:ind w:left="0" w:right="0"/>
              <w:jc w:val="center"/>
              <w:rPr>
                <w:rFonts w:hint="eastAsia" w:ascii="宋体" w:hAnsi="宋体"/>
                <w:b w:val="0"/>
                <w:bCs/>
                <w:color w:val="auto"/>
                <w:sz w:val="21"/>
                <w:szCs w:val="21"/>
                <w:highlight w:val="none"/>
                <w:vertAlign w:val="baseline"/>
              </w:rPr>
            </w:pPr>
          </w:p>
        </w:tc>
        <w:tc>
          <w:tcPr>
            <w:tcW w:w="3595" w:type="dxa"/>
            <w:vAlign w:val="center"/>
          </w:tcPr>
          <w:p w14:paraId="0CF28827">
            <w:pPr>
              <w:keepNext w:val="0"/>
              <w:keepLines w:val="0"/>
              <w:suppressLineNumbers w:val="0"/>
              <w:spacing w:before="0" w:beforeAutospacing="0" w:after="0" w:afterAutospacing="0" w:line="400" w:lineRule="exact"/>
              <w:ind w:left="0" w:right="0"/>
              <w:jc w:val="left"/>
              <w:rPr>
                <w:rFonts w:hint="eastAsia" w:ascii="宋体" w:hAnsi="宋体"/>
                <w:b w:val="0"/>
                <w:bCs/>
                <w:color w:val="auto"/>
                <w:sz w:val="21"/>
                <w:szCs w:val="21"/>
                <w:highlight w:val="none"/>
                <w:vertAlign w:val="baseline"/>
              </w:rPr>
            </w:pPr>
            <w:r>
              <w:rPr>
                <w:rFonts w:hint="eastAsia" w:ascii="宋体" w:hAnsi="宋体"/>
                <w:b w:val="0"/>
                <w:bCs/>
                <w:color w:val="auto"/>
                <w:sz w:val="21"/>
                <w:szCs w:val="21"/>
                <w:highlight w:val="none"/>
                <w:vertAlign w:val="baseline"/>
              </w:rPr>
              <w:t>《坐便器水效限定值及水效等级》 （GB25502）</w:t>
            </w:r>
          </w:p>
        </w:tc>
      </w:tr>
      <w:tr w14:paraId="280E7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14:paraId="4DCD841A">
            <w:pPr>
              <w:keepNext w:val="0"/>
              <w:keepLines w:val="0"/>
              <w:suppressLineNumbers w:val="0"/>
              <w:spacing w:before="0" w:beforeAutospacing="0" w:after="0" w:afterAutospacing="0" w:line="400" w:lineRule="exact"/>
              <w:ind w:left="0" w:right="0"/>
              <w:jc w:val="center"/>
              <w:rPr>
                <w:rFonts w:hint="eastAsia" w:ascii="宋体" w:hAnsi="宋体"/>
                <w:b w:val="0"/>
                <w:bCs/>
                <w:color w:val="auto"/>
                <w:sz w:val="21"/>
                <w:szCs w:val="21"/>
                <w:highlight w:val="none"/>
                <w:vertAlign w:val="baseline"/>
              </w:rPr>
            </w:pPr>
          </w:p>
        </w:tc>
        <w:tc>
          <w:tcPr>
            <w:tcW w:w="1813" w:type="dxa"/>
            <w:vMerge w:val="continue"/>
            <w:vAlign w:val="center"/>
          </w:tcPr>
          <w:p w14:paraId="770D4CB0">
            <w:pPr>
              <w:keepNext w:val="0"/>
              <w:keepLines w:val="0"/>
              <w:suppressLineNumbers w:val="0"/>
              <w:spacing w:before="0" w:beforeAutospacing="0" w:after="0" w:afterAutospacing="0" w:line="400" w:lineRule="exact"/>
              <w:ind w:left="0" w:right="0"/>
              <w:jc w:val="center"/>
              <w:rPr>
                <w:rFonts w:hint="eastAsia" w:ascii="宋体" w:hAnsi="宋体"/>
                <w:b w:val="0"/>
                <w:bCs/>
                <w:color w:val="auto"/>
                <w:sz w:val="21"/>
                <w:szCs w:val="21"/>
                <w:highlight w:val="none"/>
                <w:vertAlign w:val="baseline"/>
              </w:rPr>
            </w:pPr>
          </w:p>
        </w:tc>
        <w:tc>
          <w:tcPr>
            <w:tcW w:w="1773" w:type="dxa"/>
            <w:vAlign w:val="top"/>
          </w:tcPr>
          <w:p w14:paraId="783C1EC3">
            <w:pPr>
              <w:pStyle w:val="77"/>
              <w:keepNext w:val="0"/>
              <w:keepLines w:val="0"/>
              <w:suppressLineNumbers w:val="0"/>
              <w:spacing w:before="277" w:beforeAutospacing="0" w:after="0" w:afterAutospacing="0" w:line="228" w:lineRule="auto"/>
              <w:ind w:left="435" w:leftChars="0" w:right="0"/>
              <w:rPr>
                <w:rFonts w:hint="eastAsia" w:ascii="宋体" w:hAnsi="宋体"/>
                <w:b w:val="0"/>
                <w:bCs/>
                <w:color w:val="auto"/>
                <w:sz w:val="21"/>
                <w:szCs w:val="21"/>
                <w:highlight w:val="none"/>
                <w:vertAlign w:val="baseline"/>
              </w:rPr>
            </w:pPr>
            <w:r>
              <w:rPr>
                <w:rFonts w:hint="default"/>
                <w:color w:val="auto"/>
                <w:spacing w:val="7"/>
                <w:highlight w:val="none"/>
              </w:rPr>
              <w:t>蹲便器</w:t>
            </w:r>
          </w:p>
        </w:tc>
        <w:tc>
          <w:tcPr>
            <w:tcW w:w="1964" w:type="dxa"/>
            <w:vAlign w:val="center"/>
          </w:tcPr>
          <w:p w14:paraId="56D8BCF2">
            <w:pPr>
              <w:keepNext w:val="0"/>
              <w:keepLines w:val="0"/>
              <w:suppressLineNumbers w:val="0"/>
              <w:spacing w:before="0" w:beforeAutospacing="0" w:after="0" w:afterAutospacing="0" w:line="400" w:lineRule="exact"/>
              <w:ind w:left="0" w:right="0"/>
              <w:jc w:val="center"/>
              <w:rPr>
                <w:rFonts w:hint="eastAsia" w:ascii="宋体" w:hAnsi="宋体"/>
                <w:b w:val="0"/>
                <w:bCs/>
                <w:color w:val="auto"/>
                <w:sz w:val="21"/>
                <w:szCs w:val="21"/>
                <w:highlight w:val="none"/>
                <w:vertAlign w:val="baseline"/>
              </w:rPr>
            </w:pPr>
          </w:p>
        </w:tc>
        <w:tc>
          <w:tcPr>
            <w:tcW w:w="3595" w:type="dxa"/>
            <w:vAlign w:val="center"/>
          </w:tcPr>
          <w:p w14:paraId="6187B936">
            <w:pPr>
              <w:keepNext w:val="0"/>
              <w:keepLines w:val="0"/>
              <w:suppressLineNumbers w:val="0"/>
              <w:spacing w:before="0" w:beforeAutospacing="0" w:after="0" w:afterAutospacing="0" w:line="400" w:lineRule="exact"/>
              <w:ind w:left="0" w:right="0"/>
              <w:jc w:val="left"/>
              <w:rPr>
                <w:rFonts w:hint="eastAsia" w:ascii="宋体" w:hAnsi="宋体"/>
                <w:b w:val="0"/>
                <w:bCs/>
                <w:color w:val="auto"/>
                <w:sz w:val="21"/>
                <w:szCs w:val="21"/>
                <w:highlight w:val="none"/>
                <w:vertAlign w:val="baseline"/>
              </w:rPr>
            </w:pPr>
            <w:r>
              <w:rPr>
                <w:rFonts w:hint="eastAsia" w:ascii="宋体" w:hAnsi="宋体"/>
                <w:b w:val="0"/>
                <w:bCs/>
                <w:color w:val="auto"/>
                <w:sz w:val="21"/>
                <w:szCs w:val="21"/>
                <w:highlight w:val="none"/>
                <w:vertAlign w:val="baseline"/>
              </w:rPr>
              <w:t>《蹲便器用水效率限定值及用水效率等级》（GB30717）</w:t>
            </w:r>
          </w:p>
        </w:tc>
      </w:tr>
      <w:tr w14:paraId="00689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14:paraId="321731F3">
            <w:pPr>
              <w:keepNext w:val="0"/>
              <w:keepLines w:val="0"/>
              <w:suppressLineNumbers w:val="0"/>
              <w:spacing w:before="0" w:beforeAutospacing="0" w:after="0" w:afterAutospacing="0" w:line="400" w:lineRule="exact"/>
              <w:ind w:left="0" w:right="0"/>
              <w:jc w:val="center"/>
              <w:rPr>
                <w:rFonts w:hint="eastAsia" w:ascii="宋体" w:hAnsi="宋体"/>
                <w:b w:val="0"/>
                <w:bCs/>
                <w:color w:val="auto"/>
                <w:sz w:val="21"/>
                <w:szCs w:val="21"/>
                <w:highlight w:val="none"/>
                <w:vertAlign w:val="baseline"/>
              </w:rPr>
            </w:pPr>
          </w:p>
        </w:tc>
        <w:tc>
          <w:tcPr>
            <w:tcW w:w="1813" w:type="dxa"/>
            <w:vMerge w:val="continue"/>
            <w:vAlign w:val="center"/>
          </w:tcPr>
          <w:p w14:paraId="288AFE91">
            <w:pPr>
              <w:keepNext w:val="0"/>
              <w:keepLines w:val="0"/>
              <w:suppressLineNumbers w:val="0"/>
              <w:spacing w:before="0" w:beforeAutospacing="0" w:after="0" w:afterAutospacing="0" w:line="400" w:lineRule="exact"/>
              <w:ind w:left="0" w:right="0"/>
              <w:jc w:val="center"/>
              <w:rPr>
                <w:rFonts w:hint="eastAsia" w:ascii="宋体" w:hAnsi="宋体"/>
                <w:b w:val="0"/>
                <w:bCs/>
                <w:color w:val="auto"/>
                <w:sz w:val="21"/>
                <w:szCs w:val="21"/>
                <w:highlight w:val="none"/>
                <w:vertAlign w:val="baseline"/>
              </w:rPr>
            </w:pPr>
          </w:p>
        </w:tc>
        <w:tc>
          <w:tcPr>
            <w:tcW w:w="1773" w:type="dxa"/>
            <w:vAlign w:val="top"/>
          </w:tcPr>
          <w:p w14:paraId="66420411">
            <w:pPr>
              <w:pStyle w:val="77"/>
              <w:keepNext w:val="0"/>
              <w:keepLines w:val="0"/>
              <w:suppressLineNumbers w:val="0"/>
              <w:spacing w:before="275" w:beforeAutospacing="0" w:after="0" w:afterAutospacing="0" w:line="228" w:lineRule="auto"/>
              <w:ind w:left="442" w:leftChars="0" w:right="0"/>
              <w:rPr>
                <w:rFonts w:hint="eastAsia" w:ascii="宋体" w:hAnsi="宋体"/>
                <w:b w:val="0"/>
                <w:bCs/>
                <w:color w:val="auto"/>
                <w:sz w:val="21"/>
                <w:szCs w:val="21"/>
                <w:highlight w:val="none"/>
                <w:vertAlign w:val="baseline"/>
              </w:rPr>
            </w:pPr>
            <w:r>
              <w:rPr>
                <w:rFonts w:hint="default"/>
                <w:color w:val="auto"/>
                <w:spacing w:val="5"/>
                <w:highlight w:val="none"/>
              </w:rPr>
              <w:t>小便器</w:t>
            </w:r>
          </w:p>
        </w:tc>
        <w:tc>
          <w:tcPr>
            <w:tcW w:w="1964" w:type="dxa"/>
            <w:vAlign w:val="center"/>
          </w:tcPr>
          <w:p w14:paraId="7466806C">
            <w:pPr>
              <w:keepNext w:val="0"/>
              <w:keepLines w:val="0"/>
              <w:suppressLineNumbers w:val="0"/>
              <w:spacing w:before="0" w:beforeAutospacing="0" w:after="0" w:afterAutospacing="0" w:line="400" w:lineRule="exact"/>
              <w:ind w:left="0" w:right="0"/>
              <w:jc w:val="center"/>
              <w:rPr>
                <w:rFonts w:hint="eastAsia" w:ascii="宋体" w:hAnsi="宋体"/>
                <w:b w:val="0"/>
                <w:bCs/>
                <w:color w:val="auto"/>
                <w:sz w:val="21"/>
                <w:szCs w:val="21"/>
                <w:highlight w:val="none"/>
                <w:vertAlign w:val="baseline"/>
              </w:rPr>
            </w:pPr>
          </w:p>
        </w:tc>
        <w:tc>
          <w:tcPr>
            <w:tcW w:w="3595" w:type="dxa"/>
            <w:vAlign w:val="center"/>
          </w:tcPr>
          <w:p w14:paraId="1C56316D">
            <w:pPr>
              <w:keepNext w:val="0"/>
              <w:keepLines w:val="0"/>
              <w:suppressLineNumbers w:val="0"/>
              <w:spacing w:before="0" w:beforeAutospacing="0" w:after="0" w:afterAutospacing="0" w:line="400" w:lineRule="exact"/>
              <w:ind w:left="0" w:right="0"/>
              <w:jc w:val="left"/>
              <w:rPr>
                <w:rFonts w:hint="eastAsia" w:ascii="宋体" w:hAnsi="宋体"/>
                <w:b w:val="0"/>
                <w:bCs/>
                <w:color w:val="auto"/>
                <w:sz w:val="21"/>
                <w:szCs w:val="21"/>
                <w:highlight w:val="none"/>
                <w:vertAlign w:val="baseline"/>
              </w:rPr>
            </w:pPr>
            <w:r>
              <w:rPr>
                <w:rFonts w:hint="eastAsia" w:ascii="宋体" w:hAnsi="宋体"/>
                <w:b w:val="0"/>
                <w:bCs/>
                <w:color w:val="auto"/>
                <w:sz w:val="21"/>
                <w:szCs w:val="21"/>
                <w:highlight w:val="none"/>
                <w:vertAlign w:val="baseline"/>
              </w:rPr>
              <w:t>《小便器用水效率限定值及用水效率等级》（GB28377）</w:t>
            </w:r>
          </w:p>
        </w:tc>
      </w:tr>
      <w:tr w14:paraId="4239E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top"/>
          </w:tcPr>
          <w:p w14:paraId="5F859D67">
            <w:pPr>
              <w:keepNext w:val="0"/>
              <w:keepLines w:val="0"/>
              <w:suppressLineNumbers w:val="0"/>
              <w:spacing w:before="0" w:beforeAutospacing="0" w:after="0" w:afterAutospacing="0" w:line="400" w:lineRule="exact"/>
              <w:ind w:left="0" w:right="0"/>
              <w:jc w:val="center"/>
              <w:rPr>
                <w:rFonts w:hint="eastAsia"/>
                <w:color w:val="auto"/>
                <w:spacing w:val="-7"/>
                <w:position w:val="1"/>
                <w:highlight w:val="none"/>
              </w:rPr>
            </w:pPr>
            <w:r>
              <w:rPr>
                <w:rFonts w:hint="default"/>
                <w:color w:val="auto"/>
                <w:spacing w:val="-7"/>
                <w:position w:val="1"/>
                <w:highlight w:val="none"/>
              </w:rPr>
              <w:t>16</w:t>
            </w:r>
          </w:p>
        </w:tc>
        <w:tc>
          <w:tcPr>
            <w:tcW w:w="1813" w:type="dxa"/>
            <w:vAlign w:val="top"/>
          </w:tcPr>
          <w:p w14:paraId="4A0504A1">
            <w:pPr>
              <w:keepNext w:val="0"/>
              <w:keepLines w:val="0"/>
              <w:suppressLineNumbers w:val="0"/>
              <w:spacing w:before="0" w:beforeAutospacing="0" w:after="0" w:afterAutospacing="0" w:line="400" w:lineRule="exact"/>
              <w:ind w:left="0" w:right="0"/>
              <w:jc w:val="center"/>
              <w:rPr>
                <w:rFonts w:hint="eastAsia"/>
                <w:color w:val="auto"/>
                <w:spacing w:val="-7"/>
                <w:position w:val="1"/>
                <w:highlight w:val="none"/>
              </w:rPr>
            </w:pPr>
            <w:r>
              <w:rPr>
                <w:rFonts w:hint="default"/>
                <w:color w:val="auto"/>
                <w:spacing w:val="-7"/>
                <w:position w:val="1"/>
                <w:highlight w:val="none"/>
              </w:rPr>
              <w:t>★A05020106水嘴</w:t>
            </w:r>
          </w:p>
        </w:tc>
        <w:tc>
          <w:tcPr>
            <w:tcW w:w="1773" w:type="dxa"/>
            <w:vAlign w:val="center"/>
          </w:tcPr>
          <w:p w14:paraId="03B515EB">
            <w:pPr>
              <w:keepNext w:val="0"/>
              <w:keepLines w:val="0"/>
              <w:suppressLineNumbers w:val="0"/>
              <w:spacing w:before="0" w:beforeAutospacing="0" w:after="0" w:afterAutospacing="0" w:line="400" w:lineRule="exact"/>
              <w:ind w:left="0" w:right="0"/>
              <w:jc w:val="center"/>
              <w:rPr>
                <w:rFonts w:hint="eastAsia" w:ascii="宋体" w:hAnsi="宋体"/>
                <w:b w:val="0"/>
                <w:bCs/>
                <w:color w:val="auto"/>
                <w:sz w:val="21"/>
                <w:szCs w:val="21"/>
                <w:highlight w:val="none"/>
                <w:vertAlign w:val="baseline"/>
              </w:rPr>
            </w:pPr>
          </w:p>
        </w:tc>
        <w:tc>
          <w:tcPr>
            <w:tcW w:w="1964" w:type="dxa"/>
            <w:vAlign w:val="center"/>
          </w:tcPr>
          <w:p w14:paraId="4BE17125">
            <w:pPr>
              <w:keepNext w:val="0"/>
              <w:keepLines w:val="0"/>
              <w:suppressLineNumbers w:val="0"/>
              <w:spacing w:before="0" w:beforeAutospacing="0" w:after="0" w:afterAutospacing="0" w:line="400" w:lineRule="exact"/>
              <w:ind w:left="0" w:right="0"/>
              <w:jc w:val="center"/>
              <w:rPr>
                <w:rFonts w:hint="eastAsia" w:ascii="宋体" w:hAnsi="宋体"/>
                <w:b w:val="0"/>
                <w:bCs/>
                <w:color w:val="auto"/>
                <w:sz w:val="21"/>
                <w:szCs w:val="21"/>
                <w:highlight w:val="none"/>
                <w:vertAlign w:val="baseline"/>
              </w:rPr>
            </w:pPr>
          </w:p>
        </w:tc>
        <w:tc>
          <w:tcPr>
            <w:tcW w:w="3595" w:type="dxa"/>
            <w:vAlign w:val="center"/>
          </w:tcPr>
          <w:p w14:paraId="4B109A7C">
            <w:pPr>
              <w:keepNext w:val="0"/>
              <w:keepLines w:val="0"/>
              <w:suppressLineNumbers w:val="0"/>
              <w:spacing w:before="0" w:beforeAutospacing="0" w:after="0" w:afterAutospacing="0" w:line="400" w:lineRule="exact"/>
              <w:ind w:left="0" w:right="0"/>
              <w:jc w:val="left"/>
              <w:rPr>
                <w:rFonts w:hint="eastAsia" w:ascii="宋体" w:hAnsi="宋体"/>
                <w:b w:val="0"/>
                <w:bCs/>
                <w:color w:val="auto"/>
                <w:sz w:val="21"/>
                <w:szCs w:val="21"/>
                <w:highlight w:val="none"/>
                <w:vertAlign w:val="baseline"/>
              </w:rPr>
            </w:pPr>
            <w:r>
              <w:rPr>
                <w:rFonts w:hint="eastAsia" w:ascii="宋体" w:hAnsi="宋体"/>
                <w:b w:val="0"/>
                <w:bCs/>
                <w:color w:val="auto"/>
                <w:sz w:val="21"/>
                <w:szCs w:val="21"/>
                <w:highlight w:val="none"/>
                <w:vertAlign w:val="baseline"/>
              </w:rPr>
              <w:t>《水嘴用水效率限定值及用水效率等级》（GB 25501）</w:t>
            </w:r>
          </w:p>
        </w:tc>
      </w:tr>
      <w:tr w14:paraId="3FB88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top"/>
          </w:tcPr>
          <w:p w14:paraId="2282A6A3">
            <w:pPr>
              <w:keepNext w:val="0"/>
              <w:keepLines w:val="0"/>
              <w:suppressLineNumbers w:val="0"/>
              <w:spacing w:before="0" w:beforeAutospacing="0" w:after="0" w:afterAutospacing="0" w:line="400" w:lineRule="exact"/>
              <w:ind w:left="0" w:right="0"/>
              <w:jc w:val="center"/>
              <w:rPr>
                <w:rFonts w:hint="eastAsia"/>
                <w:color w:val="auto"/>
                <w:spacing w:val="-7"/>
                <w:position w:val="1"/>
                <w:highlight w:val="none"/>
              </w:rPr>
            </w:pPr>
            <w:r>
              <w:rPr>
                <w:rFonts w:hint="default"/>
                <w:color w:val="auto"/>
                <w:spacing w:val="-7"/>
                <w:position w:val="1"/>
                <w:highlight w:val="none"/>
              </w:rPr>
              <w:t>17</w:t>
            </w:r>
          </w:p>
        </w:tc>
        <w:tc>
          <w:tcPr>
            <w:tcW w:w="1813" w:type="dxa"/>
            <w:vAlign w:val="top"/>
          </w:tcPr>
          <w:p w14:paraId="2E82A01C">
            <w:pPr>
              <w:keepNext w:val="0"/>
              <w:keepLines w:val="0"/>
              <w:suppressLineNumbers w:val="0"/>
              <w:spacing w:before="0" w:beforeAutospacing="0" w:after="0" w:afterAutospacing="0" w:line="400" w:lineRule="exact"/>
              <w:ind w:left="0" w:right="0"/>
              <w:jc w:val="center"/>
              <w:rPr>
                <w:rFonts w:hint="eastAsia"/>
                <w:color w:val="auto"/>
                <w:spacing w:val="-7"/>
                <w:position w:val="1"/>
                <w:highlight w:val="none"/>
              </w:rPr>
            </w:pPr>
            <w:r>
              <w:rPr>
                <w:rFonts w:hint="default"/>
                <w:color w:val="auto"/>
                <w:spacing w:val="-7"/>
                <w:position w:val="1"/>
                <w:highlight w:val="none"/>
              </w:rPr>
              <w:t>A05020107便器冲洗阀</w:t>
            </w:r>
          </w:p>
        </w:tc>
        <w:tc>
          <w:tcPr>
            <w:tcW w:w="1773" w:type="dxa"/>
            <w:vAlign w:val="center"/>
          </w:tcPr>
          <w:p w14:paraId="6754BFD4">
            <w:pPr>
              <w:keepNext w:val="0"/>
              <w:keepLines w:val="0"/>
              <w:suppressLineNumbers w:val="0"/>
              <w:spacing w:before="0" w:beforeAutospacing="0" w:after="0" w:afterAutospacing="0" w:line="400" w:lineRule="exact"/>
              <w:ind w:left="0" w:right="0"/>
              <w:jc w:val="center"/>
              <w:rPr>
                <w:rFonts w:hint="eastAsia" w:ascii="宋体" w:hAnsi="宋体"/>
                <w:b w:val="0"/>
                <w:bCs/>
                <w:color w:val="auto"/>
                <w:sz w:val="21"/>
                <w:szCs w:val="21"/>
                <w:highlight w:val="none"/>
                <w:vertAlign w:val="baseline"/>
              </w:rPr>
            </w:pPr>
          </w:p>
        </w:tc>
        <w:tc>
          <w:tcPr>
            <w:tcW w:w="1964" w:type="dxa"/>
            <w:vAlign w:val="center"/>
          </w:tcPr>
          <w:p w14:paraId="3F6E1815">
            <w:pPr>
              <w:keepNext w:val="0"/>
              <w:keepLines w:val="0"/>
              <w:suppressLineNumbers w:val="0"/>
              <w:spacing w:before="0" w:beforeAutospacing="0" w:after="0" w:afterAutospacing="0" w:line="400" w:lineRule="exact"/>
              <w:ind w:left="0" w:right="0"/>
              <w:jc w:val="center"/>
              <w:rPr>
                <w:rFonts w:hint="eastAsia" w:ascii="宋体" w:hAnsi="宋体"/>
                <w:b w:val="0"/>
                <w:bCs/>
                <w:color w:val="auto"/>
                <w:sz w:val="21"/>
                <w:szCs w:val="21"/>
                <w:highlight w:val="none"/>
                <w:vertAlign w:val="baseline"/>
              </w:rPr>
            </w:pPr>
          </w:p>
        </w:tc>
        <w:tc>
          <w:tcPr>
            <w:tcW w:w="3595" w:type="dxa"/>
            <w:vAlign w:val="top"/>
          </w:tcPr>
          <w:p w14:paraId="62DDF51A">
            <w:pPr>
              <w:keepNext w:val="0"/>
              <w:keepLines w:val="0"/>
              <w:suppressLineNumbers w:val="0"/>
              <w:spacing w:before="0" w:beforeAutospacing="0" w:after="0" w:afterAutospacing="0" w:line="400" w:lineRule="exact"/>
              <w:ind w:left="0" w:right="0"/>
              <w:jc w:val="left"/>
              <w:rPr>
                <w:rFonts w:hint="eastAsia" w:ascii="宋体" w:hAnsi="宋体"/>
                <w:b w:val="0"/>
                <w:bCs/>
                <w:color w:val="auto"/>
                <w:sz w:val="21"/>
                <w:szCs w:val="21"/>
                <w:highlight w:val="none"/>
                <w:vertAlign w:val="baseline"/>
              </w:rPr>
            </w:pPr>
            <w:r>
              <w:rPr>
                <w:rFonts w:hint="eastAsia" w:ascii="宋体" w:hAnsi="宋体"/>
                <w:b w:val="0"/>
                <w:bCs/>
                <w:color w:val="auto"/>
                <w:sz w:val="21"/>
                <w:szCs w:val="21"/>
                <w:highlight w:val="none"/>
                <w:vertAlign w:val="baseline"/>
              </w:rPr>
              <w:t>《便器冲洗阀用水效率限定值及用水效率等级》（GB28379）</w:t>
            </w:r>
          </w:p>
        </w:tc>
      </w:tr>
      <w:tr w14:paraId="6FC34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top"/>
          </w:tcPr>
          <w:p w14:paraId="2524122F">
            <w:pPr>
              <w:keepNext w:val="0"/>
              <w:keepLines w:val="0"/>
              <w:suppressLineNumbers w:val="0"/>
              <w:spacing w:before="0" w:beforeAutospacing="0" w:after="0" w:afterAutospacing="0" w:line="400" w:lineRule="exact"/>
              <w:ind w:left="0" w:right="0"/>
              <w:jc w:val="center"/>
              <w:rPr>
                <w:rFonts w:hint="eastAsia"/>
                <w:color w:val="auto"/>
                <w:spacing w:val="-7"/>
                <w:position w:val="1"/>
                <w:highlight w:val="none"/>
              </w:rPr>
            </w:pPr>
            <w:r>
              <w:rPr>
                <w:rFonts w:hint="default"/>
                <w:color w:val="auto"/>
                <w:spacing w:val="-7"/>
                <w:position w:val="1"/>
                <w:highlight w:val="none"/>
              </w:rPr>
              <w:t>18</w:t>
            </w:r>
          </w:p>
        </w:tc>
        <w:tc>
          <w:tcPr>
            <w:tcW w:w="1813" w:type="dxa"/>
            <w:vAlign w:val="top"/>
          </w:tcPr>
          <w:p w14:paraId="59330313">
            <w:pPr>
              <w:keepNext w:val="0"/>
              <w:keepLines w:val="0"/>
              <w:suppressLineNumbers w:val="0"/>
              <w:spacing w:before="0" w:beforeAutospacing="0" w:after="0" w:afterAutospacing="0" w:line="400" w:lineRule="exact"/>
              <w:ind w:left="0" w:right="0"/>
              <w:jc w:val="center"/>
              <w:rPr>
                <w:rFonts w:hint="eastAsia"/>
                <w:color w:val="auto"/>
                <w:spacing w:val="-7"/>
                <w:position w:val="1"/>
                <w:highlight w:val="none"/>
              </w:rPr>
            </w:pPr>
            <w:r>
              <w:rPr>
                <w:rFonts w:hint="default"/>
                <w:color w:val="auto"/>
                <w:spacing w:val="-7"/>
                <w:position w:val="1"/>
                <w:highlight w:val="none"/>
              </w:rPr>
              <w:t>A05020110淋浴器</w:t>
            </w:r>
          </w:p>
        </w:tc>
        <w:tc>
          <w:tcPr>
            <w:tcW w:w="1773" w:type="dxa"/>
            <w:vAlign w:val="center"/>
          </w:tcPr>
          <w:p w14:paraId="0E576F7E">
            <w:pPr>
              <w:keepNext w:val="0"/>
              <w:keepLines w:val="0"/>
              <w:suppressLineNumbers w:val="0"/>
              <w:spacing w:before="0" w:beforeAutospacing="0" w:after="0" w:afterAutospacing="0" w:line="400" w:lineRule="exact"/>
              <w:ind w:left="0" w:right="0"/>
              <w:jc w:val="center"/>
              <w:rPr>
                <w:rFonts w:hint="eastAsia" w:ascii="宋体" w:hAnsi="宋体"/>
                <w:b w:val="0"/>
                <w:bCs/>
                <w:color w:val="auto"/>
                <w:sz w:val="21"/>
                <w:szCs w:val="21"/>
                <w:highlight w:val="none"/>
                <w:vertAlign w:val="baseline"/>
              </w:rPr>
            </w:pPr>
          </w:p>
        </w:tc>
        <w:tc>
          <w:tcPr>
            <w:tcW w:w="1964" w:type="dxa"/>
            <w:vAlign w:val="center"/>
          </w:tcPr>
          <w:p w14:paraId="1FACAB46">
            <w:pPr>
              <w:keepNext w:val="0"/>
              <w:keepLines w:val="0"/>
              <w:suppressLineNumbers w:val="0"/>
              <w:spacing w:before="0" w:beforeAutospacing="0" w:after="0" w:afterAutospacing="0" w:line="400" w:lineRule="exact"/>
              <w:ind w:left="0" w:right="0"/>
              <w:jc w:val="center"/>
              <w:rPr>
                <w:rFonts w:hint="eastAsia" w:ascii="宋体" w:hAnsi="宋体"/>
                <w:b w:val="0"/>
                <w:bCs/>
                <w:color w:val="auto"/>
                <w:sz w:val="21"/>
                <w:szCs w:val="21"/>
                <w:highlight w:val="none"/>
                <w:vertAlign w:val="baseline"/>
              </w:rPr>
            </w:pPr>
          </w:p>
        </w:tc>
        <w:tc>
          <w:tcPr>
            <w:tcW w:w="3595" w:type="dxa"/>
            <w:vAlign w:val="top"/>
          </w:tcPr>
          <w:p w14:paraId="5C741792">
            <w:pPr>
              <w:keepNext w:val="0"/>
              <w:keepLines w:val="0"/>
              <w:suppressLineNumbers w:val="0"/>
              <w:spacing w:before="0" w:beforeAutospacing="0" w:after="0" w:afterAutospacing="0" w:line="400" w:lineRule="exact"/>
              <w:ind w:left="0" w:right="0"/>
              <w:jc w:val="left"/>
              <w:rPr>
                <w:rFonts w:hint="eastAsia" w:ascii="宋体" w:hAnsi="宋体"/>
                <w:b w:val="0"/>
                <w:bCs/>
                <w:color w:val="auto"/>
                <w:sz w:val="21"/>
                <w:szCs w:val="21"/>
                <w:highlight w:val="none"/>
                <w:vertAlign w:val="baseline"/>
              </w:rPr>
            </w:pPr>
            <w:r>
              <w:rPr>
                <w:rFonts w:hint="eastAsia" w:ascii="宋体" w:hAnsi="宋体"/>
                <w:b w:val="0"/>
                <w:bCs/>
                <w:color w:val="auto"/>
                <w:sz w:val="21"/>
                <w:szCs w:val="21"/>
                <w:highlight w:val="none"/>
                <w:vertAlign w:val="baseline"/>
              </w:rPr>
              <w:t>《淋浴器用水效率限定值及用水效率等级》（GB28378）</w:t>
            </w:r>
          </w:p>
        </w:tc>
      </w:tr>
    </w:tbl>
    <w:p w14:paraId="7D0E2830">
      <w:pPr>
        <w:widowControl/>
        <w:wordWrap w:val="0"/>
        <w:spacing w:line="400" w:lineRule="exact"/>
        <w:jc w:val="left"/>
        <w:rPr>
          <w:rFonts w:hint="eastAsia" w:ascii="宋体" w:hAnsi="宋体" w:cs="Courier New"/>
          <w:color w:val="auto"/>
          <w:szCs w:val="21"/>
          <w:highlight w:val="none"/>
        </w:rPr>
      </w:pPr>
      <w:r>
        <w:rPr>
          <w:rFonts w:hint="eastAsia" w:ascii="宋体" w:hAnsi="宋体" w:cs="Courier New"/>
          <w:color w:val="auto"/>
          <w:szCs w:val="21"/>
          <w:highlight w:val="none"/>
        </w:rPr>
        <w:t>注：1.节能产品认证应依据相关国家标准的最新版本，依据国家标准中二级能效（水效）指标。</w:t>
      </w:r>
    </w:p>
    <w:p w14:paraId="25FEBE5A">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2.以</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标注的为政府强制采购产品。</w:t>
      </w:r>
    </w:p>
    <w:p w14:paraId="15B8DC6E">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3.本表格原为《关于印发节能产品政府采购品目清单的通知》（财库〔2019〕19号）规定的表格附件，其中名称及编码已根据《财政部关于印发〈政府采购品目分类目录〉的通知》（财库〔2022〕31号）修改。</w:t>
      </w:r>
    </w:p>
    <w:p w14:paraId="53217B29">
      <w:pPr>
        <w:spacing w:line="400" w:lineRule="exact"/>
        <w:jc w:val="center"/>
        <w:rPr>
          <w:rFonts w:hint="eastAsia" w:ascii="宋体" w:hAnsi="宋体"/>
          <w:b/>
          <w:color w:val="auto"/>
          <w:sz w:val="32"/>
          <w:szCs w:val="32"/>
          <w:highlight w:val="none"/>
        </w:rPr>
      </w:pPr>
    </w:p>
    <w:p w14:paraId="14BB8C32">
      <w:pPr>
        <w:rPr>
          <w:rFonts w:hint="eastAsia" w:ascii="宋体" w:hAnsi="宋体"/>
          <w:b/>
          <w:color w:val="auto"/>
          <w:sz w:val="32"/>
          <w:szCs w:val="32"/>
          <w:highlight w:val="none"/>
        </w:rPr>
      </w:pPr>
      <w:r>
        <w:rPr>
          <w:rFonts w:hint="eastAsia" w:ascii="宋体" w:hAnsi="宋体"/>
          <w:b/>
          <w:color w:val="auto"/>
          <w:sz w:val="32"/>
          <w:szCs w:val="32"/>
          <w:highlight w:val="none"/>
        </w:rPr>
        <w:br w:type="page"/>
      </w:r>
    </w:p>
    <w:p w14:paraId="64943F3F">
      <w:pPr>
        <w:spacing w:before="101" w:line="230" w:lineRule="auto"/>
        <w:ind w:left="262"/>
        <w:rPr>
          <w:rFonts w:hint="eastAsia" w:ascii="黑体" w:hAnsi="黑体" w:eastAsia="黑体" w:cs="黑体"/>
          <w:color w:val="auto"/>
          <w:spacing w:val="-4"/>
          <w:sz w:val="31"/>
          <w:szCs w:val="31"/>
          <w:highlight w:val="none"/>
        </w:rPr>
      </w:pPr>
      <w:r>
        <w:rPr>
          <w:rFonts w:hint="eastAsia" w:ascii="黑体" w:hAnsi="黑体" w:eastAsia="黑体" w:cs="黑体"/>
          <w:color w:val="auto"/>
          <w:spacing w:val="-4"/>
          <w:sz w:val="31"/>
          <w:szCs w:val="31"/>
          <w:highlight w:val="none"/>
        </w:rPr>
        <w:t>附件 2：</w:t>
      </w:r>
    </w:p>
    <w:p w14:paraId="19B3196B">
      <w:pPr>
        <w:spacing w:before="323" w:line="206" w:lineRule="auto"/>
        <w:jc w:val="center"/>
        <w:rPr>
          <w:rFonts w:hint="eastAsia" w:ascii="宋体" w:hAnsi="宋体" w:eastAsia="宋体" w:cs="宋体"/>
          <w:b/>
          <w:bCs/>
          <w:color w:val="auto"/>
          <w:spacing w:val="4"/>
          <w:sz w:val="43"/>
          <w:szCs w:val="43"/>
          <w:highlight w:val="none"/>
        </w:rPr>
      </w:pPr>
      <w:r>
        <w:rPr>
          <w:rFonts w:hint="eastAsia" w:ascii="宋体" w:hAnsi="宋体" w:eastAsia="宋体" w:cs="宋体"/>
          <w:b/>
          <w:bCs/>
          <w:color w:val="auto"/>
          <w:spacing w:val="4"/>
          <w:sz w:val="43"/>
          <w:szCs w:val="43"/>
          <w:highlight w:val="none"/>
        </w:rPr>
        <w:t>中小企业划型标准规定</w:t>
      </w:r>
    </w:p>
    <w:p w14:paraId="021BBF3F">
      <w:pPr>
        <w:widowControl/>
        <w:wordWrap w:val="0"/>
        <w:spacing w:line="400" w:lineRule="exact"/>
        <w:ind w:firstLine="420"/>
        <w:jc w:val="center"/>
        <w:rPr>
          <w:rFonts w:hint="eastAsia" w:ascii="宋体" w:hAnsi="宋体" w:cs="Courier New"/>
          <w:color w:val="auto"/>
          <w:szCs w:val="21"/>
          <w:highlight w:val="none"/>
        </w:rPr>
      </w:pPr>
      <w:r>
        <w:rPr>
          <w:rFonts w:hint="eastAsia" w:ascii="宋体" w:hAnsi="宋体" w:cs="Courier New"/>
          <w:color w:val="auto"/>
          <w:szCs w:val="21"/>
          <w:highlight w:val="none"/>
        </w:rPr>
        <w:t>工信部联企业〔2011〕300 号</w:t>
      </w:r>
    </w:p>
    <w:p w14:paraId="37C985D3">
      <w:pPr>
        <w:widowControl/>
        <w:wordWrap w:val="0"/>
        <w:spacing w:line="400" w:lineRule="exact"/>
        <w:ind w:firstLine="420"/>
        <w:jc w:val="left"/>
        <w:rPr>
          <w:rFonts w:hint="eastAsia" w:ascii="宋体" w:hAnsi="宋体" w:cs="Courier New"/>
          <w:color w:val="auto"/>
          <w:szCs w:val="21"/>
          <w:highlight w:val="none"/>
        </w:rPr>
      </w:pPr>
    </w:p>
    <w:p w14:paraId="0B1A4546">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一、根据《中华人民共和国中小企业促进法》和《国务院关于进一步促进中小企业发展的若干意见》(国发〔2009〕36号)，制定本规定。</w:t>
      </w:r>
    </w:p>
    <w:p w14:paraId="0F4E3F1D">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二、中小企业划分为中型、小型、微型三种类型，具体标准根据企业从业人员、营业收入、资产总额等指标，结合行业特点制定。</w:t>
      </w:r>
    </w:p>
    <w:p w14:paraId="288F32B4">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19445837">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四、各行业划型标准为：</w:t>
      </w:r>
    </w:p>
    <w:p w14:paraId="469DBFF5">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（一）农、林、牧、渔业。营业收入20000万元以下的为中小微型企业。其中，营业收入500万元及以上的为中型企业，营业收入 50 万元及以上的为小型企业，营业收入50万元以下的为微型企业。</w:t>
      </w:r>
    </w:p>
    <w:p w14:paraId="0FBA8BB9">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（二）工业。从业人员1000人以下或营业收入40000万元以下的为中小微型企业。其中，从业人员 300人及以上，且营业收入2000万元及以上的为中型企业；从业人员20人及以上，且营业收入300万元及以上的为小型企业；从业人员20人以下或营业收入300万元以下的为微型企业。</w:t>
      </w:r>
    </w:p>
    <w:p w14:paraId="00D0B078">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285A7E48">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6A1BE4EB">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612870C6">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09E027CB">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（七）仓储业。从业人员200人以下或营业收入30000万元以下的为中小微型企业。其中，从业人员100人及以上，且营业收入1000万元及以上的为中型企业；从业人员20人及以上，且营业收入100 万元及以上的为小型企业；从业人员20人以下或营业收入100万元以下的为微型企业。</w:t>
      </w:r>
    </w:p>
    <w:p w14:paraId="357FDF7D">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（八） 邮政业。从业人员1000人以下或营业收入30000万元以下的为中小微型企业。其中，从业人员300人及以上，且营业收入2000万元及以上的为中型企业；从业人员20人及以上，且营业收入100 万元及以上的为小型企业；从业人员20人以下或营业收入100万元以下的为微型企业。</w:t>
      </w:r>
    </w:p>
    <w:p w14:paraId="329443DA">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D837B6C">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（十） 餐饮业。从业人员300人以下或营业收入10000万元以下的为中小微型企业。其中，从业人员100人及以上，且营业收入 2000 万元及以上的为中型企业；从业人员10人及以上，且营业收入100万元及以上的为小型企业；从业人员10人以下或营业收入100万元以下的为微型企业。</w:t>
      </w:r>
    </w:p>
    <w:p w14:paraId="10852FE7">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1F85EF5E">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0372DB09">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5DEB8EC7">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4EE93A78">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5E5FDC11">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（十六）其他未列明行业。从业人员300人以下的为中小微型企业。其中，从业人员100人及以上的为中型企业；从业人员10人及以上的为小型企业；从业人员10人以下的为微型企业。</w:t>
      </w:r>
    </w:p>
    <w:p w14:paraId="1E6435C6">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五、企业类型的划分以统计部门的统计数据为依据。</w:t>
      </w:r>
    </w:p>
    <w:p w14:paraId="0BCAD3FA">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六、本规定适用于在中华人民共和国境内依法设立的各类所有制和各种组织形式的企业。个体工商户和本规定以外的行业，参照本规定进行划型。</w:t>
      </w:r>
    </w:p>
    <w:p w14:paraId="59DC9B63">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七、本规定的中型企业标准上限即为大型企业标准的下限，国家统计部门据此制定大中小微型企业的统计分类。国务院有关部门据此进行相关数据分析，不得制定与本规定不一致的企业划型标准。</w:t>
      </w:r>
    </w:p>
    <w:p w14:paraId="30828C2D">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八、本规定由工业和信息化部、国家统计局会同有关部门根据《国民经济行业分类》修订情况和企业发展变化情况适时修订。</w:t>
      </w:r>
    </w:p>
    <w:p w14:paraId="58599260">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九、本规定由工业和信息化部、国家统计局会同有关部门负责解释。</w:t>
      </w:r>
    </w:p>
    <w:p w14:paraId="16A39511">
      <w:pPr>
        <w:widowControl/>
        <w:wordWrap w:val="0"/>
        <w:spacing w:line="400" w:lineRule="exact"/>
        <w:ind w:firstLine="420"/>
        <w:jc w:val="left"/>
        <w:rPr>
          <w:rFonts w:hint="eastAsia" w:ascii="宋体" w:hAnsi="宋体"/>
          <w:b/>
          <w:color w:val="auto"/>
          <w:sz w:val="32"/>
          <w:szCs w:val="32"/>
          <w:highlight w:val="none"/>
        </w:rPr>
      </w:pPr>
      <w:r>
        <w:rPr>
          <w:rFonts w:hint="eastAsia" w:ascii="宋体" w:hAnsi="宋体" w:cs="Courier New"/>
          <w:color w:val="auto"/>
          <w:szCs w:val="21"/>
          <w:highlight w:val="none"/>
        </w:rPr>
        <w:t>十、本规定自发布之日起执行，原国家经贸委、原国家计委、财政部和国家统计局2003年颁布的《中小企业标准暂行规定》同时废止。</w:t>
      </w:r>
    </w:p>
    <w:p w14:paraId="222B3BE6">
      <w:pPr>
        <w:spacing w:line="400" w:lineRule="exact"/>
        <w:jc w:val="center"/>
        <w:rPr>
          <w:rFonts w:hint="eastAsia" w:ascii="宋体" w:hAnsi="宋体"/>
          <w:b/>
          <w:color w:val="auto"/>
          <w:sz w:val="32"/>
          <w:szCs w:val="32"/>
          <w:highlight w:val="none"/>
        </w:rPr>
      </w:pPr>
    </w:p>
    <w:p w14:paraId="5D031FD9">
      <w:pPr>
        <w:spacing w:line="400" w:lineRule="exact"/>
        <w:jc w:val="center"/>
        <w:rPr>
          <w:rFonts w:hint="eastAsia" w:ascii="宋体" w:hAnsi="宋体"/>
          <w:b/>
          <w:color w:val="auto"/>
          <w:sz w:val="32"/>
          <w:szCs w:val="32"/>
          <w:highlight w:val="none"/>
        </w:rPr>
      </w:pPr>
    </w:p>
    <w:p w14:paraId="39D4A0E4">
      <w:pPr>
        <w:spacing w:line="400" w:lineRule="exact"/>
        <w:jc w:val="center"/>
        <w:rPr>
          <w:rFonts w:hint="eastAsia" w:ascii="宋体" w:hAnsi="宋体"/>
          <w:b/>
          <w:color w:val="auto"/>
          <w:sz w:val="32"/>
          <w:szCs w:val="32"/>
          <w:highlight w:val="none"/>
        </w:rPr>
      </w:pPr>
    </w:p>
    <w:p w14:paraId="05D16812">
      <w:pPr>
        <w:spacing w:line="400" w:lineRule="exact"/>
        <w:jc w:val="center"/>
        <w:rPr>
          <w:rFonts w:hint="eastAsia" w:ascii="宋体" w:hAnsi="宋体"/>
          <w:b/>
          <w:color w:val="auto"/>
          <w:sz w:val="32"/>
          <w:szCs w:val="32"/>
          <w:highlight w:val="none"/>
        </w:rPr>
      </w:pPr>
    </w:p>
    <w:p w14:paraId="5ECA1DF6">
      <w:pPr>
        <w:spacing w:line="400" w:lineRule="exact"/>
        <w:jc w:val="center"/>
        <w:rPr>
          <w:rFonts w:hint="eastAsia" w:ascii="宋体" w:hAnsi="宋体"/>
          <w:b/>
          <w:color w:val="auto"/>
          <w:sz w:val="32"/>
          <w:szCs w:val="32"/>
          <w:highlight w:val="none"/>
        </w:rPr>
      </w:pPr>
    </w:p>
    <w:p w14:paraId="15D7525D">
      <w:pPr>
        <w:spacing w:line="400" w:lineRule="exact"/>
        <w:jc w:val="center"/>
        <w:rPr>
          <w:rFonts w:hint="eastAsia" w:ascii="宋体" w:hAnsi="宋体"/>
          <w:b/>
          <w:color w:val="auto"/>
          <w:sz w:val="32"/>
          <w:szCs w:val="32"/>
          <w:highlight w:val="none"/>
        </w:rPr>
      </w:pPr>
    </w:p>
    <w:p w14:paraId="30B40309">
      <w:pPr>
        <w:spacing w:line="400" w:lineRule="exact"/>
        <w:jc w:val="center"/>
        <w:rPr>
          <w:rFonts w:hint="eastAsia" w:ascii="宋体" w:hAnsi="宋体"/>
          <w:b/>
          <w:color w:val="auto"/>
          <w:sz w:val="32"/>
          <w:szCs w:val="32"/>
          <w:highlight w:val="none"/>
        </w:rPr>
      </w:pPr>
    </w:p>
    <w:p w14:paraId="5B089ACA">
      <w:pPr>
        <w:spacing w:line="400" w:lineRule="exact"/>
        <w:jc w:val="center"/>
        <w:rPr>
          <w:rFonts w:hint="eastAsia" w:ascii="宋体" w:hAnsi="宋体"/>
          <w:b/>
          <w:color w:val="auto"/>
          <w:sz w:val="32"/>
          <w:szCs w:val="32"/>
          <w:highlight w:val="none"/>
        </w:rPr>
      </w:pPr>
    </w:p>
    <w:p w14:paraId="2E07A5A7">
      <w:pPr>
        <w:spacing w:line="400" w:lineRule="exact"/>
        <w:jc w:val="center"/>
        <w:rPr>
          <w:rFonts w:hint="eastAsia" w:ascii="宋体" w:hAnsi="宋体"/>
          <w:b/>
          <w:color w:val="auto"/>
          <w:sz w:val="32"/>
          <w:szCs w:val="32"/>
          <w:highlight w:val="none"/>
        </w:rPr>
      </w:pPr>
    </w:p>
    <w:p w14:paraId="48210AF1">
      <w:pPr>
        <w:spacing w:line="400" w:lineRule="exact"/>
        <w:jc w:val="center"/>
        <w:rPr>
          <w:rFonts w:hint="eastAsia" w:ascii="宋体" w:hAnsi="宋体"/>
          <w:b/>
          <w:color w:val="auto"/>
          <w:sz w:val="32"/>
          <w:szCs w:val="32"/>
          <w:highlight w:val="none"/>
        </w:rPr>
      </w:pPr>
    </w:p>
    <w:p w14:paraId="02727F8B">
      <w:pPr>
        <w:spacing w:line="400" w:lineRule="exact"/>
        <w:jc w:val="center"/>
        <w:rPr>
          <w:rFonts w:hint="eastAsia" w:ascii="宋体" w:hAnsi="宋体"/>
          <w:b/>
          <w:color w:val="auto"/>
          <w:sz w:val="32"/>
          <w:szCs w:val="32"/>
          <w:highlight w:val="none"/>
        </w:rPr>
      </w:pPr>
    </w:p>
    <w:p w14:paraId="22BF9FA7">
      <w:pPr>
        <w:rPr>
          <w:rFonts w:hint="eastAsia"/>
          <w:color w:val="auto"/>
          <w:sz w:val="44"/>
          <w:szCs w:val="44"/>
          <w:highlight w:val="none"/>
        </w:rPr>
      </w:pPr>
      <w:bookmarkStart w:id="38" w:name="_Toc476258665"/>
      <w:r>
        <w:rPr>
          <w:rFonts w:hint="eastAsia"/>
          <w:color w:val="auto"/>
          <w:sz w:val="44"/>
          <w:szCs w:val="44"/>
          <w:highlight w:val="none"/>
        </w:rPr>
        <w:br w:type="page"/>
      </w:r>
    </w:p>
    <w:p w14:paraId="22C7A31F">
      <w:pPr>
        <w:pStyle w:val="33"/>
        <w:rPr>
          <w:rFonts w:hint="eastAsia"/>
          <w:color w:val="auto"/>
          <w:sz w:val="44"/>
          <w:szCs w:val="44"/>
          <w:highlight w:val="none"/>
        </w:rPr>
      </w:pPr>
      <w:bookmarkStart w:id="39" w:name="_Toc9575"/>
      <w:r>
        <w:rPr>
          <w:rFonts w:hint="eastAsia"/>
          <w:color w:val="auto"/>
          <w:sz w:val="44"/>
          <w:szCs w:val="44"/>
          <w:highlight w:val="none"/>
        </w:rPr>
        <w:t xml:space="preserve">第四章  </w:t>
      </w:r>
      <w:bookmarkEnd w:id="38"/>
      <w:r>
        <w:rPr>
          <w:rFonts w:hint="eastAsia"/>
          <w:color w:val="auto"/>
          <w:sz w:val="44"/>
          <w:szCs w:val="44"/>
          <w:highlight w:val="none"/>
        </w:rPr>
        <w:t>评审程序和评定成交的标准</w:t>
      </w:r>
      <w:bookmarkEnd w:id="39"/>
    </w:p>
    <w:p w14:paraId="1F1AAABB">
      <w:pPr>
        <w:spacing w:before="323" w:line="206" w:lineRule="auto"/>
        <w:jc w:val="center"/>
        <w:rPr>
          <w:rFonts w:hint="eastAsia" w:ascii="宋体" w:hAnsi="宋体" w:eastAsia="宋体" w:cs="宋体"/>
          <w:b/>
          <w:bCs/>
          <w:color w:val="auto"/>
          <w:spacing w:val="4"/>
          <w:sz w:val="36"/>
          <w:szCs w:val="36"/>
          <w:highlight w:val="none"/>
        </w:rPr>
      </w:pPr>
      <w:r>
        <w:rPr>
          <w:rFonts w:hint="eastAsia" w:ascii="宋体" w:hAnsi="宋体" w:eastAsia="宋体" w:cs="宋体"/>
          <w:b/>
          <w:bCs/>
          <w:color w:val="auto"/>
          <w:spacing w:val="4"/>
          <w:sz w:val="36"/>
          <w:szCs w:val="36"/>
          <w:highlight w:val="none"/>
        </w:rPr>
        <w:t>一、评审程序</w:t>
      </w:r>
    </w:p>
    <w:p w14:paraId="4F83BD93">
      <w:pPr>
        <w:widowControl/>
        <w:wordWrap w:val="0"/>
        <w:spacing w:line="400" w:lineRule="exact"/>
        <w:ind w:firstLine="420"/>
        <w:jc w:val="left"/>
        <w:rPr>
          <w:rFonts w:hint="eastAsia" w:ascii="宋体" w:hAnsi="宋体" w:cs="Courier New"/>
          <w:b/>
          <w:bCs/>
          <w:color w:val="auto"/>
          <w:sz w:val="24"/>
          <w:szCs w:val="24"/>
          <w:highlight w:val="none"/>
        </w:rPr>
      </w:pPr>
      <w:r>
        <w:rPr>
          <w:rFonts w:hint="eastAsia" w:ascii="宋体" w:hAnsi="宋体" w:cs="Courier New"/>
          <w:b/>
          <w:bCs/>
          <w:color w:val="auto"/>
          <w:sz w:val="24"/>
          <w:szCs w:val="24"/>
          <w:highlight w:val="none"/>
        </w:rPr>
        <w:t>1.确认谈判文件</w:t>
      </w:r>
    </w:p>
    <w:p w14:paraId="2F13F3CA">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由谈判小组确认谈判文件。</w:t>
      </w:r>
    </w:p>
    <w:p w14:paraId="5C7E4B35">
      <w:pPr>
        <w:widowControl/>
        <w:wordWrap w:val="0"/>
        <w:spacing w:line="400" w:lineRule="exact"/>
        <w:ind w:firstLine="420"/>
        <w:jc w:val="left"/>
        <w:rPr>
          <w:rFonts w:hint="eastAsia" w:ascii="宋体" w:hAnsi="宋体" w:cs="Courier New"/>
          <w:b/>
          <w:bCs/>
          <w:color w:val="auto"/>
          <w:sz w:val="24"/>
          <w:szCs w:val="24"/>
          <w:highlight w:val="none"/>
        </w:rPr>
      </w:pPr>
      <w:r>
        <w:rPr>
          <w:rFonts w:hint="eastAsia" w:ascii="宋体" w:hAnsi="宋体" w:cs="Courier New"/>
          <w:b/>
          <w:bCs/>
          <w:color w:val="auto"/>
          <w:sz w:val="24"/>
          <w:szCs w:val="24"/>
          <w:highlight w:val="none"/>
        </w:rPr>
        <w:t>2.资格审查</w:t>
      </w:r>
    </w:p>
    <w:p w14:paraId="075DD916">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2.1 响应文件开启后，谈判小组依法对供应商的资格证明文件进行审查。</w:t>
      </w:r>
    </w:p>
    <w:p w14:paraId="23C53011">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注：谈判小组在资格审查结束前，对供应商进行信用查询。</w:t>
      </w:r>
    </w:p>
    <w:p w14:paraId="4007788B">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（1）查询渠道：广西政府采购云平台</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信用中国</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网站(</w:t>
      </w:r>
      <w:r>
        <w:rPr>
          <w:rFonts w:hint="eastAsia" w:ascii="宋体" w:hAnsi="宋体" w:cs="Courier New"/>
          <w:color w:val="auto"/>
          <w:szCs w:val="21"/>
          <w:highlight w:val="none"/>
        </w:rPr>
        <w:fldChar w:fldCharType="begin"/>
      </w:r>
      <w:r>
        <w:rPr>
          <w:rFonts w:hint="eastAsia" w:ascii="宋体" w:hAnsi="宋体" w:cs="Courier New"/>
          <w:color w:val="auto"/>
          <w:szCs w:val="21"/>
          <w:highlight w:val="none"/>
        </w:rPr>
        <w:instrText xml:space="preserve"> HYPERLINK "https://www.creditchina.gov.cn" </w:instrText>
      </w:r>
      <w:r>
        <w:rPr>
          <w:rFonts w:hint="eastAsia" w:ascii="宋体" w:hAnsi="宋体" w:cs="Courier New"/>
          <w:color w:val="auto"/>
          <w:szCs w:val="21"/>
          <w:highlight w:val="none"/>
        </w:rPr>
        <w:fldChar w:fldCharType="separate"/>
      </w:r>
      <w:r>
        <w:rPr>
          <w:rFonts w:hint="eastAsia" w:ascii="宋体" w:hAnsi="宋体" w:cs="Courier New"/>
          <w:color w:val="auto"/>
          <w:szCs w:val="21"/>
          <w:highlight w:val="none"/>
        </w:rPr>
        <w:t>www.creditchina.gov.cn</w:t>
      </w:r>
      <w:r>
        <w:rPr>
          <w:rFonts w:hint="eastAsia" w:ascii="宋体" w:hAnsi="宋体" w:cs="Courier New"/>
          <w:color w:val="auto"/>
          <w:szCs w:val="21"/>
          <w:highlight w:val="none"/>
        </w:rPr>
        <w:fldChar w:fldCharType="end"/>
      </w:r>
      <w:r>
        <w:rPr>
          <w:rFonts w:hint="eastAsia" w:ascii="宋体" w:hAnsi="宋体" w:cs="Courier New"/>
          <w:color w:val="auto"/>
          <w:szCs w:val="21"/>
          <w:highlight w:val="none"/>
        </w:rPr>
        <w:t>)、中国政府采购网(</w:t>
      </w:r>
      <w:r>
        <w:rPr>
          <w:rFonts w:hint="eastAsia" w:ascii="宋体" w:hAnsi="宋体" w:cs="Courier New"/>
          <w:color w:val="auto"/>
          <w:szCs w:val="21"/>
          <w:highlight w:val="none"/>
        </w:rPr>
        <w:fldChar w:fldCharType="begin"/>
      </w:r>
      <w:r>
        <w:rPr>
          <w:rFonts w:hint="eastAsia" w:ascii="宋体" w:hAnsi="宋体" w:cs="Courier New"/>
          <w:color w:val="auto"/>
          <w:szCs w:val="21"/>
          <w:highlight w:val="none"/>
        </w:rPr>
        <w:instrText xml:space="preserve"> HYPERLINK "https://www.ccgp.gov.cn" </w:instrText>
      </w:r>
      <w:r>
        <w:rPr>
          <w:rFonts w:hint="eastAsia" w:ascii="宋体" w:hAnsi="宋体" w:cs="Courier New"/>
          <w:color w:val="auto"/>
          <w:szCs w:val="21"/>
          <w:highlight w:val="none"/>
        </w:rPr>
        <w:fldChar w:fldCharType="separate"/>
      </w:r>
      <w:r>
        <w:rPr>
          <w:rFonts w:hint="eastAsia" w:ascii="宋体" w:hAnsi="宋体" w:cs="Courier New"/>
          <w:color w:val="auto"/>
          <w:szCs w:val="21"/>
          <w:highlight w:val="none"/>
        </w:rPr>
        <w:t>www.ccgp.gov.cn</w:t>
      </w:r>
      <w:r>
        <w:rPr>
          <w:rFonts w:hint="eastAsia" w:ascii="宋体" w:hAnsi="宋体" w:cs="Courier New"/>
          <w:color w:val="auto"/>
          <w:szCs w:val="21"/>
          <w:highlight w:val="none"/>
        </w:rPr>
        <w:fldChar w:fldCharType="end"/>
      </w:r>
      <w:r>
        <w:rPr>
          <w:rFonts w:hint="eastAsia" w:ascii="宋体" w:hAnsi="宋体" w:cs="Courier New"/>
          <w:color w:val="auto"/>
          <w:szCs w:val="21"/>
          <w:highlight w:val="none"/>
        </w:rPr>
        <w:t>)。</w:t>
      </w:r>
    </w:p>
    <w:p w14:paraId="495E5D0B">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（2）信用查询截止时点：资格审查结束前。</w:t>
      </w:r>
    </w:p>
    <w:p w14:paraId="606BCD8E">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（3）查询记录和证据留存方式：在查询网站中直接查询，截图另存为电子文档作为评审资料保存。</w:t>
      </w:r>
    </w:p>
    <w:p w14:paraId="57F36896">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（4）信用信息使用规则：对在</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信用中国</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网站（</w:t>
      </w:r>
      <w:r>
        <w:rPr>
          <w:rFonts w:hint="eastAsia" w:ascii="宋体" w:hAnsi="宋体" w:cs="Courier New"/>
          <w:color w:val="auto"/>
          <w:szCs w:val="21"/>
          <w:highlight w:val="none"/>
        </w:rPr>
        <w:fldChar w:fldCharType="begin"/>
      </w:r>
      <w:r>
        <w:rPr>
          <w:rFonts w:hint="eastAsia" w:ascii="宋体" w:hAnsi="宋体" w:cs="Courier New"/>
          <w:color w:val="auto"/>
          <w:szCs w:val="21"/>
          <w:highlight w:val="none"/>
        </w:rPr>
        <w:instrText xml:space="preserve"> HYPERLINK "https://www.creditchina.gov.cn" </w:instrText>
      </w:r>
      <w:r>
        <w:rPr>
          <w:rFonts w:hint="eastAsia" w:ascii="宋体" w:hAnsi="宋体" w:cs="Courier New"/>
          <w:color w:val="auto"/>
          <w:szCs w:val="21"/>
          <w:highlight w:val="none"/>
        </w:rPr>
        <w:fldChar w:fldCharType="separate"/>
      </w:r>
      <w:r>
        <w:rPr>
          <w:rFonts w:hint="eastAsia" w:ascii="宋体" w:hAnsi="宋体" w:cs="Courier New"/>
          <w:color w:val="auto"/>
          <w:szCs w:val="21"/>
          <w:highlight w:val="none"/>
        </w:rPr>
        <w:t>www.creditchina.gov.cn</w:t>
      </w:r>
      <w:r>
        <w:rPr>
          <w:rFonts w:hint="eastAsia" w:ascii="宋体" w:hAnsi="宋体" w:cs="Courier New"/>
          <w:color w:val="auto"/>
          <w:szCs w:val="21"/>
          <w:highlight w:val="none"/>
        </w:rPr>
        <w:fldChar w:fldCharType="end"/>
      </w:r>
      <w:r>
        <w:rPr>
          <w:rFonts w:hint="eastAsia" w:ascii="宋体" w:hAnsi="宋体" w:cs="Courier New"/>
          <w:color w:val="auto"/>
          <w:szCs w:val="21"/>
          <w:highlight w:val="none"/>
        </w:rPr>
        <w:t>）、中国政府采购网（</w:t>
      </w:r>
      <w:r>
        <w:rPr>
          <w:rFonts w:hint="eastAsia" w:ascii="宋体" w:hAnsi="宋体" w:cs="Courier New"/>
          <w:color w:val="auto"/>
          <w:szCs w:val="21"/>
          <w:highlight w:val="none"/>
        </w:rPr>
        <w:fldChar w:fldCharType="begin"/>
      </w:r>
      <w:r>
        <w:rPr>
          <w:rFonts w:hint="eastAsia" w:ascii="宋体" w:hAnsi="宋体" w:cs="Courier New"/>
          <w:color w:val="auto"/>
          <w:szCs w:val="21"/>
          <w:highlight w:val="none"/>
        </w:rPr>
        <w:instrText xml:space="preserve"> HYPERLINK "https://www.ccgp.gov.cn" </w:instrText>
      </w:r>
      <w:r>
        <w:rPr>
          <w:rFonts w:hint="eastAsia" w:ascii="宋体" w:hAnsi="宋体" w:cs="Courier New"/>
          <w:color w:val="auto"/>
          <w:szCs w:val="21"/>
          <w:highlight w:val="none"/>
        </w:rPr>
        <w:fldChar w:fldCharType="separate"/>
      </w:r>
      <w:r>
        <w:rPr>
          <w:rFonts w:hint="eastAsia" w:ascii="宋体" w:hAnsi="宋体" w:cs="Courier New"/>
          <w:color w:val="auto"/>
          <w:szCs w:val="21"/>
          <w:highlight w:val="none"/>
        </w:rPr>
        <w:t>www.ccgp.gov.cn</w:t>
      </w:r>
      <w:r>
        <w:rPr>
          <w:rFonts w:hint="eastAsia" w:ascii="宋体" w:hAnsi="宋体" w:cs="Courier New"/>
          <w:color w:val="auto"/>
          <w:szCs w:val="21"/>
          <w:highlight w:val="none"/>
        </w:rPr>
        <w:fldChar w:fldCharType="end"/>
      </w:r>
      <w:r>
        <w:rPr>
          <w:rFonts w:hint="eastAsia" w:ascii="宋体" w:hAnsi="宋体" w:cs="Courier New"/>
          <w:color w:val="auto"/>
          <w:szCs w:val="21"/>
          <w:highlight w:val="none"/>
        </w:rPr>
        <w:t>）被列入失信被执行人、重大税收违法失信主体、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p>
    <w:p w14:paraId="77EC0AFF">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2.2 资格审查标准为本谈判文件中载明对供应商资格要求的条件。本项目资格审查采用合格制，凡符合谈判文件规定的供应商资格要求的供应商均通过资格审查。</w:t>
      </w:r>
    </w:p>
    <w:p w14:paraId="5A8F2B30">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2.3 供应商有下列情形之一的，资格审查不通过，其响应文件按无效处理：</w:t>
      </w:r>
    </w:p>
    <w:p w14:paraId="425D7A8A">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（1）不具备谈判文件中规定的资格要求的；</w:t>
      </w:r>
    </w:p>
    <w:p w14:paraId="534A05F1">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（2）未按谈判文件规定的方式获取本谈判文件的供应商；</w:t>
      </w:r>
    </w:p>
    <w:p w14:paraId="1AD17118">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（3）响应文件中的资格证明文件缺少任一项</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供应商须知前附表</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资格证明文件规定的</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必须提供</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的文件资料的；</w:t>
      </w:r>
    </w:p>
    <w:p w14:paraId="2C2961DE">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（4）响应文件中的资格证明文件出现任一项不符合</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供应商须知前附表</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资格证明文件规定的</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 xml:space="preserve">必须提供 </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的文件资料要求或者无效的；</w:t>
      </w:r>
    </w:p>
    <w:p w14:paraId="5ED85703">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（5）同一合同项下的不同供应商，单位负责人为同一人或者存在直接控股、管理关系的；为本项目提供过整体设计、规范编制或者项目管理、监理、检测等服务的供应商，再参加该采购项目的其他采购活动的。</w:t>
      </w:r>
    </w:p>
    <w:p w14:paraId="556BC24E">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2.4 通过资格审查的合格供应商不足3家（本章3.7条规定除外）的，不得进入符合性审查环节，应当重新开展采购活动。</w:t>
      </w:r>
    </w:p>
    <w:p w14:paraId="5E074EB8">
      <w:pPr>
        <w:widowControl/>
        <w:wordWrap w:val="0"/>
        <w:spacing w:line="400" w:lineRule="exact"/>
        <w:ind w:firstLine="420"/>
        <w:jc w:val="left"/>
        <w:rPr>
          <w:rFonts w:hint="eastAsia" w:ascii="宋体" w:hAnsi="宋体" w:cs="Courier New"/>
          <w:b/>
          <w:bCs/>
          <w:color w:val="auto"/>
          <w:sz w:val="24"/>
          <w:szCs w:val="24"/>
          <w:highlight w:val="none"/>
        </w:rPr>
      </w:pPr>
      <w:r>
        <w:rPr>
          <w:rFonts w:hint="eastAsia" w:ascii="宋体" w:hAnsi="宋体" w:cs="Courier New"/>
          <w:b/>
          <w:bCs/>
          <w:color w:val="auto"/>
          <w:sz w:val="24"/>
          <w:szCs w:val="24"/>
          <w:highlight w:val="none"/>
        </w:rPr>
        <w:t>3.符合性审查</w:t>
      </w:r>
    </w:p>
    <w:p w14:paraId="5FCAEE25">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3.1 谈判小组应当对符合资格的供应商的响应文件进行竞标报价、商务、技术等实质性要求符合性审查，以确定其是否满足谈判文件的实质性要求。</w:t>
      </w:r>
    </w:p>
    <w:p w14:paraId="1159E751">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3.2 谈判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532687C">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3.3 谈判小组要求供应商澄清、说明或者更正响应文件应当以电子澄清函形式作出。供应商的澄清、说明或者更正应当以电子回函形式按照谈判小组的要求作出明确的澄清、说明或者更正，未按谈判小组的要求作出明确澄清、说明或者更正的供应商的响应文件将按照有利于采购人的原则由谈判小组进行判定。供应商的澄清、说明或者更正必须加盖电子签章。</w:t>
      </w:r>
    </w:p>
    <w:p w14:paraId="0CB3C8B8">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异常情况处理：如遇无法正常使用线上发送澄清函的情况，将启动书面形式办理。启动书面形式办理的情况下，谈判小组以书面形式要求供应商在规定时间内作出必要的澄清、说明或者补正。供应商的澄清、说明或者补正必须采用书面形式，并加盖公章，或者由法定代表人或者其授权的代表签字。</w:t>
      </w:r>
    </w:p>
    <w:p w14:paraId="689E8DA5">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3.4 首次响应文件报价出现前后不一致的，按照下列规定修正：</w:t>
      </w:r>
    </w:p>
    <w:p w14:paraId="7377B425">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（1）响应文件中报价表内容与响应文件中相应内容不一致的，以报价表为准；</w:t>
      </w:r>
    </w:p>
    <w:p w14:paraId="3BD5F4B5">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（2）大写金额和小写金额不一致的，以大写金额为准；</w:t>
      </w:r>
    </w:p>
    <w:p w14:paraId="704ED0B2">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（3）单价金额小数点或者百分比有明显错位的，以报价表的总价为准，并修改单价；</w:t>
      </w:r>
    </w:p>
    <w:p w14:paraId="785B6F12">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（4）总价金额与按单价汇总金额不一致的，以单价金额计算结果为准。</w:t>
      </w:r>
    </w:p>
    <w:p w14:paraId="2BEB7E0B">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同时出现两种以上不一致的，按照以上（1）-（4）规定的顺序逐条进行修正。修正后的报价经供应商确认后产生约束力，供应商不确认的，其响应文件按无效响应处理。</w:t>
      </w:r>
    </w:p>
    <w:p w14:paraId="0C207C3A">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3.5 商务技术报价评审</w:t>
      </w:r>
    </w:p>
    <w:p w14:paraId="0C7B998A">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在评审时，如发现下列情形之一的，将被视为响应文件无效处理：</w:t>
      </w:r>
    </w:p>
    <w:p w14:paraId="693B80C3">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（1）商务技术评审</w:t>
      </w:r>
    </w:p>
    <w:p w14:paraId="7BFA2D4A">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1）响应文件未按谈判文件要求签署、盖章的；</w:t>
      </w:r>
    </w:p>
    <w:p w14:paraId="52F83613">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2）委托代理人未能出具有效身份证或者出具的身份证与授权委托书中的信息不符的；</w:t>
      </w:r>
    </w:p>
    <w:p w14:paraId="0391E40A">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3）提交的竞标保证金无效的或者未按照谈判文件的规定提交竞标保证金；</w:t>
      </w:r>
    </w:p>
    <w:p w14:paraId="064E61C9">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4）响应文件未提供任一项</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供应商须知前附表</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商务技术文件中</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必须提供</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或者</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委托时必须提供</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的文件资料；响应文件提供的商务技术文件出现任一项不符合</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供应商须知前附表</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商务技术文件中</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必须提供</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或者</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委托时必须提供</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文件资料要求的规定或者提供的商务技术文件无效；</w:t>
      </w:r>
    </w:p>
    <w:p w14:paraId="1B70D35F">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5）商务要求允许负偏离的条款数超过</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供应商须知前附表</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规定项数的；</w:t>
      </w:r>
    </w:p>
    <w:p w14:paraId="2ADA3DBD">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6）未对竞标有效期作出响应或者响应文件承诺的竞标有效期不满足谈判文件要求；</w:t>
      </w:r>
    </w:p>
    <w:p w14:paraId="59BBE633">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7）响应文件的实质性内容未使用中文表述、使用计量单位不符合谈判文件要求的；</w:t>
      </w:r>
    </w:p>
    <w:p w14:paraId="1D71F167">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8）响应文件中的文件资料因填写不齐全或者内容虚假或者出现其他情形而导致被谈判小组认定无效的；</w:t>
      </w:r>
    </w:p>
    <w:p w14:paraId="4EB986FA">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9）响应文件含有采购人不能接受的附加条件的；</w:t>
      </w:r>
    </w:p>
    <w:p w14:paraId="1D9F689C">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10）属于</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供应商须知正文</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第7.5条的情形的；</w:t>
      </w:r>
    </w:p>
    <w:p w14:paraId="3D23E0DB">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11）技术评审允许负偏离的条款数超过</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供应商须知前附表</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规定项数的；</w:t>
      </w:r>
    </w:p>
    <w:p w14:paraId="2C639A11">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12）虚假竞标，或者出现其他情形而导致被谈判小组认定无效的；</w:t>
      </w:r>
    </w:p>
    <w:p w14:paraId="558869CD">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13）谈判文件未载明允许提供备选（替代）竞标方案或明确不允许提供备选（替代）竞标方案时，供应商提供了备选（替代）竞标方案的；</w:t>
      </w:r>
    </w:p>
    <w:p w14:paraId="73C18078">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14）响应文件标注的项目名称或者项目编号与谈判文件标注的项目名称或者项目编号不一致的；</w:t>
      </w:r>
    </w:p>
    <w:p w14:paraId="75FD47F9">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15）谈判文件明确不允许分包，响应文件拟分包的；</w:t>
      </w:r>
    </w:p>
    <w:p w14:paraId="54E8905B">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16）未响应谈判文件实质性要求；</w:t>
      </w:r>
    </w:p>
    <w:p w14:paraId="3EF9FDCE">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17）法律、法规和谈判文件规定的其他无效情形。</w:t>
      </w:r>
    </w:p>
    <w:p w14:paraId="3772DE8D">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（2）报价评审</w:t>
      </w:r>
    </w:p>
    <w:p w14:paraId="6A1C5963">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1）响应文件未提供</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供应商须知前附表</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报价文件中规定的</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竞标报价表</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的；</w:t>
      </w:r>
    </w:p>
    <w:p w14:paraId="4103A905">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2）未采用人民币报价或者未按照谈判文件标明的币种报价的；</w:t>
      </w:r>
    </w:p>
    <w:p w14:paraId="263960CD">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3）供应商未就所竞标分标进行报价或者存在漏项报价；供应商未就所竞标分标的单项内容作唯一报价；供应商未就所竞标分标的全部内容作完整唯一总价报价；供应商响应文件中存在有选择、有条件报价的（谈判文件允许有备选方案或者其他约定的除外）；</w:t>
      </w:r>
    </w:p>
    <w:p w14:paraId="5BF4908B">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4）竞标报价（包含首次报价、最后报价）超过所竞标分标规定的采购预算金额或者最高限价的（如本项目公布了最高限价）；竞标报价（包含首次报价、最后报价）超过谈判文件分项采购预算金额或者最高限价的（如本项目公布了最高限价）；</w:t>
      </w:r>
    </w:p>
    <w:p w14:paraId="7FEF74D9">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5）修正后的报价，供应商不确认的；或者经供应商确认修正后的竞标报价（包含首次报价、最后报价）超过所竞标分标规定的采购预算金额或者最高限价（如本项目公布了最高限价）；或者经供应商确认修正后竞标报价（包含首次报价、最后报价）超过谈判文件分项采购预算金额或者最高限价的（如本项目公布了最高限价）。</w:t>
      </w:r>
    </w:p>
    <w:p w14:paraId="11244FDF">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6）响应文件响应的标的数量及单位与竞争性谈判采购文件要求实质性不一致的。</w:t>
      </w:r>
    </w:p>
    <w:p w14:paraId="75293A03">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3.6 谈判小组对响应文件进行评审，未实质性响应谈判文件的响应文件按无效处理。谈判小组应当将资格和符合性不通过的情况告知有关供应商。谈判小组从符合谈判文件规定的相应资格条件的供应商名单中确定不少于3家的供应商参加谈判。</w:t>
      </w:r>
    </w:p>
    <w:p w14:paraId="1F671522">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3.7 公开招标的货物、服务采购项目，招标过程中提交响应文件或者经评审实质性响应谈判文件要求的供应商只有两家时，采购人、采购代理机构按照《政府采购非招标采购方式管理办法》（财政部74号令）第四条经本级财政部门批准后可以与该两家供应商进行竞争性谈判采购。</w:t>
      </w:r>
    </w:p>
    <w:p w14:paraId="6149A95F">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3.8 除本章3.7条规定的情形外，通过符合性审查的合格供应商不足3家的，不得进入谈判环节，应当重新开展采购活动。</w:t>
      </w:r>
    </w:p>
    <w:p w14:paraId="5CDE44F0">
      <w:pPr>
        <w:widowControl/>
        <w:wordWrap w:val="0"/>
        <w:spacing w:line="400" w:lineRule="exact"/>
        <w:ind w:firstLine="420"/>
        <w:jc w:val="left"/>
        <w:rPr>
          <w:rFonts w:hint="eastAsia" w:ascii="宋体" w:hAnsi="宋体" w:cs="Courier New"/>
          <w:b/>
          <w:bCs/>
          <w:color w:val="auto"/>
          <w:sz w:val="24"/>
          <w:szCs w:val="24"/>
          <w:highlight w:val="none"/>
        </w:rPr>
      </w:pPr>
      <w:r>
        <w:rPr>
          <w:rFonts w:hint="eastAsia" w:ascii="宋体" w:hAnsi="宋体" w:cs="Courier New"/>
          <w:b/>
          <w:bCs/>
          <w:color w:val="auto"/>
          <w:sz w:val="24"/>
          <w:szCs w:val="24"/>
          <w:highlight w:val="none"/>
        </w:rPr>
        <w:t>4.谈判程序</w:t>
      </w:r>
    </w:p>
    <w:p w14:paraId="28663897">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4.1 谈判小组集中与单一供应商分别进行谈判，并给予所有参加谈判的供应商平等的谈判机会。符合谈判资格的供应商必须在接到谈判通知后规定时间内参加谈判，未在规定时间内参加谈判的，视同放弃参加谈判权利，其响应文件按无效处理。</w:t>
      </w:r>
    </w:p>
    <w:p w14:paraId="549654EA">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4.2 在谈判过程中，谈判小组可以根据谈判文件和谈判情况实质性变动采购需求中的技术、服务要求以及合同草案条款，但不得变动谈判文件中的其他内容，实质性变动的内容须经采购人代表确认。可能实质性变动的内容为采购需求中的技术、服务要求以及合同草案条款。</w:t>
      </w:r>
    </w:p>
    <w:p w14:paraId="5E5992BE">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4.3 对谈判文件作出的实质性变动是谈判文件的有效组成部分， 由谈判小组及时以电子澄清函形式同时通知所有参加谈判的供应商。</w:t>
      </w:r>
    </w:p>
    <w:p w14:paraId="47EBD637">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4.4 供应商必须按照谈判文件的变动情况和谈判小组的要求以回函的形式重新提交响应文件，并加盖电子签章。参加谈判的供应商未在规定时间内重新提交响应文件的，视同退出谈判，其响应文件按无效处理。</w:t>
      </w:r>
    </w:p>
    <w:p w14:paraId="11CD315D">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4.5 谈判中，谈判的任何一方不得透露与谈判有关的其他供应商的技术资料、价格和其他信息。</w:t>
      </w:r>
    </w:p>
    <w:p w14:paraId="7B0C4E34">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4.6 谈判小组应对谈判过程和重要谈判内容进行记录。</w:t>
      </w:r>
    </w:p>
    <w:p w14:paraId="1375F6C3">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4.7 除本章第3.7条外，对谈判过程提交的响应文件进行有效性、完整性和响应程度审查，通过审查的合格供应商不足3家的，采购人或者采购代理机构应当重新开展采购活动。</w:t>
      </w:r>
    </w:p>
    <w:p w14:paraId="5D798EA6">
      <w:pPr>
        <w:widowControl/>
        <w:wordWrap w:val="0"/>
        <w:spacing w:line="400" w:lineRule="exact"/>
        <w:ind w:firstLine="420"/>
        <w:jc w:val="left"/>
        <w:rPr>
          <w:rFonts w:hint="eastAsia" w:ascii="宋体" w:hAnsi="宋体" w:eastAsia="宋体" w:cs="Courier New"/>
          <w:b/>
          <w:bCs/>
          <w:color w:val="auto"/>
          <w:sz w:val="24"/>
          <w:szCs w:val="24"/>
          <w:highlight w:val="none"/>
        </w:rPr>
      </w:pPr>
      <w:r>
        <w:rPr>
          <w:rFonts w:hint="eastAsia" w:ascii="宋体" w:hAnsi="宋体" w:eastAsia="宋体" w:cs="Courier New"/>
          <w:b/>
          <w:bCs/>
          <w:color w:val="auto"/>
          <w:sz w:val="24"/>
          <w:szCs w:val="24"/>
          <w:highlight w:val="none"/>
        </w:rPr>
        <w:t>5.最后报价</w:t>
      </w:r>
    </w:p>
    <w:p w14:paraId="39833635">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5.1 谈判文件能够详细列明采购标的的技术、服务要求的，谈判结束后，谈判小组应当要求所有继续参加谈判的供应商在规定时间内在广西政府采购云平台开标大厅提交最后报价，除本章第3.7条外，提交最后报价的供应商不得少于3家，否则应当重新采购。</w:t>
      </w:r>
    </w:p>
    <w:p w14:paraId="115C7B63">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5.2 谈判文件不能详细列明采购标的的技术、服务要求，需经谈判由供应商提供最后设计方案或者解决方案的，谈判结束后，谈判小组应当按照少数服从多数的原则投票推荐3家以上供应商的设计方案或者解决方案，并要求其在规定时间内在广西政府采购云平台开标大厅提交最后报价。</w:t>
      </w:r>
    </w:p>
    <w:p w14:paraId="6457C552">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5.3 最后报价是供应商响应文件的有效组成部分。</w:t>
      </w:r>
    </w:p>
    <w:p w14:paraId="47CD71DA">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5.4 已经提交响应文件的供应商，在提交最后报价之前，可以根据谈判情况退出谈判，退出谈判的供应商的响应文件按无效响应处理。采购人、采购代理机构将退还退出谈判的供应商的保证金。</w:t>
      </w:r>
    </w:p>
    <w:p w14:paraId="6C020CBB">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5.5 供应商未在规定时间内提交最后报价的，视为退出谈判，其响应文件按无效处理。</w:t>
      </w:r>
    </w:p>
    <w:p w14:paraId="7C2D7172">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5.6 最后报价统一开启后，谈判小组对最后报价进行有效性、完整性和响应程度的审查。</w:t>
      </w:r>
    </w:p>
    <w:p w14:paraId="50EDF43F">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5.7 最后报价出现前后不一致的，按照本章第3.4条的规定修正。</w:t>
      </w:r>
    </w:p>
    <w:p w14:paraId="3370658F">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5.8 修正后的报价出现下列情形的，按无效响应处理：</w:t>
      </w:r>
    </w:p>
    <w:p w14:paraId="7BC0ED1F">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（1）供应商不确认的（全流程电子化评标采取在线确认）；</w:t>
      </w:r>
    </w:p>
    <w:p w14:paraId="2E8D702C">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（2）经供应商确认修正后的竞标报价（包含首次报价、最后报价）超过所竞标分标规定的采购预算金额或者最高限价的（如本项目公布了最高限价）；</w:t>
      </w:r>
    </w:p>
    <w:p w14:paraId="2BA85E9B">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（3）经供应商确认修正后的竞标报价（包含首次报价、最后报价）超过分项采购预算金额或者最高限价的（如本项目公布了最高限价）。</w:t>
      </w:r>
    </w:p>
    <w:p w14:paraId="177236D4">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5.9 经供应商确认修正后的最后报价作为评审及签订合同的依据。</w:t>
      </w:r>
    </w:p>
    <w:p w14:paraId="502C1C6F">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5.10 供应商出现最后报价按无效响应处理或者响应文件按无效处理时，谈判小组应当告知有关供应商。</w:t>
      </w:r>
    </w:p>
    <w:p w14:paraId="0E98B680">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5.11 最后报价结束后，谈判小组不得再与供应商进行任何形式的商谈。</w:t>
      </w:r>
    </w:p>
    <w:p w14:paraId="014ACE87">
      <w:pPr>
        <w:widowControl/>
        <w:wordWrap w:val="0"/>
        <w:spacing w:line="400" w:lineRule="exact"/>
        <w:ind w:firstLine="420"/>
        <w:jc w:val="left"/>
        <w:rPr>
          <w:rFonts w:hint="eastAsia" w:ascii="宋体" w:hAnsi="宋体" w:eastAsia="宋体" w:cs="Courier New"/>
          <w:b/>
          <w:bCs/>
          <w:color w:val="auto"/>
          <w:sz w:val="24"/>
          <w:szCs w:val="24"/>
          <w:highlight w:val="none"/>
        </w:rPr>
      </w:pPr>
      <w:r>
        <w:rPr>
          <w:rFonts w:hint="eastAsia" w:ascii="宋体" w:hAnsi="宋体" w:eastAsia="宋体" w:cs="Courier New"/>
          <w:b/>
          <w:bCs/>
          <w:color w:val="auto"/>
          <w:sz w:val="24"/>
          <w:szCs w:val="24"/>
          <w:highlight w:val="none"/>
        </w:rPr>
        <w:t>6.最后报价政府采购政策性扣除</w:t>
      </w:r>
    </w:p>
    <w:p w14:paraId="69845549">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 xml:space="preserve">6.1 </w:t>
      </w:r>
      <w:r>
        <w:rPr>
          <w:rFonts w:hint="eastAsia" w:ascii="宋体" w:hAnsi="宋体" w:cs="Courier New"/>
          <w:color w:val="auto"/>
          <w:szCs w:val="21"/>
          <w:highlight w:val="none"/>
          <w:lang w:val="en-US" w:eastAsia="zh-CN"/>
        </w:rPr>
        <w:t>评审价为供应商的最后报价进行政策性扣除后的价格，评审价只是作为评审时使用。最终成交供应商的成交金额等于最后报价（如有修正，以确认修正后的最后报价为准）</w:t>
      </w:r>
      <w:r>
        <w:rPr>
          <w:rFonts w:hint="eastAsia" w:ascii="宋体" w:hAnsi="宋体" w:cs="Courier New"/>
          <w:color w:val="auto"/>
          <w:szCs w:val="21"/>
          <w:highlight w:val="none"/>
        </w:rPr>
        <w:t>。</w:t>
      </w:r>
    </w:p>
    <w:p w14:paraId="029DC3A0">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6.2 异常低价响应审查</w:t>
      </w:r>
    </w:p>
    <w:p w14:paraId="2CB076F2">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（1）谈判小组在评审中发现下列情形之一的，应当启动异常低价响应审查程序：</w:t>
      </w:r>
    </w:p>
    <w:p w14:paraId="3AE994FF">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①响应报价低于全部通过符合性审查供应商响应报价平均值65%的，即响应报价＜全部通过符合性审查供应商响应报价平均值×65%；</w:t>
      </w:r>
    </w:p>
    <w:p w14:paraId="26AB56CD">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②响应报价低于通过符合性审查的次低报价供应商响应报价65%的，即响应报价＜通过符合性审查的次低报价供应商响应报价×65%；</w:t>
      </w:r>
    </w:p>
    <w:p w14:paraId="6FC6778D">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③响应报价低于采购项目最高限价65%的，即响应报价＜采购项目最高限价×65%；</w:t>
      </w:r>
    </w:p>
    <w:p w14:paraId="05F4CF5B">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④谈判小组基于专业判断，认为供应商报价过低，有可能影响产品质量或者不能诚信履约的其他情形。</w:t>
      </w:r>
    </w:p>
    <w:p w14:paraId="116EA3DF">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2）谈判小组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③项情形，供应商已随响应文件一并提交相关书面说明及必要的证明材料的，可不再重复提交。</w:t>
      </w:r>
    </w:p>
    <w:p w14:paraId="56F74C19">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谈判小组依据专业经验，参考同类项目中标（成交）价格、类似产品市场价格水平、行业人工费用标准、国家有关部门指导行业协会发布的行业平均成本等情况，对报价合理性进行判断。相关供应商不能提供书面说明、证明材料，或者提供的书面说明、证明材料不能证明其报价合理性的，谈判小组应当将其作为无效响应处理。</w:t>
      </w:r>
    </w:p>
    <w:p w14:paraId="75D07E6F">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采购人、采购代理机构应当为谈判小组在评审现场及时获取同类项目中标（成交）价格、类似产品市场价格水平、行业人工费用标准、国家有关部门指导行业协会发布的行业平均成本等相关信息资料提供便利。谈判小组借助互联网等渠道查询相关信息的，应当严格遵守评审工作纪律，不得实施影响评审公正的行为。</w:t>
      </w:r>
    </w:p>
    <w:p w14:paraId="5D167C7E">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异常低价响应审查的启动原因、审查意见和审查结果应当在评审报告中记录，并随供应商提供的相关书面说明及证明材料，以及谈判小组有关互联网浏览、查询历史一并归档。</w:t>
      </w:r>
    </w:p>
    <w:p w14:paraId="6DA3210C">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6.3 中小企业政策性扣除计算方法</w:t>
      </w:r>
    </w:p>
    <w:p w14:paraId="1EFC9D36">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根据《政府采购促进中小企业发展管理办法》（财库〔2020〕46号）及《广西壮族自治区财政厅关于持续优化政府采购营商环境推动高质量发展的通知》（桂财采〔2024〕55号）的规定，供应商在其响应文件中提供《中小企业声明函》，</w:t>
      </w:r>
      <w:r>
        <w:rPr>
          <w:rFonts w:hint="eastAsia" w:ascii="宋体" w:hAnsi="宋体" w:cs="Courier New"/>
          <w:color w:val="auto"/>
          <w:szCs w:val="21"/>
          <w:highlight w:val="none"/>
          <w:lang w:val="en-US" w:eastAsia="zh-CN"/>
        </w:rPr>
        <w:t>且其竞标全部货物由小微企业制造的</w:t>
      </w:r>
      <w:r>
        <w:rPr>
          <w:rFonts w:hint="eastAsia" w:ascii="宋体" w:hAnsi="宋体" w:cs="Courier New"/>
          <w:color w:val="auto"/>
          <w:szCs w:val="21"/>
          <w:highlight w:val="none"/>
        </w:rPr>
        <w:t>，对供应商的竞标报价给予10%的扣除，扣除后的价格为评审价，</w:t>
      </w:r>
      <w:r>
        <w:rPr>
          <w:rFonts w:hint="eastAsia" w:ascii="宋体" w:hAnsi="宋体" w:cs="Courier New"/>
          <w:color w:val="auto"/>
          <w:szCs w:val="21"/>
          <w:highlight w:val="none"/>
          <w:lang w:val="en-US" w:eastAsia="zh-CN"/>
        </w:rPr>
        <w:t>即评审价</w:t>
      </w:r>
      <w:r>
        <w:rPr>
          <w:rFonts w:hint="eastAsia" w:ascii="宋体" w:hAnsi="宋体" w:cs="Courier New"/>
          <w:color w:val="auto"/>
          <w:szCs w:val="21"/>
          <w:highlight w:val="none"/>
        </w:rPr>
        <w:t>=</w:t>
      </w:r>
      <w:r>
        <w:rPr>
          <w:rFonts w:hint="eastAsia" w:ascii="宋体" w:hAnsi="宋体" w:cs="Courier New"/>
          <w:color w:val="auto"/>
          <w:szCs w:val="21"/>
          <w:highlight w:val="none"/>
          <w:lang w:val="en-US" w:eastAsia="zh-CN"/>
        </w:rPr>
        <w:t>最后报价</w:t>
      </w:r>
      <w:r>
        <w:rPr>
          <w:rFonts w:hint="eastAsia" w:ascii="宋体" w:hAnsi="宋体" w:cs="Courier New"/>
          <w:color w:val="auto"/>
          <w:szCs w:val="21"/>
          <w:highlight w:val="none"/>
        </w:rPr>
        <w:t>×</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lang w:val="en-US" w:eastAsia="zh-CN"/>
        </w:rPr>
        <w:t>1-</w:t>
      </w:r>
      <w:r>
        <w:rPr>
          <w:rFonts w:hint="eastAsia" w:ascii="宋体" w:hAnsi="宋体" w:cs="Courier New"/>
          <w:color w:val="auto"/>
          <w:szCs w:val="21"/>
          <w:highlight w:val="none"/>
        </w:rPr>
        <w:t>10%</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4%（范围为 4%-6%）的扣除，用扣除后的价格参加评审，扣除后的价格为评审价，即评审价=</w:t>
      </w:r>
      <w:r>
        <w:rPr>
          <w:rFonts w:hint="eastAsia" w:ascii="宋体" w:hAnsi="宋体" w:cs="Courier New"/>
          <w:color w:val="auto"/>
          <w:szCs w:val="21"/>
          <w:highlight w:val="none"/>
          <w:lang w:val="en-US" w:eastAsia="zh-CN"/>
        </w:rPr>
        <w:t>最后报价</w:t>
      </w:r>
      <w:r>
        <w:rPr>
          <w:rFonts w:hint="eastAsia" w:ascii="宋体" w:hAnsi="宋体" w:cs="Courier New"/>
          <w:color w:val="auto"/>
          <w:szCs w:val="21"/>
          <w:highlight w:val="none"/>
        </w:rPr>
        <w:t>×</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lang w:val="en-US" w:eastAsia="zh-CN"/>
        </w:rPr>
        <w:t>1-</w:t>
      </w:r>
      <w:r>
        <w:rPr>
          <w:rFonts w:hint="eastAsia" w:ascii="宋体" w:hAnsi="宋体" w:cs="Courier New"/>
          <w:color w:val="auto"/>
          <w:szCs w:val="21"/>
          <w:highlight w:val="none"/>
        </w:rPr>
        <w:t>4%</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w:t>
      </w:r>
    </w:p>
    <w:p w14:paraId="625AEE9E">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6.4 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监狱企业属于小型、微型企业的，不重复享受政策。</w:t>
      </w:r>
    </w:p>
    <w:p w14:paraId="0AC99983">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6.5 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0AA3D937">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lang w:val="en-US" w:eastAsia="zh-CN"/>
        </w:rPr>
        <w:t>除上述情况外，评审价＝最后报价。</w:t>
      </w:r>
    </w:p>
    <w:p w14:paraId="7B64D7A8">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6.6 本国产品政策性扣除计算方法。</w:t>
      </w:r>
    </w:p>
    <w:p w14:paraId="5D08210A">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根据《国务院办公厅关于在政府采购中实施本国产品标准及相关政策的通知》（国办发〔2025〕34 号）的规定，政府采购活动中既有本国产品又有非本国产品参与竞争的，依法对本国产品给予价格评审优惠，对本国产品的报价给予20%的价格扣除，用扣除后的价格参与评审。</w:t>
      </w:r>
    </w:p>
    <w:p w14:paraId="384CDAE1">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未达到80%，不享受价格评审优惠。</w:t>
      </w:r>
    </w:p>
    <w:p w14:paraId="636DCEAA">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如果所有参与竞争的供应商均可享受本国产品价格评审优惠，则统一不进行价格扣除。</w:t>
      </w:r>
    </w:p>
    <w:p w14:paraId="5CFA695F">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供应商在其响应文件中提供《关于符合本国产品标准的声明函》或财政部会同有关部门规定的有关证明文件，出具符合要求的《声明函》或有关证明文件的，该产品视为本国产品</w:t>
      </w:r>
      <w:r>
        <w:rPr>
          <w:rFonts w:hint="eastAsia" w:ascii="宋体" w:hAnsi="宋体" w:cs="Courier New"/>
          <w:color w:val="auto"/>
          <w:szCs w:val="21"/>
          <w:highlight w:val="none"/>
          <w:lang w:val="en-US" w:eastAsia="zh-CN"/>
        </w:rPr>
        <w:t>，采购人、采购代理机构不得再要求供应商提供其他证明材料。供应商提供虚假《声明函》、虚假证明文件谋取中标、成交的，依照《中华人民共和国政府采购法》等法律法规规定追究相应责任</w:t>
      </w:r>
      <w:r>
        <w:rPr>
          <w:rFonts w:hint="eastAsia" w:ascii="宋体" w:hAnsi="宋体" w:cs="Courier New"/>
          <w:color w:val="auto"/>
          <w:szCs w:val="21"/>
          <w:highlight w:val="none"/>
        </w:rPr>
        <w:t>。</w:t>
      </w:r>
    </w:p>
    <w:p w14:paraId="79C8B593">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lang w:val="en-US" w:eastAsia="zh-CN"/>
        </w:rPr>
        <w:t>采购人、采购代理机构应当随中标、成交结果同时公告中标、成交供应商提供的《声明函》或有关证明文件。</w:t>
      </w:r>
    </w:p>
    <w:p w14:paraId="312527D4">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6.7 中小企业政策性折扣与本国产品政策性折扣进行叠加计算，用扣除后的价格参加评审。即评审价=</w:t>
      </w:r>
      <w:r>
        <w:rPr>
          <w:rFonts w:hint="eastAsia" w:ascii="宋体" w:hAnsi="宋体" w:cs="Courier New"/>
          <w:color w:val="auto"/>
          <w:szCs w:val="21"/>
          <w:highlight w:val="none"/>
          <w:lang w:val="en-US" w:eastAsia="zh-CN"/>
        </w:rPr>
        <w:t>最后</w:t>
      </w:r>
      <w:r>
        <w:rPr>
          <w:rFonts w:hint="eastAsia" w:ascii="宋体" w:hAnsi="宋体" w:cs="Courier New"/>
          <w:color w:val="auto"/>
          <w:szCs w:val="21"/>
          <w:highlight w:val="none"/>
        </w:rPr>
        <w:t>报价-中小企业政策性折扣-本国产品政策性折扣，除上述情况外，评审价=</w:t>
      </w:r>
      <w:r>
        <w:rPr>
          <w:rFonts w:hint="eastAsia" w:ascii="宋体" w:hAnsi="宋体" w:cs="Courier New"/>
          <w:color w:val="auto"/>
          <w:szCs w:val="21"/>
          <w:highlight w:val="none"/>
          <w:lang w:val="en-US" w:eastAsia="zh-CN"/>
        </w:rPr>
        <w:t>最后报价</w:t>
      </w:r>
      <w:r>
        <w:rPr>
          <w:rFonts w:hint="eastAsia" w:ascii="宋体" w:hAnsi="宋体" w:cs="Courier New"/>
          <w:color w:val="auto"/>
          <w:szCs w:val="21"/>
          <w:highlight w:val="none"/>
        </w:rPr>
        <w:t>。</w:t>
      </w:r>
    </w:p>
    <w:p w14:paraId="2550B9F0">
      <w:pPr>
        <w:widowControl/>
        <w:wordWrap w:val="0"/>
        <w:spacing w:line="400" w:lineRule="exact"/>
        <w:ind w:firstLine="420"/>
        <w:jc w:val="left"/>
        <w:rPr>
          <w:rFonts w:hint="eastAsia" w:ascii="宋体" w:hAnsi="宋体" w:cs="Courier New"/>
          <w:color w:val="auto"/>
          <w:szCs w:val="21"/>
          <w:highlight w:val="none"/>
        </w:rPr>
      </w:pPr>
    </w:p>
    <w:p w14:paraId="6C4FE6EF">
      <w:pPr>
        <w:spacing w:before="323" w:line="206" w:lineRule="auto"/>
        <w:jc w:val="center"/>
        <w:rPr>
          <w:rFonts w:hint="eastAsia" w:ascii="宋体" w:hAnsi="宋体" w:eastAsia="宋体" w:cs="宋体"/>
          <w:b/>
          <w:bCs/>
          <w:color w:val="auto"/>
          <w:spacing w:val="4"/>
          <w:sz w:val="36"/>
          <w:szCs w:val="36"/>
          <w:highlight w:val="none"/>
        </w:rPr>
      </w:pPr>
      <w:r>
        <w:rPr>
          <w:rFonts w:hint="eastAsia" w:ascii="宋体" w:hAnsi="宋体" w:eastAsia="宋体" w:cs="宋体"/>
          <w:b/>
          <w:bCs/>
          <w:color w:val="auto"/>
          <w:spacing w:val="4"/>
          <w:sz w:val="36"/>
          <w:szCs w:val="36"/>
          <w:highlight w:val="none"/>
        </w:rPr>
        <w:t>二、评定成交的标准</w:t>
      </w:r>
    </w:p>
    <w:p w14:paraId="5DBD8359">
      <w:pPr>
        <w:widowControl/>
        <w:wordWrap w:val="0"/>
        <w:spacing w:line="400" w:lineRule="exact"/>
        <w:ind w:firstLine="420"/>
        <w:jc w:val="left"/>
        <w:rPr>
          <w:rFonts w:hint="eastAsia" w:ascii="宋体" w:hAnsi="宋体" w:eastAsia="宋体" w:cs="Courier New"/>
          <w:b/>
          <w:bCs/>
          <w:color w:val="auto"/>
          <w:sz w:val="24"/>
          <w:szCs w:val="24"/>
          <w:highlight w:val="none"/>
        </w:rPr>
      </w:pPr>
      <w:r>
        <w:rPr>
          <w:rFonts w:hint="eastAsia" w:ascii="宋体" w:hAnsi="宋体" w:eastAsia="宋体" w:cs="Courier New"/>
          <w:b/>
          <w:bCs/>
          <w:color w:val="auto"/>
          <w:sz w:val="24"/>
          <w:szCs w:val="24"/>
          <w:highlight w:val="none"/>
        </w:rPr>
        <w:t>7.成交候选人推荐</w:t>
      </w:r>
    </w:p>
    <w:p w14:paraId="6D59DBAC">
      <w:pPr>
        <w:widowControl/>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谈判小组应当从质量和服务均能满足谈判文件实质性响应要求的供应商中，按照评审价由低到高的顺序提出3名以上成交候选人（评审价相同时，按照最后报价由低到高顺序依次推荐；最后报价相同时，由谈判小组按</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供应商须知前附表</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第26条规定的顺序推荐），并编写评审报告，评审报告通过电子交易平台向采购人、采购代理机构提交。</w:t>
      </w:r>
    </w:p>
    <w:p w14:paraId="4733F9FA">
      <w:pPr>
        <w:rPr>
          <w:rFonts w:ascii="仿宋_GB2312" w:hAnsi="宋体" w:eastAsia="仿宋_GB2312"/>
          <w:b/>
          <w:color w:val="auto"/>
          <w:sz w:val="32"/>
          <w:szCs w:val="32"/>
          <w:highlight w:val="none"/>
        </w:rPr>
      </w:pPr>
      <w:r>
        <w:rPr>
          <w:rFonts w:ascii="仿宋_GB2312" w:hAnsi="宋体" w:eastAsia="仿宋_GB2312"/>
          <w:b/>
          <w:color w:val="auto"/>
          <w:sz w:val="32"/>
          <w:szCs w:val="32"/>
          <w:highlight w:val="none"/>
        </w:rPr>
        <w:br w:type="page"/>
      </w:r>
    </w:p>
    <w:p w14:paraId="074B568C">
      <w:pPr>
        <w:pStyle w:val="33"/>
        <w:rPr>
          <w:rFonts w:hint="eastAsia"/>
          <w:color w:val="auto"/>
          <w:sz w:val="44"/>
          <w:szCs w:val="44"/>
          <w:highlight w:val="none"/>
        </w:rPr>
      </w:pPr>
      <w:bookmarkStart w:id="40" w:name="_Toc2324"/>
    </w:p>
    <w:p w14:paraId="100F99F0">
      <w:pPr>
        <w:pStyle w:val="33"/>
        <w:rPr>
          <w:rFonts w:hint="eastAsia"/>
          <w:color w:val="auto"/>
          <w:sz w:val="44"/>
          <w:szCs w:val="44"/>
          <w:highlight w:val="none"/>
        </w:rPr>
      </w:pPr>
    </w:p>
    <w:p w14:paraId="0184BBED">
      <w:pPr>
        <w:pStyle w:val="33"/>
        <w:rPr>
          <w:rFonts w:hint="eastAsia"/>
          <w:color w:val="auto"/>
          <w:sz w:val="44"/>
          <w:szCs w:val="44"/>
          <w:highlight w:val="none"/>
        </w:rPr>
      </w:pPr>
    </w:p>
    <w:p w14:paraId="0395D02D">
      <w:pPr>
        <w:pStyle w:val="33"/>
        <w:rPr>
          <w:rFonts w:hint="eastAsia"/>
          <w:color w:val="auto"/>
          <w:sz w:val="44"/>
          <w:szCs w:val="44"/>
          <w:highlight w:val="none"/>
        </w:rPr>
      </w:pPr>
    </w:p>
    <w:p w14:paraId="1E091DF8">
      <w:pPr>
        <w:pStyle w:val="33"/>
        <w:rPr>
          <w:rFonts w:hint="eastAsia"/>
          <w:color w:val="auto"/>
          <w:sz w:val="44"/>
          <w:szCs w:val="44"/>
          <w:highlight w:val="none"/>
        </w:rPr>
      </w:pPr>
    </w:p>
    <w:p w14:paraId="33A2370C">
      <w:pPr>
        <w:pStyle w:val="33"/>
        <w:rPr>
          <w:rFonts w:hint="eastAsia"/>
          <w:color w:val="auto"/>
          <w:sz w:val="44"/>
          <w:szCs w:val="44"/>
          <w:highlight w:val="none"/>
        </w:rPr>
      </w:pPr>
    </w:p>
    <w:p w14:paraId="21CDF499">
      <w:pPr>
        <w:pStyle w:val="33"/>
        <w:rPr>
          <w:rFonts w:hint="eastAsia"/>
          <w:color w:val="auto"/>
          <w:sz w:val="44"/>
          <w:szCs w:val="44"/>
          <w:highlight w:val="none"/>
        </w:rPr>
      </w:pPr>
    </w:p>
    <w:p w14:paraId="63FA81A7">
      <w:pPr>
        <w:pStyle w:val="33"/>
        <w:rPr>
          <w:rFonts w:hint="eastAsia"/>
          <w:color w:val="auto"/>
          <w:sz w:val="44"/>
          <w:szCs w:val="44"/>
          <w:highlight w:val="none"/>
          <w:lang w:val="en-US" w:eastAsia="zh-CN"/>
        </w:rPr>
      </w:pPr>
      <w:bookmarkStart w:id="41" w:name="_Toc10720"/>
      <w:r>
        <w:rPr>
          <w:rFonts w:hint="eastAsia"/>
          <w:color w:val="auto"/>
          <w:sz w:val="44"/>
          <w:szCs w:val="44"/>
          <w:highlight w:val="none"/>
        </w:rPr>
        <w:t xml:space="preserve">第五章 </w:t>
      </w:r>
      <w:r>
        <w:rPr>
          <w:rFonts w:hint="eastAsia"/>
          <w:color w:val="auto"/>
          <w:sz w:val="44"/>
          <w:szCs w:val="44"/>
          <w:highlight w:val="none"/>
          <w:lang w:val="en-US" w:eastAsia="zh-CN"/>
        </w:rPr>
        <w:t xml:space="preserve"> </w:t>
      </w:r>
      <w:r>
        <w:rPr>
          <w:rFonts w:hint="eastAsia"/>
          <w:color w:val="auto"/>
          <w:sz w:val="44"/>
          <w:szCs w:val="44"/>
          <w:highlight w:val="none"/>
        </w:rPr>
        <w:t>响应文件格</w:t>
      </w:r>
      <w:bookmarkEnd w:id="40"/>
      <w:r>
        <w:rPr>
          <w:rFonts w:hint="eastAsia"/>
          <w:color w:val="auto"/>
          <w:sz w:val="44"/>
          <w:szCs w:val="44"/>
          <w:highlight w:val="none"/>
          <w:lang w:val="en-US" w:eastAsia="zh-CN"/>
        </w:rPr>
        <w:t>式</w:t>
      </w:r>
      <w:bookmarkEnd w:id="41"/>
    </w:p>
    <w:p w14:paraId="5FDE928C">
      <w:pPr>
        <w:spacing w:before="63" w:line="225" w:lineRule="auto"/>
        <w:rPr>
          <w:rFonts w:ascii="宋体" w:hAnsi="宋体" w:eastAsia="宋体" w:cs="宋体"/>
          <w:color w:val="auto"/>
          <w:sz w:val="30"/>
          <w:szCs w:val="30"/>
          <w:highlight w:val="none"/>
        </w:rPr>
      </w:pPr>
      <w:r>
        <w:rPr>
          <w:rFonts w:ascii="仿宋_GB2312" w:hAnsi="宋体" w:eastAsia="仿宋_GB2312"/>
          <w:b/>
          <w:color w:val="auto"/>
          <w:sz w:val="32"/>
          <w:szCs w:val="32"/>
          <w:highlight w:val="none"/>
        </w:rPr>
        <w:br w:type="page"/>
      </w:r>
      <w:r>
        <w:rPr>
          <w:rFonts w:ascii="宋体" w:hAnsi="宋体" w:eastAsia="宋体" w:cs="宋体"/>
          <w:b/>
          <w:bCs/>
          <w:color w:val="auto"/>
          <w:spacing w:val="6"/>
          <w:sz w:val="30"/>
          <w:szCs w:val="30"/>
          <w:highlight w:val="none"/>
        </w:rPr>
        <w:t>一、资格证明文件格式</w:t>
      </w:r>
    </w:p>
    <w:p w14:paraId="56817106">
      <w:pPr>
        <w:spacing w:before="157" w:line="225" w:lineRule="auto"/>
        <w:ind w:left="18"/>
        <w:rPr>
          <w:rFonts w:ascii="宋体" w:hAnsi="宋体" w:eastAsia="宋体" w:cs="宋体"/>
          <w:color w:val="auto"/>
          <w:sz w:val="30"/>
          <w:szCs w:val="30"/>
          <w:highlight w:val="none"/>
        </w:rPr>
      </w:pPr>
      <w:r>
        <w:rPr>
          <w:rFonts w:ascii="宋体" w:hAnsi="宋体" w:eastAsia="宋体" w:cs="宋体"/>
          <w:b/>
          <w:bCs/>
          <w:color w:val="auto"/>
          <w:spacing w:val="3"/>
          <w:sz w:val="30"/>
          <w:szCs w:val="30"/>
          <w:highlight w:val="none"/>
        </w:rPr>
        <w:t>1.资格证明文件封面格式：</w:t>
      </w:r>
    </w:p>
    <w:p w14:paraId="16D6DCC6">
      <w:pPr>
        <w:spacing w:line="257" w:lineRule="auto"/>
        <w:rPr>
          <w:rFonts w:ascii="Arial"/>
          <w:color w:val="auto"/>
          <w:sz w:val="21"/>
          <w:highlight w:val="none"/>
        </w:rPr>
      </w:pPr>
    </w:p>
    <w:p w14:paraId="7337FA7B">
      <w:pPr>
        <w:spacing w:line="257" w:lineRule="auto"/>
        <w:rPr>
          <w:rFonts w:ascii="Arial"/>
          <w:color w:val="auto"/>
          <w:sz w:val="21"/>
          <w:highlight w:val="none"/>
        </w:rPr>
      </w:pPr>
    </w:p>
    <w:p w14:paraId="7E522F1E">
      <w:pPr>
        <w:spacing w:line="258" w:lineRule="auto"/>
        <w:rPr>
          <w:rFonts w:ascii="Arial"/>
          <w:color w:val="auto"/>
          <w:sz w:val="21"/>
          <w:highlight w:val="none"/>
        </w:rPr>
      </w:pPr>
    </w:p>
    <w:p w14:paraId="194663D0">
      <w:pPr>
        <w:spacing w:before="140" w:line="223" w:lineRule="auto"/>
        <w:jc w:val="center"/>
        <w:rPr>
          <w:rFonts w:ascii="宋体" w:hAnsi="宋体" w:eastAsia="宋体" w:cs="宋体"/>
          <w:color w:val="auto"/>
          <w:sz w:val="44"/>
          <w:szCs w:val="44"/>
          <w:highlight w:val="none"/>
        </w:rPr>
      </w:pPr>
      <w:r>
        <w:rPr>
          <w:rFonts w:ascii="宋体" w:hAnsi="宋体" w:eastAsia="宋体" w:cs="宋体"/>
          <w:color w:val="auto"/>
          <w:spacing w:val="-20"/>
          <w:sz w:val="44"/>
          <w:szCs w:val="44"/>
          <w:highlight w:val="none"/>
        </w:rPr>
        <w:t>电</w:t>
      </w:r>
      <w:r>
        <w:rPr>
          <w:rFonts w:ascii="宋体" w:hAnsi="宋体" w:eastAsia="宋体" w:cs="宋体"/>
          <w:color w:val="auto"/>
          <w:spacing w:val="24"/>
          <w:sz w:val="44"/>
          <w:szCs w:val="44"/>
          <w:highlight w:val="none"/>
        </w:rPr>
        <w:t xml:space="preserve"> </w:t>
      </w:r>
      <w:r>
        <w:rPr>
          <w:rFonts w:ascii="宋体" w:hAnsi="宋体" w:eastAsia="宋体" w:cs="宋体"/>
          <w:color w:val="auto"/>
          <w:spacing w:val="-20"/>
          <w:sz w:val="44"/>
          <w:szCs w:val="44"/>
          <w:highlight w:val="none"/>
        </w:rPr>
        <w:t>子</w:t>
      </w:r>
      <w:r>
        <w:rPr>
          <w:rFonts w:ascii="宋体" w:hAnsi="宋体" w:eastAsia="宋体" w:cs="宋体"/>
          <w:color w:val="auto"/>
          <w:spacing w:val="45"/>
          <w:sz w:val="44"/>
          <w:szCs w:val="44"/>
          <w:highlight w:val="none"/>
        </w:rPr>
        <w:t xml:space="preserve"> </w:t>
      </w:r>
      <w:r>
        <w:rPr>
          <w:rFonts w:ascii="宋体" w:hAnsi="宋体" w:eastAsia="宋体" w:cs="宋体"/>
          <w:color w:val="auto"/>
          <w:spacing w:val="-20"/>
          <w:sz w:val="44"/>
          <w:szCs w:val="44"/>
          <w:highlight w:val="none"/>
        </w:rPr>
        <w:t>响</w:t>
      </w:r>
      <w:r>
        <w:rPr>
          <w:rFonts w:ascii="宋体" w:hAnsi="宋体" w:eastAsia="宋体" w:cs="宋体"/>
          <w:color w:val="auto"/>
          <w:spacing w:val="23"/>
          <w:sz w:val="44"/>
          <w:szCs w:val="44"/>
          <w:highlight w:val="none"/>
        </w:rPr>
        <w:t xml:space="preserve"> </w:t>
      </w:r>
      <w:r>
        <w:rPr>
          <w:rFonts w:ascii="宋体" w:hAnsi="宋体" w:eastAsia="宋体" w:cs="宋体"/>
          <w:color w:val="auto"/>
          <w:spacing w:val="-20"/>
          <w:sz w:val="44"/>
          <w:szCs w:val="44"/>
          <w:highlight w:val="none"/>
        </w:rPr>
        <w:t>应</w:t>
      </w:r>
      <w:r>
        <w:rPr>
          <w:rFonts w:ascii="宋体" w:hAnsi="宋体" w:eastAsia="宋体" w:cs="宋体"/>
          <w:color w:val="auto"/>
          <w:spacing w:val="27"/>
          <w:sz w:val="44"/>
          <w:szCs w:val="44"/>
          <w:highlight w:val="none"/>
        </w:rPr>
        <w:t xml:space="preserve"> </w:t>
      </w:r>
      <w:r>
        <w:rPr>
          <w:rFonts w:ascii="宋体" w:hAnsi="宋体" w:eastAsia="宋体" w:cs="宋体"/>
          <w:color w:val="auto"/>
          <w:spacing w:val="-20"/>
          <w:sz w:val="44"/>
          <w:szCs w:val="44"/>
          <w:highlight w:val="none"/>
        </w:rPr>
        <w:t>文</w:t>
      </w:r>
      <w:r>
        <w:rPr>
          <w:rFonts w:ascii="宋体" w:hAnsi="宋体" w:eastAsia="宋体" w:cs="宋体"/>
          <w:color w:val="auto"/>
          <w:spacing w:val="21"/>
          <w:sz w:val="44"/>
          <w:szCs w:val="44"/>
          <w:highlight w:val="none"/>
        </w:rPr>
        <w:t xml:space="preserve"> </w:t>
      </w:r>
      <w:r>
        <w:rPr>
          <w:rFonts w:ascii="宋体" w:hAnsi="宋体" w:eastAsia="宋体" w:cs="宋体"/>
          <w:color w:val="auto"/>
          <w:spacing w:val="-20"/>
          <w:sz w:val="44"/>
          <w:szCs w:val="44"/>
          <w:highlight w:val="none"/>
        </w:rPr>
        <w:t>件</w:t>
      </w:r>
    </w:p>
    <w:p w14:paraId="35FA74F2">
      <w:pPr>
        <w:spacing w:line="472" w:lineRule="auto"/>
        <w:jc w:val="center"/>
        <w:rPr>
          <w:rFonts w:ascii="Arial"/>
          <w:color w:val="auto"/>
          <w:sz w:val="44"/>
          <w:szCs w:val="44"/>
          <w:highlight w:val="none"/>
        </w:rPr>
      </w:pPr>
    </w:p>
    <w:p w14:paraId="4CE63651">
      <w:pPr>
        <w:spacing w:before="140" w:line="604" w:lineRule="exact"/>
        <w:jc w:val="center"/>
        <w:rPr>
          <w:rFonts w:ascii="宋体" w:hAnsi="宋体" w:eastAsia="宋体" w:cs="宋体"/>
          <w:color w:val="auto"/>
          <w:sz w:val="44"/>
          <w:szCs w:val="44"/>
          <w:highlight w:val="none"/>
        </w:rPr>
      </w:pPr>
      <w:r>
        <w:rPr>
          <w:rFonts w:ascii="宋体" w:hAnsi="宋体" w:eastAsia="宋体" w:cs="宋体"/>
          <w:b/>
          <w:bCs/>
          <w:color w:val="auto"/>
          <w:position w:val="3"/>
          <w:sz w:val="44"/>
          <w:szCs w:val="44"/>
          <w:highlight w:val="none"/>
        </w:rPr>
        <w:t>资</w:t>
      </w:r>
      <w:r>
        <w:rPr>
          <w:rFonts w:ascii="宋体" w:hAnsi="宋体" w:eastAsia="宋体" w:cs="宋体"/>
          <w:color w:val="auto"/>
          <w:position w:val="3"/>
          <w:sz w:val="44"/>
          <w:szCs w:val="44"/>
          <w:highlight w:val="none"/>
        </w:rPr>
        <w:t xml:space="preserve">  </w:t>
      </w:r>
      <w:r>
        <w:rPr>
          <w:rFonts w:ascii="宋体" w:hAnsi="宋体" w:eastAsia="宋体" w:cs="宋体"/>
          <w:b/>
          <w:bCs/>
          <w:color w:val="auto"/>
          <w:position w:val="3"/>
          <w:sz w:val="44"/>
          <w:szCs w:val="44"/>
          <w:highlight w:val="none"/>
        </w:rPr>
        <w:t>格</w:t>
      </w:r>
      <w:r>
        <w:rPr>
          <w:rFonts w:ascii="宋体" w:hAnsi="宋体" w:eastAsia="宋体" w:cs="宋体"/>
          <w:color w:val="auto"/>
          <w:position w:val="3"/>
          <w:sz w:val="44"/>
          <w:szCs w:val="44"/>
          <w:highlight w:val="none"/>
        </w:rPr>
        <w:t xml:space="preserve">  </w:t>
      </w:r>
      <w:r>
        <w:rPr>
          <w:rFonts w:ascii="宋体" w:hAnsi="宋体" w:eastAsia="宋体" w:cs="宋体"/>
          <w:b/>
          <w:bCs/>
          <w:color w:val="auto"/>
          <w:position w:val="3"/>
          <w:sz w:val="44"/>
          <w:szCs w:val="44"/>
          <w:highlight w:val="none"/>
        </w:rPr>
        <w:t>证</w:t>
      </w:r>
      <w:r>
        <w:rPr>
          <w:rFonts w:ascii="宋体" w:hAnsi="宋体" w:eastAsia="宋体" w:cs="宋体"/>
          <w:color w:val="auto"/>
          <w:spacing w:val="18"/>
          <w:position w:val="3"/>
          <w:sz w:val="44"/>
          <w:szCs w:val="44"/>
          <w:highlight w:val="none"/>
        </w:rPr>
        <w:t xml:space="preserve">  </w:t>
      </w:r>
      <w:r>
        <w:rPr>
          <w:rFonts w:ascii="宋体" w:hAnsi="宋体" w:eastAsia="宋体" w:cs="宋体"/>
          <w:b/>
          <w:bCs/>
          <w:color w:val="auto"/>
          <w:position w:val="3"/>
          <w:sz w:val="44"/>
          <w:szCs w:val="44"/>
          <w:highlight w:val="none"/>
        </w:rPr>
        <w:t>明</w:t>
      </w:r>
      <w:r>
        <w:rPr>
          <w:rFonts w:ascii="宋体" w:hAnsi="宋体" w:eastAsia="宋体" w:cs="宋体"/>
          <w:color w:val="auto"/>
          <w:spacing w:val="9"/>
          <w:position w:val="3"/>
          <w:sz w:val="44"/>
          <w:szCs w:val="44"/>
          <w:highlight w:val="none"/>
        </w:rPr>
        <w:t xml:space="preserve">  </w:t>
      </w:r>
      <w:r>
        <w:rPr>
          <w:rFonts w:ascii="宋体" w:hAnsi="宋体" w:eastAsia="宋体" w:cs="宋体"/>
          <w:b/>
          <w:bCs/>
          <w:color w:val="auto"/>
          <w:position w:val="3"/>
          <w:sz w:val="44"/>
          <w:szCs w:val="44"/>
          <w:highlight w:val="none"/>
        </w:rPr>
        <w:t>文</w:t>
      </w:r>
      <w:r>
        <w:rPr>
          <w:rFonts w:ascii="宋体" w:hAnsi="宋体" w:eastAsia="宋体" w:cs="宋体"/>
          <w:color w:val="auto"/>
          <w:spacing w:val="9"/>
          <w:position w:val="3"/>
          <w:sz w:val="44"/>
          <w:szCs w:val="44"/>
          <w:highlight w:val="none"/>
        </w:rPr>
        <w:t xml:space="preserve">  </w:t>
      </w:r>
      <w:r>
        <w:rPr>
          <w:rFonts w:ascii="宋体" w:hAnsi="宋体" w:eastAsia="宋体" w:cs="宋体"/>
          <w:b/>
          <w:bCs/>
          <w:color w:val="auto"/>
          <w:position w:val="3"/>
          <w:sz w:val="44"/>
          <w:szCs w:val="44"/>
          <w:highlight w:val="none"/>
        </w:rPr>
        <w:t>件</w:t>
      </w:r>
    </w:p>
    <w:p w14:paraId="55FC98D8">
      <w:pPr>
        <w:spacing w:line="245" w:lineRule="auto"/>
        <w:rPr>
          <w:rFonts w:ascii="Arial"/>
          <w:color w:val="auto"/>
          <w:sz w:val="21"/>
          <w:highlight w:val="none"/>
        </w:rPr>
      </w:pPr>
    </w:p>
    <w:p w14:paraId="54BBE3BE">
      <w:pPr>
        <w:spacing w:line="245" w:lineRule="auto"/>
        <w:rPr>
          <w:rFonts w:ascii="Arial"/>
          <w:color w:val="auto"/>
          <w:sz w:val="21"/>
          <w:highlight w:val="none"/>
        </w:rPr>
      </w:pPr>
    </w:p>
    <w:p w14:paraId="20894330">
      <w:pPr>
        <w:spacing w:line="245" w:lineRule="auto"/>
        <w:rPr>
          <w:rFonts w:ascii="Arial"/>
          <w:color w:val="auto"/>
          <w:sz w:val="21"/>
          <w:highlight w:val="none"/>
        </w:rPr>
      </w:pPr>
    </w:p>
    <w:p w14:paraId="2ADD9BFA">
      <w:pPr>
        <w:spacing w:line="245" w:lineRule="auto"/>
        <w:rPr>
          <w:rFonts w:ascii="Arial"/>
          <w:color w:val="auto"/>
          <w:sz w:val="21"/>
          <w:highlight w:val="none"/>
        </w:rPr>
      </w:pPr>
    </w:p>
    <w:p w14:paraId="5113A0E5">
      <w:pPr>
        <w:spacing w:line="245" w:lineRule="auto"/>
        <w:rPr>
          <w:rFonts w:ascii="Arial"/>
          <w:color w:val="auto"/>
          <w:sz w:val="21"/>
          <w:highlight w:val="none"/>
        </w:rPr>
      </w:pPr>
    </w:p>
    <w:p w14:paraId="658B8E9C">
      <w:pPr>
        <w:spacing w:line="246" w:lineRule="auto"/>
        <w:rPr>
          <w:rFonts w:ascii="Arial"/>
          <w:color w:val="auto"/>
          <w:sz w:val="21"/>
          <w:highlight w:val="none"/>
        </w:rPr>
      </w:pPr>
    </w:p>
    <w:p w14:paraId="2B044F33">
      <w:pPr>
        <w:spacing w:line="246" w:lineRule="auto"/>
        <w:rPr>
          <w:rFonts w:ascii="Arial"/>
          <w:color w:val="auto"/>
          <w:sz w:val="21"/>
          <w:highlight w:val="none"/>
        </w:rPr>
      </w:pPr>
    </w:p>
    <w:p w14:paraId="2F0A647E">
      <w:pPr>
        <w:spacing w:before="101" w:line="225" w:lineRule="auto"/>
        <w:ind w:left="640"/>
        <w:rPr>
          <w:rFonts w:ascii="宋体" w:hAnsi="宋体" w:eastAsia="宋体" w:cs="宋体"/>
          <w:color w:val="auto"/>
          <w:sz w:val="30"/>
          <w:szCs w:val="30"/>
          <w:highlight w:val="none"/>
        </w:rPr>
      </w:pPr>
      <w:r>
        <w:rPr>
          <w:rFonts w:ascii="宋体" w:hAnsi="宋体" w:eastAsia="宋体" w:cs="宋体"/>
          <w:color w:val="auto"/>
          <w:spacing w:val="4"/>
          <w:sz w:val="30"/>
          <w:szCs w:val="30"/>
          <w:highlight w:val="none"/>
        </w:rPr>
        <w:t>项目名称：</w:t>
      </w:r>
    </w:p>
    <w:p w14:paraId="11A6F0AF">
      <w:pPr>
        <w:spacing w:line="293" w:lineRule="auto"/>
        <w:rPr>
          <w:rFonts w:ascii="Arial"/>
          <w:color w:val="auto"/>
          <w:sz w:val="30"/>
          <w:szCs w:val="30"/>
          <w:highlight w:val="none"/>
        </w:rPr>
      </w:pPr>
    </w:p>
    <w:p w14:paraId="57763426">
      <w:pPr>
        <w:spacing w:before="101" w:line="225" w:lineRule="auto"/>
        <w:ind w:left="720"/>
        <w:rPr>
          <w:rFonts w:ascii="宋体" w:hAnsi="宋体" w:eastAsia="宋体" w:cs="宋体"/>
          <w:color w:val="auto"/>
          <w:sz w:val="30"/>
          <w:szCs w:val="30"/>
          <w:highlight w:val="none"/>
        </w:rPr>
      </w:pPr>
      <w:r>
        <w:rPr>
          <w:rFonts w:ascii="宋体" w:hAnsi="宋体" w:eastAsia="宋体" w:cs="宋体"/>
          <w:color w:val="auto"/>
          <w:spacing w:val="4"/>
          <w:sz w:val="30"/>
          <w:szCs w:val="30"/>
          <w:highlight w:val="none"/>
        </w:rPr>
        <w:t>项目编号：</w:t>
      </w:r>
    </w:p>
    <w:p w14:paraId="19D0F82C">
      <w:pPr>
        <w:spacing w:line="294" w:lineRule="auto"/>
        <w:rPr>
          <w:rFonts w:ascii="Arial"/>
          <w:color w:val="auto"/>
          <w:sz w:val="30"/>
          <w:szCs w:val="30"/>
          <w:highlight w:val="none"/>
        </w:rPr>
      </w:pPr>
    </w:p>
    <w:p w14:paraId="4CD7C534">
      <w:pPr>
        <w:spacing w:before="101" w:line="253" w:lineRule="auto"/>
        <w:ind w:left="4" w:firstLine="710"/>
        <w:rPr>
          <w:rFonts w:ascii="宋体" w:hAnsi="宋体" w:eastAsia="宋体" w:cs="宋体"/>
          <w:color w:val="auto"/>
          <w:sz w:val="30"/>
          <w:szCs w:val="30"/>
          <w:highlight w:val="none"/>
        </w:rPr>
      </w:pPr>
      <w:r>
        <w:rPr>
          <w:rFonts w:ascii="宋体" w:hAnsi="宋体" w:eastAsia="宋体" w:cs="宋体"/>
          <w:color w:val="auto"/>
          <w:spacing w:val="27"/>
          <w:sz w:val="30"/>
          <w:szCs w:val="30"/>
          <w:highlight w:val="none"/>
        </w:rPr>
        <w:t>所竞分标（如有则填写</w:t>
      </w:r>
      <w:r>
        <w:rPr>
          <w:rFonts w:ascii="宋体" w:hAnsi="宋体" w:eastAsia="宋体" w:cs="宋体"/>
          <w:color w:val="auto"/>
          <w:spacing w:val="-72"/>
          <w:sz w:val="30"/>
          <w:szCs w:val="30"/>
          <w:highlight w:val="none"/>
        </w:rPr>
        <w:t xml:space="preserve"> </w:t>
      </w:r>
      <w:r>
        <w:rPr>
          <w:rFonts w:ascii="宋体" w:hAnsi="宋体" w:eastAsia="宋体" w:cs="宋体"/>
          <w:color w:val="auto"/>
          <w:spacing w:val="27"/>
          <w:sz w:val="30"/>
          <w:szCs w:val="30"/>
          <w:highlight w:val="none"/>
        </w:rPr>
        <w:t>，无分标时填写</w:t>
      </w:r>
      <w:r>
        <w:rPr>
          <w:rFonts w:ascii="宋体" w:hAnsi="宋体" w:eastAsia="宋体" w:cs="宋体"/>
          <w:color w:val="auto"/>
          <w:spacing w:val="-115"/>
          <w:sz w:val="30"/>
          <w:szCs w:val="30"/>
          <w:highlight w:val="none"/>
        </w:rPr>
        <w:t xml:space="preserve"> </w:t>
      </w:r>
      <w:r>
        <w:rPr>
          <w:rFonts w:hint="eastAsia" w:ascii="宋体" w:hAnsi="宋体" w:cs="宋体"/>
          <w:color w:val="auto"/>
          <w:spacing w:val="27"/>
          <w:sz w:val="30"/>
          <w:szCs w:val="30"/>
          <w:highlight w:val="none"/>
          <w:lang w:eastAsia="zh-CN"/>
        </w:rPr>
        <w:t>“</w:t>
      </w:r>
      <w:r>
        <w:rPr>
          <w:rFonts w:ascii="宋体" w:hAnsi="宋体" w:eastAsia="宋体" w:cs="宋体"/>
          <w:color w:val="auto"/>
          <w:spacing w:val="-111"/>
          <w:sz w:val="30"/>
          <w:szCs w:val="30"/>
          <w:highlight w:val="none"/>
        </w:rPr>
        <w:t xml:space="preserve"> </w:t>
      </w:r>
      <w:r>
        <w:rPr>
          <w:rFonts w:ascii="宋体" w:hAnsi="宋体" w:eastAsia="宋体" w:cs="宋体"/>
          <w:color w:val="auto"/>
          <w:spacing w:val="27"/>
          <w:sz w:val="30"/>
          <w:szCs w:val="30"/>
          <w:highlight w:val="none"/>
        </w:rPr>
        <w:t>无</w:t>
      </w:r>
      <w:r>
        <w:rPr>
          <w:rFonts w:ascii="宋体" w:hAnsi="宋体" w:eastAsia="宋体" w:cs="宋体"/>
          <w:color w:val="auto"/>
          <w:spacing w:val="-81"/>
          <w:sz w:val="30"/>
          <w:szCs w:val="30"/>
          <w:highlight w:val="none"/>
        </w:rPr>
        <w:t xml:space="preserve"> </w:t>
      </w:r>
      <w:r>
        <w:rPr>
          <w:rFonts w:hint="eastAsia" w:ascii="宋体" w:hAnsi="宋体" w:cs="宋体"/>
          <w:color w:val="auto"/>
          <w:spacing w:val="27"/>
          <w:sz w:val="30"/>
          <w:szCs w:val="30"/>
          <w:highlight w:val="none"/>
          <w:lang w:eastAsia="zh-CN"/>
        </w:rPr>
        <w:t>”</w:t>
      </w:r>
      <w:r>
        <w:rPr>
          <w:rFonts w:ascii="宋体" w:hAnsi="宋体" w:eastAsia="宋体" w:cs="宋体"/>
          <w:color w:val="auto"/>
          <w:spacing w:val="27"/>
          <w:sz w:val="30"/>
          <w:szCs w:val="30"/>
          <w:highlight w:val="none"/>
        </w:rPr>
        <w:t>或者留</w:t>
      </w:r>
      <w:r>
        <w:rPr>
          <w:rFonts w:ascii="宋体" w:hAnsi="宋体" w:eastAsia="宋体" w:cs="宋体"/>
          <w:color w:val="auto"/>
          <w:spacing w:val="-14"/>
          <w:sz w:val="30"/>
          <w:szCs w:val="30"/>
          <w:highlight w:val="none"/>
        </w:rPr>
        <w:t>空</w:t>
      </w:r>
      <w:r>
        <w:rPr>
          <w:rFonts w:ascii="宋体" w:hAnsi="宋体" w:eastAsia="宋体" w:cs="宋体"/>
          <w:color w:val="auto"/>
          <w:sz w:val="30"/>
          <w:szCs w:val="30"/>
          <w:highlight w:val="none"/>
        </w:rPr>
        <w:t>）：</w:t>
      </w:r>
    </w:p>
    <w:p w14:paraId="628440BB">
      <w:pPr>
        <w:spacing w:before="101" w:line="224" w:lineRule="auto"/>
        <w:ind w:left="714"/>
        <w:rPr>
          <w:rFonts w:ascii="宋体" w:hAnsi="宋体" w:eastAsia="宋体" w:cs="宋体"/>
          <w:color w:val="auto"/>
          <w:spacing w:val="5"/>
          <w:sz w:val="30"/>
          <w:szCs w:val="30"/>
          <w:highlight w:val="none"/>
        </w:rPr>
      </w:pPr>
    </w:p>
    <w:p w14:paraId="7E8CE07B">
      <w:pPr>
        <w:spacing w:before="101" w:line="224" w:lineRule="auto"/>
        <w:ind w:left="714"/>
        <w:rPr>
          <w:rFonts w:ascii="宋体" w:hAnsi="宋体" w:eastAsia="宋体" w:cs="宋体"/>
          <w:color w:val="auto"/>
          <w:sz w:val="30"/>
          <w:szCs w:val="30"/>
          <w:highlight w:val="none"/>
        </w:rPr>
      </w:pPr>
      <w:r>
        <w:rPr>
          <w:rFonts w:ascii="宋体" w:hAnsi="宋体" w:eastAsia="宋体" w:cs="宋体"/>
          <w:color w:val="auto"/>
          <w:spacing w:val="5"/>
          <w:sz w:val="30"/>
          <w:szCs w:val="30"/>
          <w:highlight w:val="none"/>
        </w:rPr>
        <w:t>供应商名称：</w:t>
      </w:r>
    </w:p>
    <w:p w14:paraId="24F7A22D">
      <w:pPr>
        <w:spacing w:line="247" w:lineRule="auto"/>
        <w:rPr>
          <w:rFonts w:ascii="Arial"/>
          <w:color w:val="auto"/>
          <w:sz w:val="21"/>
          <w:highlight w:val="none"/>
        </w:rPr>
      </w:pPr>
    </w:p>
    <w:p w14:paraId="596FD2CB">
      <w:pPr>
        <w:spacing w:line="247" w:lineRule="auto"/>
        <w:rPr>
          <w:rFonts w:ascii="Arial"/>
          <w:color w:val="auto"/>
          <w:sz w:val="21"/>
          <w:highlight w:val="none"/>
        </w:rPr>
      </w:pPr>
    </w:p>
    <w:p w14:paraId="5BC76AE0">
      <w:pPr>
        <w:spacing w:line="247" w:lineRule="auto"/>
        <w:rPr>
          <w:rFonts w:ascii="Arial"/>
          <w:color w:val="auto"/>
          <w:sz w:val="21"/>
          <w:highlight w:val="none"/>
        </w:rPr>
      </w:pPr>
    </w:p>
    <w:p w14:paraId="20EBE452">
      <w:pPr>
        <w:ind w:firstLine="3576" w:firstLineChars="1200"/>
        <w:rPr>
          <w:rFonts w:hint="eastAsia"/>
          <w:color w:val="auto"/>
          <w:sz w:val="28"/>
          <w:szCs w:val="28"/>
          <w:highlight w:val="none"/>
        </w:rPr>
      </w:pPr>
      <w:r>
        <w:rPr>
          <w:rFonts w:ascii="宋体" w:hAnsi="宋体" w:eastAsia="宋体" w:cs="宋体"/>
          <w:color w:val="auto"/>
          <w:spacing w:val="-6"/>
          <w:sz w:val="31"/>
          <w:szCs w:val="31"/>
          <w:highlight w:val="none"/>
        </w:rPr>
        <w:t>年</w:t>
      </w:r>
      <w:r>
        <w:rPr>
          <w:rFonts w:ascii="宋体" w:hAnsi="宋体" w:eastAsia="宋体" w:cs="宋体"/>
          <w:color w:val="auto"/>
          <w:spacing w:val="10"/>
          <w:sz w:val="31"/>
          <w:szCs w:val="31"/>
          <w:highlight w:val="none"/>
        </w:rPr>
        <w:t xml:space="preserve">    </w:t>
      </w:r>
      <w:r>
        <w:rPr>
          <w:rFonts w:ascii="宋体" w:hAnsi="宋体" w:eastAsia="宋体" w:cs="宋体"/>
          <w:color w:val="auto"/>
          <w:spacing w:val="-6"/>
          <w:sz w:val="31"/>
          <w:szCs w:val="31"/>
          <w:highlight w:val="none"/>
        </w:rPr>
        <w:t>月</w:t>
      </w:r>
      <w:r>
        <w:rPr>
          <w:rFonts w:ascii="宋体" w:hAnsi="宋体" w:eastAsia="宋体" w:cs="宋体"/>
          <w:color w:val="auto"/>
          <w:spacing w:val="22"/>
          <w:sz w:val="31"/>
          <w:szCs w:val="31"/>
          <w:highlight w:val="none"/>
        </w:rPr>
        <w:t xml:space="preserve">    </w:t>
      </w:r>
      <w:r>
        <w:rPr>
          <w:rFonts w:ascii="宋体" w:hAnsi="宋体" w:eastAsia="宋体" w:cs="宋体"/>
          <w:color w:val="auto"/>
          <w:spacing w:val="-6"/>
          <w:sz w:val="31"/>
          <w:szCs w:val="31"/>
          <w:highlight w:val="none"/>
        </w:rPr>
        <w:t>日</w:t>
      </w:r>
    </w:p>
    <w:p w14:paraId="5F013A2A">
      <w:pPr>
        <w:spacing w:line="520" w:lineRule="exact"/>
        <w:rPr>
          <w:rFonts w:hint="eastAsia" w:ascii="宋体" w:hAnsi="宋体"/>
          <w:color w:val="auto"/>
          <w:szCs w:val="21"/>
          <w:highlight w:val="none"/>
        </w:rPr>
      </w:pPr>
    </w:p>
    <w:p w14:paraId="382F5AFB">
      <w:pPr>
        <w:spacing w:line="520" w:lineRule="exact"/>
        <w:ind w:firstLine="3767" w:firstLineChars="1340"/>
        <w:rPr>
          <w:rFonts w:hint="eastAsia" w:ascii="宋体" w:hAnsi="宋体"/>
          <w:b/>
          <w:color w:val="auto"/>
          <w:sz w:val="28"/>
          <w:szCs w:val="28"/>
          <w:highlight w:val="none"/>
        </w:rPr>
      </w:pPr>
    </w:p>
    <w:p w14:paraId="2C8736BC">
      <w:pPr>
        <w:spacing w:before="63" w:line="225" w:lineRule="auto"/>
        <w:ind w:left="141"/>
        <w:rPr>
          <w:rFonts w:ascii="宋体" w:hAnsi="宋体" w:eastAsia="宋体" w:cs="宋体"/>
          <w:color w:val="auto"/>
          <w:sz w:val="30"/>
          <w:szCs w:val="30"/>
          <w:highlight w:val="none"/>
        </w:rPr>
      </w:pPr>
      <w:r>
        <w:rPr>
          <w:rFonts w:ascii="宋体" w:hAnsi="宋体" w:eastAsia="宋体" w:cs="宋体"/>
          <w:b/>
          <w:bCs/>
          <w:color w:val="auto"/>
          <w:spacing w:val="5"/>
          <w:sz w:val="30"/>
          <w:szCs w:val="30"/>
          <w:highlight w:val="none"/>
        </w:rPr>
        <w:t>2.资格证明文件目录</w:t>
      </w:r>
    </w:p>
    <w:p w14:paraId="4071B81E">
      <w:pPr>
        <w:spacing w:line="520" w:lineRule="exact"/>
        <w:ind w:firstLine="652" w:firstLineChars="200"/>
        <w:rPr>
          <w:rFonts w:hint="eastAsia" w:ascii="宋体" w:hAnsi="宋体"/>
          <w:b/>
          <w:color w:val="auto"/>
          <w:sz w:val="30"/>
          <w:szCs w:val="30"/>
          <w:highlight w:val="none"/>
        </w:rPr>
      </w:pPr>
      <w:r>
        <w:rPr>
          <w:rFonts w:ascii="宋体" w:hAnsi="宋体" w:eastAsia="宋体" w:cs="宋体"/>
          <w:color w:val="auto"/>
          <w:spacing w:val="13"/>
          <w:sz w:val="30"/>
          <w:szCs w:val="30"/>
          <w:highlight w:val="none"/>
        </w:rPr>
        <w:t>根据谈判文件规定及供应商提供的材料自行</w:t>
      </w:r>
      <w:r>
        <w:rPr>
          <w:rFonts w:ascii="宋体" w:hAnsi="宋体" w:eastAsia="宋体" w:cs="宋体"/>
          <w:color w:val="auto"/>
          <w:spacing w:val="12"/>
          <w:sz w:val="30"/>
          <w:szCs w:val="30"/>
          <w:highlight w:val="none"/>
        </w:rPr>
        <w:t>编写目录（部</w:t>
      </w:r>
      <w:r>
        <w:rPr>
          <w:rFonts w:ascii="宋体" w:hAnsi="宋体" w:eastAsia="宋体" w:cs="宋体"/>
          <w:color w:val="auto"/>
          <w:spacing w:val="4"/>
          <w:sz w:val="30"/>
          <w:szCs w:val="30"/>
          <w:highlight w:val="none"/>
        </w:rPr>
        <w:t>分格式后附）。</w:t>
      </w:r>
    </w:p>
    <w:p w14:paraId="2A90EEA7">
      <w:pPr>
        <w:spacing w:line="520" w:lineRule="exact"/>
        <w:ind w:firstLine="3767" w:firstLineChars="1340"/>
        <w:rPr>
          <w:rFonts w:hint="eastAsia" w:ascii="宋体" w:hAnsi="宋体"/>
          <w:b/>
          <w:color w:val="auto"/>
          <w:sz w:val="28"/>
          <w:szCs w:val="28"/>
          <w:highlight w:val="none"/>
        </w:rPr>
      </w:pPr>
    </w:p>
    <w:p w14:paraId="0AFAE0EF">
      <w:pPr>
        <w:spacing w:line="520" w:lineRule="exact"/>
        <w:ind w:firstLine="3767" w:firstLineChars="1340"/>
        <w:rPr>
          <w:rFonts w:hint="eastAsia" w:ascii="宋体" w:hAnsi="宋体"/>
          <w:b/>
          <w:color w:val="auto"/>
          <w:sz w:val="28"/>
          <w:szCs w:val="28"/>
          <w:highlight w:val="none"/>
        </w:rPr>
      </w:pPr>
    </w:p>
    <w:p w14:paraId="6D7FE1DB">
      <w:pPr>
        <w:spacing w:before="101" w:line="224" w:lineRule="auto"/>
        <w:jc w:val="center"/>
        <w:rPr>
          <w:rFonts w:ascii="宋体" w:hAnsi="宋体" w:eastAsia="宋体" w:cs="宋体"/>
          <w:color w:val="auto"/>
          <w:sz w:val="30"/>
          <w:szCs w:val="30"/>
          <w:highlight w:val="none"/>
        </w:rPr>
      </w:pPr>
      <w:r>
        <w:rPr>
          <w:rFonts w:ascii="宋体" w:hAnsi="宋体"/>
          <w:b/>
          <w:color w:val="auto"/>
          <w:sz w:val="30"/>
          <w:szCs w:val="30"/>
          <w:highlight w:val="none"/>
        </w:rPr>
        <w:br w:type="page"/>
      </w:r>
      <w:r>
        <w:rPr>
          <w:rFonts w:ascii="宋体" w:hAnsi="宋体" w:eastAsia="宋体" w:cs="宋体"/>
          <w:b/>
          <w:bCs/>
          <w:color w:val="auto"/>
          <w:spacing w:val="6"/>
          <w:sz w:val="30"/>
          <w:szCs w:val="30"/>
          <w:highlight w:val="none"/>
        </w:rPr>
        <w:t>供应商直接控股股东信息表</w:t>
      </w:r>
    </w:p>
    <w:p w14:paraId="3DD8B6BD">
      <w:pPr>
        <w:spacing w:before="46"/>
        <w:rPr>
          <w:color w:val="auto"/>
          <w:highlight w:val="none"/>
        </w:rPr>
      </w:pPr>
    </w:p>
    <w:p w14:paraId="6BF29ACD">
      <w:pPr>
        <w:spacing w:before="46"/>
        <w:rPr>
          <w:color w:val="auto"/>
          <w:highlight w:val="none"/>
        </w:rPr>
      </w:pPr>
    </w:p>
    <w:tbl>
      <w:tblPr>
        <w:tblStyle w:val="78"/>
        <w:tblW w:w="896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26"/>
        <w:gridCol w:w="1958"/>
        <w:gridCol w:w="1359"/>
        <w:gridCol w:w="3182"/>
        <w:gridCol w:w="1444"/>
      </w:tblGrid>
      <w:tr w14:paraId="419C4E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37" w:hRule="atLeast"/>
        </w:trPr>
        <w:tc>
          <w:tcPr>
            <w:tcW w:w="1026" w:type="dxa"/>
            <w:shd w:val="clear" w:color="auto" w:fill="EAE3D8"/>
            <w:vAlign w:val="center"/>
          </w:tcPr>
          <w:p w14:paraId="053137A2">
            <w:pPr>
              <w:pStyle w:val="77"/>
              <w:spacing w:before="91" w:line="221" w:lineRule="auto"/>
              <w:jc w:val="center"/>
              <w:rPr>
                <w:color w:val="auto"/>
                <w:sz w:val="28"/>
                <w:szCs w:val="28"/>
                <w:highlight w:val="none"/>
              </w:rPr>
            </w:pPr>
            <w:r>
              <w:rPr>
                <w:b/>
                <w:bCs/>
                <w:color w:val="auto"/>
                <w:spacing w:val="-7"/>
                <w:sz w:val="28"/>
                <w:szCs w:val="28"/>
                <w:highlight w:val="none"/>
              </w:rPr>
              <w:t>序号</w:t>
            </w:r>
          </w:p>
        </w:tc>
        <w:tc>
          <w:tcPr>
            <w:tcW w:w="1958" w:type="dxa"/>
            <w:shd w:val="clear" w:color="auto" w:fill="EAE3D8"/>
            <w:vAlign w:val="center"/>
          </w:tcPr>
          <w:p w14:paraId="63D417BA">
            <w:pPr>
              <w:pStyle w:val="77"/>
              <w:spacing w:before="166" w:line="362" w:lineRule="auto"/>
              <w:ind w:right="134"/>
              <w:jc w:val="center"/>
              <w:rPr>
                <w:color w:val="auto"/>
                <w:sz w:val="28"/>
                <w:szCs w:val="28"/>
                <w:highlight w:val="none"/>
              </w:rPr>
            </w:pPr>
            <w:r>
              <w:rPr>
                <w:b/>
                <w:bCs/>
                <w:color w:val="auto"/>
                <w:spacing w:val="-4"/>
                <w:sz w:val="28"/>
                <w:szCs w:val="28"/>
                <w:highlight w:val="none"/>
              </w:rPr>
              <w:t>直接控股股东</w:t>
            </w:r>
            <w:r>
              <w:rPr>
                <w:b/>
                <w:bCs/>
                <w:color w:val="auto"/>
                <w:spacing w:val="-10"/>
                <w:sz w:val="28"/>
                <w:szCs w:val="28"/>
                <w:highlight w:val="none"/>
              </w:rPr>
              <w:t>名称</w:t>
            </w:r>
          </w:p>
        </w:tc>
        <w:tc>
          <w:tcPr>
            <w:tcW w:w="1359" w:type="dxa"/>
            <w:shd w:val="clear" w:color="auto" w:fill="EAE3D8"/>
            <w:vAlign w:val="center"/>
          </w:tcPr>
          <w:p w14:paraId="69E55377">
            <w:pPr>
              <w:pStyle w:val="77"/>
              <w:spacing w:before="165" w:line="362" w:lineRule="auto"/>
              <w:ind w:right="257"/>
              <w:jc w:val="center"/>
              <w:rPr>
                <w:color w:val="auto"/>
                <w:sz w:val="28"/>
                <w:szCs w:val="28"/>
                <w:highlight w:val="none"/>
              </w:rPr>
            </w:pPr>
            <w:r>
              <w:rPr>
                <w:b/>
                <w:bCs/>
                <w:color w:val="auto"/>
                <w:spacing w:val="-14"/>
                <w:sz w:val="28"/>
                <w:szCs w:val="28"/>
                <w:highlight w:val="none"/>
              </w:rPr>
              <w:t>出资比</w:t>
            </w:r>
            <w:r>
              <w:rPr>
                <w:b/>
                <w:bCs/>
                <w:color w:val="auto"/>
                <w:spacing w:val="-5"/>
                <w:sz w:val="28"/>
                <w:szCs w:val="28"/>
                <w:highlight w:val="none"/>
              </w:rPr>
              <w:t>例(%)</w:t>
            </w:r>
          </w:p>
        </w:tc>
        <w:tc>
          <w:tcPr>
            <w:tcW w:w="3182" w:type="dxa"/>
            <w:shd w:val="clear" w:color="auto" w:fill="EAE3D8"/>
            <w:vAlign w:val="center"/>
          </w:tcPr>
          <w:p w14:paraId="0A7717E1">
            <w:pPr>
              <w:pStyle w:val="77"/>
              <w:spacing w:before="165" w:line="361" w:lineRule="auto"/>
              <w:ind w:right="182"/>
              <w:jc w:val="center"/>
              <w:rPr>
                <w:color w:val="auto"/>
                <w:sz w:val="28"/>
                <w:szCs w:val="28"/>
                <w:highlight w:val="none"/>
              </w:rPr>
            </w:pPr>
            <w:r>
              <w:rPr>
                <w:b/>
                <w:bCs/>
                <w:color w:val="auto"/>
                <w:spacing w:val="-4"/>
                <w:sz w:val="28"/>
                <w:szCs w:val="28"/>
                <w:highlight w:val="none"/>
              </w:rPr>
              <w:t>身份证号码或者统一社</w:t>
            </w:r>
            <w:r>
              <w:rPr>
                <w:b/>
                <w:bCs/>
                <w:color w:val="auto"/>
                <w:spacing w:val="-5"/>
                <w:sz w:val="28"/>
                <w:szCs w:val="28"/>
                <w:highlight w:val="none"/>
              </w:rPr>
              <w:t>会信用代码</w:t>
            </w:r>
          </w:p>
        </w:tc>
        <w:tc>
          <w:tcPr>
            <w:tcW w:w="1444" w:type="dxa"/>
            <w:shd w:val="clear" w:color="auto" w:fill="EAE3D8"/>
            <w:vAlign w:val="center"/>
          </w:tcPr>
          <w:p w14:paraId="3606D740">
            <w:pPr>
              <w:pStyle w:val="77"/>
              <w:spacing w:before="91" w:line="221" w:lineRule="auto"/>
              <w:jc w:val="center"/>
              <w:rPr>
                <w:color w:val="auto"/>
                <w:sz w:val="28"/>
                <w:szCs w:val="28"/>
                <w:highlight w:val="none"/>
              </w:rPr>
            </w:pPr>
            <w:r>
              <w:rPr>
                <w:b/>
                <w:bCs/>
                <w:color w:val="auto"/>
                <w:spacing w:val="-10"/>
                <w:sz w:val="28"/>
                <w:szCs w:val="28"/>
                <w:highlight w:val="none"/>
              </w:rPr>
              <w:t>备注</w:t>
            </w:r>
          </w:p>
        </w:tc>
      </w:tr>
      <w:tr w14:paraId="03EC42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9" w:hRule="atLeast"/>
        </w:trPr>
        <w:tc>
          <w:tcPr>
            <w:tcW w:w="1026" w:type="dxa"/>
            <w:vAlign w:val="center"/>
          </w:tcPr>
          <w:p w14:paraId="02A000FE">
            <w:pPr>
              <w:pStyle w:val="77"/>
              <w:spacing w:before="162" w:line="242" w:lineRule="auto"/>
              <w:jc w:val="center"/>
              <w:rPr>
                <w:color w:val="auto"/>
                <w:sz w:val="28"/>
                <w:szCs w:val="28"/>
                <w:highlight w:val="none"/>
              </w:rPr>
            </w:pPr>
            <w:r>
              <w:rPr>
                <w:color w:val="auto"/>
                <w:sz w:val="28"/>
                <w:szCs w:val="28"/>
                <w:highlight w:val="none"/>
              </w:rPr>
              <w:t>1</w:t>
            </w:r>
          </w:p>
        </w:tc>
        <w:tc>
          <w:tcPr>
            <w:tcW w:w="1958" w:type="dxa"/>
            <w:vAlign w:val="top"/>
          </w:tcPr>
          <w:p w14:paraId="73DAEC62">
            <w:pPr>
              <w:rPr>
                <w:rFonts w:ascii="Arial"/>
                <w:color w:val="auto"/>
                <w:sz w:val="21"/>
                <w:highlight w:val="none"/>
              </w:rPr>
            </w:pPr>
          </w:p>
        </w:tc>
        <w:tc>
          <w:tcPr>
            <w:tcW w:w="1359" w:type="dxa"/>
            <w:vAlign w:val="top"/>
          </w:tcPr>
          <w:p w14:paraId="030C2EA3">
            <w:pPr>
              <w:rPr>
                <w:rFonts w:ascii="Arial"/>
                <w:color w:val="auto"/>
                <w:sz w:val="21"/>
                <w:highlight w:val="none"/>
              </w:rPr>
            </w:pPr>
          </w:p>
        </w:tc>
        <w:tc>
          <w:tcPr>
            <w:tcW w:w="3182" w:type="dxa"/>
            <w:vAlign w:val="top"/>
          </w:tcPr>
          <w:p w14:paraId="14623BA6">
            <w:pPr>
              <w:rPr>
                <w:rFonts w:ascii="Arial"/>
                <w:color w:val="auto"/>
                <w:sz w:val="21"/>
                <w:highlight w:val="none"/>
              </w:rPr>
            </w:pPr>
          </w:p>
        </w:tc>
        <w:tc>
          <w:tcPr>
            <w:tcW w:w="1444" w:type="dxa"/>
            <w:vAlign w:val="top"/>
          </w:tcPr>
          <w:p w14:paraId="0F960309">
            <w:pPr>
              <w:rPr>
                <w:rFonts w:ascii="Arial"/>
                <w:color w:val="auto"/>
                <w:sz w:val="21"/>
                <w:highlight w:val="none"/>
              </w:rPr>
            </w:pPr>
          </w:p>
        </w:tc>
      </w:tr>
      <w:tr w14:paraId="69C15F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9" w:hRule="atLeast"/>
        </w:trPr>
        <w:tc>
          <w:tcPr>
            <w:tcW w:w="1026" w:type="dxa"/>
            <w:vAlign w:val="center"/>
          </w:tcPr>
          <w:p w14:paraId="2481A17A">
            <w:pPr>
              <w:pStyle w:val="77"/>
              <w:spacing w:before="164" w:line="242" w:lineRule="auto"/>
              <w:jc w:val="center"/>
              <w:rPr>
                <w:color w:val="auto"/>
                <w:sz w:val="28"/>
                <w:szCs w:val="28"/>
                <w:highlight w:val="none"/>
              </w:rPr>
            </w:pPr>
            <w:r>
              <w:rPr>
                <w:color w:val="auto"/>
                <w:sz w:val="28"/>
                <w:szCs w:val="28"/>
                <w:highlight w:val="none"/>
              </w:rPr>
              <w:t>2</w:t>
            </w:r>
          </w:p>
        </w:tc>
        <w:tc>
          <w:tcPr>
            <w:tcW w:w="1958" w:type="dxa"/>
            <w:vAlign w:val="top"/>
          </w:tcPr>
          <w:p w14:paraId="65EF5BF1">
            <w:pPr>
              <w:rPr>
                <w:rFonts w:ascii="Arial"/>
                <w:color w:val="auto"/>
                <w:sz w:val="21"/>
                <w:highlight w:val="none"/>
              </w:rPr>
            </w:pPr>
          </w:p>
        </w:tc>
        <w:tc>
          <w:tcPr>
            <w:tcW w:w="1359" w:type="dxa"/>
            <w:vAlign w:val="top"/>
          </w:tcPr>
          <w:p w14:paraId="4B548046">
            <w:pPr>
              <w:rPr>
                <w:rFonts w:ascii="Arial"/>
                <w:color w:val="auto"/>
                <w:sz w:val="21"/>
                <w:highlight w:val="none"/>
              </w:rPr>
            </w:pPr>
          </w:p>
        </w:tc>
        <w:tc>
          <w:tcPr>
            <w:tcW w:w="3182" w:type="dxa"/>
            <w:vAlign w:val="top"/>
          </w:tcPr>
          <w:p w14:paraId="0EF4062F">
            <w:pPr>
              <w:rPr>
                <w:rFonts w:ascii="Arial"/>
                <w:color w:val="auto"/>
                <w:sz w:val="21"/>
                <w:highlight w:val="none"/>
              </w:rPr>
            </w:pPr>
          </w:p>
        </w:tc>
        <w:tc>
          <w:tcPr>
            <w:tcW w:w="1444" w:type="dxa"/>
            <w:vAlign w:val="top"/>
          </w:tcPr>
          <w:p w14:paraId="65E56A82">
            <w:pPr>
              <w:rPr>
                <w:rFonts w:ascii="Arial"/>
                <w:color w:val="auto"/>
                <w:sz w:val="21"/>
                <w:highlight w:val="none"/>
              </w:rPr>
            </w:pPr>
          </w:p>
        </w:tc>
      </w:tr>
      <w:tr w14:paraId="2D5A73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8" w:hRule="atLeast"/>
        </w:trPr>
        <w:tc>
          <w:tcPr>
            <w:tcW w:w="1026" w:type="dxa"/>
            <w:vAlign w:val="center"/>
          </w:tcPr>
          <w:p w14:paraId="44899D12">
            <w:pPr>
              <w:pStyle w:val="77"/>
              <w:spacing w:before="163"/>
              <w:jc w:val="center"/>
              <w:rPr>
                <w:color w:val="auto"/>
                <w:sz w:val="28"/>
                <w:szCs w:val="28"/>
                <w:highlight w:val="none"/>
              </w:rPr>
            </w:pPr>
            <w:r>
              <w:rPr>
                <w:color w:val="auto"/>
                <w:sz w:val="28"/>
                <w:szCs w:val="28"/>
                <w:highlight w:val="none"/>
              </w:rPr>
              <w:t>3</w:t>
            </w:r>
          </w:p>
        </w:tc>
        <w:tc>
          <w:tcPr>
            <w:tcW w:w="1958" w:type="dxa"/>
            <w:vAlign w:val="top"/>
          </w:tcPr>
          <w:p w14:paraId="5F156417">
            <w:pPr>
              <w:rPr>
                <w:rFonts w:ascii="Arial"/>
                <w:color w:val="auto"/>
                <w:sz w:val="21"/>
                <w:highlight w:val="none"/>
              </w:rPr>
            </w:pPr>
          </w:p>
        </w:tc>
        <w:tc>
          <w:tcPr>
            <w:tcW w:w="1359" w:type="dxa"/>
            <w:vAlign w:val="top"/>
          </w:tcPr>
          <w:p w14:paraId="770798BF">
            <w:pPr>
              <w:rPr>
                <w:rFonts w:ascii="Arial"/>
                <w:color w:val="auto"/>
                <w:sz w:val="21"/>
                <w:highlight w:val="none"/>
              </w:rPr>
            </w:pPr>
          </w:p>
        </w:tc>
        <w:tc>
          <w:tcPr>
            <w:tcW w:w="3182" w:type="dxa"/>
            <w:vAlign w:val="top"/>
          </w:tcPr>
          <w:p w14:paraId="66D8507C">
            <w:pPr>
              <w:rPr>
                <w:rFonts w:ascii="Arial"/>
                <w:color w:val="auto"/>
                <w:sz w:val="21"/>
                <w:highlight w:val="none"/>
              </w:rPr>
            </w:pPr>
          </w:p>
        </w:tc>
        <w:tc>
          <w:tcPr>
            <w:tcW w:w="1444" w:type="dxa"/>
            <w:vAlign w:val="top"/>
          </w:tcPr>
          <w:p w14:paraId="5644A41A">
            <w:pPr>
              <w:rPr>
                <w:rFonts w:ascii="Arial"/>
                <w:color w:val="auto"/>
                <w:sz w:val="21"/>
                <w:highlight w:val="none"/>
              </w:rPr>
            </w:pPr>
          </w:p>
        </w:tc>
      </w:tr>
      <w:tr w14:paraId="455DB6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trPr>
        <w:tc>
          <w:tcPr>
            <w:tcW w:w="1026" w:type="dxa"/>
            <w:vAlign w:val="top"/>
          </w:tcPr>
          <w:p w14:paraId="094FBDC1">
            <w:pPr>
              <w:pStyle w:val="77"/>
              <w:spacing w:before="167" w:line="442" w:lineRule="exact"/>
              <w:ind w:left="259"/>
              <w:rPr>
                <w:color w:val="auto"/>
                <w:sz w:val="28"/>
                <w:szCs w:val="28"/>
                <w:highlight w:val="none"/>
              </w:rPr>
            </w:pPr>
            <w:r>
              <w:rPr>
                <w:color w:val="auto"/>
                <w:spacing w:val="-14"/>
                <w:position w:val="3"/>
                <w:sz w:val="28"/>
                <w:szCs w:val="28"/>
                <w:highlight w:val="none"/>
              </w:rPr>
              <w:t>……</w:t>
            </w:r>
          </w:p>
        </w:tc>
        <w:tc>
          <w:tcPr>
            <w:tcW w:w="1958" w:type="dxa"/>
            <w:vAlign w:val="top"/>
          </w:tcPr>
          <w:p w14:paraId="2878641E">
            <w:pPr>
              <w:rPr>
                <w:rFonts w:ascii="Arial"/>
                <w:color w:val="auto"/>
                <w:sz w:val="21"/>
                <w:highlight w:val="none"/>
              </w:rPr>
            </w:pPr>
          </w:p>
        </w:tc>
        <w:tc>
          <w:tcPr>
            <w:tcW w:w="1359" w:type="dxa"/>
            <w:vAlign w:val="top"/>
          </w:tcPr>
          <w:p w14:paraId="3B2E1903">
            <w:pPr>
              <w:rPr>
                <w:rFonts w:ascii="Arial"/>
                <w:color w:val="auto"/>
                <w:sz w:val="21"/>
                <w:highlight w:val="none"/>
              </w:rPr>
            </w:pPr>
          </w:p>
        </w:tc>
        <w:tc>
          <w:tcPr>
            <w:tcW w:w="3182" w:type="dxa"/>
            <w:vAlign w:val="top"/>
          </w:tcPr>
          <w:p w14:paraId="1B377FF7">
            <w:pPr>
              <w:rPr>
                <w:rFonts w:ascii="Arial"/>
                <w:color w:val="auto"/>
                <w:sz w:val="21"/>
                <w:highlight w:val="none"/>
              </w:rPr>
            </w:pPr>
          </w:p>
        </w:tc>
        <w:tc>
          <w:tcPr>
            <w:tcW w:w="1444" w:type="dxa"/>
            <w:vAlign w:val="top"/>
          </w:tcPr>
          <w:p w14:paraId="7ABA5F9E">
            <w:pPr>
              <w:rPr>
                <w:rFonts w:ascii="Arial"/>
                <w:color w:val="auto"/>
                <w:sz w:val="21"/>
                <w:highlight w:val="none"/>
              </w:rPr>
            </w:pPr>
          </w:p>
        </w:tc>
      </w:tr>
    </w:tbl>
    <w:p w14:paraId="5E5081EB">
      <w:pPr>
        <w:spacing w:before="35" w:line="224" w:lineRule="auto"/>
        <w:ind w:left="132"/>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注：</w:t>
      </w:r>
    </w:p>
    <w:p w14:paraId="76DE2D2A">
      <w:pPr>
        <w:spacing w:before="175" w:line="359" w:lineRule="auto"/>
        <w:ind w:left="132" w:right="211" w:firstLine="497"/>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1.直接控股股东：是指其出资额占有限责任公司资本总额百分之五十以上或者</w:t>
      </w:r>
      <w:r>
        <w:rPr>
          <w:rFonts w:ascii="宋体" w:hAnsi="宋体" w:eastAsia="宋体" w:cs="宋体"/>
          <w:color w:val="auto"/>
          <w:sz w:val="24"/>
          <w:szCs w:val="24"/>
          <w:highlight w:val="none"/>
        </w:rPr>
        <w:t>其持有的股份占股份有限公司股份总额百分之五十以上的</w:t>
      </w:r>
      <w:r>
        <w:rPr>
          <w:rFonts w:ascii="宋体" w:hAnsi="宋体" w:eastAsia="宋体" w:cs="宋体"/>
          <w:color w:val="auto"/>
          <w:spacing w:val="-1"/>
          <w:sz w:val="24"/>
          <w:szCs w:val="24"/>
          <w:highlight w:val="none"/>
        </w:rPr>
        <w:t>股东；出资额或者持有股</w:t>
      </w:r>
      <w:r>
        <w:rPr>
          <w:rFonts w:ascii="宋体" w:hAnsi="宋体" w:eastAsia="宋体" w:cs="宋体"/>
          <w:color w:val="auto"/>
          <w:sz w:val="24"/>
          <w:szCs w:val="24"/>
          <w:highlight w:val="none"/>
        </w:rPr>
        <w:t>份的比例虽然不足百分之五十，但依其出资额或者持有的</w:t>
      </w:r>
      <w:r>
        <w:rPr>
          <w:rFonts w:ascii="宋体" w:hAnsi="宋体" w:eastAsia="宋体" w:cs="宋体"/>
          <w:color w:val="auto"/>
          <w:spacing w:val="-1"/>
          <w:sz w:val="24"/>
          <w:szCs w:val="24"/>
          <w:highlight w:val="none"/>
        </w:rPr>
        <w:t>股份所享有的表决权已足以对股东会、股东大会的决议产生重大影响的股东。</w:t>
      </w:r>
    </w:p>
    <w:p w14:paraId="2BF59296">
      <w:pPr>
        <w:spacing w:line="360" w:lineRule="auto"/>
        <w:ind w:left="148" w:right="211" w:firstLine="466"/>
        <w:rPr>
          <w:rFonts w:ascii="宋体" w:hAnsi="宋体" w:eastAsia="宋体" w:cs="宋体"/>
          <w:color w:val="auto"/>
          <w:sz w:val="24"/>
          <w:szCs w:val="24"/>
          <w:highlight w:val="none"/>
        </w:rPr>
      </w:pPr>
      <w:r>
        <w:rPr>
          <w:rFonts w:ascii="宋体" w:hAnsi="宋体" w:eastAsia="宋体" w:cs="宋体"/>
          <w:color w:val="auto"/>
          <w:sz w:val="24"/>
          <w:szCs w:val="24"/>
          <w:highlight w:val="none"/>
        </w:rPr>
        <w:t>2.本表所指的控股关系仅限于直接控股关系，</w:t>
      </w:r>
      <w:r>
        <w:rPr>
          <w:rFonts w:ascii="宋体" w:hAnsi="宋体" w:eastAsia="宋体" w:cs="宋体"/>
          <w:color w:val="auto"/>
          <w:spacing w:val="-1"/>
          <w:sz w:val="24"/>
          <w:szCs w:val="24"/>
          <w:highlight w:val="none"/>
        </w:rPr>
        <w:t>不包括间接的控股关系。公司实际控制人与公司之间的关系不属于本表所指的直接控股关系。</w:t>
      </w:r>
    </w:p>
    <w:p w14:paraId="1998D7EB">
      <w:pPr>
        <w:spacing w:before="1" w:line="218" w:lineRule="auto"/>
        <w:ind w:left="616"/>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3.供应商不存在直接控股股东的，则在</w:t>
      </w:r>
      <w:r>
        <w:rPr>
          <w:rFonts w:hint="eastAsia" w:ascii="宋体" w:hAnsi="宋体" w:cs="宋体"/>
          <w:color w:val="auto"/>
          <w:spacing w:val="-1"/>
          <w:sz w:val="24"/>
          <w:szCs w:val="24"/>
          <w:highlight w:val="none"/>
          <w:lang w:eastAsia="zh-CN"/>
        </w:rPr>
        <w:t>“</w:t>
      </w:r>
      <w:r>
        <w:rPr>
          <w:rFonts w:ascii="宋体" w:hAnsi="宋体" w:eastAsia="宋体" w:cs="宋体"/>
          <w:color w:val="auto"/>
          <w:spacing w:val="-2"/>
          <w:sz w:val="24"/>
          <w:szCs w:val="24"/>
          <w:highlight w:val="none"/>
        </w:rPr>
        <w:t>直接控股股东名称</w:t>
      </w:r>
      <w:r>
        <w:rPr>
          <w:rFonts w:ascii="宋体" w:hAnsi="宋体" w:eastAsia="宋体" w:cs="宋体"/>
          <w:color w:val="auto"/>
          <w:spacing w:val="-88"/>
          <w:sz w:val="24"/>
          <w:szCs w:val="24"/>
          <w:highlight w:val="none"/>
        </w:rPr>
        <w:t xml:space="preserve"> </w:t>
      </w:r>
      <w:r>
        <w:rPr>
          <w:rFonts w:hint="eastAsia" w:ascii="宋体" w:hAnsi="宋体" w:cs="宋体"/>
          <w:color w:val="auto"/>
          <w:spacing w:val="-2"/>
          <w:sz w:val="24"/>
          <w:szCs w:val="24"/>
          <w:highlight w:val="none"/>
          <w:lang w:eastAsia="zh-CN"/>
        </w:rPr>
        <w:t>”</w:t>
      </w:r>
      <w:r>
        <w:rPr>
          <w:rFonts w:ascii="宋体" w:hAnsi="宋体" w:eastAsia="宋体" w:cs="宋体"/>
          <w:color w:val="auto"/>
          <w:spacing w:val="-2"/>
          <w:sz w:val="24"/>
          <w:szCs w:val="24"/>
          <w:highlight w:val="none"/>
        </w:rPr>
        <w:t>填</w:t>
      </w:r>
      <w:r>
        <w:rPr>
          <w:rFonts w:hint="eastAsia" w:ascii="宋体" w:hAnsi="宋体" w:cs="宋体"/>
          <w:color w:val="auto"/>
          <w:spacing w:val="-2"/>
          <w:sz w:val="24"/>
          <w:szCs w:val="24"/>
          <w:highlight w:val="none"/>
          <w:lang w:eastAsia="zh-CN"/>
        </w:rPr>
        <w:t>“</w:t>
      </w:r>
      <w:r>
        <w:rPr>
          <w:rFonts w:ascii="宋体" w:hAnsi="宋体" w:eastAsia="宋体" w:cs="宋体"/>
          <w:color w:val="auto"/>
          <w:spacing w:val="-2"/>
          <w:sz w:val="24"/>
          <w:szCs w:val="24"/>
          <w:highlight w:val="none"/>
        </w:rPr>
        <w:t>无</w:t>
      </w:r>
      <w:r>
        <w:rPr>
          <w:rFonts w:ascii="宋体" w:hAnsi="宋体" w:eastAsia="宋体" w:cs="宋体"/>
          <w:color w:val="auto"/>
          <w:spacing w:val="-88"/>
          <w:sz w:val="24"/>
          <w:szCs w:val="24"/>
          <w:highlight w:val="none"/>
        </w:rPr>
        <w:t xml:space="preserve"> </w:t>
      </w:r>
      <w:r>
        <w:rPr>
          <w:rFonts w:hint="eastAsia" w:ascii="宋体" w:hAnsi="宋体" w:cs="宋体"/>
          <w:color w:val="auto"/>
          <w:spacing w:val="-2"/>
          <w:sz w:val="24"/>
          <w:szCs w:val="24"/>
          <w:highlight w:val="none"/>
          <w:lang w:eastAsia="zh-CN"/>
        </w:rPr>
        <w:t>”</w:t>
      </w:r>
      <w:r>
        <w:rPr>
          <w:rFonts w:ascii="宋体" w:hAnsi="宋体" w:eastAsia="宋体" w:cs="宋体"/>
          <w:color w:val="auto"/>
          <w:spacing w:val="-2"/>
          <w:sz w:val="24"/>
          <w:szCs w:val="24"/>
          <w:highlight w:val="none"/>
        </w:rPr>
        <w:t>。</w:t>
      </w:r>
    </w:p>
    <w:p w14:paraId="516DF0E2">
      <w:pPr>
        <w:spacing w:line="262" w:lineRule="auto"/>
        <w:rPr>
          <w:rFonts w:ascii="Arial"/>
          <w:color w:val="auto"/>
          <w:sz w:val="21"/>
          <w:highlight w:val="none"/>
        </w:rPr>
      </w:pPr>
    </w:p>
    <w:p w14:paraId="4EFDB1E0">
      <w:pPr>
        <w:spacing w:line="262" w:lineRule="auto"/>
        <w:rPr>
          <w:rFonts w:ascii="Arial"/>
          <w:color w:val="auto"/>
          <w:sz w:val="21"/>
          <w:highlight w:val="none"/>
        </w:rPr>
      </w:pPr>
    </w:p>
    <w:p w14:paraId="2D082BD6">
      <w:pPr>
        <w:spacing w:line="263" w:lineRule="auto"/>
        <w:rPr>
          <w:rFonts w:ascii="Arial"/>
          <w:color w:val="auto"/>
          <w:sz w:val="21"/>
          <w:highlight w:val="none"/>
        </w:rPr>
      </w:pPr>
    </w:p>
    <w:p w14:paraId="07475DD7">
      <w:pPr>
        <w:spacing w:line="263" w:lineRule="auto"/>
        <w:rPr>
          <w:rFonts w:ascii="Arial"/>
          <w:color w:val="auto"/>
          <w:sz w:val="21"/>
          <w:highlight w:val="none"/>
        </w:rPr>
      </w:pPr>
    </w:p>
    <w:p w14:paraId="4882D375">
      <w:pPr>
        <w:spacing w:before="78" w:line="219" w:lineRule="auto"/>
        <w:ind w:left="1978"/>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法定代表人或者委托代理人（签字或者电子签名</w:t>
      </w:r>
      <w:r>
        <w:rPr>
          <w:rFonts w:ascii="宋体" w:hAnsi="宋体" w:eastAsia="宋体" w:cs="宋体"/>
          <w:color w:val="auto"/>
          <w:spacing w:val="4"/>
          <w:sz w:val="24"/>
          <w:szCs w:val="24"/>
          <w:highlight w:val="none"/>
        </w:rPr>
        <w:t>）：</w:t>
      </w:r>
      <w:r>
        <w:rPr>
          <w:rFonts w:ascii="宋体" w:hAnsi="宋体" w:eastAsia="宋体" w:cs="宋体"/>
          <w:color w:val="auto"/>
          <w:sz w:val="24"/>
          <w:szCs w:val="24"/>
          <w:highlight w:val="none"/>
          <w:u w:val="single" w:color="auto"/>
        </w:rPr>
        <w:t xml:space="preserve">        </w:t>
      </w:r>
    </w:p>
    <w:p w14:paraId="26E86AF3">
      <w:pPr>
        <w:spacing w:before="182" w:line="219" w:lineRule="auto"/>
        <w:ind w:left="3132"/>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供应商名称（电子签章</w:t>
      </w:r>
      <w:r>
        <w:rPr>
          <w:rFonts w:ascii="宋体" w:hAnsi="宋体" w:eastAsia="宋体" w:cs="宋体"/>
          <w:color w:val="auto"/>
          <w:sz w:val="24"/>
          <w:szCs w:val="24"/>
          <w:highlight w:val="none"/>
        </w:rPr>
        <w:t>）：</w:t>
      </w:r>
      <w:r>
        <w:rPr>
          <w:rFonts w:ascii="宋体" w:hAnsi="宋体" w:eastAsia="宋体" w:cs="宋体"/>
          <w:color w:val="auto"/>
          <w:spacing w:val="-1"/>
          <w:sz w:val="24"/>
          <w:szCs w:val="24"/>
          <w:highlight w:val="none"/>
        </w:rPr>
        <w:t xml:space="preserve"> </w:t>
      </w:r>
      <w:r>
        <w:rPr>
          <w:rFonts w:ascii="宋体" w:hAnsi="宋体" w:eastAsia="宋体" w:cs="宋体"/>
          <w:color w:val="auto"/>
          <w:sz w:val="24"/>
          <w:szCs w:val="24"/>
          <w:highlight w:val="none"/>
          <w:u w:val="single" w:color="auto"/>
        </w:rPr>
        <w:t xml:space="preserve">                   </w:t>
      </w:r>
    </w:p>
    <w:p w14:paraId="05A1B9EF">
      <w:pPr>
        <w:spacing w:line="500" w:lineRule="exact"/>
        <w:ind w:firstLine="5550" w:firstLineChars="2500"/>
        <w:rPr>
          <w:rFonts w:hint="eastAsia" w:hAnsi="宋体"/>
          <w:color w:val="auto"/>
          <w:highlight w:val="none"/>
        </w:rPr>
      </w:pPr>
      <w:r>
        <w:rPr>
          <w:rFonts w:ascii="宋体" w:hAnsi="宋体" w:eastAsia="宋体" w:cs="宋体"/>
          <w:color w:val="auto"/>
          <w:spacing w:val="-9"/>
          <w:sz w:val="24"/>
          <w:szCs w:val="24"/>
          <w:highlight w:val="none"/>
        </w:rPr>
        <w:t>年</w:t>
      </w:r>
      <w:r>
        <w:rPr>
          <w:rFonts w:ascii="宋体" w:hAnsi="宋体" w:eastAsia="宋体" w:cs="宋体"/>
          <w:color w:val="auto"/>
          <w:spacing w:val="3"/>
          <w:sz w:val="24"/>
          <w:szCs w:val="24"/>
          <w:highlight w:val="none"/>
        </w:rPr>
        <w:t xml:space="preserve">    </w:t>
      </w:r>
      <w:r>
        <w:rPr>
          <w:rFonts w:ascii="宋体" w:hAnsi="宋体" w:eastAsia="宋体" w:cs="宋体"/>
          <w:color w:val="auto"/>
          <w:spacing w:val="-9"/>
          <w:sz w:val="24"/>
          <w:szCs w:val="24"/>
          <w:highlight w:val="none"/>
        </w:rPr>
        <w:t>月</w:t>
      </w:r>
      <w:r>
        <w:rPr>
          <w:rFonts w:ascii="宋体" w:hAnsi="宋体" w:eastAsia="宋体" w:cs="宋体"/>
          <w:color w:val="auto"/>
          <w:spacing w:val="13"/>
          <w:sz w:val="24"/>
          <w:szCs w:val="24"/>
          <w:highlight w:val="none"/>
        </w:rPr>
        <w:t xml:space="preserve">    </w:t>
      </w:r>
      <w:r>
        <w:rPr>
          <w:rFonts w:ascii="宋体" w:hAnsi="宋体" w:eastAsia="宋体" w:cs="宋体"/>
          <w:color w:val="auto"/>
          <w:spacing w:val="-9"/>
          <w:sz w:val="24"/>
          <w:szCs w:val="24"/>
          <w:highlight w:val="none"/>
        </w:rPr>
        <w:t>日</w:t>
      </w:r>
    </w:p>
    <w:p w14:paraId="73006DB9">
      <w:pPr>
        <w:rPr>
          <w:rFonts w:hAnsi="宋体"/>
          <w:color w:val="auto"/>
          <w:highlight w:val="none"/>
        </w:rPr>
      </w:pPr>
      <w:r>
        <w:rPr>
          <w:rFonts w:hAnsi="宋体"/>
          <w:color w:val="auto"/>
          <w:highlight w:val="none"/>
        </w:rPr>
        <w:br w:type="page"/>
      </w:r>
    </w:p>
    <w:p w14:paraId="28137930">
      <w:pPr>
        <w:spacing w:before="321" w:line="224" w:lineRule="auto"/>
        <w:jc w:val="center"/>
        <w:rPr>
          <w:rFonts w:ascii="宋体" w:hAnsi="宋体" w:eastAsia="宋体" w:cs="宋体"/>
          <w:color w:val="auto"/>
          <w:sz w:val="30"/>
          <w:szCs w:val="30"/>
          <w:highlight w:val="none"/>
        </w:rPr>
      </w:pPr>
      <w:r>
        <w:rPr>
          <w:rFonts w:ascii="宋体" w:hAnsi="宋体" w:eastAsia="宋体" w:cs="宋体"/>
          <w:b/>
          <w:bCs/>
          <w:color w:val="auto"/>
          <w:spacing w:val="6"/>
          <w:sz w:val="30"/>
          <w:szCs w:val="30"/>
          <w:highlight w:val="none"/>
        </w:rPr>
        <w:t>供应商直接管理关系信息表</w:t>
      </w:r>
    </w:p>
    <w:p w14:paraId="76857CF2">
      <w:pPr>
        <w:spacing w:before="162"/>
        <w:rPr>
          <w:color w:val="auto"/>
          <w:highlight w:val="none"/>
        </w:rPr>
      </w:pPr>
    </w:p>
    <w:tbl>
      <w:tblPr>
        <w:tblStyle w:val="78"/>
        <w:tblW w:w="883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99"/>
        <w:gridCol w:w="3387"/>
        <w:gridCol w:w="2929"/>
        <w:gridCol w:w="1421"/>
      </w:tblGrid>
      <w:tr w14:paraId="3A8EB0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2" w:hRule="atLeast"/>
        </w:trPr>
        <w:tc>
          <w:tcPr>
            <w:tcW w:w="1099" w:type="dxa"/>
            <w:shd w:val="clear" w:color="auto" w:fill="EAE3D8"/>
            <w:vAlign w:val="center"/>
          </w:tcPr>
          <w:p w14:paraId="51CC6E9B">
            <w:pPr>
              <w:pStyle w:val="77"/>
              <w:spacing w:before="167" w:line="221" w:lineRule="auto"/>
              <w:jc w:val="center"/>
              <w:rPr>
                <w:color w:val="auto"/>
                <w:sz w:val="28"/>
                <w:szCs w:val="28"/>
                <w:highlight w:val="none"/>
              </w:rPr>
            </w:pPr>
            <w:r>
              <w:rPr>
                <w:b/>
                <w:bCs/>
                <w:color w:val="auto"/>
                <w:spacing w:val="-7"/>
                <w:sz w:val="28"/>
                <w:szCs w:val="28"/>
                <w:highlight w:val="none"/>
              </w:rPr>
              <w:t>序号</w:t>
            </w:r>
          </w:p>
        </w:tc>
        <w:tc>
          <w:tcPr>
            <w:tcW w:w="3387" w:type="dxa"/>
            <w:shd w:val="clear" w:color="auto" w:fill="EAE3D8"/>
            <w:vAlign w:val="center"/>
          </w:tcPr>
          <w:p w14:paraId="46CB75BF">
            <w:pPr>
              <w:pStyle w:val="77"/>
              <w:spacing w:before="166" w:line="220" w:lineRule="auto"/>
              <w:jc w:val="center"/>
              <w:rPr>
                <w:color w:val="auto"/>
                <w:sz w:val="28"/>
                <w:szCs w:val="28"/>
                <w:highlight w:val="none"/>
              </w:rPr>
            </w:pPr>
            <w:r>
              <w:rPr>
                <w:b/>
                <w:bCs/>
                <w:color w:val="auto"/>
                <w:spacing w:val="-4"/>
                <w:sz w:val="28"/>
                <w:szCs w:val="28"/>
                <w:highlight w:val="none"/>
              </w:rPr>
              <w:t>直接管理关系单位名称</w:t>
            </w:r>
          </w:p>
        </w:tc>
        <w:tc>
          <w:tcPr>
            <w:tcW w:w="2929" w:type="dxa"/>
            <w:shd w:val="clear" w:color="auto" w:fill="EAE3D8"/>
            <w:vAlign w:val="center"/>
          </w:tcPr>
          <w:p w14:paraId="1F09992D">
            <w:pPr>
              <w:pStyle w:val="77"/>
              <w:spacing w:before="166" w:line="219" w:lineRule="auto"/>
              <w:jc w:val="center"/>
              <w:rPr>
                <w:color w:val="auto"/>
                <w:sz w:val="28"/>
                <w:szCs w:val="28"/>
                <w:highlight w:val="none"/>
              </w:rPr>
            </w:pPr>
            <w:r>
              <w:rPr>
                <w:b/>
                <w:bCs/>
                <w:color w:val="auto"/>
                <w:spacing w:val="-5"/>
                <w:sz w:val="28"/>
                <w:szCs w:val="28"/>
                <w:highlight w:val="none"/>
              </w:rPr>
              <w:t>统一社会信用代码</w:t>
            </w:r>
          </w:p>
        </w:tc>
        <w:tc>
          <w:tcPr>
            <w:tcW w:w="1421" w:type="dxa"/>
            <w:shd w:val="clear" w:color="auto" w:fill="EAE3D8"/>
            <w:vAlign w:val="center"/>
          </w:tcPr>
          <w:p w14:paraId="4987396F">
            <w:pPr>
              <w:pStyle w:val="77"/>
              <w:spacing w:before="167" w:line="221" w:lineRule="auto"/>
              <w:jc w:val="center"/>
              <w:rPr>
                <w:color w:val="auto"/>
                <w:sz w:val="28"/>
                <w:szCs w:val="28"/>
                <w:highlight w:val="none"/>
              </w:rPr>
            </w:pPr>
            <w:r>
              <w:rPr>
                <w:b/>
                <w:bCs/>
                <w:color w:val="auto"/>
                <w:spacing w:val="-10"/>
                <w:sz w:val="28"/>
                <w:szCs w:val="28"/>
                <w:highlight w:val="none"/>
              </w:rPr>
              <w:t>备注</w:t>
            </w:r>
          </w:p>
        </w:tc>
      </w:tr>
      <w:tr w14:paraId="0E3433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1099" w:type="dxa"/>
            <w:vAlign w:val="center"/>
          </w:tcPr>
          <w:p w14:paraId="766CA18C">
            <w:pPr>
              <w:pStyle w:val="77"/>
              <w:spacing w:before="160" w:line="242" w:lineRule="auto"/>
              <w:jc w:val="center"/>
              <w:rPr>
                <w:color w:val="auto"/>
                <w:sz w:val="28"/>
                <w:szCs w:val="28"/>
                <w:highlight w:val="none"/>
              </w:rPr>
            </w:pPr>
            <w:r>
              <w:rPr>
                <w:color w:val="auto"/>
                <w:sz w:val="28"/>
                <w:szCs w:val="28"/>
                <w:highlight w:val="none"/>
              </w:rPr>
              <w:t>1</w:t>
            </w:r>
          </w:p>
        </w:tc>
        <w:tc>
          <w:tcPr>
            <w:tcW w:w="3387" w:type="dxa"/>
            <w:vAlign w:val="top"/>
          </w:tcPr>
          <w:p w14:paraId="39C33221">
            <w:pPr>
              <w:rPr>
                <w:rFonts w:ascii="Arial"/>
                <w:color w:val="auto"/>
                <w:sz w:val="21"/>
                <w:highlight w:val="none"/>
              </w:rPr>
            </w:pPr>
          </w:p>
        </w:tc>
        <w:tc>
          <w:tcPr>
            <w:tcW w:w="2929" w:type="dxa"/>
            <w:vAlign w:val="top"/>
          </w:tcPr>
          <w:p w14:paraId="682D2881">
            <w:pPr>
              <w:rPr>
                <w:rFonts w:ascii="Arial"/>
                <w:color w:val="auto"/>
                <w:sz w:val="21"/>
                <w:highlight w:val="none"/>
              </w:rPr>
            </w:pPr>
          </w:p>
        </w:tc>
        <w:tc>
          <w:tcPr>
            <w:tcW w:w="1421" w:type="dxa"/>
            <w:vAlign w:val="top"/>
          </w:tcPr>
          <w:p w14:paraId="5F676C1B">
            <w:pPr>
              <w:rPr>
                <w:rFonts w:ascii="Arial"/>
                <w:color w:val="auto"/>
                <w:sz w:val="21"/>
                <w:highlight w:val="none"/>
              </w:rPr>
            </w:pPr>
          </w:p>
        </w:tc>
      </w:tr>
      <w:tr w14:paraId="0279A5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8" w:hRule="atLeast"/>
        </w:trPr>
        <w:tc>
          <w:tcPr>
            <w:tcW w:w="1099" w:type="dxa"/>
            <w:vAlign w:val="center"/>
          </w:tcPr>
          <w:p w14:paraId="64BFF579">
            <w:pPr>
              <w:pStyle w:val="77"/>
              <w:spacing w:before="163" w:line="242" w:lineRule="auto"/>
              <w:jc w:val="center"/>
              <w:rPr>
                <w:color w:val="auto"/>
                <w:sz w:val="28"/>
                <w:szCs w:val="28"/>
                <w:highlight w:val="none"/>
              </w:rPr>
            </w:pPr>
            <w:r>
              <w:rPr>
                <w:color w:val="auto"/>
                <w:sz w:val="28"/>
                <w:szCs w:val="28"/>
                <w:highlight w:val="none"/>
              </w:rPr>
              <w:t>2</w:t>
            </w:r>
          </w:p>
        </w:tc>
        <w:tc>
          <w:tcPr>
            <w:tcW w:w="3387" w:type="dxa"/>
            <w:vAlign w:val="top"/>
          </w:tcPr>
          <w:p w14:paraId="04673963">
            <w:pPr>
              <w:rPr>
                <w:rFonts w:ascii="Arial"/>
                <w:color w:val="auto"/>
                <w:sz w:val="21"/>
                <w:highlight w:val="none"/>
              </w:rPr>
            </w:pPr>
          </w:p>
        </w:tc>
        <w:tc>
          <w:tcPr>
            <w:tcW w:w="2929" w:type="dxa"/>
            <w:vAlign w:val="top"/>
          </w:tcPr>
          <w:p w14:paraId="07638D10">
            <w:pPr>
              <w:rPr>
                <w:rFonts w:ascii="Arial"/>
                <w:color w:val="auto"/>
                <w:sz w:val="21"/>
                <w:highlight w:val="none"/>
              </w:rPr>
            </w:pPr>
          </w:p>
        </w:tc>
        <w:tc>
          <w:tcPr>
            <w:tcW w:w="1421" w:type="dxa"/>
            <w:vAlign w:val="top"/>
          </w:tcPr>
          <w:p w14:paraId="61E9F4A0">
            <w:pPr>
              <w:rPr>
                <w:rFonts w:ascii="Arial"/>
                <w:color w:val="auto"/>
                <w:sz w:val="21"/>
                <w:highlight w:val="none"/>
              </w:rPr>
            </w:pPr>
          </w:p>
        </w:tc>
      </w:tr>
      <w:tr w14:paraId="325525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1099" w:type="dxa"/>
            <w:vAlign w:val="center"/>
          </w:tcPr>
          <w:p w14:paraId="07F7392D">
            <w:pPr>
              <w:pStyle w:val="77"/>
              <w:spacing w:before="163"/>
              <w:jc w:val="center"/>
              <w:rPr>
                <w:color w:val="auto"/>
                <w:sz w:val="28"/>
                <w:szCs w:val="28"/>
                <w:highlight w:val="none"/>
              </w:rPr>
            </w:pPr>
            <w:r>
              <w:rPr>
                <w:color w:val="auto"/>
                <w:sz w:val="28"/>
                <w:szCs w:val="28"/>
                <w:highlight w:val="none"/>
              </w:rPr>
              <w:t>3</w:t>
            </w:r>
          </w:p>
        </w:tc>
        <w:tc>
          <w:tcPr>
            <w:tcW w:w="3387" w:type="dxa"/>
            <w:vAlign w:val="top"/>
          </w:tcPr>
          <w:p w14:paraId="31FDA8A3">
            <w:pPr>
              <w:rPr>
                <w:rFonts w:ascii="Arial"/>
                <w:color w:val="auto"/>
                <w:sz w:val="21"/>
                <w:highlight w:val="none"/>
              </w:rPr>
            </w:pPr>
          </w:p>
        </w:tc>
        <w:tc>
          <w:tcPr>
            <w:tcW w:w="2929" w:type="dxa"/>
            <w:vAlign w:val="top"/>
          </w:tcPr>
          <w:p w14:paraId="665C3A89">
            <w:pPr>
              <w:rPr>
                <w:rFonts w:ascii="Arial"/>
                <w:color w:val="auto"/>
                <w:sz w:val="21"/>
                <w:highlight w:val="none"/>
              </w:rPr>
            </w:pPr>
          </w:p>
        </w:tc>
        <w:tc>
          <w:tcPr>
            <w:tcW w:w="1421" w:type="dxa"/>
            <w:vAlign w:val="top"/>
          </w:tcPr>
          <w:p w14:paraId="792E522D">
            <w:pPr>
              <w:rPr>
                <w:rFonts w:ascii="Arial"/>
                <w:color w:val="auto"/>
                <w:sz w:val="21"/>
                <w:highlight w:val="none"/>
              </w:rPr>
            </w:pPr>
          </w:p>
        </w:tc>
      </w:tr>
      <w:tr w14:paraId="7C4992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1" w:hRule="atLeast"/>
        </w:trPr>
        <w:tc>
          <w:tcPr>
            <w:tcW w:w="1099" w:type="dxa"/>
            <w:vAlign w:val="top"/>
          </w:tcPr>
          <w:p w14:paraId="3759C0DE">
            <w:pPr>
              <w:pStyle w:val="77"/>
              <w:spacing w:before="165" w:line="435" w:lineRule="exact"/>
              <w:ind w:left="295"/>
              <w:rPr>
                <w:color w:val="auto"/>
                <w:sz w:val="28"/>
                <w:szCs w:val="28"/>
                <w:highlight w:val="none"/>
              </w:rPr>
            </w:pPr>
            <w:r>
              <w:rPr>
                <w:color w:val="auto"/>
                <w:spacing w:val="-14"/>
                <w:position w:val="3"/>
                <w:sz w:val="28"/>
                <w:szCs w:val="28"/>
                <w:highlight w:val="none"/>
              </w:rPr>
              <w:t>……</w:t>
            </w:r>
          </w:p>
        </w:tc>
        <w:tc>
          <w:tcPr>
            <w:tcW w:w="3387" w:type="dxa"/>
            <w:vAlign w:val="top"/>
          </w:tcPr>
          <w:p w14:paraId="3CA869E0">
            <w:pPr>
              <w:rPr>
                <w:rFonts w:ascii="Arial"/>
                <w:color w:val="auto"/>
                <w:sz w:val="21"/>
                <w:highlight w:val="none"/>
              </w:rPr>
            </w:pPr>
          </w:p>
        </w:tc>
        <w:tc>
          <w:tcPr>
            <w:tcW w:w="2929" w:type="dxa"/>
            <w:vAlign w:val="top"/>
          </w:tcPr>
          <w:p w14:paraId="19D0E164">
            <w:pPr>
              <w:rPr>
                <w:rFonts w:ascii="Arial"/>
                <w:color w:val="auto"/>
                <w:sz w:val="21"/>
                <w:highlight w:val="none"/>
              </w:rPr>
            </w:pPr>
          </w:p>
        </w:tc>
        <w:tc>
          <w:tcPr>
            <w:tcW w:w="1421" w:type="dxa"/>
            <w:vAlign w:val="top"/>
          </w:tcPr>
          <w:p w14:paraId="4DC1B429">
            <w:pPr>
              <w:rPr>
                <w:rFonts w:ascii="Arial"/>
                <w:color w:val="auto"/>
                <w:sz w:val="21"/>
                <w:highlight w:val="none"/>
              </w:rPr>
            </w:pPr>
          </w:p>
        </w:tc>
      </w:tr>
    </w:tbl>
    <w:p w14:paraId="0BCEC893">
      <w:pPr>
        <w:spacing w:before="34" w:line="224" w:lineRule="auto"/>
        <w:ind w:left="65"/>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注：</w:t>
      </w:r>
    </w:p>
    <w:p w14:paraId="25B7CAF5">
      <w:pPr>
        <w:spacing w:before="177" w:line="359" w:lineRule="auto"/>
        <w:ind w:left="69" w:right="145" w:firstLine="492"/>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1.管理关系：是指不具有出资持股关系的其他单位之间存在的管理与被管理关系，如一些上下级关系的事业单位和团体组织。</w:t>
      </w:r>
    </w:p>
    <w:p w14:paraId="013E0F69">
      <w:pPr>
        <w:spacing w:line="218" w:lineRule="auto"/>
        <w:ind w:left="548"/>
        <w:rPr>
          <w:rFonts w:ascii="宋体" w:hAnsi="宋体" w:eastAsia="宋体" w:cs="宋体"/>
          <w:color w:val="auto"/>
          <w:sz w:val="24"/>
          <w:szCs w:val="24"/>
          <w:highlight w:val="none"/>
        </w:rPr>
      </w:pPr>
      <w:r>
        <w:rPr>
          <w:rFonts w:ascii="宋体" w:hAnsi="宋体" w:eastAsia="宋体" w:cs="宋体"/>
          <w:color w:val="auto"/>
          <w:spacing w:val="-11"/>
          <w:sz w:val="24"/>
          <w:szCs w:val="24"/>
          <w:highlight w:val="none"/>
        </w:rPr>
        <w:t>2.本表所指的管理关系仅限于直接管理关系，不包括间接的管理关系。</w:t>
      </w:r>
    </w:p>
    <w:p w14:paraId="3B72F550">
      <w:pPr>
        <w:spacing w:before="181" w:line="219" w:lineRule="auto"/>
        <w:ind w:left="54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3.供应商不存在直接管理关系的，则在</w:t>
      </w:r>
      <w:r>
        <w:rPr>
          <w:rFonts w:hint="eastAsia" w:ascii="宋体" w:hAnsi="宋体" w:cs="宋体"/>
          <w:color w:val="auto"/>
          <w:spacing w:val="-1"/>
          <w:sz w:val="24"/>
          <w:szCs w:val="24"/>
          <w:highlight w:val="none"/>
          <w:lang w:eastAsia="zh-CN"/>
        </w:rPr>
        <w:t>“</w:t>
      </w:r>
      <w:r>
        <w:rPr>
          <w:rFonts w:ascii="宋体" w:hAnsi="宋体" w:eastAsia="宋体" w:cs="宋体"/>
          <w:color w:val="auto"/>
          <w:spacing w:val="-1"/>
          <w:sz w:val="24"/>
          <w:szCs w:val="24"/>
          <w:highlight w:val="none"/>
        </w:rPr>
        <w:t>直接管理</w:t>
      </w:r>
      <w:r>
        <w:rPr>
          <w:rFonts w:ascii="宋体" w:hAnsi="宋体" w:eastAsia="宋体" w:cs="宋体"/>
          <w:color w:val="auto"/>
          <w:spacing w:val="-2"/>
          <w:sz w:val="24"/>
          <w:szCs w:val="24"/>
          <w:highlight w:val="none"/>
        </w:rPr>
        <w:t>关系单位名称</w:t>
      </w:r>
      <w:r>
        <w:rPr>
          <w:rFonts w:ascii="宋体" w:hAnsi="宋体" w:eastAsia="宋体" w:cs="宋体"/>
          <w:color w:val="auto"/>
          <w:spacing w:val="-88"/>
          <w:sz w:val="24"/>
          <w:szCs w:val="24"/>
          <w:highlight w:val="none"/>
        </w:rPr>
        <w:t xml:space="preserve"> </w:t>
      </w:r>
      <w:r>
        <w:rPr>
          <w:rFonts w:hint="eastAsia" w:ascii="宋体" w:hAnsi="宋体" w:cs="宋体"/>
          <w:color w:val="auto"/>
          <w:spacing w:val="-2"/>
          <w:sz w:val="24"/>
          <w:szCs w:val="24"/>
          <w:highlight w:val="none"/>
          <w:lang w:eastAsia="zh-CN"/>
        </w:rPr>
        <w:t>”</w:t>
      </w:r>
      <w:r>
        <w:rPr>
          <w:rFonts w:ascii="宋体" w:hAnsi="宋体" w:eastAsia="宋体" w:cs="宋体"/>
          <w:color w:val="auto"/>
          <w:spacing w:val="-2"/>
          <w:sz w:val="24"/>
          <w:szCs w:val="24"/>
          <w:highlight w:val="none"/>
        </w:rPr>
        <w:t>填</w:t>
      </w:r>
      <w:r>
        <w:rPr>
          <w:rFonts w:hint="eastAsia" w:ascii="宋体" w:hAnsi="宋体" w:cs="宋体"/>
          <w:color w:val="auto"/>
          <w:spacing w:val="-2"/>
          <w:sz w:val="24"/>
          <w:szCs w:val="24"/>
          <w:highlight w:val="none"/>
          <w:lang w:eastAsia="zh-CN"/>
        </w:rPr>
        <w:t>“</w:t>
      </w:r>
      <w:r>
        <w:rPr>
          <w:rFonts w:ascii="宋体" w:hAnsi="宋体" w:eastAsia="宋体" w:cs="宋体"/>
          <w:color w:val="auto"/>
          <w:spacing w:val="-2"/>
          <w:sz w:val="24"/>
          <w:szCs w:val="24"/>
          <w:highlight w:val="none"/>
        </w:rPr>
        <w:t>无</w:t>
      </w:r>
      <w:r>
        <w:rPr>
          <w:rFonts w:ascii="宋体" w:hAnsi="宋体" w:eastAsia="宋体" w:cs="宋体"/>
          <w:color w:val="auto"/>
          <w:spacing w:val="-88"/>
          <w:sz w:val="24"/>
          <w:szCs w:val="24"/>
          <w:highlight w:val="none"/>
        </w:rPr>
        <w:t xml:space="preserve"> </w:t>
      </w:r>
      <w:r>
        <w:rPr>
          <w:rFonts w:hint="eastAsia" w:ascii="宋体" w:hAnsi="宋体" w:cs="宋体"/>
          <w:color w:val="auto"/>
          <w:spacing w:val="-2"/>
          <w:sz w:val="24"/>
          <w:szCs w:val="24"/>
          <w:highlight w:val="none"/>
          <w:lang w:eastAsia="zh-CN"/>
        </w:rPr>
        <w:t>”</w:t>
      </w:r>
      <w:r>
        <w:rPr>
          <w:rFonts w:ascii="宋体" w:hAnsi="宋体" w:eastAsia="宋体" w:cs="宋体"/>
          <w:color w:val="auto"/>
          <w:spacing w:val="-2"/>
          <w:sz w:val="24"/>
          <w:szCs w:val="24"/>
          <w:highlight w:val="none"/>
        </w:rPr>
        <w:t>。</w:t>
      </w:r>
    </w:p>
    <w:p w14:paraId="713D1FAF">
      <w:pPr>
        <w:spacing w:line="243" w:lineRule="auto"/>
        <w:rPr>
          <w:rFonts w:ascii="Arial"/>
          <w:color w:val="auto"/>
          <w:sz w:val="21"/>
          <w:highlight w:val="none"/>
        </w:rPr>
      </w:pPr>
    </w:p>
    <w:p w14:paraId="014C05C2">
      <w:pPr>
        <w:spacing w:line="243" w:lineRule="auto"/>
        <w:rPr>
          <w:rFonts w:ascii="Arial"/>
          <w:color w:val="auto"/>
          <w:sz w:val="21"/>
          <w:highlight w:val="none"/>
        </w:rPr>
      </w:pPr>
    </w:p>
    <w:p w14:paraId="6B3BC22C">
      <w:pPr>
        <w:spacing w:line="244" w:lineRule="auto"/>
        <w:rPr>
          <w:rFonts w:ascii="Arial"/>
          <w:color w:val="auto"/>
          <w:sz w:val="21"/>
          <w:highlight w:val="none"/>
        </w:rPr>
      </w:pPr>
    </w:p>
    <w:p w14:paraId="48A9DEE2">
      <w:pPr>
        <w:spacing w:line="244" w:lineRule="auto"/>
        <w:rPr>
          <w:rFonts w:ascii="Arial"/>
          <w:color w:val="auto"/>
          <w:sz w:val="21"/>
          <w:highlight w:val="none"/>
        </w:rPr>
      </w:pPr>
    </w:p>
    <w:p w14:paraId="3E3717BC">
      <w:pPr>
        <w:spacing w:line="244" w:lineRule="auto"/>
        <w:rPr>
          <w:rFonts w:ascii="Arial"/>
          <w:color w:val="auto"/>
          <w:sz w:val="21"/>
          <w:highlight w:val="none"/>
        </w:rPr>
      </w:pPr>
    </w:p>
    <w:p w14:paraId="3C40305B">
      <w:pPr>
        <w:spacing w:line="244" w:lineRule="auto"/>
        <w:rPr>
          <w:rFonts w:ascii="Arial"/>
          <w:color w:val="auto"/>
          <w:sz w:val="21"/>
          <w:highlight w:val="none"/>
        </w:rPr>
      </w:pPr>
    </w:p>
    <w:p w14:paraId="60A68065">
      <w:pPr>
        <w:spacing w:line="244" w:lineRule="auto"/>
        <w:rPr>
          <w:rFonts w:ascii="Arial"/>
          <w:color w:val="auto"/>
          <w:sz w:val="21"/>
          <w:highlight w:val="none"/>
        </w:rPr>
      </w:pPr>
    </w:p>
    <w:p w14:paraId="4A145FD8">
      <w:pPr>
        <w:spacing w:line="244" w:lineRule="auto"/>
        <w:rPr>
          <w:rFonts w:ascii="Arial"/>
          <w:color w:val="auto"/>
          <w:sz w:val="21"/>
          <w:highlight w:val="none"/>
        </w:rPr>
      </w:pPr>
    </w:p>
    <w:p w14:paraId="13DC6B04">
      <w:pPr>
        <w:spacing w:line="244" w:lineRule="auto"/>
        <w:rPr>
          <w:rFonts w:ascii="Arial"/>
          <w:color w:val="auto"/>
          <w:sz w:val="21"/>
          <w:highlight w:val="none"/>
        </w:rPr>
      </w:pPr>
    </w:p>
    <w:p w14:paraId="0C766427">
      <w:pPr>
        <w:spacing w:line="244" w:lineRule="auto"/>
        <w:rPr>
          <w:rFonts w:ascii="Arial"/>
          <w:color w:val="auto"/>
          <w:sz w:val="21"/>
          <w:highlight w:val="none"/>
        </w:rPr>
      </w:pPr>
    </w:p>
    <w:p w14:paraId="68671D97">
      <w:pPr>
        <w:spacing w:line="244" w:lineRule="auto"/>
        <w:rPr>
          <w:rFonts w:ascii="Arial"/>
          <w:color w:val="auto"/>
          <w:sz w:val="21"/>
          <w:highlight w:val="none"/>
        </w:rPr>
      </w:pPr>
    </w:p>
    <w:p w14:paraId="27F2DE5A">
      <w:pPr>
        <w:spacing w:line="244" w:lineRule="auto"/>
        <w:rPr>
          <w:rFonts w:ascii="Arial"/>
          <w:color w:val="auto"/>
          <w:sz w:val="21"/>
          <w:highlight w:val="none"/>
        </w:rPr>
      </w:pPr>
    </w:p>
    <w:p w14:paraId="72602EFE">
      <w:pPr>
        <w:spacing w:line="244" w:lineRule="auto"/>
        <w:rPr>
          <w:rFonts w:ascii="Arial"/>
          <w:color w:val="auto"/>
          <w:sz w:val="21"/>
          <w:highlight w:val="none"/>
        </w:rPr>
      </w:pPr>
    </w:p>
    <w:p w14:paraId="1CC5E914">
      <w:pPr>
        <w:spacing w:before="79" w:line="219" w:lineRule="auto"/>
        <w:ind w:left="2271"/>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法定代表人或者委托代理人（签字或者电子签名</w:t>
      </w:r>
      <w:r>
        <w:rPr>
          <w:rFonts w:ascii="宋体" w:hAnsi="宋体" w:eastAsia="宋体" w:cs="宋体"/>
          <w:color w:val="auto"/>
          <w:spacing w:val="4"/>
          <w:sz w:val="24"/>
          <w:szCs w:val="24"/>
          <w:highlight w:val="none"/>
        </w:rPr>
        <w:t>）：</w:t>
      </w:r>
      <w:r>
        <w:rPr>
          <w:rFonts w:ascii="宋体" w:hAnsi="宋体" w:eastAsia="宋体" w:cs="宋体"/>
          <w:color w:val="auto"/>
          <w:sz w:val="24"/>
          <w:szCs w:val="24"/>
          <w:highlight w:val="none"/>
          <w:u w:val="single" w:color="auto"/>
        </w:rPr>
        <w:t xml:space="preserve">     </w:t>
      </w:r>
    </w:p>
    <w:p w14:paraId="55806D7F">
      <w:pPr>
        <w:spacing w:before="180" w:line="219" w:lineRule="auto"/>
        <w:ind w:left="3425"/>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供应商名称（电子签章</w:t>
      </w:r>
      <w:r>
        <w:rPr>
          <w:rFonts w:ascii="宋体" w:hAnsi="宋体" w:eastAsia="宋体" w:cs="宋体"/>
          <w:color w:val="auto"/>
          <w:sz w:val="24"/>
          <w:szCs w:val="24"/>
          <w:highlight w:val="none"/>
        </w:rPr>
        <w:t>）：</w:t>
      </w:r>
      <w:r>
        <w:rPr>
          <w:rFonts w:ascii="宋体" w:hAnsi="宋体" w:eastAsia="宋体" w:cs="宋体"/>
          <w:color w:val="auto"/>
          <w:sz w:val="24"/>
          <w:szCs w:val="24"/>
          <w:highlight w:val="none"/>
          <w:u w:val="single" w:color="auto"/>
        </w:rPr>
        <w:t xml:space="preserve">                </w:t>
      </w:r>
    </w:p>
    <w:p w14:paraId="7712AB77">
      <w:pPr>
        <w:adjustRightInd w:val="0"/>
        <w:snapToGrid w:val="0"/>
        <w:spacing w:line="300" w:lineRule="auto"/>
        <w:ind w:left="-88" w:leftChars="-42" w:firstLine="4662" w:firstLineChars="2100"/>
        <w:rPr>
          <w:rFonts w:hint="eastAsia" w:hAnsi="宋体"/>
          <w:color w:val="auto"/>
          <w:highlight w:val="none"/>
        </w:rPr>
      </w:pPr>
      <w:r>
        <w:rPr>
          <w:rFonts w:ascii="宋体" w:hAnsi="宋体" w:eastAsia="宋体" w:cs="宋体"/>
          <w:color w:val="auto"/>
          <w:spacing w:val="-9"/>
          <w:sz w:val="24"/>
          <w:szCs w:val="24"/>
          <w:highlight w:val="none"/>
        </w:rPr>
        <w:t>年</w:t>
      </w:r>
      <w:r>
        <w:rPr>
          <w:rFonts w:ascii="宋体" w:hAnsi="宋体" w:eastAsia="宋体" w:cs="宋体"/>
          <w:color w:val="auto"/>
          <w:spacing w:val="3"/>
          <w:sz w:val="24"/>
          <w:szCs w:val="24"/>
          <w:highlight w:val="none"/>
        </w:rPr>
        <w:t xml:space="preserve">    </w:t>
      </w:r>
      <w:r>
        <w:rPr>
          <w:rFonts w:ascii="宋体" w:hAnsi="宋体" w:eastAsia="宋体" w:cs="宋体"/>
          <w:color w:val="auto"/>
          <w:spacing w:val="-9"/>
          <w:sz w:val="24"/>
          <w:szCs w:val="24"/>
          <w:highlight w:val="none"/>
        </w:rPr>
        <w:t>月</w:t>
      </w:r>
      <w:r>
        <w:rPr>
          <w:rFonts w:ascii="宋体" w:hAnsi="宋体" w:eastAsia="宋体" w:cs="宋体"/>
          <w:color w:val="auto"/>
          <w:spacing w:val="13"/>
          <w:sz w:val="24"/>
          <w:szCs w:val="24"/>
          <w:highlight w:val="none"/>
        </w:rPr>
        <w:t xml:space="preserve">    </w:t>
      </w:r>
      <w:r>
        <w:rPr>
          <w:rFonts w:ascii="宋体" w:hAnsi="宋体" w:eastAsia="宋体" w:cs="宋体"/>
          <w:color w:val="auto"/>
          <w:spacing w:val="-9"/>
          <w:sz w:val="24"/>
          <w:szCs w:val="24"/>
          <w:highlight w:val="none"/>
        </w:rPr>
        <w:t>日</w:t>
      </w:r>
    </w:p>
    <w:p w14:paraId="75A3A6CB">
      <w:pPr>
        <w:adjustRightInd w:val="0"/>
        <w:snapToGrid w:val="0"/>
        <w:spacing w:line="300" w:lineRule="auto"/>
        <w:ind w:left="-88" w:leftChars="-42"/>
        <w:rPr>
          <w:rFonts w:hint="eastAsia" w:ascii="宋体" w:hAnsi="宋体"/>
          <w:color w:val="auto"/>
          <w:szCs w:val="21"/>
          <w:highlight w:val="none"/>
        </w:rPr>
      </w:pPr>
    </w:p>
    <w:p w14:paraId="1FC5AC39">
      <w:pPr>
        <w:adjustRightInd w:val="0"/>
        <w:snapToGrid w:val="0"/>
        <w:spacing w:line="300" w:lineRule="auto"/>
        <w:ind w:left="-88" w:leftChars="-42"/>
        <w:rPr>
          <w:rFonts w:hint="eastAsia" w:ascii="宋体" w:hAnsi="宋体"/>
          <w:color w:val="auto"/>
          <w:szCs w:val="21"/>
          <w:highlight w:val="none"/>
        </w:rPr>
      </w:pPr>
    </w:p>
    <w:p w14:paraId="00B364AC">
      <w:pPr>
        <w:adjustRightInd w:val="0"/>
        <w:snapToGrid w:val="0"/>
        <w:spacing w:line="300" w:lineRule="auto"/>
        <w:ind w:left="-88" w:leftChars="-42"/>
        <w:rPr>
          <w:rFonts w:hint="eastAsia" w:ascii="宋体" w:hAnsi="宋体"/>
          <w:color w:val="auto"/>
          <w:szCs w:val="21"/>
          <w:highlight w:val="none"/>
        </w:rPr>
      </w:pPr>
    </w:p>
    <w:p w14:paraId="4F98B8E6">
      <w:pPr>
        <w:adjustRightInd w:val="0"/>
        <w:snapToGrid w:val="0"/>
        <w:spacing w:line="300" w:lineRule="auto"/>
        <w:ind w:left="-88" w:leftChars="-42"/>
        <w:rPr>
          <w:rFonts w:hint="eastAsia" w:ascii="宋体" w:hAnsi="宋体"/>
          <w:color w:val="auto"/>
          <w:szCs w:val="21"/>
          <w:highlight w:val="none"/>
        </w:rPr>
      </w:pPr>
    </w:p>
    <w:p w14:paraId="459F95DA">
      <w:pPr>
        <w:spacing w:before="61" w:line="220" w:lineRule="auto"/>
        <w:jc w:val="center"/>
        <w:rPr>
          <w:rFonts w:ascii="宋体" w:hAnsi="宋体" w:eastAsia="宋体" w:cs="宋体"/>
          <w:color w:val="auto"/>
          <w:sz w:val="31"/>
          <w:szCs w:val="31"/>
          <w:highlight w:val="none"/>
        </w:rPr>
      </w:pPr>
      <w:r>
        <w:rPr>
          <w:rFonts w:ascii="宋体" w:hAnsi="宋体"/>
          <w:color w:val="auto"/>
          <w:sz w:val="32"/>
          <w:szCs w:val="32"/>
          <w:highlight w:val="none"/>
        </w:rPr>
        <w:br w:type="page"/>
      </w:r>
      <w:r>
        <w:rPr>
          <w:rFonts w:ascii="宋体" w:hAnsi="宋体" w:eastAsia="宋体" w:cs="宋体"/>
          <w:b/>
          <w:bCs/>
          <w:color w:val="auto"/>
          <w:spacing w:val="6"/>
          <w:sz w:val="30"/>
          <w:szCs w:val="30"/>
          <w:highlight w:val="none"/>
        </w:rPr>
        <w:t>竞标声明</w:t>
      </w:r>
    </w:p>
    <w:p w14:paraId="1551E9E9">
      <w:pPr>
        <w:spacing w:line="276" w:lineRule="auto"/>
        <w:rPr>
          <w:rFonts w:ascii="Arial"/>
          <w:color w:val="auto"/>
          <w:sz w:val="21"/>
          <w:highlight w:val="none"/>
        </w:rPr>
      </w:pPr>
    </w:p>
    <w:p w14:paraId="75E0F831">
      <w:pPr>
        <w:spacing w:before="78" w:line="219" w:lineRule="auto"/>
        <w:ind w:left="1"/>
        <w:rPr>
          <w:rFonts w:ascii="宋体" w:hAnsi="宋体" w:eastAsia="宋体" w:cs="宋体"/>
          <w:color w:val="auto"/>
          <w:sz w:val="24"/>
          <w:szCs w:val="24"/>
          <w:highlight w:val="none"/>
        </w:rPr>
      </w:pPr>
      <w:r>
        <w:rPr>
          <w:rFonts w:ascii="宋体" w:hAnsi="宋体" w:eastAsia="宋体" w:cs="宋体"/>
          <w:color w:val="auto"/>
          <w:spacing w:val="9"/>
          <w:sz w:val="24"/>
          <w:szCs w:val="24"/>
          <w:highlight w:val="none"/>
        </w:rPr>
        <w:t>致</w:t>
      </w:r>
      <w:r>
        <w:rPr>
          <w:rFonts w:ascii="宋体" w:hAnsi="宋体" w:eastAsia="宋体" w:cs="宋体"/>
          <w:color w:val="auto"/>
          <w:spacing w:val="-17"/>
          <w:sz w:val="24"/>
          <w:szCs w:val="24"/>
          <w:highlight w:val="none"/>
        </w:rPr>
        <w:t>：</w:t>
      </w:r>
      <w:r>
        <w:rPr>
          <w:rFonts w:ascii="宋体" w:hAnsi="宋体" w:eastAsia="宋体" w:cs="宋体"/>
          <w:color w:val="auto"/>
          <w:spacing w:val="-17"/>
          <w:sz w:val="24"/>
          <w:szCs w:val="24"/>
          <w:highlight w:val="none"/>
          <w:u w:val="single" w:color="auto"/>
        </w:rPr>
        <w:t>（</w:t>
      </w:r>
      <w:r>
        <w:rPr>
          <w:rFonts w:ascii="宋体" w:hAnsi="宋体" w:eastAsia="宋体" w:cs="宋体"/>
          <w:color w:val="auto"/>
          <w:spacing w:val="9"/>
          <w:sz w:val="24"/>
          <w:szCs w:val="24"/>
          <w:highlight w:val="none"/>
          <w:u w:val="single" w:color="auto"/>
        </w:rPr>
        <w:t>采购人名称</w:t>
      </w:r>
      <w:r>
        <w:rPr>
          <w:rFonts w:ascii="宋体" w:hAnsi="宋体" w:eastAsia="宋体" w:cs="宋体"/>
          <w:color w:val="auto"/>
          <w:spacing w:val="-17"/>
          <w:sz w:val="24"/>
          <w:szCs w:val="24"/>
          <w:highlight w:val="none"/>
          <w:u w:val="single" w:color="auto"/>
        </w:rPr>
        <w:t>）</w:t>
      </w:r>
      <w:r>
        <w:rPr>
          <w:rFonts w:ascii="宋体" w:hAnsi="宋体" w:eastAsia="宋体" w:cs="宋体"/>
          <w:color w:val="auto"/>
          <w:spacing w:val="-17"/>
          <w:sz w:val="24"/>
          <w:szCs w:val="24"/>
          <w:highlight w:val="none"/>
        </w:rPr>
        <w:t>：</w:t>
      </w:r>
    </w:p>
    <w:p w14:paraId="3E850062">
      <w:pPr>
        <w:spacing w:before="184" w:line="359" w:lineRule="auto"/>
        <w:ind w:left="2" w:firstLine="480"/>
        <w:rPr>
          <w:rFonts w:ascii="宋体" w:hAnsi="宋体" w:eastAsia="宋体" w:cs="宋体"/>
          <w:color w:val="auto"/>
          <w:sz w:val="24"/>
          <w:szCs w:val="24"/>
          <w:highlight w:val="none"/>
        </w:rPr>
      </w:pPr>
      <w:r>
        <w:rPr>
          <w:rFonts w:ascii="宋体" w:hAnsi="宋体" w:eastAsia="宋体" w:cs="宋体"/>
          <w:color w:val="auto"/>
          <w:spacing w:val="-16"/>
          <w:sz w:val="24"/>
          <w:szCs w:val="24"/>
          <w:highlight w:val="none"/>
        </w:rPr>
        <w:t>我方</w:t>
      </w:r>
      <w:r>
        <w:rPr>
          <w:rFonts w:ascii="宋体" w:hAnsi="宋体" w:eastAsia="宋体" w:cs="宋体"/>
          <w:color w:val="auto"/>
          <w:spacing w:val="-16"/>
          <w:sz w:val="24"/>
          <w:szCs w:val="24"/>
          <w:highlight w:val="none"/>
          <w:u w:val="single" w:color="auto"/>
        </w:rPr>
        <w:t>（供应</w:t>
      </w:r>
      <w:r>
        <w:rPr>
          <w:rFonts w:ascii="宋体" w:hAnsi="宋体" w:eastAsia="宋体" w:cs="宋体"/>
          <w:color w:val="auto"/>
          <w:spacing w:val="-15"/>
          <w:sz w:val="24"/>
          <w:szCs w:val="24"/>
          <w:highlight w:val="none"/>
          <w:u w:val="single" w:color="auto"/>
        </w:rPr>
        <w:t>商名称）</w:t>
      </w:r>
      <w:r>
        <w:rPr>
          <w:rFonts w:ascii="宋体" w:hAnsi="宋体" w:eastAsia="宋体" w:cs="宋体"/>
          <w:color w:val="auto"/>
          <w:spacing w:val="-42"/>
          <w:sz w:val="24"/>
          <w:szCs w:val="24"/>
          <w:highlight w:val="none"/>
          <w:u w:val="single" w:color="auto"/>
        </w:rPr>
        <w:t xml:space="preserve"> </w:t>
      </w:r>
      <w:r>
        <w:rPr>
          <w:rFonts w:ascii="宋体" w:hAnsi="宋体" w:eastAsia="宋体" w:cs="宋体"/>
          <w:color w:val="auto"/>
          <w:spacing w:val="-105"/>
          <w:sz w:val="24"/>
          <w:szCs w:val="24"/>
          <w:highlight w:val="none"/>
        </w:rPr>
        <w:t xml:space="preserve"> </w:t>
      </w:r>
      <w:r>
        <w:rPr>
          <w:rFonts w:ascii="宋体" w:hAnsi="宋体" w:eastAsia="宋体" w:cs="宋体"/>
          <w:color w:val="auto"/>
          <w:spacing w:val="-15"/>
          <w:sz w:val="24"/>
          <w:szCs w:val="24"/>
          <w:highlight w:val="none"/>
        </w:rPr>
        <w:t>系中华人民共和国合法供</w:t>
      </w:r>
      <w:r>
        <w:rPr>
          <w:rFonts w:ascii="宋体" w:hAnsi="宋体" w:eastAsia="宋体" w:cs="宋体"/>
          <w:color w:val="auto"/>
          <w:spacing w:val="-16"/>
          <w:sz w:val="24"/>
          <w:szCs w:val="24"/>
          <w:highlight w:val="none"/>
        </w:rPr>
        <w:t>应商，经营</w:t>
      </w:r>
      <w:r>
        <w:rPr>
          <w:rFonts w:ascii="宋体" w:hAnsi="宋体" w:eastAsia="宋体" w:cs="宋体"/>
          <w:color w:val="auto"/>
          <w:spacing w:val="-10"/>
          <w:sz w:val="24"/>
          <w:szCs w:val="24"/>
          <w:highlight w:val="none"/>
        </w:rPr>
        <w:t>地</w:t>
      </w:r>
      <w:r>
        <w:rPr>
          <w:rFonts w:ascii="宋体" w:hAnsi="宋体" w:eastAsia="宋体" w:cs="宋体"/>
          <w:color w:val="auto"/>
          <w:spacing w:val="-6"/>
          <w:sz w:val="24"/>
          <w:szCs w:val="24"/>
          <w:highlight w:val="none"/>
        </w:rPr>
        <w:t>址</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6"/>
          <w:sz w:val="24"/>
          <w:szCs w:val="24"/>
          <w:highlight w:val="none"/>
        </w:rPr>
        <w:t>。</w:t>
      </w:r>
    </w:p>
    <w:p w14:paraId="11EE1DC1">
      <w:pPr>
        <w:spacing w:line="359" w:lineRule="auto"/>
        <w:ind w:left="1" w:firstLine="481"/>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我方愿意参加贵方组织的</w:t>
      </w:r>
      <w:r>
        <w:rPr>
          <w:rFonts w:ascii="宋体" w:hAnsi="宋体" w:eastAsia="宋体" w:cs="宋体"/>
          <w:color w:val="auto"/>
          <w:spacing w:val="2"/>
          <w:sz w:val="24"/>
          <w:szCs w:val="24"/>
          <w:highlight w:val="none"/>
          <w:u w:val="single" w:color="auto"/>
        </w:rPr>
        <w:t>（项目名称）</w:t>
      </w:r>
      <w:r>
        <w:rPr>
          <w:rFonts w:ascii="宋体" w:hAnsi="宋体" w:eastAsia="宋体" w:cs="宋体"/>
          <w:color w:val="auto"/>
          <w:spacing w:val="2"/>
          <w:sz w:val="24"/>
          <w:szCs w:val="24"/>
          <w:highlight w:val="none"/>
        </w:rPr>
        <w:t>项目的竞标，为便于贵方公正、择优地</w:t>
      </w:r>
      <w:r>
        <w:rPr>
          <w:rFonts w:ascii="宋体" w:hAnsi="宋体" w:eastAsia="宋体" w:cs="宋体"/>
          <w:color w:val="auto"/>
          <w:sz w:val="24"/>
          <w:szCs w:val="24"/>
          <w:highlight w:val="none"/>
        </w:rPr>
        <w:t>确定成交供应商及其竞标产品和服务，我方就本次竞标</w:t>
      </w:r>
      <w:r>
        <w:rPr>
          <w:rFonts w:ascii="宋体" w:hAnsi="宋体" w:eastAsia="宋体" w:cs="宋体"/>
          <w:color w:val="auto"/>
          <w:spacing w:val="-1"/>
          <w:sz w:val="24"/>
          <w:szCs w:val="24"/>
          <w:highlight w:val="none"/>
        </w:rPr>
        <w:t>有关事项郑重声明如下：</w:t>
      </w:r>
    </w:p>
    <w:p w14:paraId="24345719">
      <w:pPr>
        <w:spacing w:line="219" w:lineRule="auto"/>
        <w:ind w:left="49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1.我方向贵方提交的所有响应文件、资料都是准确的和真实的。</w:t>
      </w:r>
    </w:p>
    <w:p w14:paraId="5DE0CB74">
      <w:pPr>
        <w:spacing w:before="180" w:line="360" w:lineRule="auto"/>
        <w:ind w:left="2" w:firstLine="481"/>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2.我方不是为本次采购项目提供整体设计、规范编制或者项目管理、监理、检</w:t>
      </w:r>
      <w:r>
        <w:rPr>
          <w:rFonts w:ascii="宋体" w:hAnsi="宋体" w:eastAsia="宋体" w:cs="宋体"/>
          <w:color w:val="auto"/>
          <w:spacing w:val="-2"/>
          <w:sz w:val="24"/>
          <w:szCs w:val="24"/>
          <w:highlight w:val="none"/>
        </w:rPr>
        <w:t>测等服务的供应商。</w:t>
      </w:r>
    </w:p>
    <w:p w14:paraId="2878C0CE">
      <w:pPr>
        <w:spacing w:before="1" w:line="218" w:lineRule="auto"/>
        <w:ind w:left="486"/>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3.在此，我方宣布同意如下：</w:t>
      </w:r>
    </w:p>
    <w:p w14:paraId="6742E108">
      <w:pPr>
        <w:spacing w:before="181" w:line="219" w:lineRule="auto"/>
        <w:ind w:left="493"/>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（1）将按谈判文件的约定履行合同责任和义务；</w:t>
      </w:r>
    </w:p>
    <w:p w14:paraId="4A1E66C8">
      <w:pPr>
        <w:spacing w:before="181" w:line="219" w:lineRule="auto"/>
        <w:ind w:left="493"/>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（2）已详细审查全部谈判文件，包括补遗文件（如有</w:t>
      </w:r>
      <w:r>
        <w:rPr>
          <w:rFonts w:ascii="宋体" w:hAnsi="宋体" w:eastAsia="宋体" w:cs="宋体"/>
          <w:color w:val="auto"/>
          <w:spacing w:val="1"/>
          <w:sz w:val="24"/>
          <w:szCs w:val="24"/>
          <w:highlight w:val="none"/>
        </w:rPr>
        <w:t>）；</w:t>
      </w:r>
    </w:p>
    <w:p w14:paraId="0A51D3C9">
      <w:pPr>
        <w:spacing w:before="183" w:line="219" w:lineRule="auto"/>
        <w:ind w:left="493"/>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（3）同意提供按照贵方可能要求的与谈判有关的一切数据或者资料；</w:t>
      </w:r>
    </w:p>
    <w:p w14:paraId="10174B41">
      <w:pPr>
        <w:spacing w:before="184" w:line="219" w:lineRule="auto"/>
        <w:ind w:left="493"/>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（4）响应谈判文件规定的竞标有效期。</w:t>
      </w:r>
    </w:p>
    <w:p w14:paraId="7CFFAE33">
      <w:pPr>
        <w:spacing w:before="180" w:line="219" w:lineRule="auto"/>
        <w:ind w:left="480"/>
        <w:rPr>
          <w:rFonts w:ascii="宋体" w:hAnsi="宋体" w:eastAsia="宋体" w:cs="宋体"/>
          <w:color w:val="auto"/>
          <w:sz w:val="24"/>
          <w:szCs w:val="24"/>
          <w:highlight w:val="none"/>
        </w:rPr>
      </w:pPr>
      <w:r>
        <w:rPr>
          <w:rFonts w:ascii="宋体" w:hAnsi="宋体" w:eastAsia="宋体" w:cs="宋体"/>
          <w:color w:val="auto"/>
          <w:sz w:val="24"/>
          <w:szCs w:val="24"/>
          <w:highlight w:val="none"/>
        </w:rPr>
        <w:t>4.我方承诺符合《中华人民共和国政府采购</w:t>
      </w:r>
      <w:r>
        <w:rPr>
          <w:rFonts w:ascii="宋体" w:hAnsi="宋体" w:eastAsia="宋体" w:cs="宋体"/>
          <w:color w:val="auto"/>
          <w:spacing w:val="-1"/>
          <w:sz w:val="24"/>
          <w:szCs w:val="24"/>
          <w:highlight w:val="none"/>
        </w:rPr>
        <w:t>法》第二十二条规定：</w:t>
      </w:r>
    </w:p>
    <w:p w14:paraId="5C94247D">
      <w:pPr>
        <w:spacing w:before="184" w:line="219" w:lineRule="auto"/>
        <w:ind w:left="493"/>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（1）具有独立承担民事责任的能力；</w:t>
      </w:r>
    </w:p>
    <w:p w14:paraId="3D642C69">
      <w:pPr>
        <w:spacing w:before="180" w:line="219" w:lineRule="auto"/>
        <w:ind w:left="493"/>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（2）具有良好的商业信誉和健全的财务会计制度；</w:t>
      </w:r>
    </w:p>
    <w:p w14:paraId="1EF16DE2">
      <w:pPr>
        <w:spacing w:before="184" w:line="219" w:lineRule="auto"/>
        <w:ind w:left="493"/>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（3）具有履行合同所必需的设备和专业技术能力；</w:t>
      </w:r>
    </w:p>
    <w:p w14:paraId="46F30085">
      <w:pPr>
        <w:spacing w:before="180" w:line="219" w:lineRule="auto"/>
        <w:ind w:left="493"/>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（4）有依法缴纳税收和社会保障资金的良好记录；</w:t>
      </w:r>
    </w:p>
    <w:p w14:paraId="01FEFCAC">
      <w:pPr>
        <w:spacing w:before="184" w:line="219" w:lineRule="auto"/>
        <w:ind w:left="493"/>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（5）参加政府采购活动前三年内，在经营活动中没有重大违法记录；</w:t>
      </w:r>
    </w:p>
    <w:p w14:paraId="424C87FE">
      <w:pPr>
        <w:spacing w:before="181" w:line="219" w:lineRule="auto"/>
        <w:ind w:left="493"/>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（6）法律、行政法规规定的其他条件。</w:t>
      </w:r>
    </w:p>
    <w:p w14:paraId="5EE1FF0C">
      <w:pPr>
        <w:spacing w:before="184" w:line="359" w:lineRule="auto"/>
        <w:ind w:left="1" w:firstLine="484"/>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w:t>
      </w:r>
      <w:r>
        <w:rPr>
          <w:rFonts w:ascii="宋体" w:hAnsi="宋体" w:eastAsia="宋体" w:cs="宋体"/>
          <w:color w:val="auto"/>
          <w:spacing w:val="1"/>
          <w:sz w:val="24"/>
          <w:szCs w:val="24"/>
          <w:highlight w:val="none"/>
        </w:rPr>
        <w:t>处罚</w:t>
      </w:r>
      <w:r>
        <w:rPr>
          <w:rFonts w:ascii="宋体" w:hAnsi="宋体" w:eastAsia="宋体" w:cs="宋体"/>
          <w:color w:val="auto"/>
          <w:spacing w:val="10"/>
          <w:sz w:val="24"/>
          <w:szCs w:val="24"/>
          <w:highlight w:val="none"/>
        </w:rPr>
        <w:t>），</w:t>
      </w:r>
      <w:r>
        <w:rPr>
          <w:rFonts w:ascii="宋体" w:hAnsi="宋体" w:eastAsia="宋体" w:cs="宋体"/>
          <w:color w:val="auto"/>
          <w:spacing w:val="1"/>
          <w:sz w:val="24"/>
          <w:szCs w:val="24"/>
          <w:highlight w:val="none"/>
        </w:rPr>
        <w:t>未被列入失信被执行</w:t>
      </w:r>
      <w:r>
        <w:rPr>
          <w:rFonts w:ascii="宋体" w:hAnsi="宋体" w:eastAsia="宋体" w:cs="宋体"/>
          <w:color w:val="auto"/>
          <w:spacing w:val="2"/>
          <w:sz w:val="24"/>
          <w:szCs w:val="24"/>
          <w:highlight w:val="none"/>
        </w:rPr>
        <w:t>人、重大税收违法失信主体、政府采购严重违法失信行为记录名单，完全符合《中华人民共和国政府采购法》第二十二条规定的供应商资格条件，我方对此声明负全</w:t>
      </w:r>
      <w:r>
        <w:rPr>
          <w:rFonts w:ascii="宋体" w:hAnsi="宋体" w:eastAsia="宋体" w:cs="宋体"/>
          <w:color w:val="auto"/>
          <w:spacing w:val="-2"/>
          <w:sz w:val="24"/>
          <w:szCs w:val="24"/>
          <w:highlight w:val="none"/>
        </w:rPr>
        <w:t>部法律责任。</w:t>
      </w:r>
    </w:p>
    <w:p w14:paraId="4D8F68D2">
      <w:pPr>
        <w:spacing w:before="1" w:line="360" w:lineRule="auto"/>
        <w:ind w:firstLine="483"/>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6.根据《中华人民共和国政府采购法实施条例》第五十条要求对政府采购合同进行公告，但政府采购合同中涉及国家秘密、商业秘密的内容除外。我方就对本次</w:t>
      </w:r>
      <w:r>
        <w:rPr>
          <w:rFonts w:ascii="宋体" w:hAnsi="宋体" w:eastAsia="宋体" w:cs="宋体"/>
          <w:color w:val="auto"/>
          <w:spacing w:val="1"/>
          <w:sz w:val="24"/>
          <w:szCs w:val="24"/>
          <w:highlight w:val="none"/>
        </w:rPr>
        <w:t>响应文件进行注明如下</w:t>
      </w:r>
      <w:r>
        <w:rPr>
          <w:rFonts w:ascii="宋体" w:hAnsi="宋体" w:eastAsia="宋体" w:cs="宋体"/>
          <w:color w:val="auto"/>
          <w:spacing w:val="-16"/>
          <w:sz w:val="24"/>
          <w:szCs w:val="24"/>
          <w:highlight w:val="none"/>
        </w:rPr>
        <w:t>：（</w:t>
      </w:r>
      <w:r>
        <w:rPr>
          <w:rFonts w:ascii="宋体" w:hAnsi="宋体" w:eastAsia="宋体" w:cs="宋体"/>
          <w:color w:val="auto"/>
          <w:spacing w:val="1"/>
          <w:sz w:val="24"/>
          <w:szCs w:val="24"/>
          <w:highlight w:val="none"/>
        </w:rPr>
        <w:t>两项内容中必须选择一项）</w:t>
      </w:r>
    </w:p>
    <w:p w14:paraId="2C6B9CA0">
      <w:pPr>
        <w:spacing w:line="360" w:lineRule="auto"/>
        <w:rPr>
          <w:rFonts w:ascii="宋体" w:hAnsi="宋体" w:eastAsia="宋体" w:cs="宋体"/>
          <w:color w:val="auto"/>
          <w:sz w:val="24"/>
          <w:szCs w:val="24"/>
          <w:highlight w:val="none"/>
        </w:rPr>
        <w:sectPr>
          <w:footerReference r:id="rId8" w:type="default"/>
          <w:pgSz w:w="11910" w:h="16840"/>
          <w:pgMar w:top="1406" w:right="1501" w:bottom="1091" w:left="1687" w:header="0" w:footer="794" w:gutter="0"/>
          <w:cols w:space="720" w:num="1"/>
        </w:sectPr>
      </w:pPr>
    </w:p>
    <w:p w14:paraId="6C981DF6">
      <w:pPr>
        <w:spacing w:before="47" w:line="219" w:lineRule="auto"/>
        <w:ind w:left="503"/>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□我方本次响应文件内容中未涉及商业秘密；</w:t>
      </w:r>
    </w:p>
    <w:p w14:paraId="068CD750">
      <w:pPr>
        <w:spacing w:before="180" w:line="219" w:lineRule="auto"/>
        <w:ind w:left="503"/>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□我方本次响应文件涉及商业秘密的内容有</w:t>
      </w:r>
      <w:r>
        <w:rPr>
          <w:rFonts w:ascii="宋体" w:hAnsi="宋体" w:eastAsia="宋体" w:cs="宋体"/>
          <w:color w:val="auto"/>
          <w:spacing w:val="1"/>
          <w:sz w:val="24"/>
          <w:szCs w:val="24"/>
          <w:highlight w:val="none"/>
        </w:rPr>
        <w:t>：</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1"/>
          <w:sz w:val="24"/>
          <w:szCs w:val="24"/>
          <w:highlight w:val="none"/>
        </w:rPr>
        <w:t>；</w:t>
      </w:r>
    </w:p>
    <w:p w14:paraId="33BB132E">
      <w:pPr>
        <w:spacing w:before="180" w:line="219" w:lineRule="auto"/>
        <w:ind w:left="484"/>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7.与本谈判有关的一切正式往来信函请寄：</w:t>
      </w:r>
      <w:r>
        <w:rPr>
          <w:rFonts w:ascii="宋体" w:hAnsi="宋体" w:eastAsia="宋体" w:cs="宋体"/>
          <w:color w:val="auto"/>
          <w:spacing w:val="-2"/>
          <w:sz w:val="24"/>
          <w:szCs w:val="24"/>
          <w:highlight w:val="none"/>
          <w:u w:val="single" w:color="auto"/>
        </w:rPr>
        <w:t xml:space="preserve">                  </w:t>
      </w:r>
      <w:r>
        <w:rPr>
          <w:rFonts w:ascii="宋体" w:hAnsi="宋体" w:eastAsia="宋体" w:cs="宋体"/>
          <w:color w:val="auto"/>
          <w:spacing w:val="-77"/>
          <w:sz w:val="24"/>
          <w:szCs w:val="24"/>
          <w:highlight w:val="none"/>
        </w:rPr>
        <w:t xml:space="preserve"> </w:t>
      </w:r>
      <w:r>
        <w:rPr>
          <w:rFonts w:ascii="宋体" w:hAnsi="宋体" w:eastAsia="宋体" w:cs="宋体"/>
          <w:color w:val="auto"/>
          <w:spacing w:val="-2"/>
          <w:sz w:val="24"/>
          <w:szCs w:val="24"/>
          <w:highlight w:val="none"/>
        </w:rPr>
        <w:t>邮政编码：</w:t>
      </w:r>
      <w:r>
        <w:rPr>
          <w:rFonts w:ascii="宋体" w:hAnsi="宋体" w:eastAsia="宋体" w:cs="宋体"/>
          <w:color w:val="auto"/>
          <w:spacing w:val="-2"/>
          <w:sz w:val="24"/>
          <w:szCs w:val="24"/>
          <w:highlight w:val="none"/>
          <w:u w:val="single" w:color="auto"/>
        </w:rPr>
        <w:t xml:space="preserve">   </w:t>
      </w:r>
    </w:p>
    <w:p w14:paraId="31C48972">
      <w:pPr>
        <w:spacing w:before="183" w:line="219" w:lineRule="auto"/>
        <w:ind w:left="507"/>
        <w:rPr>
          <w:rFonts w:ascii="宋体" w:hAnsi="宋体" w:eastAsia="宋体" w:cs="宋体"/>
          <w:color w:val="auto"/>
          <w:sz w:val="24"/>
          <w:szCs w:val="24"/>
          <w:highlight w:val="none"/>
        </w:rPr>
      </w:pPr>
      <w:r>
        <w:rPr>
          <w:rFonts w:ascii="宋体" w:hAnsi="宋体" w:eastAsia="宋体" w:cs="宋体"/>
          <w:color w:val="auto"/>
          <w:spacing w:val="-7"/>
          <w:sz w:val="24"/>
          <w:szCs w:val="24"/>
          <w:highlight w:val="none"/>
        </w:rPr>
        <w:t>电话/传真：</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38"/>
          <w:sz w:val="24"/>
          <w:szCs w:val="24"/>
          <w:highlight w:val="none"/>
        </w:rPr>
        <w:t xml:space="preserve"> </w:t>
      </w:r>
      <w:r>
        <w:rPr>
          <w:rFonts w:ascii="宋体" w:hAnsi="宋体" w:eastAsia="宋体" w:cs="宋体"/>
          <w:color w:val="auto"/>
          <w:spacing w:val="-7"/>
          <w:sz w:val="24"/>
          <w:szCs w:val="24"/>
          <w:highlight w:val="none"/>
        </w:rPr>
        <w:t>电子邮箱：</w:t>
      </w:r>
      <w:r>
        <w:rPr>
          <w:rFonts w:ascii="宋体" w:hAnsi="宋体" w:eastAsia="宋体" w:cs="宋体"/>
          <w:color w:val="auto"/>
          <w:sz w:val="24"/>
          <w:szCs w:val="24"/>
          <w:highlight w:val="none"/>
          <w:u w:val="single" w:color="auto"/>
        </w:rPr>
        <w:t xml:space="preserve">             </w:t>
      </w:r>
    </w:p>
    <w:p w14:paraId="7944BB55">
      <w:pPr>
        <w:spacing w:before="184" w:line="220" w:lineRule="auto"/>
        <w:ind w:left="501"/>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开户银行：</w:t>
      </w:r>
      <w:r>
        <w:rPr>
          <w:rFonts w:ascii="宋体" w:hAnsi="宋体" w:eastAsia="宋体" w:cs="宋体"/>
          <w:color w:val="auto"/>
          <w:spacing w:val="-3"/>
          <w:sz w:val="24"/>
          <w:szCs w:val="24"/>
          <w:highlight w:val="none"/>
          <w:u w:val="single" w:color="auto"/>
        </w:rPr>
        <w:t xml:space="preserve">                         </w:t>
      </w:r>
      <w:r>
        <w:rPr>
          <w:rFonts w:ascii="宋体" w:hAnsi="宋体" w:eastAsia="宋体" w:cs="宋体"/>
          <w:color w:val="auto"/>
          <w:spacing w:val="-3"/>
          <w:sz w:val="24"/>
          <w:szCs w:val="24"/>
          <w:highlight w:val="none"/>
        </w:rPr>
        <w:t xml:space="preserve">  账号/行号：</w:t>
      </w:r>
      <w:r>
        <w:rPr>
          <w:rFonts w:ascii="宋体" w:hAnsi="宋体" w:eastAsia="宋体" w:cs="宋体"/>
          <w:color w:val="auto"/>
          <w:spacing w:val="-3"/>
          <w:sz w:val="24"/>
          <w:szCs w:val="24"/>
          <w:highlight w:val="none"/>
          <w:u w:val="single" w:color="auto"/>
        </w:rPr>
        <w:t xml:space="preserve">            </w:t>
      </w:r>
    </w:p>
    <w:p w14:paraId="04C8EE26">
      <w:pPr>
        <w:spacing w:before="180" w:line="359" w:lineRule="auto"/>
        <w:ind w:left="140" w:firstLine="360"/>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8.以上事项如有虚假或者隐瞒，我方愿意承担一切</w:t>
      </w:r>
      <w:r>
        <w:rPr>
          <w:rFonts w:ascii="宋体" w:hAnsi="宋体" w:eastAsia="宋体" w:cs="宋体"/>
          <w:color w:val="auto"/>
          <w:spacing w:val="1"/>
          <w:sz w:val="24"/>
          <w:szCs w:val="24"/>
          <w:highlight w:val="none"/>
        </w:rPr>
        <w:t>后果，并不再寻求任何旨在</w:t>
      </w:r>
      <w:r>
        <w:rPr>
          <w:rFonts w:ascii="宋体" w:hAnsi="宋体" w:eastAsia="宋体" w:cs="宋体"/>
          <w:color w:val="auto"/>
          <w:spacing w:val="-1"/>
          <w:sz w:val="24"/>
          <w:szCs w:val="24"/>
          <w:highlight w:val="none"/>
        </w:rPr>
        <w:t>减轻或者免除法律责任的辩解。</w:t>
      </w:r>
    </w:p>
    <w:p w14:paraId="282DCF62">
      <w:pPr>
        <w:spacing w:line="219" w:lineRule="auto"/>
        <w:ind w:left="500"/>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特此承诺。</w:t>
      </w:r>
    </w:p>
    <w:p w14:paraId="5668E6AA">
      <w:pPr>
        <w:spacing w:before="183" w:line="360" w:lineRule="auto"/>
        <w:ind w:right="59" w:firstLine="479"/>
        <w:rPr>
          <w:rFonts w:ascii="宋体" w:hAnsi="宋体" w:eastAsia="宋体" w:cs="宋体"/>
          <w:color w:val="auto"/>
          <w:sz w:val="24"/>
          <w:szCs w:val="24"/>
          <w:highlight w:val="none"/>
        </w:rPr>
      </w:pPr>
      <w:r>
        <w:rPr>
          <w:rFonts w:ascii="宋体" w:hAnsi="宋体" w:eastAsia="宋体" w:cs="宋体"/>
          <w:b/>
          <w:bCs/>
          <w:color w:val="auto"/>
          <w:spacing w:val="-2"/>
          <w:sz w:val="24"/>
          <w:szCs w:val="24"/>
          <w:highlight w:val="none"/>
        </w:rPr>
        <w:t>注：如为联合体竞标，盖章处须加盖联合体牵头人电子签章并由联合体牵头人法定代表人分别签字或者盖章或者电子签名，否则响应文件按无效处理。</w:t>
      </w:r>
    </w:p>
    <w:p w14:paraId="3F6F80F0">
      <w:pPr>
        <w:spacing w:line="325" w:lineRule="auto"/>
        <w:rPr>
          <w:rFonts w:ascii="Arial"/>
          <w:color w:val="auto"/>
          <w:sz w:val="24"/>
          <w:szCs w:val="24"/>
          <w:highlight w:val="none"/>
        </w:rPr>
      </w:pPr>
    </w:p>
    <w:p w14:paraId="3EE25882">
      <w:pPr>
        <w:spacing w:before="78" w:line="219" w:lineRule="auto"/>
        <w:ind w:left="1784"/>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法定代表人（签字或者盖章或者电子签名</w:t>
      </w:r>
      <w:r>
        <w:rPr>
          <w:rFonts w:ascii="宋体" w:hAnsi="宋体" w:eastAsia="宋体" w:cs="宋体"/>
          <w:color w:val="auto"/>
          <w:spacing w:val="16"/>
          <w:sz w:val="24"/>
          <w:szCs w:val="24"/>
          <w:highlight w:val="none"/>
        </w:rPr>
        <w:t>）：</w:t>
      </w:r>
      <w:r>
        <w:rPr>
          <w:rFonts w:ascii="宋体" w:hAnsi="宋体" w:eastAsia="宋体" w:cs="宋体"/>
          <w:color w:val="auto"/>
          <w:sz w:val="24"/>
          <w:szCs w:val="24"/>
          <w:highlight w:val="none"/>
          <w:u w:val="single" w:color="auto"/>
        </w:rPr>
        <w:t xml:space="preserve">            </w:t>
      </w:r>
    </w:p>
    <w:p w14:paraId="75870E8B">
      <w:pPr>
        <w:spacing w:before="179" w:line="227" w:lineRule="auto"/>
        <w:ind w:left="3777"/>
        <w:rPr>
          <w:rFonts w:ascii="宋体" w:hAnsi="宋体" w:eastAsia="宋体" w:cs="宋体"/>
          <w:color w:val="auto"/>
          <w:sz w:val="24"/>
          <w:szCs w:val="24"/>
          <w:highlight w:val="none"/>
        </w:rPr>
      </w:pPr>
      <w:r>
        <w:rPr>
          <w:rFonts w:ascii="宋体" w:hAnsi="宋体" w:eastAsia="宋体" w:cs="宋体"/>
          <w:color w:val="auto"/>
          <w:spacing w:val="8"/>
          <w:sz w:val="24"/>
          <w:szCs w:val="24"/>
          <w:highlight w:val="none"/>
        </w:rPr>
        <w:t>供应商名称（电子签章</w:t>
      </w:r>
      <w:r>
        <w:rPr>
          <w:rFonts w:ascii="宋体" w:hAnsi="宋体" w:eastAsia="宋体" w:cs="宋体"/>
          <w:color w:val="auto"/>
          <w:spacing w:val="15"/>
          <w:sz w:val="24"/>
          <w:szCs w:val="24"/>
          <w:highlight w:val="none"/>
        </w:rPr>
        <w:t>）：</w:t>
      </w:r>
      <w:r>
        <w:rPr>
          <w:rFonts w:ascii="宋体" w:hAnsi="宋体" w:eastAsia="宋体" w:cs="宋体"/>
          <w:color w:val="auto"/>
          <w:sz w:val="24"/>
          <w:szCs w:val="24"/>
          <w:highlight w:val="none"/>
          <w:u w:val="single" w:color="auto"/>
        </w:rPr>
        <w:t xml:space="preserve">                         </w:t>
      </w:r>
    </w:p>
    <w:p w14:paraId="2A17D0F1">
      <w:pPr>
        <w:snapToGrid w:val="0"/>
        <w:spacing w:before="156" w:beforeLines="50" w:after="50" w:line="380" w:lineRule="exact"/>
        <w:ind w:right="480" w:firstLine="236" w:firstLineChars="100"/>
        <w:jc w:val="center"/>
        <w:rPr>
          <w:rFonts w:hint="eastAsia" w:ascii="宋体" w:hAnsi="宋体"/>
          <w:color w:val="auto"/>
          <w:sz w:val="24"/>
          <w:szCs w:val="24"/>
          <w:highlight w:val="none"/>
        </w:rPr>
      </w:pPr>
      <w:r>
        <w:rPr>
          <w:rFonts w:hint="eastAsia" w:ascii="宋体" w:hAnsi="宋体" w:eastAsia="宋体" w:cs="宋体"/>
          <w:color w:val="auto"/>
          <w:spacing w:val="-2"/>
          <w:sz w:val="24"/>
          <w:szCs w:val="24"/>
          <w:highlight w:val="none"/>
          <w:lang w:val="en-US" w:eastAsia="zh-CN"/>
        </w:rPr>
        <w:t xml:space="preserve">        </w:t>
      </w:r>
      <w:r>
        <w:rPr>
          <w:rFonts w:ascii="宋体" w:hAnsi="宋体" w:eastAsia="宋体" w:cs="宋体"/>
          <w:color w:val="auto"/>
          <w:spacing w:val="-2"/>
          <w:sz w:val="24"/>
          <w:szCs w:val="24"/>
          <w:highlight w:val="none"/>
        </w:rPr>
        <w:t>年</w:t>
      </w:r>
      <w:r>
        <w:rPr>
          <w:rFonts w:ascii="宋体" w:hAnsi="宋体" w:eastAsia="宋体" w:cs="宋体"/>
          <w:color w:val="auto"/>
          <w:spacing w:val="9"/>
          <w:sz w:val="24"/>
          <w:szCs w:val="24"/>
          <w:highlight w:val="none"/>
        </w:rPr>
        <w:t xml:space="preserve">    </w:t>
      </w:r>
      <w:r>
        <w:rPr>
          <w:rFonts w:ascii="宋体" w:hAnsi="宋体" w:eastAsia="宋体" w:cs="宋体"/>
          <w:color w:val="auto"/>
          <w:spacing w:val="-2"/>
          <w:sz w:val="24"/>
          <w:szCs w:val="24"/>
          <w:highlight w:val="none"/>
        </w:rPr>
        <w:t>月</w:t>
      </w:r>
      <w:r>
        <w:rPr>
          <w:rFonts w:ascii="宋体" w:hAnsi="宋体" w:eastAsia="宋体" w:cs="宋体"/>
          <w:color w:val="auto"/>
          <w:spacing w:val="16"/>
          <w:sz w:val="24"/>
          <w:szCs w:val="24"/>
          <w:highlight w:val="none"/>
        </w:rPr>
        <w:t xml:space="preserve">    </w:t>
      </w:r>
      <w:r>
        <w:rPr>
          <w:rFonts w:ascii="宋体" w:hAnsi="宋体" w:eastAsia="宋体" w:cs="宋体"/>
          <w:color w:val="auto"/>
          <w:spacing w:val="-2"/>
          <w:sz w:val="24"/>
          <w:szCs w:val="24"/>
          <w:highlight w:val="none"/>
        </w:rPr>
        <w:t>日</w:t>
      </w:r>
    </w:p>
    <w:p w14:paraId="556407FF">
      <w:pPr>
        <w:adjustRightInd w:val="0"/>
        <w:snapToGrid w:val="0"/>
        <w:spacing w:line="300" w:lineRule="auto"/>
        <w:ind w:left="-88" w:leftChars="-42"/>
        <w:rPr>
          <w:rFonts w:hint="eastAsia" w:ascii="宋体" w:hAnsi="宋体"/>
          <w:color w:val="auto"/>
          <w:szCs w:val="21"/>
          <w:highlight w:val="none"/>
        </w:rPr>
      </w:pPr>
    </w:p>
    <w:p w14:paraId="25BE7798">
      <w:pPr>
        <w:adjustRightInd w:val="0"/>
        <w:snapToGrid w:val="0"/>
        <w:spacing w:line="500" w:lineRule="exact"/>
        <w:ind w:left="-88" w:leftChars="-42"/>
        <w:rPr>
          <w:rFonts w:hint="eastAsia" w:ascii="宋体" w:hAnsi="宋体"/>
          <w:b/>
          <w:color w:val="auto"/>
          <w:szCs w:val="21"/>
          <w:highlight w:val="none"/>
        </w:rPr>
      </w:pPr>
      <w:r>
        <w:rPr>
          <w:rFonts w:ascii="宋体" w:hAnsi="宋体"/>
          <w:color w:val="auto"/>
          <w:szCs w:val="21"/>
          <w:highlight w:val="none"/>
        </w:rPr>
        <w:br w:type="page"/>
      </w:r>
    </w:p>
    <w:p w14:paraId="5AF979BE">
      <w:pPr>
        <w:spacing w:before="75" w:line="438" w:lineRule="exact"/>
        <w:jc w:val="center"/>
        <w:rPr>
          <w:rFonts w:ascii="宋体" w:hAnsi="宋体" w:eastAsia="宋体" w:cs="宋体"/>
          <w:color w:val="auto"/>
          <w:sz w:val="30"/>
          <w:szCs w:val="30"/>
          <w:highlight w:val="none"/>
        </w:rPr>
      </w:pPr>
      <w:r>
        <w:rPr>
          <w:rFonts w:ascii="宋体" w:hAnsi="宋体" w:eastAsia="宋体" w:cs="宋体"/>
          <w:b/>
          <w:bCs/>
          <w:color w:val="auto"/>
          <w:spacing w:val="6"/>
          <w:position w:val="2"/>
          <w:sz w:val="30"/>
          <w:szCs w:val="30"/>
          <w:highlight w:val="none"/>
        </w:rPr>
        <w:t>联合体竞标协议书</w:t>
      </w:r>
    </w:p>
    <w:p w14:paraId="58A769B4">
      <w:pPr>
        <w:spacing w:line="377" w:lineRule="auto"/>
        <w:rPr>
          <w:rFonts w:ascii="Arial"/>
          <w:color w:val="auto"/>
          <w:sz w:val="24"/>
          <w:szCs w:val="24"/>
          <w:highlight w:val="none"/>
        </w:rPr>
      </w:pPr>
    </w:p>
    <w:p w14:paraId="39907E5E">
      <w:pPr>
        <w:tabs>
          <w:tab w:val="left" w:pos="1190"/>
        </w:tabs>
        <w:spacing w:before="78" w:line="359" w:lineRule="auto"/>
        <w:ind w:right="12" w:firstLine="470"/>
        <w:rPr>
          <w:rFonts w:ascii="宋体" w:hAnsi="宋体" w:eastAsia="宋体" w:cs="宋体"/>
          <w:color w:val="auto"/>
          <w:sz w:val="24"/>
          <w:szCs w:val="24"/>
          <w:highlight w:val="none"/>
        </w:rPr>
      </w:pPr>
      <w:r>
        <w:rPr>
          <w:rFonts w:ascii="宋体" w:hAnsi="宋体" w:eastAsia="宋体" w:cs="宋体"/>
          <w:color w:val="auto"/>
          <w:sz w:val="24"/>
          <w:szCs w:val="24"/>
          <w:highlight w:val="none"/>
          <w:u w:val="single" w:color="auto"/>
        </w:rPr>
        <w:tab/>
      </w:r>
      <w:r>
        <w:rPr>
          <w:rFonts w:ascii="宋体" w:hAnsi="宋体" w:eastAsia="宋体" w:cs="宋体"/>
          <w:color w:val="auto"/>
          <w:spacing w:val="1"/>
          <w:sz w:val="24"/>
          <w:szCs w:val="24"/>
          <w:highlight w:val="none"/>
        </w:rPr>
        <w:t>（所有成员单位名称）</w:t>
      </w:r>
      <w:r>
        <w:rPr>
          <w:rFonts w:ascii="宋体" w:hAnsi="宋体" w:eastAsia="宋体" w:cs="宋体"/>
          <w:color w:val="auto"/>
          <w:spacing w:val="-66"/>
          <w:sz w:val="24"/>
          <w:szCs w:val="24"/>
          <w:highlight w:val="none"/>
        </w:rPr>
        <w:t xml:space="preserve"> </w:t>
      </w:r>
      <w:r>
        <w:rPr>
          <w:rFonts w:ascii="宋体" w:hAnsi="宋体" w:eastAsia="宋体" w:cs="宋体"/>
          <w:color w:val="auto"/>
          <w:spacing w:val="1"/>
          <w:sz w:val="24"/>
          <w:szCs w:val="24"/>
          <w:highlight w:val="none"/>
        </w:rPr>
        <w:t>自愿组成</w:t>
      </w:r>
      <w:r>
        <w:rPr>
          <w:rFonts w:ascii="宋体" w:hAnsi="宋体" w:eastAsia="宋体" w:cs="宋体"/>
          <w:color w:val="auto"/>
          <w:spacing w:val="-118"/>
          <w:sz w:val="24"/>
          <w:szCs w:val="24"/>
          <w:highlight w:val="none"/>
        </w:rPr>
        <w:t xml:space="preserve"> </w:t>
      </w:r>
      <w:r>
        <w:rPr>
          <w:rFonts w:ascii="宋体" w:hAnsi="宋体" w:eastAsia="宋体" w:cs="宋体"/>
          <w:color w:val="auto"/>
          <w:spacing w:val="1"/>
          <w:sz w:val="24"/>
          <w:szCs w:val="24"/>
          <w:highlight w:val="none"/>
          <w:u w:val="single" w:color="auto"/>
        </w:rPr>
        <w:t xml:space="preserve">      </w:t>
      </w:r>
      <w:r>
        <w:rPr>
          <w:rFonts w:ascii="宋体" w:hAnsi="宋体" w:eastAsia="宋体" w:cs="宋体"/>
          <w:color w:val="auto"/>
          <w:spacing w:val="1"/>
          <w:sz w:val="24"/>
          <w:szCs w:val="24"/>
          <w:highlight w:val="none"/>
        </w:rPr>
        <w:t>（联合体名称）联合体，共</w:t>
      </w:r>
      <w:r>
        <w:rPr>
          <w:rFonts w:ascii="宋体" w:hAnsi="宋体" w:eastAsia="宋体" w:cs="宋体"/>
          <w:color w:val="auto"/>
          <w:sz w:val="24"/>
          <w:szCs w:val="24"/>
          <w:highlight w:val="none"/>
        </w:rPr>
        <w:t>同参加</w:t>
      </w:r>
      <w:r>
        <w:rPr>
          <w:rFonts w:ascii="宋体" w:hAnsi="宋体" w:eastAsia="宋体" w:cs="宋体"/>
          <w:color w:val="auto"/>
          <w:sz w:val="24"/>
          <w:szCs w:val="24"/>
          <w:highlight w:val="none"/>
          <w:u w:val="single" w:color="auto"/>
        </w:rPr>
        <w:t xml:space="preserve">      </w:t>
      </w:r>
      <w:r>
        <w:rPr>
          <w:rFonts w:ascii="宋体" w:hAnsi="宋体" w:eastAsia="宋体" w:cs="宋体"/>
          <w:color w:val="auto"/>
          <w:sz w:val="24"/>
          <w:szCs w:val="24"/>
          <w:highlight w:val="none"/>
        </w:rPr>
        <w:t>（项目名称）采购项目竞标。现就联合体</w:t>
      </w:r>
      <w:r>
        <w:rPr>
          <w:rFonts w:ascii="宋体" w:hAnsi="宋体" w:eastAsia="宋体" w:cs="宋体"/>
          <w:color w:val="auto"/>
          <w:spacing w:val="-1"/>
          <w:sz w:val="24"/>
          <w:szCs w:val="24"/>
          <w:highlight w:val="none"/>
        </w:rPr>
        <w:t>竞标事宜订立如下协议。</w:t>
      </w:r>
    </w:p>
    <w:p w14:paraId="17404C64">
      <w:pPr>
        <w:spacing w:line="218" w:lineRule="auto"/>
        <w:ind w:left="497"/>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w:t>
      </w:r>
      <w:r>
        <w:rPr>
          <w:rFonts w:ascii="宋体" w:hAnsi="宋体" w:eastAsia="宋体" w:cs="宋体"/>
          <w:color w:val="auto"/>
          <w:spacing w:val="8"/>
          <w:sz w:val="24"/>
          <w:szCs w:val="24"/>
          <w:highlight w:val="none"/>
          <w:u w:val="single" w:color="auto"/>
        </w:rPr>
        <w:t xml:space="preserve">       </w:t>
      </w:r>
      <w:r>
        <w:rPr>
          <w:rFonts w:ascii="宋体" w:hAnsi="宋体" w:eastAsia="宋体" w:cs="宋体"/>
          <w:color w:val="auto"/>
          <w:spacing w:val="-1"/>
          <w:sz w:val="24"/>
          <w:szCs w:val="24"/>
          <w:highlight w:val="none"/>
        </w:rPr>
        <w:t>（某成员单位名称）为</w:t>
      </w:r>
      <w:r>
        <w:rPr>
          <w:rFonts w:ascii="宋体" w:hAnsi="宋体" w:eastAsia="宋体" w:cs="宋体"/>
          <w:color w:val="auto"/>
          <w:spacing w:val="-1"/>
          <w:sz w:val="24"/>
          <w:szCs w:val="24"/>
          <w:highlight w:val="none"/>
          <w:u w:val="single" w:color="auto"/>
        </w:rPr>
        <w:t xml:space="preserve">     </w:t>
      </w:r>
      <w:r>
        <w:rPr>
          <w:rFonts w:ascii="宋体" w:hAnsi="宋体" w:eastAsia="宋体" w:cs="宋体"/>
          <w:color w:val="auto"/>
          <w:spacing w:val="-1"/>
          <w:sz w:val="24"/>
          <w:szCs w:val="24"/>
          <w:highlight w:val="none"/>
        </w:rPr>
        <w:t>（联合体名称）牵头人。</w:t>
      </w:r>
    </w:p>
    <w:p w14:paraId="233F2B9C">
      <w:pPr>
        <w:spacing w:before="182" w:line="359" w:lineRule="auto"/>
        <w:ind w:left="8" w:right="12" w:firstLine="474"/>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2.联合体各成员授权牵头人代表联合体参加竞标活动，签署文件及对文件的盖章，提交和接收相关的资料、信息及指示，进行合同谈判活动，负责合同实</w:t>
      </w:r>
      <w:r>
        <w:rPr>
          <w:rFonts w:ascii="宋体" w:hAnsi="宋体" w:eastAsia="宋体" w:cs="宋体"/>
          <w:color w:val="auto"/>
          <w:spacing w:val="1"/>
          <w:sz w:val="24"/>
          <w:szCs w:val="24"/>
          <w:highlight w:val="none"/>
        </w:rPr>
        <w:t>施阶段</w:t>
      </w:r>
      <w:r>
        <w:rPr>
          <w:rFonts w:ascii="宋体" w:hAnsi="宋体" w:eastAsia="宋体" w:cs="宋体"/>
          <w:color w:val="auto"/>
          <w:spacing w:val="-1"/>
          <w:sz w:val="24"/>
          <w:szCs w:val="24"/>
          <w:highlight w:val="none"/>
        </w:rPr>
        <w:t>的组织和协调工作，以及处理与本竞标项目有关的一切事宜。</w:t>
      </w:r>
    </w:p>
    <w:p w14:paraId="16A2A6CF">
      <w:pPr>
        <w:spacing w:before="3" w:line="358" w:lineRule="auto"/>
        <w:ind w:right="12" w:firstLine="483"/>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3.联合体牵头人在本项目中签署和盖章的一切文件和处理的一切事宜，联合体各成员均予以承认。联合体各成员将严格按照谈判文件、响应文件和合同的要求全</w:t>
      </w:r>
      <w:r>
        <w:rPr>
          <w:rFonts w:ascii="宋体" w:hAnsi="宋体" w:eastAsia="宋体" w:cs="宋体"/>
          <w:color w:val="auto"/>
          <w:spacing w:val="-1"/>
          <w:sz w:val="24"/>
          <w:szCs w:val="24"/>
          <w:highlight w:val="none"/>
        </w:rPr>
        <w:t>面履行义务，并向采购人承担连带责任。</w:t>
      </w:r>
    </w:p>
    <w:p w14:paraId="66E58F3D">
      <w:pPr>
        <w:spacing w:before="1" w:line="219" w:lineRule="auto"/>
        <w:ind w:left="47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4.联合体各成员单位内部的职责分工如下：</w:t>
      </w:r>
      <w:r>
        <w:rPr>
          <w:rFonts w:ascii="宋体" w:hAnsi="宋体" w:eastAsia="宋体" w:cs="宋体"/>
          <w:color w:val="auto"/>
          <w:spacing w:val="-1"/>
          <w:sz w:val="24"/>
          <w:szCs w:val="24"/>
          <w:highlight w:val="none"/>
          <w:u w:val="single" w:color="auto"/>
        </w:rPr>
        <w:t xml:space="preserve">       </w:t>
      </w:r>
      <w:r>
        <w:rPr>
          <w:rFonts w:ascii="宋体" w:hAnsi="宋体" w:eastAsia="宋体" w:cs="宋体"/>
          <w:color w:val="auto"/>
          <w:spacing w:val="-1"/>
          <w:sz w:val="24"/>
          <w:szCs w:val="24"/>
          <w:highlight w:val="none"/>
        </w:rPr>
        <w:t>。</w:t>
      </w:r>
    </w:p>
    <w:p w14:paraId="4A758CBB">
      <w:pPr>
        <w:spacing w:before="183" w:line="359" w:lineRule="auto"/>
        <w:ind w:left="1" w:firstLine="482"/>
        <w:rPr>
          <w:rFonts w:ascii="宋体" w:hAnsi="宋体" w:eastAsia="宋体" w:cs="宋体"/>
          <w:color w:val="auto"/>
          <w:sz w:val="24"/>
          <w:szCs w:val="24"/>
          <w:highlight w:val="none"/>
        </w:rPr>
      </w:pPr>
      <w:r>
        <w:rPr>
          <w:rFonts w:ascii="宋体" w:hAnsi="宋体" w:eastAsia="宋体" w:cs="宋体"/>
          <w:color w:val="auto"/>
          <w:spacing w:val="-11"/>
          <w:sz w:val="24"/>
          <w:szCs w:val="24"/>
          <w:highlight w:val="none"/>
        </w:rPr>
        <w:t>5.本协议书自所有成员单位法定代表人或者其委托代理人签字或者盖单位章之日起</w:t>
      </w:r>
      <w:r>
        <w:rPr>
          <w:rFonts w:ascii="宋体" w:hAnsi="宋体" w:eastAsia="宋体" w:cs="宋体"/>
          <w:color w:val="auto"/>
          <w:spacing w:val="-12"/>
          <w:sz w:val="24"/>
          <w:szCs w:val="24"/>
          <w:highlight w:val="none"/>
        </w:rPr>
        <w:t>生效，合同履行完毕后自动失效。</w:t>
      </w:r>
    </w:p>
    <w:p w14:paraId="437F6AFB">
      <w:pPr>
        <w:spacing w:before="1" w:line="218" w:lineRule="auto"/>
        <w:ind w:left="481"/>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6.本协议书一式</w:t>
      </w:r>
      <w:r>
        <w:rPr>
          <w:rFonts w:ascii="宋体" w:hAnsi="宋体" w:eastAsia="宋体" w:cs="宋体"/>
          <w:color w:val="auto"/>
          <w:spacing w:val="-1"/>
          <w:sz w:val="24"/>
          <w:szCs w:val="24"/>
          <w:highlight w:val="none"/>
          <w:u w:val="single" w:color="auto"/>
        </w:rPr>
        <w:t xml:space="preserve">   </w:t>
      </w:r>
      <w:r>
        <w:rPr>
          <w:rFonts w:ascii="宋体" w:hAnsi="宋体" w:eastAsia="宋体" w:cs="宋体"/>
          <w:color w:val="auto"/>
          <w:spacing w:val="-106"/>
          <w:sz w:val="24"/>
          <w:szCs w:val="24"/>
          <w:highlight w:val="none"/>
        </w:rPr>
        <w:t xml:space="preserve"> </w:t>
      </w:r>
      <w:r>
        <w:rPr>
          <w:rFonts w:ascii="宋体" w:hAnsi="宋体" w:eastAsia="宋体" w:cs="宋体"/>
          <w:color w:val="auto"/>
          <w:spacing w:val="-1"/>
          <w:sz w:val="24"/>
          <w:szCs w:val="24"/>
          <w:highlight w:val="none"/>
        </w:rPr>
        <w:t>份，联合体成员和采购人各执一份。</w:t>
      </w:r>
    </w:p>
    <w:p w14:paraId="3C6EB36D">
      <w:pPr>
        <w:spacing w:before="183" w:line="360" w:lineRule="auto"/>
        <w:ind w:left="11" w:right="12" w:firstLine="468"/>
        <w:rPr>
          <w:rFonts w:ascii="宋体" w:hAnsi="宋体" w:eastAsia="宋体" w:cs="宋体"/>
          <w:color w:val="auto"/>
          <w:sz w:val="24"/>
          <w:szCs w:val="24"/>
          <w:highlight w:val="none"/>
        </w:rPr>
      </w:pPr>
      <w:r>
        <w:rPr>
          <w:rFonts w:ascii="宋体" w:hAnsi="宋体" w:eastAsia="宋体" w:cs="宋体"/>
          <w:color w:val="auto"/>
          <w:spacing w:val="10"/>
          <w:sz w:val="24"/>
          <w:szCs w:val="24"/>
          <w:highlight w:val="none"/>
        </w:rPr>
        <w:t>注：本协议书应附法定代表人身份证明书；有委</w:t>
      </w:r>
      <w:r>
        <w:rPr>
          <w:rFonts w:ascii="宋体" w:hAnsi="宋体" w:eastAsia="宋体" w:cs="宋体"/>
          <w:color w:val="auto"/>
          <w:spacing w:val="9"/>
          <w:sz w:val="24"/>
          <w:szCs w:val="24"/>
          <w:highlight w:val="none"/>
        </w:rPr>
        <w:t>托代理的，应附授权委托书</w:t>
      </w:r>
      <w:r>
        <w:rPr>
          <w:rFonts w:ascii="宋体" w:hAnsi="宋体" w:eastAsia="宋体" w:cs="宋体"/>
          <w:color w:val="auto"/>
          <w:spacing w:val="-3"/>
          <w:sz w:val="24"/>
          <w:szCs w:val="24"/>
          <w:highlight w:val="none"/>
        </w:rPr>
        <w:t>（格式自拟）。</w:t>
      </w:r>
    </w:p>
    <w:p w14:paraId="7C08759E">
      <w:pPr>
        <w:spacing w:line="382" w:lineRule="auto"/>
        <w:rPr>
          <w:rFonts w:ascii="Arial"/>
          <w:color w:val="auto"/>
          <w:sz w:val="24"/>
          <w:szCs w:val="24"/>
          <w:highlight w:val="none"/>
        </w:rPr>
      </w:pPr>
    </w:p>
    <w:p w14:paraId="618DAB40">
      <w:pPr>
        <w:spacing w:before="79" w:line="219" w:lineRule="auto"/>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联合体牵头人名称（电子签章</w:t>
      </w:r>
      <w:r>
        <w:rPr>
          <w:rFonts w:ascii="宋体" w:hAnsi="宋体" w:eastAsia="宋体" w:cs="宋体"/>
          <w:color w:val="auto"/>
          <w:sz w:val="24"/>
          <w:szCs w:val="24"/>
          <w:highlight w:val="none"/>
        </w:rPr>
        <w:t>）：</w:t>
      </w:r>
    </w:p>
    <w:p w14:paraId="05C464E4">
      <w:pPr>
        <w:spacing w:before="184" w:line="219" w:lineRule="auto"/>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法定代表人或者其委托代理人（签字或者电子签名</w:t>
      </w:r>
      <w:r>
        <w:rPr>
          <w:rFonts w:ascii="宋体" w:hAnsi="宋体" w:eastAsia="宋体" w:cs="宋体"/>
          <w:color w:val="auto"/>
          <w:spacing w:val="5"/>
          <w:sz w:val="24"/>
          <w:szCs w:val="24"/>
          <w:highlight w:val="none"/>
        </w:rPr>
        <w:t>）：</w:t>
      </w:r>
    </w:p>
    <w:p w14:paraId="363DBDBB">
      <w:pPr>
        <w:spacing w:line="283" w:lineRule="auto"/>
        <w:rPr>
          <w:rFonts w:ascii="Arial"/>
          <w:color w:val="auto"/>
          <w:sz w:val="24"/>
          <w:szCs w:val="24"/>
          <w:highlight w:val="none"/>
        </w:rPr>
      </w:pPr>
    </w:p>
    <w:p w14:paraId="69CE945E">
      <w:pPr>
        <w:spacing w:line="283" w:lineRule="auto"/>
        <w:rPr>
          <w:rFonts w:ascii="Arial"/>
          <w:color w:val="auto"/>
          <w:sz w:val="24"/>
          <w:szCs w:val="24"/>
          <w:highlight w:val="none"/>
        </w:rPr>
      </w:pPr>
    </w:p>
    <w:p w14:paraId="64B776DA">
      <w:pPr>
        <w:spacing w:before="78" w:line="219" w:lineRule="auto"/>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联合体成员名称（盖公章或者电子签章</w:t>
      </w:r>
      <w:r>
        <w:rPr>
          <w:rFonts w:ascii="宋体" w:hAnsi="宋体" w:eastAsia="宋体" w:cs="宋体"/>
          <w:color w:val="auto"/>
          <w:spacing w:val="2"/>
          <w:sz w:val="24"/>
          <w:szCs w:val="24"/>
          <w:highlight w:val="none"/>
        </w:rPr>
        <w:t>）：</w:t>
      </w:r>
    </w:p>
    <w:p w14:paraId="0A2CAD8B">
      <w:pPr>
        <w:spacing w:before="182" w:line="219" w:lineRule="auto"/>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法定代表人或者其委托代理人（签字或者电子签名</w:t>
      </w:r>
      <w:r>
        <w:rPr>
          <w:rFonts w:ascii="宋体" w:hAnsi="宋体" w:eastAsia="宋体" w:cs="宋体"/>
          <w:color w:val="auto"/>
          <w:spacing w:val="5"/>
          <w:sz w:val="24"/>
          <w:szCs w:val="24"/>
          <w:highlight w:val="none"/>
        </w:rPr>
        <w:t>）：</w:t>
      </w:r>
    </w:p>
    <w:p w14:paraId="6AE9258F">
      <w:pPr>
        <w:spacing w:line="284" w:lineRule="auto"/>
        <w:rPr>
          <w:rFonts w:ascii="Arial"/>
          <w:color w:val="auto"/>
          <w:sz w:val="24"/>
          <w:szCs w:val="24"/>
          <w:highlight w:val="none"/>
        </w:rPr>
      </w:pPr>
    </w:p>
    <w:p w14:paraId="39530648">
      <w:pPr>
        <w:spacing w:line="284" w:lineRule="auto"/>
        <w:rPr>
          <w:rFonts w:ascii="Arial"/>
          <w:color w:val="auto"/>
          <w:sz w:val="24"/>
          <w:szCs w:val="24"/>
          <w:highlight w:val="none"/>
        </w:rPr>
      </w:pPr>
    </w:p>
    <w:p w14:paraId="08A96E45">
      <w:pPr>
        <w:spacing w:before="79" w:line="219" w:lineRule="auto"/>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联合体成员名称（盖公章或者电子签章</w:t>
      </w:r>
      <w:r>
        <w:rPr>
          <w:rFonts w:ascii="宋体" w:hAnsi="宋体" w:eastAsia="宋体" w:cs="宋体"/>
          <w:color w:val="auto"/>
          <w:spacing w:val="2"/>
          <w:sz w:val="24"/>
          <w:szCs w:val="24"/>
          <w:highlight w:val="none"/>
        </w:rPr>
        <w:t>）：</w:t>
      </w:r>
    </w:p>
    <w:p w14:paraId="710D9BB3">
      <w:pPr>
        <w:spacing w:before="181" w:line="396" w:lineRule="auto"/>
        <w:ind w:left="14" w:right="3040" w:hanging="14"/>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法定代表人或者其委托代理人（签字或者电子签名</w:t>
      </w:r>
      <w:r>
        <w:rPr>
          <w:rFonts w:ascii="宋体" w:hAnsi="宋体" w:eastAsia="宋体" w:cs="宋体"/>
          <w:color w:val="auto"/>
          <w:spacing w:val="-25"/>
          <w:sz w:val="24"/>
          <w:szCs w:val="24"/>
          <w:highlight w:val="none"/>
        </w:rPr>
        <w:t>）：</w:t>
      </w:r>
      <w:r>
        <w:rPr>
          <w:rFonts w:ascii="宋体" w:hAnsi="宋体" w:eastAsia="宋体" w:cs="宋体"/>
          <w:color w:val="auto"/>
          <w:sz w:val="24"/>
          <w:szCs w:val="24"/>
          <w:highlight w:val="none"/>
        </w:rPr>
        <w:t xml:space="preserve"> </w:t>
      </w:r>
      <w:r>
        <w:rPr>
          <w:rFonts w:ascii="宋体" w:hAnsi="宋体" w:eastAsia="宋体" w:cs="宋体"/>
          <w:color w:val="auto"/>
          <w:spacing w:val="-13"/>
          <w:sz w:val="24"/>
          <w:szCs w:val="24"/>
          <w:highlight w:val="none"/>
        </w:rPr>
        <w:t>……</w:t>
      </w:r>
    </w:p>
    <w:p w14:paraId="49D978BA">
      <w:pPr>
        <w:spacing w:line="290" w:lineRule="auto"/>
        <w:rPr>
          <w:rFonts w:ascii="Arial"/>
          <w:color w:val="auto"/>
          <w:sz w:val="24"/>
          <w:szCs w:val="24"/>
          <w:highlight w:val="none"/>
        </w:rPr>
      </w:pPr>
    </w:p>
    <w:p w14:paraId="732F126E">
      <w:pPr>
        <w:spacing w:before="79" w:line="219" w:lineRule="auto"/>
        <w:jc w:val="right"/>
        <w:rPr>
          <w:rFonts w:ascii="宋体" w:hAnsi="宋体" w:eastAsia="宋体" w:cs="宋体"/>
          <w:color w:val="auto"/>
          <w:sz w:val="24"/>
          <w:szCs w:val="24"/>
          <w:highlight w:val="none"/>
        </w:rPr>
        <w:sectPr>
          <w:footerReference r:id="rId9" w:type="default"/>
          <w:pgSz w:w="11910" w:h="16840"/>
          <w:pgMar w:top="1391" w:right="1489" w:bottom="1091" w:left="1689" w:header="0" w:footer="929" w:gutter="0"/>
          <w:cols w:space="720" w:num="1"/>
        </w:sectPr>
      </w:pPr>
      <w:r>
        <w:rPr>
          <w:rFonts w:ascii="宋体" w:hAnsi="宋体" w:eastAsia="宋体" w:cs="宋体"/>
          <w:color w:val="auto"/>
          <w:spacing w:val="-1"/>
          <w:sz w:val="24"/>
          <w:szCs w:val="24"/>
          <w:highlight w:val="none"/>
        </w:rPr>
        <w:t xml:space="preserve">日期： </w:t>
      </w:r>
      <w:r>
        <w:rPr>
          <w:rFonts w:ascii="宋体" w:hAnsi="宋体" w:eastAsia="宋体" w:cs="宋体"/>
          <w:color w:val="auto"/>
          <w:spacing w:val="3"/>
          <w:sz w:val="24"/>
          <w:szCs w:val="24"/>
          <w:highlight w:val="none"/>
        </w:rPr>
        <w:t xml:space="preserve">   </w:t>
      </w:r>
      <w:r>
        <w:rPr>
          <w:rFonts w:ascii="宋体" w:hAnsi="宋体" w:eastAsia="宋体" w:cs="宋体"/>
          <w:color w:val="auto"/>
          <w:spacing w:val="-22"/>
          <w:sz w:val="24"/>
          <w:szCs w:val="24"/>
          <w:highlight w:val="none"/>
        </w:rPr>
        <w:t>年</w:t>
      </w:r>
      <w:r>
        <w:rPr>
          <w:rFonts w:ascii="宋体" w:hAnsi="宋体" w:eastAsia="宋体" w:cs="宋体"/>
          <w:color w:val="auto"/>
          <w:spacing w:val="5"/>
          <w:sz w:val="24"/>
          <w:szCs w:val="24"/>
          <w:highlight w:val="none"/>
        </w:rPr>
        <w:t xml:space="preserve">   </w:t>
      </w:r>
      <w:r>
        <w:rPr>
          <w:rFonts w:ascii="宋体" w:hAnsi="宋体" w:eastAsia="宋体" w:cs="宋体"/>
          <w:color w:val="auto"/>
          <w:spacing w:val="-22"/>
          <w:sz w:val="24"/>
          <w:szCs w:val="24"/>
          <w:highlight w:val="none"/>
        </w:rPr>
        <w:t>月</w:t>
      </w:r>
      <w:r>
        <w:rPr>
          <w:rFonts w:ascii="宋体" w:hAnsi="宋体" w:eastAsia="宋体" w:cs="宋体"/>
          <w:color w:val="auto"/>
          <w:spacing w:val="17"/>
          <w:sz w:val="24"/>
          <w:szCs w:val="24"/>
          <w:highlight w:val="none"/>
        </w:rPr>
        <w:t xml:space="preserve">   </w:t>
      </w:r>
      <w:r>
        <w:rPr>
          <w:rFonts w:ascii="宋体" w:hAnsi="宋体" w:eastAsia="宋体" w:cs="宋体"/>
          <w:color w:val="auto"/>
          <w:spacing w:val="-22"/>
          <w:sz w:val="24"/>
          <w:szCs w:val="24"/>
          <w:highlight w:val="none"/>
        </w:rPr>
        <w:t>日</w:t>
      </w:r>
    </w:p>
    <w:p w14:paraId="4445CA67">
      <w:pPr>
        <w:spacing w:before="64" w:line="223" w:lineRule="auto"/>
        <w:rPr>
          <w:rFonts w:ascii="宋体" w:hAnsi="宋体" w:eastAsia="宋体" w:cs="宋体"/>
          <w:color w:val="auto"/>
          <w:sz w:val="30"/>
          <w:szCs w:val="30"/>
          <w:highlight w:val="none"/>
        </w:rPr>
      </w:pPr>
      <w:r>
        <w:rPr>
          <w:rFonts w:ascii="宋体" w:hAnsi="宋体" w:eastAsia="宋体" w:cs="宋体"/>
          <w:b/>
          <w:bCs/>
          <w:color w:val="auto"/>
          <w:spacing w:val="5"/>
          <w:sz w:val="30"/>
          <w:szCs w:val="30"/>
          <w:highlight w:val="none"/>
        </w:rPr>
        <w:t>二、报价文件格式</w:t>
      </w:r>
    </w:p>
    <w:p w14:paraId="3FE84E52">
      <w:pPr>
        <w:spacing w:before="100" w:line="223" w:lineRule="auto"/>
        <w:ind w:left="18"/>
        <w:rPr>
          <w:rFonts w:ascii="宋体" w:hAnsi="宋体" w:eastAsia="宋体" w:cs="宋体"/>
          <w:color w:val="auto"/>
          <w:sz w:val="30"/>
          <w:szCs w:val="30"/>
          <w:highlight w:val="none"/>
        </w:rPr>
      </w:pPr>
      <w:r>
        <w:rPr>
          <w:rFonts w:ascii="宋体" w:hAnsi="宋体" w:eastAsia="宋体" w:cs="宋体"/>
          <w:b/>
          <w:bCs/>
          <w:color w:val="auto"/>
          <w:spacing w:val="3"/>
          <w:sz w:val="30"/>
          <w:szCs w:val="30"/>
          <w:highlight w:val="none"/>
        </w:rPr>
        <w:t>1.报价文件封面格式</w:t>
      </w:r>
    </w:p>
    <w:p w14:paraId="7660197A">
      <w:pPr>
        <w:spacing w:line="258" w:lineRule="auto"/>
        <w:rPr>
          <w:rFonts w:ascii="Arial"/>
          <w:color w:val="auto"/>
          <w:sz w:val="21"/>
          <w:highlight w:val="none"/>
        </w:rPr>
      </w:pPr>
    </w:p>
    <w:p w14:paraId="6E0ABD3E">
      <w:pPr>
        <w:spacing w:line="258" w:lineRule="auto"/>
        <w:rPr>
          <w:rFonts w:ascii="Arial"/>
          <w:color w:val="auto"/>
          <w:sz w:val="21"/>
          <w:highlight w:val="none"/>
        </w:rPr>
      </w:pPr>
    </w:p>
    <w:p w14:paraId="4DFD24AB">
      <w:pPr>
        <w:spacing w:line="258" w:lineRule="auto"/>
        <w:rPr>
          <w:rFonts w:ascii="Arial"/>
          <w:color w:val="auto"/>
          <w:sz w:val="21"/>
          <w:highlight w:val="none"/>
        </w:rPr>
      </w:pPr>
    </w:p>
    <w:p w14:paraId="38360550">
      <w:pPr>
        <w:spacing w:before="140" w:line="223" w:lineRule="auto"/>
        <w:jc w:val="center"/>
        <w:rPr>
          <w:rFonts w:ascii="宋体" w:hAnsi="宋体" w:eastAsia="宋体" w:cs="宋体"/>
          <w:color w:val="auto"/>
          <w:sz w:val="44"/>
          <w:szCs w:val="44"/>
          <w:highlight w:val="none"/>
        </w:rPr>
      </w:pPr>
      <w:r>
        <w:rPr>
          <w:rFonts w:ascii="宋体" w:hAnsi="宋体" w:eastAsia="宋体" w:cs="宋体"/>
          <w:color w:val="auto"/>
          <w:spacing w:val="-20"/>
          <w:sz w:val="44"/>
          <w:szCs w:val="44"/>
          <w:highlight w:val="none"/>
        </w:rPr>
        <w:t>电</w:t>
      </w:r>
      <w:r>
        <w:rPr>
          <w:rFonts w:ascii="宋体" w:hAnsi="宋体" w:eastAsia="宋体" w:cs="宋体"/>
          <w:color w:val="auto"/>
          <w:spacing w:val="24"/>
          <w:sz w:val="44"/>
          <w:szCs w:val="44"/>
          <w:highlight w:val="none"/>
        </w:rPr>
        <w:t xml:space="preserve"> </w:t>
      </w:r>
      <w:r>
        <w:rPr>
          <w:rFonts w:ascii="宋体" w:hAnsi="宋体" w:eastAsia="宋体" w:cs="宋体"/>
          <w:color w:val="auto"/>
          <w:spacing w:val="-20"/>
          <w:sz w:val="44"/>
          <w:szCs w:val="44"/>
          <w:highlight w:val="none"/>
        </w:rPr>
        <w:t>子</w:t>
      </w:r>
      <w:r>
        <w:rPr>
          <w:rFonts w:ascii="宋体" w:hAnsi="宋体" w:eastAsia="宋体" w:cs="宋体"/>
          <w:color w:val="auto"/>
          <w:spacing w:val="45"/>
          <w:sz w:val="44"/>
          <w:szCs w:val="44"/>
          <w:highlight w:val="none"/>
        </w:rPr>
        <w:t xml:space="preserve"> </w:t>
      </w:r>
      <w:r>
        <w:rPr>
          <w:rFonts w:ascii="宋体" w:hAnsi="宋体" w:eastAsia="宋体" w:cs="宋体"/>
          <w:color w:val="auto"/>
          <w:spacing w:val="-20"/>
          <w:sz w:val="44"/>
          <w:szCs w:val="44"/>
          <w:highlight w:val="none"/>
        </w:rPr>
        <w:t>响</w:t>
      </w:r>
      <w:r>
        <w:rPr>
          <w:rFonts w:ascii="宋体" w:hAnsi="宋体" w:eastAsia="宋体" w:cs="宋体"/>
          <w:color w:val="auto"/>
          <w:spacing w:val="23"/>
          <w:sz w:val="44"/>
          <w:szCs w:val="44"/>
          <w:highlight w:val="none"/>
        </w:rPr>
        <w:t xml:space="preserve"> </w:t>
      </w:r>
      <w:r>
        <w:rPr>
          <w:rFonts w:ascii="宋体" w:hAnsi="宋体" w:eastAsia="宋体" w:cs="宋体"/>
          <w:color w:val="auto"/>
          <w:spacing w:val="-20"/>
          <w:sz w:val="44"/>
          <w:szCs w:val="44"/>
          <w:highlight w:val="none"/>
        </w:rPr>
        <w:t>应</w:t>
      </w:r>
      <w:r>
        <w:rPr>
          <w:rFonts w:ascii="宋体" w:hAnsi="宋体" w:eastAsia="宋体" w:cs="宋体"/>
          <w:color w:val="auto"/>
          <w:spacing w:val="27"/>
          <w:sz w:val="44"/>
          <w:szCs w:val="44"/>
          <w:highlight w:val="none"/>
        </w:rPr>
        <w:t xml:space="preserve"> </w:t>
      </w:r>
      <w:r>
        <w:rPr>
          <w:rFonts w:ascii="宋体" w:hAnsi="宋体" w:eastAsia="宋体" w:cs="宋体"/>
          <w:color w:val="auto"/>
          <w:spacing w:val="-20"/>
          <w:sz w:val="44"/>
          <w:szCs w:val="44"/>
          <w:highlight w:val="none"/>
        </w:rPr>
        <w:t>文</w:t>
      </w:r>
      <w:r>
        <w:rPr>
          <w:rFonts w:ascii="宋体" w:hAnsi="宋体" w:eastAsia="宋体" w:cs="宋体"/>
          <w:color w:val="auto"/>
          <w:spacing w:val="21"/>
          <w:sz w:val="44"/>
          <w:szCs w:val="44"/>
          <w:highlight w:val="none"/>
        </w:rPr>
        <w:t xml:space="preserve"> </w:t>
      </w:r>
      <w:r>
        <w:rPr>
          <w:rFonts w:ascii="宋体" w:hAnsi="宋体" w:eastAsia="宋体" w:cs="宋体"/>
          <w:color w:val="auto"/>
          <w:spacing w:val="-20"/>
          <w:sz w:val="44"/>
          <w:szCs w:val="44"/>
          <w:highlight w:val="none"/>
        </w:rPr>
        <w:t>件</w:t>
      </w:r>
    </w:p>
    <w:p w14:paraId="169DC596">
      <w:pPr>
        <w:spacing w:line="308" w:lineRule="auto"/>
        <w:jc w:val="center"/>
        <w:rPr>
          <w:rFonts w:ascii="Arial"/>
          <w:color w:val="auto"/>
          <w:sz w:val="44"/>
          <w:szCs w:val="44"/>
          <w:highlight w:val="none"/>
        </w:rPr>
      </w:pPr>
    </w:p>
    <w:p w14:paraId="74F6979A">
      <w:pPr>
        <w:spacing w:line="309" w:lineRule="auto"/>
        <w:jc w:val="center"/>
        <w:rPr>
          <w:rFonts w:ascii="Arial"/>
          <w:color w:val="auto"/>
          <w:sz w:val="44"/>
          <w:szCs w:val="44"/>
          <w:highlight w:val="none"/>
        </w:rPr>
      </w:pPr>
    </w:p>
    <w:p w14:paraId="137C000B">
      <w:pPr>
        <w:spacing w:before="140" w:line="217" w:lineRule="auto"/>
        <w:jc w:val="center"/>
        <w:rPr>
          <w:rFonts w:ascii="宋体" w:hAnsi="宋体" w:eastAsia="宋体" w:cs="宋体"/>
          <w:color w:val="auto"/>
          <w:sz w:val="44"/>
          <w:szCs w:val="44"/>
          <w:highlight w:val="none"/>
        </w:rPr>
      </w:pPr>
      <w:r>
        <w:rPr>
          <w:rFonts w:ascii="宋体" w:hAnsi="宋体" w:eastAsia="宋体" w:cs="宋体"/>
          <w:b/>
          <w:bCs/>
          <w:color w:val="auto"/>
          <w:spacing w:val="1"/>
          <w:sz w:val="44"/>
          <w:szCs w:val="44"/>
          <w:highlight w:val="none"/>
        </w:rPr>
        <w:t>报</w:t>
      </w:r>
      <w:r>
        <w:rPr>
          <w:rFonts w:ascii="宋体" w:hAnsi="宋体" w:eastAsia="宋体" w:cs="宋体"/>
          <w:color w:val="auto"/>
          <w:spacing w:val="1"/>
          <w:sz w:val="44"/>
          <w:szCs w:val="44"/>
          <w:highlight w:val="none"/>
        </w:rPr>
        <w:t xml:space="preserve">  </w:t>
      </w:r>
      <w:r>
        <w:rPr>
          <w:rFonts w:ascii="宋体" w:hAnsi="宋体" w:eastAsia="宋体" w:cs="宋体"/>
          <w:b/>
          <w:bCs/>
          <w:color w:val="auto"/>
          <w:spacing w:val="1"/>
          <w:sz w:val="44"/>
          <w:szCs w:val="44"/>
          <w:highlight w:val="none"/>
        </w:rPr>
        <w:t>价</w:t>
      </w:r>
      <w:r>
        <w:rPr>
          <w:rFonts w:ascii="宋体" w:hAnsi="宋体" w:eastAsia="宋体" w:cs="宋体"/>
          <w:color w:val="auto"/>
          <w:spacing w:val="9"/>
          <w:sz w:val="44"/>
          <w:szCs w:val="44"/>
          <w:highlight w:val="none"/>
        </w:rPr>
        <w:t xml:space="preserve">  </w:t>
      </w:r>
      <w:r>
        <w:rPr>
          <w:rFonts w:ascii="宋体" w:hAnsi="宋体" w:eastAsia="宋体" w:cs="宋体"/>
          <w:b/>
          <w:bCs/>
          <w:color w:val="auto"/>
          <w:spacing w:val="1"/>
          <w:sz w:val="44"/>
          <w:szCs w:val="44"/>
          <w:highlight w:val="none"/>
        </w:rPr>
        <w:t>文</w:t>
      </w:r>
      <w:r>
        <w:rPr>
          <w:rFonts w:ascii="宋体" w:hAnsi="宋体" w:eastAsia="宋体" w:cs="宋体"/>
          <w:color w:val="auto"/>
          <w:spacing w:val="10"/>
          <w:sz w:val="44"/>
          <w:szCs w:val="44"/>
          <w:highlight w:val="none"/>
        </w:rPr>
        <w:t xml:space="preserve">  </w:t>
      </w:r>
      <w:r>
        <w:rPr>
          <w:rFonts w:ascii="宋体" w:hAnsi="宋体" w:eastAsia="宋体" w:cs="宋体"/>
          <w:b/>
          <w:bCs/>
          <w:color w:val="auto"/>
          <w:spacing w:val="1"/>
          <w:sz w:val="44"/>
          <w:szCs w:val="44"/>
          <w:highlight w:val="none"/>
        </w:rPr>
        <w:t>件</w:t>
      </w:r>
    </w:p>
    <w:p w14:paraId="236A643A">
      <w:pPr>
        <w:spacing w:line="253" w:lineRule="auto"/>
        <w:rPr>
          <w:rFonts w:ascii="Arial"/>
          <w:color w:val="auto"/>
          <w:sz w:val="44"/>
          <w:szCs w:val="44"/>
          <w:highlight w:val="none"/>
        </w:rPr>
      </w:pPr>
    </w:p>
    <w:p w14:paraId="77A17A0A">
      <w:pPr>
        <w:spacing w:line="253" w:lineRule="auto"/>
        <w:rPr>
          <w:rFonts w:ascii="Arial"/>
          <w:color w:val="auto"/>
          <w:sz w:val="21"/>
          <w:highlight w:val="none"/>
        </w:rPr>
      </w:pPr>
    </w:p>
    <w:p w14:paraId="4022B8D4">
      <w:pPr>
        <w:spacing w:line="253" w:lineRule="auto"/>
        <w:rPr>
          <w:rFonts w:ascii="Arial"/>
          <w:color w:val="auto"/>
          <w:sz w:val="21"/>
          <w:highlight w:val="none"/>
        </w:rPr>
      </w:pPr>
    </w:p>
    <w:p w14:paraId="40FAD389">
      <w:pPr>
        <w:spacing w:line="254" w:lineRule="auto"/>
        <w:rPr>
          <w:rFonts w:ascii="Arial"/>
          <w:color w:val="auto"/>
          <w:sz w:val="21"/>
          <w:highlight w:val="none"/>
        </w:rPr>
      </w:pPr>
    </w:p>
    <w:p w14:paraId="72697F94">
      <w:pPr>
        <w:spacing w:line="254" w:lineRule="auto"/>
        <w:rPr>
          <w:rFonts w:ascii="Arial"/>
          <w:color w:val="auto"/>
          <w:sz w:val="21"/>
          <w:highlight w:val="none"/>
        </w:rPr>
      </w:pPr>
    </w:p>
    <w:p w14:paraId="55186DB7">
      <w:pPr>
        <w:spacing w:before="101" w:line="225" w:lineRule="auto"/>
        <w:ind w:left="640"/>
        <w:rPr>
          <w:rFonts w:ascii="宋体" w:hAnsi="宋体" w:eastAsia="宋体" w:cs="宋体"/>
          <w:color w:val="auto"/>
          <w:sz w:val="31"/>
          <w:szCs w:val="31"/>
          <w:highlight w:val="none"/>
        </w:rPr>
      </w:pPr>
      <w:r>
        <w:rPr>
          <w:rFonts w:ascii="宋体" w:hAnsi="宋体" w:eastAsia="宋体" w:cs="宋体"/>
          <w:color w:val="auto"/>
          <w:spacing w:val="4"/>
          <w:sz w:val="31"/>
          <w:szCs w:val="31"/>
          <w:highlight w:val="none"/>
        </w:rPr>
        <w:t>项目名称：</w:t>
      </w:r>
    </w:p>
    <w:p w14:paraId="5A199E9F">
      <w:pPr>
        <w:spacing w:line="294" w:lineRule="auto"/>
        <w:rPr>
          <w:rFonts w:ascii="Arial"/>
          <w:color w:val="auto"/>
          <w:sz w:val="21"/>
          <w:highlight w:val="none"/>
        </w:rPr>
      </w:pPr>
    </w:p>
    <w:p w14:paraId="6F608894">
      <w:pPr>
        <w:spacing w:before="101" w:line="225" w:lineRule="auto"/>
        <w:ind w:left="640"/>
        <w:rPr>
          <w:rFonts w:ascii="宋体" w:hAnsi="宋体" w:eastAsia="宋体" w:cs="宋体"/>
          <w:color w:val="auto"/>
          <w:sz w:val="31"/>
          <w:szCs w:val="31"/>
          <w:highlight w:val="none"/>
        </w:rPr>
      </w:pPr>
      <w:r>
        <w:rPr>
          <w:rFonts w:ascii="宋体" w:hAnsi="宋体" w:eastAsia="宋体" w:cs="宋体"/>
          <w:color w:val="auto"/>
          <w:spacing w:val="4"/>
          <w:sz w:val="31"/>
          <w:szCs w:val="31"/>
          <w:highlight w:val="none"/>
        </w:rPr>
        <w:t>项目编号：</w:t>
      </w:r>
    </w:p>
    <w:p w14:paraId="1E5A03B9">
      <w:pPr>
        <w:spacing w:line="293" w:lineRule="auto"/>
        <w:rPr>
          <w:rFonts w:ascii="Arial"/>
          <w:color w:val="auto"/>
          <w:sz w:val="21"/>
          <w:highlight w:val="none"/>
        </w:rPr>
      </w:pPr>
    </w:p>
    <w:p w14:paraId="71D68D08">
      <w:pPr>
        <w:spacing w:before="101" w:line="253" w:lineRule="auto"/>
        <w:ind w:left="4" w:firstLine="630"/>
        <w:rPr>
          <w:rFonts w:ascii="宋体" w:hAnsi="宋体" w:eastAsia="宋体" w:cs="宋体"/>
          <w:color w:val="auto"/>
          <w:sz w:val="31"/>
          <w:szCs w:val="31"/>
          <w:highlight w:val="none"/>
        </w:rPr>
      </w:pPr>
      <w:r>
        <w:rPr>
          <w:rFonts w:ascii="宋体" w:hAnsi="宋体" w:eastAsia="宋体" w:cs="宋体"/>
          <w:color w:val="auto"/>
          <w:spacing w:val="30"/>
          <w:sz w:val="31"/>
          <w:szCs w:val="31"/>
          <w:highlight w:val="none"/>
        </w:rPr>
        <w:t>所竞分标（如有则填写</w:t>
      </w:r>
      <w:r>
        <w:rPr>
          <w:rFonts w:ascii="宋体" w:hAnsi="宋体" w:eastAsia="宋体" w:cs="宋体"/>
          <w:color w:val="auto"/>
          <w:spacing w:val="-67"/>
          <w:sz w:val="31"/>
          <w:szCs w:val="31"/>
          <w:highlight w:val="none"/>
        </w:rPr>
        <w:t xml:space="preserve"> </w:t>
      </w:r>
      <w:r>
        <w:rPr>
          <w:rFonts w:ascii="宋体" w:hAnsi="宋体" w:eastAsia="宋体" w:cs="宋体"/>
          <w:color w:val="auto"/>
          <w:spacing w:val="30"/>
          <w:sz w:val="31"/>
          <w:szCs w:val="31"/>
          <w:highlight w:val="none"/>
        </w:rPr>
        <w:t>，无分标时填写</w:t>
      </w:r>
      <w:r>
        <w:rPr>
          <w:rFonts w:ascii="宋体" w:hAnsi="宋体" w:eastAsia="宋体" w:cs="宋体"/>
          <w:color w:val="auto"/>
          <w:spacing w:val="-114"/>
          <w:sz w:val="31"/>
          <w:szCs w:val="31"/>
          <w:highlight w:val="none"/>
        </w:rPr>
        <w:t xml:space="preserve"> </w:t>
      </w:r>
      <w:r>
        <w:rPr>
          <w:rFonts w:hint="eastAsia" w:ascii="宋体" w:hAnsi="宋体" w:cs="宋体"/>
          <w:color w:val="auto"/>
          <w:spacing w:val="30"/>
          <w:sz w:val="31"/>
          <w:szCs w:val="31"/>
          <w:highlight w:val="none"/>
          <w:lang w:eastAsia="zh-CN"/>
        </w:rPr>
        <w:t>“</w:t>
      </w:r>
      <w:r>
        <w:rPr>
          <w:rFonts w:ascii="宋体" w:hAnsi="宋体" w:eastAsia="宋体" w:cs="宋体"/>
          <w:color w:val="auto"/>
          <w:spacing w:val="-106"/>
          <w:sz w:val="31"/>
          <w:szCs w:val="31"/>
          <w:highlight w:val="none"/>
        </w:rPr>
        <w:t xml:space="preserve"> </w:t>
      </w:r>
      <w:r>
        <w:rPr>
          <w:rFonts w:ascii="宋体" w:hAnsi="宋体" w:eastAsia="宋体" w:cs="宋体"/>
          <w:color w:val="auto"/>
          <w:spacing w:val="30"/>
          <w:sz w:val="31"/>
          <w:szCs w:val="31"/>
          <w:highlight w:val="none"/>
        </w:rPr>
        <w:t>无</w:t>
      </w:r>
      <w:r>
        <w:rPr>
          <w:rFonts w:ascii="宋体" w:hAnsi="宋体" w:eastAsia="宋体" w:cs="宋体"/>
          <w:color w:val="auto"/>
          <w:spacing w:val="-79"/>
          <w:sz w:val="31"/>
          <w:szCs w:val="31"/>
          <w:highlight w:val="none"/>
        </w:rPr>
        <w:t xml:space="preserve"> </w:t>
      </w:r>
      <w:r>
        <w:rPr>
          <w:rFonts w:hint="eastAsia" w:ascii="宋体" w:hAnsi="宋体" w:cs="宋体"/>
          <w:color w:val="auto"/>
          <w:spacing w:val="30"/>
          <w:sz w:val="31"/>
          <w:szCs w:val="31"/>
          <w:highlight w:val="none"/>
          <w:lang w:eastAsia="zh-CN"/>
        </w:rPr>
        <w:t>”</w:t>
      </w:r>
      <w:r>
        <w:rPr>
          <w:rFonts w:ascii="宋体" w:hAnsi="宋体" w:eastAsia="宋体" w:cs="宋体"/>
          <w:color w:val="auto"/>
          <w:spacing w:val="30"/>
          <w:sz w:val="31"/>
          <w:szCs w:val="31"/>
          <w:highlight w:val="none"/>
        </w:rPr>
        <w:t>或者留</w:t>
      </w:r>
      <w:r>
        <w:rPr>
          <w:rFonts w:ascii="宋体" w:hAnsi="宋体" w:eastAsia="宋体" w:cs="宋体"/>
          <w:color w:val="auto"/>
          <w:spacing w:val="-14"/>
          <w:sz w:val="31"/>
          <w:szCs w:val="31"/>
          <w:highlight w:val="none"/>
        </w:rPr>
        <w:t>空</w:t>
      </w:r>
      <w:r>
        <w:rPr>
          <w:rFonts w:ascii="宋体" w:hAnsi="宋体" w:eastAsia="宋体" w:cs="宋体"/>
          <w:color w:val="auto"/>
          <w:sz w:val="31"/>
          <w:szCs w:val="31"/>
          <w:highlight w:val="none"/>
        </w:rPr>
        <w:t>）：</w:t>
      </w:r>
    </w:p>
    <w:p w14:paraId="7A2D1789">
      <w:pPr>
        <w:spacing w:before="101" w:line="224" w:lineRule="auto"/>
        <w:ind w:left="635"/>
        <w:rPr>
          <w:rFonts w:ascii="宋体" w:hAnsi="宋体" w:eastAsia="宋体" w:cs="宋体"/>
          <w:color w:val="auto"/>
          <w:spacing w:val="5"/>
          <w:sz w:val="31"/>
          <w:szCs w:val="31"/>
          <w:highlight w:val="none"/>
        </w:rPr>
      </w:pPr>
    </w:p>
    <w:p w14:paraId="01BB7A51">
      <w:pPr>
        <w:spacing w:before="101" w:line="224" w:lineRule="auto"/>
        <w:ind w:left="635"/>
        <w:rPr>
          <w:rFonts w:ascii="宋体" w:hAnsi="宋体" w:eastAsia="宋体" w:cs="宋体"/>
          <w:color w:val="auto"/>
          <w:sz w:val="31"/>
          <w:szCs w:val="31"/>
          <w:highlight w:val="none"/>
        </w:rPr>
      </w:pPr>
      <w:r>
        <w:rPr>
          <w:rFonts w:ascii="宋体" w:hAnsi="宋体" w:eastAsia="宋体" w:cs="宋体"/>
          <w:color w:val="auto"/>
          <w:spacing w:val="5"/>
          <w:sz w:val="31"/>
          <w:szCs w:val="31"/>
          <w:highlight w:val="none"/>
        </w:rPr>
        <w:t>供应商名称：</w:t>
      </w:r>
    </w:p>
    <w:p w14:paraId="571EE292">
      <w:pPr>
        <w:spacing w:line="272" w:lineRule="auto"/>
        <w:rPr>
          <w:rFonts w:ascii="Arial"/>
          <w:color w:val="auto"/>
          <w:sz w:val="21"/>
          <w:highlight w:val="none"/>
        </w:rPr>
      </w:pPr>
    </w:p>
    <w:p w14:paraId="554E8373">
      <w:pPr>
        <w:spacing w:line="273" w:lineRule="auto"/>
        <w:rPr>
          <w:rFonts w:ascii="Arial"/>
          <w:color w:val="auto"/>
          <w:sz w:val="21"/>
          <w:highlight w:val="none"/>
        </w:rPr>
      </w:pPr>
    </w:p>
    <w:p w14:paraId="0DD9E889">
      <w:pPr>
        <w:spacing w:line="273" w:lineRule="auto"/>
        <w:rPr>
          <w:rFonts w:ascii="Arial"/>
          <w:color w:val="auto"/>
          <w:sz w:val="21"/>
          <w:highlight w:val="none"/>
        </w:rPr>
      </w:pPr>
    </w:p>
    <w:p w14:paraId="3C50F618">
      <w:pPr>
        <w:spacing w:line="500" w:lineRule="exact"/>
        <w:ind w:firstLine="6407" w:firstLineChars="2150"/>
        <w:rPr>
          <w:rFonts w:hint="eastAsia" w:hAnsi="宋体"/>
          <w:color w:val="auto"/>
          <w:highlight w:val="none"/>
        </w:rPr>
      </w:pPr>
      <w:r>
        <w:rPr>
          <w:rFonts w:ascii="宋体" w:hAnsi="宋体" w:eastAsia="宋体" w:cs="宋体"/>
          <w:color w:val="auto"/>
          <w:spacing w:val="-6"/>
          <w:sz w:val="31"/>
          <w:szCs w:val="31"/>
          <w:highlight w:val="none"/>
        </w:rPr>
        <w:t>年</w:t>
      </w:r>
      <w:r>
        <w:rPr>
          <w:rFonts w:ascii="宋体" w:hAnsi="宋体" w:eastAsia="宋体" w:cs="宋体"/>
          <w:color w:val="auto"/>
          <w:spacing w:val="10"/>
          <w:sz w:val="31"/>
          <w:szCs w:val="31"/>
          <w:highlight w:val="none"/>
        </w:rPr>
        <w:t xml:space="preserve">    </w:t>
      </w:r>
      <w:r>
        <w:rPr>
          <w:rFonts w:ascii="宋体" w:hAnsi="宋体" w:eastAsia="宋体" w:cs="宋体"/>
          <w:color w:val="auto"/>
          <w:spacing w:val="-6"/>
          <w:sz w:val="31"/>
          <w:szCs w:val="31"/>
          <w:highlight w:val="none"/>
        </w:rPr>
        <w:t>月</w:t>
      </w:r>
      <w:r>
        <w:rPr>
          <w:rFonts w:ascii="宋体" w:hAnsi="宋体" w:eastAsia="宋体" w:cs="宋体"/>
          <w:color w:val="auto"/>
          <w:spacing w:val="22"/>
          <w:sz w:val="31"/>
          <w:szCs w:val="31"/>
          <w:highlight w:val="none"/>
        </w:rPr>
        <w:t xml:space="preserve">    </w:t>
      </w:r>
      <w:r>
        <w:rPr>
          <w:rFonts w:ascii="宋体" w:hAnsi="宋体" w:eastAsia="宋体" w:cs="宋体"/>
          <w:color w:val="auto"/>
          <w:spacing w:val="-6"/>
          <w:sz w:val="31"/>
          <w:szCs w:val="31"/>
          <w:highlight w:val="none"/>
        </w:rPr>
        <w:t>日</w:t>
      </w:r>
    </w:p>
    <w:p w14:paraId="72187493">
      <w:pPr>
        <w:pStyle w:val="20"/>
        <w:spacing w:line="480" w:lineRule="auto"/>
        <w:ind w:firstLine="1470" w:firstLineChars="700"/>
        <w:rPr>
          <w:rFonts w:hint="eastAsia" w:hAnsi="宋体"/>
          <w:color w:val="auto"/>
          <w:highlight w:val="none"/>
        </w:rPr>
      </w:pPr>
    </w:p>
    <w:p w14:paraId="3A3040B7">
      <w:pPr>
        <w:spacing w:line="300" w:lineRule="auto"/>
        <w:rPr>
          <w:rFonts w:hint="eastAsia" w:ascii="宋体" w:hAnsi="宋体"/>
          <w:color w:val="auto"/>
          <w:szCs w:val="21"/>
          <w:highlight w:val="none"/>
        </w:rPr>
      </w:pPr>
    </w:p>
    <w:p w14:paraId="45EFF4AB">
      <w:pPr>
        <w:spacing w:line="300" w:lineRule="auto"/>
        <w:rPr>
          <w:rFonts w:hint="eastAsia" w:ascii="宋体" w:hAnsi="宋体"/>
          <w:color w:val="auto"/>
          <w:szCs w:val="21"/>
          <w:highlight w:val="none"/>
        </w:rPr>
      </w:pPr>
    </w:p>
    <w:p w14:paraId="3A88F36F">
      <w:pPr>
        <w:spacing w:before="64" w:line="223" w:lineRule="auto"/>
        <w:ind w:left="145"/>
        <w:rPr>
          <w:rFonts w:ascii="宋体" w:hAnsi="宋体" w:eastAsia="宋体" w:cs="宋体"/>
          <w:color w:val="auto"/>
          <w:sz w:val="30"/>
          <w:szCs w:val="30"/>
          <w:highlight w:val="none"/>
        </w:rPr>
      </w:pPr>
      <w:r>
        <w:rPr>
          <w:rFonts w:ascii="宋体" w:hAnsi="宋体"/>
          <w:color w:val="auto"/>
          <w:szCs w:val="21"/>
          <w:highlight w:val="none"/>
        </w:rPr>
        <w:br w:type="page"/>
      </w:r>
      <w:r>
        <w:rPr>
          <w:rFonts w:ascii="宋体" w:hAnsi="宋体" w:eastAsia="宋体" w:cs="宋体"/>
          <w:b/>
          <w:bCs/>
          <w:color w:val="auto"/>
          <w:spacing w:val="4"/>
          <w:sz w:val="30"/>
          <w:szCs w:val="30"/>
          <w:highlight w:val="none"/>
        </w:rPr>
        <w:t>2.报价文件目录</w:t>
      </w:r>
    </w:p>
    <w:p w14:paraId="6EA6DB7A">
      <w:pPr>
        <w:ind w:firstLine="636" w:firstLineChars="200"/>
        <w:rPr>
          <w:rFonts w:ascii="宋体" w:hAnsi="宋体"/>
          <w:color w:val="auto"/>
          <w:szCs w:val="21"/>
          <w:highlight w:val="none"/>
        </w:rPr>
      </w:pPr>
      <w:r>
        <w:rPr>
          <w:rFonts w:ascii="宋体" w:hAnsi="宋体" w:eastAsia="宋体" w:cs="宋体"/>
          <w:color w:val="auto"/>
          <w:spacing w:val="9"/>
          <w:sz w:val="30"/>
          <w:szCs w:val="30"/>
          <w:highlight w:val="none"/>
        </w:rPr>
        <w:t>根据谈判文件规定及供应商提供的材料自行编写目录（部分格</w:t>
      </w:r>
      <w:r>
        <w:rPr>
          <w:rFonts w:ascii="宋体" w:hAnsi="宋体" w:eastAsia="宋体" w:cs="宋体"/>
          <w:color w:val="auto"/>
          <w:spacing w:val="2"/>
          <w:sz w:val="30"/>
          <w:szCs w:val="30"/>
          <w:highlight w:val="none"/>
        </w:rPr>
        <w:t>式后附）。</w:t>
      </w:r>
      <w:r>
        <w:rPr>
          <w:rFonts w:ascii="宋体" w:hAnsi="宋体"/>
          <w:color w:val="auto"/>
          <w:szCs w:val="21"/>
          <w:highlight w:val="none"/>
        </w:rPr>
        <w:br w:type="page"/>
      </w:r>
    </w:p>
    <w:p w14:paraId="09F6C0D4">
      <w:pPr>
        <w:spacing w:before="85" w:line="217" w:lineRule="auto"/>
        <w:jc w:val="center"/>
        <w:rPr>
          <w:rFonts w:ascii="宋体" w:hAnsi="宋体" w:eastAsia="宋体" w:cs="宋体"/>
          <w:color w:val="auto"/>
          <w:sz w:val="32"/>
          <w:szCs w:val="32"/>
          <w:highlight w:val="none"/>
        </w:rPr>
      </w:pPr>
      <w:r>
        <w:rPr>
          <w:rFonts w:ascii="宋体" w:hAnsi="宋体" w:eastAsia="宋体" w:cs="宋体"/>
          <w:b/>
          <w:bCs/>
          <w:color w:val="auto"/>
          <w:spacing w:val="3"/>
          <w:sz w:val="32"/>
          <w:szCs w:val="32"/>
          <w:highlight w:val="none"/>
        </w:rPr>
        <w:t>竞</w:t>
      </w:r>
      <w:r>
        <w:rPr>
          <w:rFonts w:ascii="宋体" w:hAnsi="宋体" w:eastAsia="宋体" w:cs="宋体"/>
          <w:color w:val="auto"/>
          <w:spacing w:val="3"/>
          <w:sz w:val="32"/>
          <w:szCs w:val="32"/>
          <w:highlight w:val="none"/>
        </w:rPr>
        <w:t xml:space="preserve">  </w:t>
      </w:r>
      <w:r>
        <w:rPr>
          <w:rFonts w:ascii="宋体" w:hAnsi="宋体" w:eastAsia="宋体" w:cs="宋体"/>
          <w:b/>
          <w:bCs/>
          <w:color w:val="auto"/>
          <w:spacing w:val="3"/>
          <w:sz w:val="32"/>
          <w:szCs w:val="32"/>
          <w:highlight w:val="none"/>
        </w:rPr>
        <w:t>标</w:t>
      </w:r>
      <w:r>
        <w:rPr>
          <w:rFonts w:ascii="宋体" w:hAnsi="宋体" w:eastAsia="宋体" w:cs="宋体"/>
          <w:color w:val="auto"/>
          <w:spacing w:val="3"/>
          <w:sz w:val="32"/>
          <w:szCs w:val="32"/>
          <w:highlight w:val="none"/>
        </w:rPr>
        <w:t xml:space="preserve">  </w:t>
      </w:r>
      <w:r>
        <w:rPr>
          <w:rFonts w:ascii="宋体" w:hAnsi="宋体" w:eastAsia="宋体" w:cs="宋体"/>
          <w:b/>
          <w:bCs/>
          <w:color w:val="auto"/>
          <w:spacing w:val="3"/>
          <w:sz w:val="32"/>
          <w:szCs w:val="32"/>
          <w:highlight w:val="none"/>
        </w:rPr>
        <w:t>报</w:t>
      </w:r>
      <w:r>
        <w:rPr>
          <w:rFonts w:ascii="宋体" w:hAnsi="宋体" w:eastAsia="宋体" w:cs="宋体"/>
          <w:color w:val="auto"/>
          <w:spacing w:val="7"/>
          <w:sz w:val="32"/>
          <w:szCs w:val="32"/>
          <w:highlight w:val="none"/>
        </w:rPr>
        <w:t xml:space="preserve">  </w:t>
      </w:r>
      <w:r>
        <w:rPr>
          <w:rFonts w:ascii="宋体" w:hAnsi="宋体" w:eastAsia="宋体" w:cs="宋体"/>
          <w:b/>
          <w:bCs/>
          <w:color w:val="auto"/>
          <w:spacing w:val="3"/>
          <w:sz w:val="32"/>
          <w:szCs w:val="32"/>
          <w:highlight w:val="none"/>
        </w:rPr>
        <w:t>价</w:t>
      </w:r>
      <w:r>
        <w:rPr>
          <w:rFonts w:ascii="宋体" w:hAnsi="宋体" w:eastAsia="宋体" w:cs="宋体"/>
          <w:color w:val="auto"/>
          <w:spacing w:val="7"/>
          <w:sz w:val="32"/>
          <w:szCs w:val="32"/>
          <w:highlight w:val="none"/>
        </w:rPr>
        <w:t xml:space="preserve">  </w:t>
      </w:r>
      <w:r>
        <w:rPr>
          <w:rFonts w:ascii="宋体" w:hAnsi="宋体" w:eastAsia="宋体" w:cs="宋体"/>
          <w:b/>
          <w:bCs/>
          <w:color w:val="auto"/>
          <w:spacing w:val="3"/>
          <w:sz w:val="32"/>
          <w:szCs w:val="32"/>
          <w:highlight w:val="none"/>
        </w:rPr>
        <w:t>表</w:t>
      </w:r>
    </w:p>
    <w:p w14:paraId="3F1B0253">
      <w:pPr>
        <w:spacing w:line="247" w:lineRule="auto"/>
        <w:rPr>
          <w:rFonts w:ascii="Arial"/>
          <w:color w:val="auto"/>
          <w:sz w:val="21"/>
          <w:highlight w:val="none"/>
        </w:rPr>
      </w:pPr>
    </w:p>
    <w:p w14:paraId="0263FA7F">
      <w:pPr>
        <w:spacing w:line="248" w:lineRule="auto"/>
        <w:rPr>
          <w:rFonts w:ascii="Arial"/>
          <w:color w:val="auto"/>
          <w:sz w:val="21"/>
          <w:highlight w:val="none"/>
        </w:rPr>
      </w:pPr>
    </w:p>
    <w:p w14:paraId="75B537CA">
      <w:pPr>
        <w:spacing w:before="78" w:line="219" w:lineRule="auto"/>
        <w:ind w:left="124"/>
        <w:rPr>
          <w:rFonts w:ascii="宋体" w:hAnsi="宋体" w:eastAsia="宋体" w:cs="宋体"/>
          <w:color w:val="auto"/>
          <w:sz w:val="24"/>
          <w:szCs w:val="24"/>
          <w:highlight w:val="none"/>
        </w:rPr>
      </w:pPr>
      <w:r>
        <w:rPr>
          <w:rFonts w:ascii="宋体" w:hAnsi="宋体" w:eastAsia="宋体" w:cs="宋体"/>
          <w:color w:val="auto"/>
          <w:sz w:val="24"/>
          <w:szCs w:val="24"/>
          <w:highlight w:val="none"/>
        </w:rPr>
        <w:t>项目名称：</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1"/>
          <w:sz w:val="24"/>
          <w:szCs w:val="24"/>
          <w:highlight w:val="none"/>
          <w:u w:val="single" w:color="auto"/>
        </w:rPr>
        <w:t xml:space="preserve">  </w:t>
      </w:r>
      <w:r>
        <w:rPr>
          <w:rFonts w:ascii="宋体" w:hAnsi="宋体" w:eastAsia="宋体" w:cs="宋体"/>
          <w:color w:val="auto"/>
          <w:spacing w:val="-107"/>
          <w:sz w:val="24"/>
          <w:szCs w:val="24"/>
          <w:highlight w:val="none"/>
        </w:rPr>
        <w:t xml:space="preserve"> </w:t>
      </w:r>
      <w:r>
        <w:rPr>
          <w:rFonts w:ascii="宋体" w:hAnsi="宋体" w:eastAsia="宋体" w:cs="宋体"/>
          <w:color w:val="auto"/>
          <w:spacing w:val="-1"/>
          <w:sz w:val="24"/>
          <w:szCs w:val="24"/>
          <w:highlight w:val="none"/>
        </w:rPr>
        <w:t>项目编号：</w:t>
      </w:r>
      <w:r>
        <w:rPr>
          <w:rFonts w:ascii="宋体" w:hAnsi="宋体" w:eastAsia="宋体" w:cs="宋体"/>
          <w:color w:val="auto"/>
          <w:spacing w:val="-1"/>
          <w:sz w:val="24"/>
          <w:szCs w:val="24"/>
          <w:highlight w:val="none"/>
          <w:u w:val="single" w:color="auto"/>
        </w:rPr>
        <w:t xml:space="preserve">               </w:t>
      </w:r>
      <w:r>
        <w:rPr>
          <w:rFonts w:ascii="宋体" w:hAnsi="宋体" w:eastAsia="宋体" w:cs="宋体"/>
          <w:color w:val="auto"/>
          <w:spacing w:val="-1"/>
          <w:sz w:val="24"/>
          <w:szCs w:val="24"/>
          <w:highlight w:val="none"/>
        </w:rPr>
        <w:t xml:space="preserve"> 分标（如有</w:t>
      </w:r>
      <w:r>
        <w:rPr>
          <w:rFonts w:ascii="宋体" w:hAnsi="宋体" w:eastAsia="宋体" w:cs="宋体"/>
          <w:color w:val="auto"/>
          <w:sz w:val="24"/>
          <w:szCs w:val="24"/>
          <w:highlight w:val="none"/>
        </w:rPr>
        <w:t>）：</w:t>
      </w:r>
      <w:r>
        <w:rPr>
          <w:rFonts w:ascii="宋体" w:hAnsi="宋体" w:eastAsia="宋体" w:cs="宋体"/>
          <w:color w:val="auto"/>
          <w:sz w:val="24"/>
          <w:szCs w:val="24"/>
          <w:highlight w:val="none"/>
          <w:u w:val="single" w:color="auto"/>
        </w:rPr>
        <w:t xml:space="preserve">       </w:t>
      </w:r>
    </w:p>
    <w:p w14:paraId="3B25CB54">
      <w:pPr>
        <w:spacing w:before="230" w:line="219" w:lineRule="auto"/>
        <w:ind w:left="120"/>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供应商名称：</w:t>
      </w:r>
      <w:r>
        <w:rPr>
          <w:rFonts w:ascii="宋体" w:hAnsi="宋体" w:eastAsia="宋体" w:cs="宋体"/>
          <w:color w:val="auto"/>
          <w:sz w:val="24"/>
          <w:szCs w:val="24"/>
          <w:highlight w:val="none"/>
          <w:u w:val="single" w:color="auto"/>
        </w:rPr>
        <w:t xml:space="preserve">              </w:t>
      </w:r>
    </w:p>
    <w:p w14:paraId="0E5BD416">
      <w:pPr>
        <w:spacing w:before="231" w:line="220" w:lineRule="auto"/>
        <w:ind w:left="7802"/>
        <w:rPr>
          <w:rFonts w:ascii="宋体" w:hAnsi="宋体" w:eastAsia="宋体" w:cs="宋体"/>
          <w:color w:val="auto"/>
          <w:sz w:val="24"/>
          <w:szCs w:val="24"/>
          <w:highlight w:val="none"/>
        </w:rPr>
      </w:pPr>
      <w:r>
        <w:rPr>
          <w:rFonts w:ascii="宋体" w:hAnsi="宋体" w:eastAsia="宋体" w:cs="宋体"/>
          <w:color w:val="auto"/>
          <w:sz w:val="24"/>
          <w:szCs w:val="24"/>
          <w:highlight w:val="none"/>
        </w:rPr>
        <w:t>单位：元</w:t>
      </w:r>
    </w:p>
    <w:p w14:paraId="4830E2A3">
      <w:pPr>
        <w:spacing w:line="197" w:lineRule="exact"/>
        <w:rPr>
          <w:color w:val="auto"/>
          <w:sz w:val="24"/>
          <w:szCs w:val="24"/>
          <w:highlight w:val="none"/>
        </w:rPr>
      </w:pPr>
    </w:p>
    <w:tbl>
      <w:tblPr>
        <w:tblStyle w:val="78"/>
        <w:tblW w:w="894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14"/>
        <w:gridCol w:w="900"/>
        <w:gridCol w:w="853"/>
        <w:gridCol w:w="739"/>
        <w:gridCol w:w="904"/>
        <w:gridCol w:w="945"/>
        <w:gridCol w:w="927"/>
        <w:gridCol w:w="1006"/>
        <w:gridCol w:w="660"/>
        <w:gridCol w:w="1497"/>
      </w:tblGrid>
      <w:tr w14:paraId="26CD6D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5" w:hRule="atLeast"/>
        </w:trPr>
        <w:tc>
          <w:tcPr>
            <w:tcW w:w="514" w:type="dxa"/>
            <w:vAlign w:val="center"/>
          </w:tcPr>
          <w:p w14:paraId="2C57FBF4">
            <w:pPr>
              <w:pStyle w:val="77"/>
              <w:spacing w:before="273" w:line="361" w:lineRule="auto"/>
              <w:ind w:right="211"/>
              <w:jc w:val="center"/>
              <w:rPr>
                <w:color w:val="auto"/>
                <w:sz w:val="24"/>
                <w:szCs w:val="24"/>
                <w:highlight w:val="none"/>
              </w:rPr>
            </w:pPr>
            <w:r>
              <w:rPr>
                <w:b/>
                <w:bCs/>
                <w:color w:val="auto"/>
                <w:spacing w:val="-8"/>
                <w:sz w:val="24"/>
                <w:szCs w:val="24"/>
                <w:highlight w:val="none"/>
              </w:rPr>
              <w:t>项号</w:t>
            </w:r>
          </w:p>
        </w:tc>
        <w:tc>
          <w:tcPr>
            <w:tcW w:w="900" w:type="dxa"/>
            <w:vAlign w:val="center"/>
          </w:tcPr>
          <w:p w14:paraId="6048C255">
            <w:pPr>
              <w:pStyle w:val="77"/>
              <w:spacing w:before="273" w:line="361" w:lineRule="auto"/>
              <w:ind w:right="211"/>
              <w:jc w:val="center"/>
              <w:rPr>
                <w:color w:val="auto"/>
                <w:sz w:val="24"/>
                <w:szCs w:val="24"/>
                <w:highlight w:val="none"/>
              </w:rPr>
            </w:pPr>
            <w:r>
              <w:rPr>
                <w:b/>
                <w:bCs/>
                <w:color w:val="auto"/>
                <w:spacing w:val="-8"/>
                <w:sz w:val="24"/>
                <w:szCs w:val="24"/>
                <w:highlight w:val="none"/>
              </w:rPr>
              <w:t>标的</w:t>
            </w:r>
            <w:r>
              <w:rPr>
                <w:b/>
                <w:bCs/>
                <w:color w:val="auto"/>
                <w:spacing w:val="-18"/>
                <w:sz w:val="24"/>
                <w:szCs w:val="24"/>
                <w:highlight w:val="none"/>
              </w:rPr>
              <w:t>的名</w:t>
            </w:r>
            <w:r>
              <w:rPr>
                <w:b/>
                <w:bCs/>
                <w:color w:val="auto"/>
                <w:spacing w:val="30"/>
                <w:w w:val="125"/>
                <w:sz w:val="24"/>
                <w:szCs w:val="24"/>
                <w:highlight w:val="none"/>
              </w:rPr>
              <w:t>称</w:t>
            </w:r>
          </w:p>
        </w:tc>
        <w:tc>
          <w:tcPr>
            <w:tcW w:w="853" w:type="dxa"/>
            <w:vAlign w:val="center"/>
          </w:tcPr>
          <w:p w14:paraId="7212D7F8">
            <w:pPr>
              <w:pStyle w:val="77"/>
              <w:spacing w:before="40" w:line="219" w:lineRule="auto"/>
              <w:jc w:val="center"/>
              <w:rPr>
                <w:color w:val="auto"/>
                <w:sz w:val="24"/>
                <w:szCs w:val="24"/>
                <w:highlight w:val="none"/>
              </w:rPr>
            </w:pPr>
            <w:r>
              <w:rPr>
                <w:b/>
                <w:bCs/>
                <w:color w:val="auto"/>
                <w:spacing w:val="-9"/>
                <w:sz w:val="24"/>
                <w:szCs w:val="24"/>
                <w:highlight w:val="none"/>
              </w:rPr>
              <w:t>数量</w:t>
            </w:r>
            <w:r>
              <w:rPr>
                <w:b/>
                <w:bCs/>
                <w:color w:val="auto"/>
                <w:spacing w:val="-7"/>
                <w:sz w:val="24"/>
                <w:szCs w:val="24"/>
                <w:highlight w:val="none"/>
              </w:rPr>
              <w:t>及单</w:t>
            </w:r>
            <w:r>
              <w:rPr>
                <w:b/>
                <w:bCs/>
                <w:color w:val="auto"/>
                <w:spacing w:val="-3"/>
                <w:sz w:val="24"/>
                <w:szCs w:val="24"/>
                <w:highlight w:val="none"/>
              </w:rPr>
              <w:t>位</w:t>
            </w:r>
            <w:r>
              <w:rPr>
                <w:rFonts w:hint="eastAsia"/>
                <w:b/>
                <w:bCs/>
                <w:color w:val="auto"/>
                <w:spacing w:val="-3"/>
                <w:sz w:val="24"/>
                <w:szCs w:val="24"/>
                <w:highlight w:val="none"/>
                <w:lang w:val="en-US" w:eastAsia="zh-CN"/>
              </w:rPr>
              <w:t xml:space="preserve">  </w:t>
            </w:r>
            <w:r>
              <w:rPr>
                <w:b/>
                <w:bCs/>
                <w:color w:val="auto"/>
                <w:spacing w:val="-3"/>
                <w:sz w:val="24"/>
                <w:szCs w:val="24"/>
                <w:highlight w:val="none"/>
              </w:rPr>
              <w:t>①</w:t>
            </w:r>
          </w:p>
        </w:tc>
        <w:tc>
          <w:tcPr>
            <w:tcW w:w="739" w:type="dxa"/>
            <w:vAlign w:val="center"/>
          </w:tcPr>
          <w:p w14:paraId="341C208C">
            <w:pPr>
              <w:pStyle w:val="77"/>
              <w:spacing w:before="78" w:line="219" w:lineRule="auto"/>
              <w:jc w:val="center"/>
              <w:rPr>
                <w:color w:val="auto"/>
                <w:sz w:val="24"/>
                <w:szCs w:val="24"/>
                <w:highlight w:val="none"/>
              </w:rPr>
            </w:pPr>
            <w:r>
              <w:rPr>
                <w:b/>
                <w:bCs/>
                <w:color w:val="auto"/>
                <w:spacing w:val="-18"/>
                <w:sz w:val="24"/>
                <w:szCs w:val="24"/>
                <w:highlight w:val="none"/>
              </w:rPr>
              <w:t>品牌</w:t>
            </w:r>
          </w:p>
        </w:tc>
        <w:tc>
          <w:tcPr>
            <w:tcW w:w="904" w:type="dxa"/>
            <w:vAlign w:val="center"/>
          </w:tcPr>
          <w:p w14:paraId="6CB716CC">
            <w:pPr>
              <w:pStyle w:val="77"/>
              <w:spacing w:before="78" w:line="361" w:lineRule="auto"/>
              <w:ind w:right="211"/>
              <w:jc w:val="center"/>
              <w:rPr>
                <w:color w:val="auto"/>
                <w:sz w:val="24"/>
                <w:szCs w:val="24"/>
                <w:highlight w:val="none"/>
              </w:rPr>
            </w:pPr>
            <w:r>
              <w:rPr>
                <w:b/>
                <w:bCs/>
                <w:color w:val="auto"/>
                <w:spacing w:val="-8"/>
                <w:sz w:val="24"/>
                <w:szCs w:val="24"/>
                <w:highlight w:val="none"/>
              </w:rPr>
              <w:t>规格</w:t>
            </w:r>
            <w:r>
              <w:rPr>
                <w:b/>
                <w:bCs/>
                <w:color w:val="auto"/>
                <w:spacing w:val="-11"/>
                <w:sz w:val="24"/>
                <w:szCs w:val="24"/>
                <w:highlight w:val="none"/>
              </w:rPr>
              <w:t>型号</w:t>
            </w:r>
          </w:p>
        </w:tc>
        <w:tc>
          <w:tcPr>
            <w:tcW w:w="945" w:type="dxa"/>
            <w:vAlign w:val="center"/>
          </w:tcPr>
          <w:p w14:paraId="72FBFFEF">
            <w:pPr>
              <w:pStyle w:val="77"/>
              <w:spacing w:before="78" w:line="361" w:lineRule="auto"/>
              <w:ind w:right="199"/>
              <w:jc w:val="center"/>
              <w:rPr>
                <w:color w:val="auto"/>
                <w:sz w:val="24"/>
                <w:szCs w:val="24"/>
                <w:highlight w:val="none"/>
              </w:rPr>
            </w:pPr>
            <w:r>
              <w:rPr>
                <w:b/>
                <w:bCs/>
                <w:color w:val="auto"/>
                <w:spacing w:val="-8"/>
                <w:sz w:val="24"/>
                <w:szCs w:val="24"/>
                <w:highlight w:val="none"/>
              </w:rPr>
              <w:t>制造</w:t>
            </w:r>
            <w:r>
              <w:rPr>
                <w:b/>
                <w:bCs/>
                <w:color w:val="auto"/>
                <w:spacing w:val="-3"/>
                <w:sz w:val="24"/>
                <w:szCs w:val="24"/>
                <w:highlight w:val="none"/>
              </w:rPr>
              <w:t>商</w:t>
            </w:r>
          </w:p>
        </w:tc>
        <w:tc>
          <w:tcPr>
            <w:tcW w:w="927" w:type="dxa"/>
            <w:vAlign w:val="center"/>
          </w:tcPr>
          <w:p w14:paraId="4BF9A187">
            <w:pPr>
              <w:pStyle w:val="77"/>
              <w:spacing w:before="78" w:line="365" w:lineRule="auto"/>
              <w:ind w:right="168"/>
              <w:jc w:val="center"/>
              <w:rPr>
                <w:color w:val="auto"/>
                <w:sz w:val="24"/>
                <w:szCs w:val="24"/>
                <w:highlight w:val="none"/>
              </w:rPr>
            </w:pPr>
            <w:r>
              <w:rPr>
                <w:b/>
                <w:bCs/>
                <w:color w:val="auto"/>
                <w:spacing w:val="-11"/>
                <w:sz w:val="24"/>
                <w:szCs w:val="24"/>
                <w:highlight w:val="none"/>
              </w:rPr>
              <w:t>原产</w:t>
            </w:r>
            <w:r>
              <w:rPr>
                <w:b/>
                <w:bCs/>
                <w:color w:val="auto"/>
                <w:spacing w:val="-3"/>
                <w:sz w:val="24"/>
                <w:szCs w:val="24"/>
                <w:highlight w:val="none"/>
              </w:rPr>
              <w:t>地</w:t>
            </w:r>
          </w:p>
        </w:tc>
        <w:tc>
          <w:tcPr>
            <w:tcW w:w="1006" w:type="dxa"/>
            <w:vAlign w:val="center"/>
          </w:tcPr>
          <w:p w14:paraId="6988BE40">
            <w:pPr>
              <w:pStyle w:val="77"/>
              <w:spacing w:before="40" w:line="219" w:lineRule="auto"/>
              <w:jc w:val="center"/>
              <w:rPr>
                <w:color w:val="auto"/>
                <w:sz w:val="24"/>
                <w:szCs w:val="24"/>
                <w:highlight w:val="none"/>
              </w:rPr>
            </w:pPr>
            <w:r>
              <w:rPr>
                <w:b/>
                <w:bCs/>
                <w:color w:val="auto"/>
                <w:spacing w:val="-6"/>
                <w:sz w:val="24"/>
                <w:szCs w:val="24"/>
                <w:highlight w:val="none"/>
              </w:rPr>
              <w:t>参数性</w:t>
            </w:r>
            <w:r>
              <w:rPr>
                <w:b/>
                <w:bCs/>
                <w:color w:val="auto"/>
                <w:spacing w:val="-4"/>
                <w:sz w:val="24"/>
                <w:szCs w:val="24"/>
                <w:highlight w:val="none"/>
              </w:rPr>
              <w:t>能、指</w:t>
            </w:r>
            <w:r>
              <w:rPr>
                <w:b/>
                <w:bCs/>
                <w:color w:val="auto"/>
                <w:spacing w:val="-6"/>
                <w:sz w:val="24"/>
                <w:szCs w:val="24"/>
                <w:highlight w:val="none"/>
              </w:rPr>
              <w:t>标及配</w:t>
            </w:r>
            <w:r>
              <w:rPr>
                <w:b/>
                <w:bCs/>
                <w:color w:val="auto"/>
                <w:spacing w:val="-3"/>
                <w:sz w:val="24"/>
                <w:szCs w:val="24"/>
                <w:highlight w:val="none"/>
              </w:rPr>
              <w:t>置</w:t>
            </w:r>
          </w:p>
        </w:tc>
        <w:tc>
          <w:tcPr>
            <w:tcW w:w="660" w:type="dxa"/>
            <w:vAlign w:val="center"/>
          </w:tcPr>
          <w:p w14:paraId="697D207D">
            <w:pPr>
              <w:pStyle w:val="77"/>
              <w:spacing w:before="206" w:line="207" w:lineRule="auto"/>
              <w:jc w:val="center"/>
              <w:rPr>
                <w:color w:val="auto"/>
                <w:sz w:val="24"/>
                <w:szCs w:val="24"/>
                <w:highlight w:val="none"/>
              </w:rPr>
            </w:pPr>
            <w:r>
              <w:rPr>
                <w:b/>
                <w:bCs/>
                <w:color w:val="auto"/>
                <w:spacing w:val="-3"/>
                <w:sz w:val="24"/>
                <w:szCs w:val="24"/>
                <w:highlight w:val="none"/>
              </w:rPr>
              <w:t>单</w:t>
            </w:r>
            <w:r>
              <w:rPr>
                <w:rFonts w:hint="eastAsia"/>
                <w:b/>
                <w:bCs/>
                <w:color w:val="auto"/>
                <w:spacing w:val="-3"/>
                <w:sz w:val="24"/>
                <w:szCs w:val="24"/>
                <w:highlight w:val="none"/>
                <w:lang w:val="en-US" w:eastAsia="zh-CN"/>
              </w:rPr>
              <w:t xml:space="preserve">   </w:t>
            </w:r>
            <w:r>
              <w:rPr>
                <w:b/>
                <w:bCs/>
                <w:color w:val="auto"/>
                <w:spacing w:val="-3"/>
                <w:sz w:val="24"/>
                <w:szCs w:val="24"/>
                <w:highlight w:val="none"/>
              </w:rPr>
              <w:t>价</w:t>
            </w:r>
            <w:r>
              <w:rPr>
                <w:rFonts w:hint="eastAsia"/>
                <w:b/>
                <w:bCs/>
                <w:color w:val="auto"/>
                <w:spacing w:val="-3"/>
                <w:sz w:val="24"/>
                <w:szCs w:val="24"/>
                <w:highlight w:val="none"/>
                <w:lang w:val="en-US" w:eastAsia="zh-CN"/>
              </w:rPr>
              <w:t xml:space="preserve">  </w:t>
            </w:r>
            <w:r>
              <w:rPr>
                <w:b/>
                <w:bCs/>
                <w:color w:val="auto"/>
                <w:spacing w:val="-3"/>
                <w:sz w:val="24"/>
                <w:szCs w:val="24"/>
                <w:highlight w:val="none"/>
              </w:rPr>
              <w:t>②</w:t>
            </w:r>
          </w:p>
        </w:tc>
        <w:tc>
          <w:tcPr>
            <w:tcW w:w="1497" w:type="dxa"/>
            <w:vAlign w:val="center"/>
          </w:tcPr>
          <w:p w14:paraId="426922FB">
            <w:pPr>
              <w:pStyle w:val="77"/>
              <w:spacing w:before="78" w:line="359" w:lineRule="auto"/>
              <w:ind w:right="203"/>
              <w:jc w:val="center"/>
              <w:rPr>
                <w:color w:val="auto"/>
                <w:sz w:val="24"/>
                <w:szCs w:val="24"/>
                <w:highlight w:val="none"/>
              </w:rPr>
            </w:pPr>
            <w:r>
              <w:rPr>
                <w:b/>
                <w:bCs/>
                <w:color w:val="auto"/>
                <w:spacing w:val="-5"/>
                <w:sz w:val="24"/>
                <w:szCs w:val="24"/>
                <w:highlight w:val="none"/>
              </w:rPr>
              <w:t>竞标报价</w:t>
            </w:r>
            <w:r>
              <w:rPr>
                <w:b/>
                <w:bCs/>
                <w:color w:val="auto"/>
                <w:spacing w:val="-4"/>
                <w:sz w:val="24"/>
                <w:szCs w:val="24"/>
                <w:highlight w:val="none"/>
              </w:rPr>
              <w:t>③=①×②</w:t>
            </w:r>
          </w:p>
        </w:tc>
      </w:tr>
      <w:tr w14:paraId="2118A9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514" w:type="dxa"/>
            <w:vAlign w:val="top"/>
          </w:tcPr>
          <w:p w14:paraId="29A7290F">
            <w:pPr>
              <w:pStyle w:val="77"/>
              <w:spacing w:before="36" w:line="241" w:lineRule="auto"/>
              <w:ind w:left="221"/>
              <w:rPr>
                <w:color w:val="auto"/>
                <w:sz w:val="24"/>
                <w:szCs w:val="24"/>
                <w:highlight w:val="none"/>
              </w:rPr>
            </w:pPr>
            <w:r>
              <w:rPr>
                <w:color w:val="auto"/>
                <w:sz w:val="24"/>
                <w:szCs w:val="24"/>
                <w:highlight w:val="none"/>
              </w:rPr>
              <w:t>1</w:t>
            </w:r>
          </w:p>
        </w:tc>
        <w:tc>
          <w:tcPr>
            <w:tcW w:w="900" w:type="dxa"/>
            <w:vAlign w:val="top"/>
          </w:tcPr>
          <w:p w14:paraId="2F905EC7">
            <w:pPr>
              <w:rPr>
                <w:rFonts w:ascii="Arial"/>
                <w:color w:val="auto"/>
                <w:sz w:val="24"/>
                <w:szCs w:val="24"/>
                <w:highlight w:val="none"/>
              </w:rPr>
            </w:pPr>
          </w:p>
        </w:tc>
        <w:tc>
          <w:tcPr>
            <w:tcW w:w="853" w:type="dxa"/>
            <w:vAlign w:val="top"/>
          </w:tcPr>
          <w:p w14:paraId="75C73136">
            <w:pPr>
              <w:rPr>
                <w:rFonts w:ascii="Arial"/>
                <w:color w:val="auto"/>
                <w:sz w:val="24"/>
                <w:szCs w:val="24"/>
                <w:highlight w:val="none"/>
              </w:rPr>
            </w:pPr>
          </w:p>
        </w:tc>
        <w:tc>
          <w:tcPr>
            <w:tcW w:w="739" w:type="dxa"/>
            <w:vAlign w:val="top"/>
          </w:tcPr>
          <w:p w14:paraId="2E3B2E1B">
            <w:pPr>
              <w:rPr>
                <w:rFonts w:ascii="Arial"/>
                <w:color w:val="auto"/>
                <w:sz w:val="24"/>
                <w:szCs w:val="24"/>
                <w:highlight w:val="none"/>
              </w:rPr>
            </w:pPr>
          </w:p>
        </w:tc>
        <w:tc>
          <w:tcPr>
            <w:tcW w:w="904" w:type="dxa"/>
            <w:vAlign w:val="top"/>
          </w:tcPr>
          <w:p w14:paraId="37B60971">
            <w:pPr>
              <w:rPr>
                <w:rFonts w:ascii="Arial"/>
                <w:color w:val="auto"/>
                <w:sz w:val="24"/>
                <w:szCs w:val="24"/>
                <w:highlight w:val="none"/>
              </w:rPr>
            </w:pPr>
          </w:p>
        </w:tc>
        <w:tc>
          <w:tcPr>
            <w:tcW w:w="945" w:type="dxa"/>
            <w:vAlign w:val="top"/>
          </w:tcPr>
          <w:p w14:paraId="457C4423">
            <w:pPr>
              <w:rPr>
                <w:rFonts w:ascii="Arial"/>
                <w:color w:val="auto"/>
                <w:sz w:val="24"/>
                <w:szCs w:val="24"/>
                <w:highlight w:val="none"/>
              </w:rPr>
            </w:pPr>
          </w:p>
        </w:tc>
        <w:tc>
          <w:tcPr>
            <w:tcW w:w="927" w:type="dxa"/>
            <w:vAlign w:val="top"/>
          </w:tcPr>
          <w:p w14:paraId="324478B4">
            <w:pPr>
              <w:rPr>
                <w:rFonts w:ascii="Arial"/>
                <w:color w:val="auto"/>
                <w:sz w:val="24"/>
                <w:szCs w:val="24"/>
                <w:highlight w:val="none"/>
              </w:rPr>
            </w:pPr>
          </w:p>
        </w:tc>
        <w:tc>
          <w:tcPr>
            <w:tcW w:w="1006" w:type="dxa"/>
            <w:vAlign w:val="top"/>
          </w:tcPr>
          <w:p w14:paraId="19E5AEAC">
            <w:pPr>
              <w:rPr>
                <w:rFonts w:ascii="Arial"/>
                <w:color w:val="auto"/>
                <w:sz w:val="24"/>
                <w:szCs w:val="24"/>
                <w:highlight w:val="none"/>
              </w:rPr>
            </w:pPr>
          </w:p>
        </w:tc>
        <w:tc>
          <w:tcPr>
            <w:tcW w:w="660" w:type="dxa"/>
            <w:vAlign w:val="top"/>
          </w:tcPr>
          <w:p w14:paraId="357699E2">
            <w:pPr>
              <w:rPr>
                <w:rFonts w:ascii="Arial"/>
                <w:color w:val="auto"/>
                <w:sz w:val="24"/>
                <w:szCs w:val="24"/>
                <w:highlight w:val="none"/>
              </w:rPr>
            </w:pPr>
          </w:p>
        </w:tc>
        <w:tc>
          <w:tcPr>
            <w:tcW w:w="1497" w:type="dxa"/>
            <w:vAlign w:val="top"/>
          </w:tcPr>
          <w:p w14:paraId="2EBDDAD9">
            <w:pPr>
              <w:rPr>
                <w:rFonts w:ascii="Arial"/>
                <w:color w:val="auto"/>
                <w:sz w:val="24"/>
                <w:szCs w:val="24"/>
                <w:highlight w:val="none"/>
              </w:rPr>
            </w:pPr>
          </w:p>
        </w:tc>
      </w:tr>
      <w:tr w14:paraId="74957A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514" w:type="dxa"/>
            <w:vAlign w:val="top"/>
          </w:tcPr>
          <w:p w14:paraId="79012EBF">
            <w:pPr>
              <w:pStyle w:val="77"/>
              <w:spacing w:before="38" w:line="241" w:lineRule="auto"/>
              <w:ind w:left="206"/>
              <w:rPr>
                <w:color w:val="auto"/>
                <w:sz w:val="24"/>
                <w:szCs w:val="24"/>
                <w:highlight w:val="none"/>
              </w:rPr>
            </w:pPr>
            <w:r>
              <w:rPr>
                <w:color w:val="auto"/>
                <w:sz w:val="24"/>
                <w:szCs w:val="24"/>
                <w:highlight w:val="none"/>
              </w:rPr>
              <w:t>2</w:t>
            </w:r>
          </w:p>
        </w:tc>
        <w:tc>
          <w:tcPr>
            <w:tcW w:w="900" w:type="dxa"/>
            <w:vAlign w:val="top"/>
          </w:tcPr>
          <w:p w14:paraId="5930908C">
            <w:pPr>
              <w:rPr>
                <w:rFonts w:ascii="Arial"/>
                <w:color w:val="auto"/>
                <w:sz w:val="24"/>
                <w:szCs w:val="24"/>
                <w:highlight w:val="none"/>
              </w:rPr>
            </w:pPr>
          </w:p>
        </w:tc>
        <w:tc>
          <w:tcPr>
            <w:tcW w:w="853" w:type="dxa"/>
            <w:vAlign w:val="top"/>
          </w:tcPr>
          <w:p w14:paraId="006458B3">
            <w:pPr>
              <w:rPr>
                <w:rFonts w:ascii="Arial"/>
                <w:color w:val="auto"/>
                <w:sz w:val="24"/>
                <w:szCs w:val="24"/>
                <w:highlight w:val="none"/>
              </w:rPr>
            </w:pPr>
          </w:p>
        </w:tc>
        <w:tc>
          <w:tcPr>
            <w:tcW w:w="739" w:type="dxa"/>
            <w:vAlign w:val="top"/>
          </w:tcPr>
          <w:p w14:paraId="05025C41">
            <w:pPr>
              <w:rPr>
                <w:rFonts w:ascii="Arial"/>
                <w:color w:val="auto"/>
                <w:sz w:val="24"/>
                <w:szCs w:val="24"/>
                <w:highlight w:val="none"/>
              </w:rPr>
            </w:pPr>
          </w:p>
        </w:tc>
        <w:tc>
          <w:tcPr>
            <w:tcW w:w="904" w:type="dxa"/>
            <w:vAlign w:val="top"/>
          </w:tcPr>
          <w:p w14:paraId="4D921CEB">
            <w:pPr>
              <w:rPr>
                <w:rFonts w:ascii="Arial"/>
                <w:color w:val="auto"/>
                <w:sz w:val="24"/>
                <w:szCs w:val="24"/>
                <w:highlight w:val="none"/>
              </w:rPr>
            </w:pPr>
          </w:p>
        </w:tc>
        <w:tc>
          <w:tcPr>
            <w:tcW w:w="945" w:type="dxa"/>
            <w:vAlign w:val="top"/>
          </w:tcPr>
          <w:p w14:paraId="2498273C">
            <w:pPr>
              <w:rPr>
                <w:rFonts w:ascii="Arial"/>
                <w:color w:val="auto"/>
                <w:sz w:val="24"/>
                <w:szCs w:val="24"/>
                <w:highlight w:val="none"/>
              </w:rPr>
            </w:pPr>
          </w:p>
        </w:tc>
        <w:tc>
          <w:tcPr>
            <w:tcW w:w="927" w:type="dxa"/>
            <w:vAlign w:val="top"/>
          </w:tcPr>
          <w:p w14:paraId="0A6BA703">
            <w:pPr>
              <w:rPr>
                <w:rFonts w:ascii="Arial"/>
                <w:color w:val="auto"/>
                <w:sz w:val="24"/>
                <w:szCs w:val="24"/>
                <w:highlight w:val="none"/>
              </w:rPr>
            </w:pPr>
          </w:p>
        </w:tc>
        <w:tc>
          <w:tcPr>
            <w:tcW w:w="1006" w:type="dxa"/>
            <w:vAlign w:val="top"/>
          </w:tcPr>
          <w:p w14:paraId="190D3EBC">
            <w:pPr>
              <w:rPr>
                <w:rFonts w:ascii="Arial"/>
                <w:color w:val="auto"/>
                <w:sz w:val="24"/>
                <w:szCs w:val="24"/>
                <w:highlight w:val="none"/>
              </w:rPr>
            </w:pPr>
          </w:p>
        </w:tc>
        <w:tc>
          <w:tcPr>
            <w:tcW w:w="660" w:type="dxa"/>
            <w:vAlign w:val="top"/>
          </w:tcPr>
          <w:p w14:paraId="7E6DA57F">
            <w:pPr>
              <w:rPr>
                <w:rFonts w:ascii="Arial"/>
                <w:color w:val="auto"/>
                <w:sz w:val="24"/>
                <w:szCs w:val="24"/>
                <w:highlight w:val="none"/>
              </w:rPr>
            </w:pPr>
          </w:p>
        </w:tc>
        <w:tc>
          <w:tcPr>
            <w:tcW w:w="1497" w:type="dxa"/>
            <w:vAlign w:val="top"/>
          </w:tcPr>
          <w:p w14:paraId="7B6FA527">
            <w:pPr>
              <w:rPr>
                <w:rFonts w:ascii="Arial"/>
                <w:color w:val="auto"/>
                <w:sz w:val="24"/>
                <w:szCs w:val="24"/>
                <w:highlight w:val="none"/>
              </w:rPr>
            </w:pPr>
          </w:p>
        </w:tc>
      </w:tr>
      <w:tr w14:paraId="63ECEF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3" w:hRule="atLeast"/>
        </w:trPr>
        <w:tc>
          <w:tcPr>
            <w:tcW w:w="514" w:type="dxa"/>
            <w:vAlign w:val="top"/>
          </w:tcPr>
          <w:p w14:paraId="4D7326A1">
            <w:pPr>
              <w:pStyle w:val="77"/>
              <w:spacing w:before="72" w:line="378" w:lineRule="exact"/>
              <w:ind w:left="159"/>
              <w:rPr>
                <w:color w:val="auto"/>
                <w:sz w:val="24"/>
                <w:szCs w:val="24"/>
                <w:highlight w:val="none"/>
              </w:rPr>
            </w:pPr>
            <w:r>
              <w:rPr>
                <w:color w:val="auto"/>
                <w:position w:val="3"/>
                <w:sz w:val="24"/>
                <w:szCs w:val="24"/>
                <w:highlight w:val="none"/>
              </w:rPr>
              <w:t>…</w:t>
            </w:r>
          </w:p>
        </w:tc>
        <w:tc>
          <w:tcPr>
            <w:tcW w:w="900" w:type="dxa"/>
            <w:vAlign w:val="top"/>
          </w:tcPr>
          <w:p w14:paraId="70F72DEA">
            <w:pPr>
              <w:pStyle w:val="77"/>
              <w:spacing w:before="72" w:line="378" w:lineRule="exact"/>
              <w:ind w:left="230"/>
              <w:rPr>
                <w:color w:val="auto"/>
                <w:sz w:val="24"/>
                <w:szCs w:val="24"/>
                <w:highlight w:val="none"/>
              </w:rPr>
            </w:pPr>
            <w:r>
              <w:rPr>
                <w:color w:val="auto"/>
                <w:spacing w:val="-13"/>
                <w:position w:val="3"/>
                <w:sz w:val="24"/>
                <w:szCs w:val="24"/>
                <w:highlight w:val="none"/>
              </w:rPr>
              <w:t>……</w:t>
            </w:r>
          </w:p>
        </w:tc>
        <w:tc>
          <w:tcPr>
            <w:tcW w:w="853" w:type="dxa"/>
            <w:vAlign w:val="top"/>
          </w:tcPr>
          <w:p w14:paraId="3B62DB2E">
            <w:pPr>
              <w:rPr>
                <w:rFonts w:ascii="Arial"/>
                <w:color w:val="auto"/>
                <w:sz w:val="24"/>
                <w:szCs w:val="24"/>
                <w:highlight w:val="none"/>
              </w:rPr>
            </w:pPr>
          </w:p>
        </w:tc>
        <w:tc>
          <w:tcPr>
            <w:tcW w:w="739" w:type="dxa"/>
            <w:vAlign w:val="top"/>
          </w:tcPr>
          <w:p w14:paraId="49D83FE7">
            <w:pPr>
              <w:rPr>
                <w:rFonts w:ascii="Arial"/>
                <w:color w:val="auto"/>
                <w:sz w:val="24"/>
                <w:szCs w:val="24"/>
                <w:highlight w:val="none"/>
              </w:rPr>
            </w:pPr>
          </w:p>
        </w:tc>
        <w:tc>
          <w:tcPr>
            <w:tcW w:w="904" w:type="dxa"/>
            <w:vAlign w:val="top"/>
          </w:tcPr>
          <w:p w14:paraId="0F2731E3">
            <w:pPr>
              <w:rPr>
                <w:rFonts w:ascii="Arial"/>
                <w:color w:val="auto"/>
                <w:sz w:val="24"/>
                <w:szCs w:val="24"/>
                <w:highlight w:val="none"/>
              </w:rPr>
            </w:pPr>
          </w:p>
        </w:tc>
        <w:tc>
          <w:tcPr>
            <w:tcW w:w="945" w:type="dxa"/>
            <w:vAlign w:val="top"/>
          </w:tcPr>
          <w:p w14:paraId="3AAE9939">
            <w:pPr>
              <w:rPr>
                <w:rFonts w:ascii="Arial"/>
                <w:color w:val="auto"/>
                <w:sz w:val="24"/>
                <w:szCs w:val="24"/>
                <w:highlight w:val="none"/>
              </w:rPr>
            </w:pPr>
          </w:p>
        </w:tc>
        <w:tc>
          <w:tcPr>
            <w:tcW w:w="927" w:type="dxa"/>
            <w:vAlign w:val="top"/>
          </w:tcPr>
          <w:p w14:paraId="4E97AC65">
            <w:pPr>
              <w:rPr>
                <w:rFonts w:ascii="Arial"/>
                <w:color w:val="auto"/>
                <w:sz w:val="24"/>
                <w:szCs w:val="24"/>
                <w:highlight w:val="none"/>
              </w:rPr>
            </w:pPr>
          </w:p>
        </w:tc>
        <w:tc>
          <w:tcPr>
            <w:tcW w:w="1006" w:type="dxa"/>
            <w:vAlign w:val="top"/>
          </w:tcPr>
          <w:p w14:paraId="713DE711">
            <w:pPr>
              <w:rPr>
                <w:rFonts w:ascii="Arial"/>
                <w:color w:val="auto"/>
                <w:sz w:val="24"/>
                <w:szCs w:val="24"/>
                <w:highlight w:val="none"/>
              </w:rPr>
            </w:pPr>
          </w:p>
        </w:tc>
        <w:tc>
          <w:tcPr>
            <w:tcW w:w="660" w:type="dxa"/>
            <w:vAlign w:val="top"/>
          </w:tcPr>
          <w:p w14:paraId="4CDFAC95">
            <w:pPr>
              <w:rPr>
                <w:rFonts w:ascii="Arial"/>
                <w:color w:val="auto"/>
                <w:sz w:val="24"/>
                <w:szCs w:val="24"/>
                <w:highlight w:val="none"/>
              </w:rPr>
            </w:pPr>
          </w:p>
        </w:tc>
        <w:tc>
          <w:tcPr>
            <w:tcW w:w="1497" w:type="dxa"/>
            <w:vAlign w:val="top"/>
          </w:tcPr>
          <w:p w14:paraId="3B75153A">
            <w:pPr>
              <w:rPr>
                <w:rFonts w:ascii="Arial"/>
                <w:color w:val="auto"/>
                <w:sz w:val="24"/>
                <w:szCs w:val="24"/>
                <w:highlight w:val="none"/>
              </w:rPr>
            </w:pPr>
          </w:p>
        </w:tc>
      </w:tr>
      <w:tr w14:paraId="73F380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8945" w:type="dxa"/>
            <w:gridSpan w:val="10"/>
            <w:vAlign w:val="top"/>
          </w:tcPr>
          <w:p w14:paraId="1DFC7D61">
            <w:pPr>
              <w:pStyle w:val="77"/>
              <w:spacing w:before="88" w:line="219" w:lineRule="auto"/>
              <w:ind w:left="118"/>
              <w:rPr>
                <w:color w:val="auto"/>
                <w:sz w:val="24"/>
                <w:szCs w:val="24"/>
                <w:highlight w:val="none"/>
              </w:rPr>
            </w:pPr>
            <w:r>
              <w:rPr>
                <w:color w:val="auto"/>
                <w:sz w:val="24"/>
                <w:szCs w:val="24"/>
                <w:highlight w:val="none"/>
              </w:rPr>
              <w:t>合计金额大写：人民币</w:t>
            </w:r>
            <w:r>
              <w:rPr>
                <w:color w:val="auto"/>
                <w:sz w:val="24"/>
                <w:szCs w:val="24"/>
                <w:highlight w:val="none"/>
                <w:u w:val="single" w:color="auto"/>
              </w:rPr>
              <w:t xml:space="preserve">           </w:t>
            </w:r>
            <w:r>
              <w:rPr>
                <w:color w:val="auto"/>
                <w:sz w:val="24"/>
                <w:szCs w:val="24"/>
                <w:highlight w:val="none"/>
              </w:rPr>
              <w:t xml:space="preserve"> (¥</w:t>
            </w:r>
            <w:r>
              <w:rPr>
                <w:color w:val="auto"/>
                <w:spacing w:val="-1"/>
                <w:sz w:val="24"/>
                <w:szCs w:val="24"/>
                <w:highlight w:val="none"/>
                <w:u w:val="single" w:color="auto"/>
              </w:rPr>
              <w:t xml:space="preserve">           </w:t>
            </w:r>
            <w:r>
              <w:rPr>
                <w:color w:val="auto"/>
                <w:spacing w:val="-85"/>
                <w:sz w:val="24"/>
                <w:szCs w:val="24"/>
                <w:highlight w:val="none"/>
              </w:rPr>
              <w:t xml:space="preserve"> </w:t>
            </w:r>
            <w:r>
              <w:rPr>
                <w:color w:val="auto"/>
                <w:spacing w:val="-1"/>
                <w:sz w:val="24"/>
                <w:szCs w:val="24"/>
                <w:highlight w:val="none"/>
              </w:rPr>
              <w:t>)</w:t>
            </w:r>
          </w:p>
        </w:tc>
      </w:tr>
      <w:tr w14:paraId="4F4BC9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3" w:hRule="atLeast"/>
        </w:trPr>
        <w:tc>
          <w:tcPr>
            <w:tcW w:w="8945" w:type="dxa"/>
            <w:gridSpan w:val="10"/>
            <w:vAlign w:val="top"/>
          </w:tcPr>
          <w:p w14:paraId="43A0BADF">
            <w:pPr>
              <w:pStyle w:val="77"/>
              <w:spacing w:before="87" w:line="362" w:lineRule="auto"/>
              <w:ind w:left="117" w:right="105" w:firstLine="12"/>
              <w:rPr>
                <w:color w:val="auto"/>
                <w:sz w:val="24"/>
                <w:szCs w:val="24"/>
                <w:highlight w:val="none"/>
              </w:rPr>
            </w:pPr>
            <w:r>
              <w:rPr>
                <w:color w:val="auto"/>
                <w:spacing w:val="14"/>
                <w:sz w:val="24"/>
                <w:szCs w:val="24"/>
                <w:highlight w:val="none"/>
                <w:u w:val="single" w:color="auto"/>
              </w:rPr>
              <w:t>响应产品中，属于本国产品总值为¥       （具体明细详见附表，附表格式自</w:t>
            </w:r>
            <w:r>
              <w:rPr>
                <w:color w:val="auto"/>
                <w:spacing w:val="-2"/>
                <w:sz w:val="24"/>
                <w:szCs w:val="24"/>
                <w:highlight w:val="none"/>
                <w:u w:val="single" w:color="auto"/>
              </w:rPr>
              <w:t>拟</w:t>
            </w:r>
            <w:r>
              <w:rPr>
                <w:color w:val="auto"/>
                <w:spacing w:val="2"/>
                <w:sz w:val="24"/>
                <w:szCs w:val="24"/>
                <w:highlight w:val="none"/>
                <w:u w:val="single" w:color="auto"/>
              </w:rPr>
              <w:t>），</w:t>
            </w:r>
            <w:r>
              <w:rPr>
                <w:color w:val="auto"/>
                <w:spacing w:val="-70"/>
                <w:sz w:val="24"/>
                <w:szCs w:val="24"/>
                <w:highlight w:val="none"/>
                <w:u w:val="single" w:color="auto"/>
              </w:rPr>
              <w:t xml:space="preserve"> </w:t>
            </w:r>
            <w:r>
              <w:rPr>
                <w:color w:val="auto"/>
                <w:spacing w:val="-2"/>
                <w:sz w:val="24"/>
                <w:szCs w:val="24"/>
                <w:highlight w:val="none"/>
                <w:u w:val="single" w:color="auto"/>
              </w:rPr>
              <w:t>占响应产品的比例为    %。</w:t>
            </w:r>
          </w:p>
        </w:tc>
      </w:tr>
    </w:tbl>
    <w:p w14:paraId="0D875ACA">
      <w:pPr>
        <w:spacing w:before="35" w:line="224" w:lineRule="auto"/>
        <w:ind w:left="120"/>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注：</w:t>
      </w:r>
    </w:p>
    <w:p w14:paraId="01BABA52">
      <w:pPr>
        <w:spacing w:before="177" w:line="359" w:lineRule="auto"/>
        <w:ind w:left="122" w:right="-89" w:rightChars="0" w:firstLine="495"/>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1.</w:t>
      </w:r>
      <w:r>
        <w:rPr>
          <w:rFonts w:ascii="宋体" w:hAnsi="宋体" w:eastAsia="宋体" w:cs="宋体"/>
          <w:color w:val="auto"/>
          <w:spacing w:val="37"/>
          <w:sz w:val="24"/>
          <w:szCs w:val="24"/>
          <w:highlight w:val="none"/>
        </w:rPr>
        <w:t xml:space="preserve"> </w:t>
      </w:r>
      <w:r>
        <w:rPr>
          <w:rFonts w:ascii="宋体" w:hAnsi="宋体" w:eastAsia="宋体" w:cs="宋体"/>
          <w:color w:val="auto"/>
          <w:spacing w:val="-3"/>
          <w:sz w:val="24"/>
          <w:szCs w:val="24"/>
          <w:highlight w:val="none"/>
        </w:rPr>
        <w:t>以上竞标报价表中</w:t>
      </w:r>
      <w:r>
        <w:rPr>
          <w:rFonts w:hint="eastAsia" w:ascii="宋体" w:hAnsi="宋体" w:cs="宋体"/>
          <w:color w:val="auto"/>
          <w:spacing w:val="-3"/>
          <w:sz w:val="24"/>
          <w:szCs w:val="24"/>
          <w:highlight w:val="none"/>
          <w:lang w:eastAsia="zh-CN"/>
        </w:rPr>
        <w:t>“</w:t>
      </w:r>
      <w:r>
        <w:rPr>
          <w:rFonts w:ascii="宋体" w:hAnsi="宋体" w:eastAsia="宋体" w:cs="宋体"/>
          <w:color w:val="auto"/>
          <w:spacing w:val="-3"/>
          <w:sz w:val="24"/>
          <w:szCs w:val="24"/>
          <w:highlight w:val="none"/>
        </w:rPr>
        <w:t>货物名称、数量及单位、品牌、规格型号、制</w:t>
      </w:r>
      <w:r>
        <w:rPr>
          <w:rFonts w:ascii="宋体" w:hAnsi="宋体" w:eastAsia="宋体" w:cs="宋体"/>
          <w:color w:val="auto"/>
          <w:spacing w:val="-4"/>
          <w:sz w:val="24"/>
          <w:szCs w:val="24"/>
          <w:highlight w:val="none"/>
        </w:rPr>
        <w:t>造商、</w:t>
      </w:r>
      <w:r>
        <w:rPr>
          <w:rFonts w:ascii="宋体" w:hAnsi="宋体" w:eastAsia="宋体" w:cs="宋体"/>
          <w:color w:val="auto"/>
          <w:spacing w:val="-1"/>
          <w:sz w:val="24"/>
          <w:szCs w:val="24"/>
          <w:highlight w:val="none"/>
        </w:rPr>
        <w:t>原产地、参数性能、指标及配置</w:t>
      </w:r>
      <w:r>
        <w:rPr>
          <w:rFonts w:ascii="宋体" w:hAnsi="宋体" w:eastAsia="宋体" w:cs="宋体"/>
          <w:color w:val="auto"/>
          <w:spacing w:val="-88"/>
          <w:sz w:val="24"/>
          <w:szCs w:val="24"/>
          <w:highlight w:val="none"/>
        </w:rPr>
        <w:t xml:space="preserve"> </w:t>
      </w:r>
      <w:r>
        <w:rPr>
          <w:rFonts w:hint="eastAsia" w:ascii="宋体" w:hAnsi="宋体" w:cs="宋体"/>
          <w:color w:val="auto"/>
          <w:spacing w:val="-1"/>
          <w:sz w:val="24"/>
          <w:szCs w:val="24"/>
          <w:highlight w:val="none"/>
          <w:lang w:eastAsia="zh-CN"/>
        </w:rPr>
        <w:t>”</w:t>
      </w:r>
      <w:r>
        <w:rPr>
          <w:rFonts w:ascii="宋体" w:hAnsi="宋体" w:eastAsia="宋体" w:cs="宋体"/>
          <w:color w:val="auto"/>
          <w:spacing w:val="-1"/>
          <w:sz w:val="24"/>
          <w:szCs w:val="24"/>
          <w:highlight w:val="none"/>
        </w:rPr>
        <w:t>必须如实填写完整，品</w:t>
      </w:r>
      <w:r>
        <w:rPr>
          <w:rFonts w:ascii="宋体" w:hAnsi="宋体" w:eastAsia="宋体" w:cs="宋体"/>
          <w:color w:val="auto"/>
          <w:spacing w:val="-2"/>
          <w:sz w:val="24"/>
          <w:szCs w:val="24"/>
          <w:highlight w:val="none"/>
        </w:rPr>
        <w:t>牌、规格型号没有则填无，填写有缺漏的，</w:t>
      </w:r>
      <w:r>
        <w:rPr>
          <w:rFonts w:ascii="宋体" w:hAnsi="宋体" w:eastAsia="宋体" w:cs="宋体"/>
          <w:b/>
          <w:bCs/>
          <w:color w:val="auto"/>
          <w:spacing w:val="-2"/>
          <w:sz w:val="24"/>
          <w:szCs w:val="24"/>
          <w:highlight w:val="none"/>
        </w:rPr>
        <w:t>其响应文件按无效处理。</w:t>
      </w:r>
    </w:p>
    <w:p w14:paraId="3CEBA9C4">
      <w:pPr>
        <w:spacing w:line="359" w:lineRule="auto"/>
        <w:ind w:left="121" w:right="-89" w:rightChars="0" w:firstLine="481"/>
        <w:rPr>
          <w:rFonts w:ascii="宋体" w:hAnsi="宋体" w:eastAsia="宋体" w:cs="宋体"/>
          <w:color w:val="auto"/>
          <w:sz w:val="24"/>
          <w:szCs w:val="24"/>
          <w:highlight w:val="none"/>
        </w:rPr>
      </w:pPr>
      <w:r>
        <w:rPr>
          <w:rFonts w:ascii="宋体" w:hAnsi="宋体" w:eastAsia="宋体" w:cs="宋体"/>
          <w:color w:val="auto"/>
          <w:sz w:val="24"/>
          <w:szCs w:val="24"/>
          <w:highlight w:val="none"/>
        </w:rPr>
        <w:t>2.供应商的报价表必须加盖供应商电子签章并</w:t>
      </w:r>
      <w:r>
        <w:rPr>
          <w:rFonts w:ascii="宋体" w:hAnsi="宋体" w:eastAsia="宋体" w:cs="宋体"/>
          <w:color w:val="auto"/>
          <w:spacing w:val="-1"/>
          <w:sz w:val="24"/>
          <w:szCs w:val="24"/>
          <w:highlight w:val="none"/>
        </w:rPr>
        <w:t>由法定代表人或者委托代理人签</w:t>
      </w:r>
      <w:r>
        <w:rPr>
          <w:rFonts w:ascii="宋体" w:hAnsi="宋体" w:eastAsia="宋体" w:cs="宋体"/>
          <w:color w:val="auto"/>
          <w:spacing w:val="-2"/>
          <w:sz w:val="24"/>
          <w:szCs w:val="24"/>
          <w:highlight w:val="none"/>
        </w:rPr>
        <w:t>字或者电子签名，</w:t>
      </w:r>
      <w:r>
        <w:rPr>
          <w:rFonts w:ascii="宋体" w:hAnsi="宋体" w:eastAsia="宋体" w:cs="宋体"/>
          <w:b/>
          <w:bCs/>
          <w:color w:val="auto"/>
          <w:spacing w:val="-2"/>
          <w:sz w:val="24"/>
          <w:szCs w:val="24"/>
          <w:highlight w:val="none"/>
        </w:rPr>
        <w:t>否则其响应文件按无效处理</w:t>
      </w:r>
      <w:r>
        <w:rPr>
          <w:rFonts w:ascii="宋体" w:hAnsi="宋体" w:eastAsia="宋体" w:cs="宋体"/>
          <w:color w:val="auto"/>
          <w:spacing w:val="-2"/>
          <w:sz w:val="24"/>
          <w:szCs w:val="24"/>
          <w:highlight w:val="none"/>
        </w:rPr>
        <w:t>。</w:t>
      </w:r>
    </w:p>
    <w:p w14:paraId="133A139A">
      <w:pPr>
        <w:spacing w:line="359" w:lineRule="auto"/>
        <w:ind w:left="119" w:right="199" w:firstLine="485"/>
        <w:rPr>
          <w:rFonts w:ascii="宋体" w:hAnsi="宋体" w:eastAsia="宋体" w:cs="宋体"/>
          <w:color w:val="auto"/>
          <w:sz w:val="24"/>
          <w:szCs w:val="24"/>
          <w:highlight w:val="none"/>
        </w:rPr>
      </w:pPr>
      <w:r>
        <w:rPr>
          <w:rFonts w:ascii="宋体" w:hAnsi="宋体" w:eastAsia="宋体" w:cs="宋体"/>
          <w:color w:val="auto"/>
          <w:sz w:val="24"/>
          <w:szCs w:val="24"/>
          <w:highlight w:val="none"/>
        </w:rPr>
        <w:t>3.报价一经涂改，应在涂改处加盖供应商</w:t>
      </w:r>
      <w:r>
        <w:rPr>
          <w:rFonts w:ascii="宋体" w:hAnsi="宋体" w:eastAsia="宋体" w:cs="宋体"/>
          <w:color w:val="auto"/>
          <w:spacing w:val="-1"/>
          <w:sz w:val="24"/>
          <w:szCs w:val="24"/>
          <w:highlight w:val="none"/>
        </w:rPr>
        <w:t>公章或者加盖电子签章或者由法定代</w:t>
      </w:r>
      <w:r>
        <w:rPr>
          <w:rFonts w:ascii="宋体" w:hAnsi="宋体" w:eastAsia="宋体" w:cs="宋体"/>
          <w:color w:val="auto"/>
          <w:spacing w:val="-2"/>
          <w:sz w:val="24"/>
          <w:szCs w:val="24"/>
          <w:highlight w:val="none"/>
        </w:rPr>
        <w:t>表人或者授权委托人签字（或者电子签名</w:t>
      </w:r>
      <w:r>
        <w:rPr>
          <w:rFonts w:ascii="宋体" w:hAnsi="宋体" w:eastAsia="宋体" w:cs="宋体"/>
          <w:color w:val="auto"/>
          <w:spacing w:val="14"/>
          <w:sz w:val="24"/>
          <w:szCs w:val="24"/>
          <w:highlight w:val="none"/>
        </w:rPr>
        <w:t>）</w:t>
      </w:r>
      <w:r>
        <w:rPr>
          <w:rFonts w:ascii="宋体" w:hAnsi="宋体" w:eastAsia="宋体" w:cs="宋体"/>
          <w:b/>
          <w:bCs/>
          <w:color w:val="auto"/>
          <w:spacing w:val="14"/>
          <w:sz w:val="24"/>
          <w:szCs w:val="24"/>
          <w:highlight w:val="none"/>
        </w:rPr>
        <w:t>，</w:t>
      </w:r>
      <w:r>
        <w:rPr>
          <w:rFonts w:ascii="宋体" w:hAnsi="宋体" w:eastAsia="宋体" w:cs="宋体"/>
          <w:b/>
          <w:bCs/>
          <w:color w:val="auto"/>
          <w:spacing w:val="-2"/>
          <w:sz w:val="24"/>
          <w:szCs w:val="24"/>
          <w:highlight w:val="none"/>
        </w:rPr>
        <w:t>否则其响应文件按无效处理。</w:t>
      </w:r>
    </w:p>
    <w:p w14:paraId="15171D74">
      <w:pPr>
        <w:spacing w:line="359" w:lineRule="auto"/>
        <w:ind w:left="125" w:right="199" w:firstLine="473"/>
        <w:rPr>
          <w:rFonts w:ascii="宋体" w:hAnsi="宋体" w:eastAsia="宋体" w:cs="宋体"/>
          <w:color w:val="auto"/>
          <w:sz w:val="24"/>
          <w:szCs w:val="24"/>
          <w:highlight w:val="none"/>
        </w:rPr>
      </w:pPr>
      <w:r>
        <w:rPr>
          <w:rFonts w:ascii="宋体" w:hAnsi="宋体" w:eastAsia="宋体" w:cs="宋体"/>
          <w:color w:val="auto"/>
          <w:sz w:val="24"/>
          <w:szCs w:val="24"/>
          <w:highlight w:val="none"/>
        </w:rPr>
        <w:t>4.谈判文件中列明采购专用耗材的，应按谈判文件规定</w:t>
      </w:r>
      <w:r>
        <w:rPr>
          <w:rFonts w:ascii="宋体" w:hAnsi="宋体" w:eastAsia="宋体" w:cs="宋体"/>
          <w:color w:val="auto"/>
          <w:spacing w:val="-1"/>
          <w:sz w:val="24"/>
          <w:szCs w:val="24"/>
          <w:highlight w:val="none"/>
        </w:rPr>
        <w:t>的耗材量或者按耗材的</w:t>
      </w:r>
      <w:r>
        <w:rPr>
          <w:rFonts w:ascii="宋体" w:hAnsi="宋体" w:eastAsia="宋体" w:cs="宋体"/>
          <w:color w:val="auto"/>
          <w:spacing w:val="-2"/>
          <w:sz w:val="24"/>
          <w:szCs w:val="24"/>
          <w:highlight w:val="none"/>
        </w:rPr>
        <w:t>常规使用量提供报价。</w:t>
      </w:r>
    </w:p>
    <w:p w14:paraId="56100549">
      <w:pPr>
        <w:spacing w:line="359" w:lineRule="auto"/>
        <w:ind w:left="122" w:right="199" w:firstLine="482"/>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5.如为联合体竞标，</w:t>
      </w:r>
      <w:r>
        <w:rPr>
          <w:rFonts w:hint="eastAsia" w:ascii="宋体" w:hAnsi="宋体" w:cs="宋体"/>
          <w:color w:val="auto"/>
          <w:spacing w:val="-1"/>
          <w:sz w:val="24"/>
          <w:szCs w:val="24"/>
          <w:highlight w:val="none"/>
          <w:lang w:eastAsia="zh-CN"/>
        </w:rPr>
        <w:t>“</w:t>
      </w:r>
      <w:r>
        <w:rPr>
          <w:rFonts w:ascii="宋体" w:hAnsi="宋体" w:eastAsia="宋体" w:cs="宋体"/>
          <w:color w:val="auto"/>
          <w:spacing w:val="-1"/>
          <w:sz w:val="24"/>
          <w:szCs w:val="24"/>
          <w:highlight w:val="none"/>
        </w:rPr>
        <w:t>供应商名称</w:t>
      </w:r>
      <w:r>
        <w:rPr>
          <w:rFonts w:ascii="宋体" w:hAnsi="宋体" w:eastAsia="宋体" w:cs="宋体"/>
          <w:color w:val="auto"/>
          <w:spacing w:val="-88"/>
          <w:sz w:val="24"/>
          <w:szCs w:val="24"/>
          <w:highlight w:val="none"/>
        </w:rPr>
        <w:t xml:space="preserve"> </w:t>
      </w:r>
      <w:r>
        <w:rPr>
          <w:rFonts w:hint="eastAsia" w:ascii="宋体" w:hAnsi="宋体" w:cs="宋体"/>
          <w:color w:val="auto"/>
          <w:spacing w:val="-1"/>
          <w:sz w:val="24"/>
          <w:szCs w:val="24"/>
          <w:highlight w:val="none"/>
          <w:lang w:eastAsia="zh-CN"/>
        </w:rPr>
        <w:t>”</w:t>
      </w:r>
      <w:r>
        <w:rPr>
          <w:rFonts w:ascii="宋体" w:hAnsi="宋体" w:eastAsia="宋体" w:cs="宋体"/>
          <w:color w:val="auto"/>
          <w:spacing w:val="-1"/>
          <w:sz w:val="24"/>
          <w:szCs w:val="24"/>
          <w:highlight w:val="none"/>
        </w:rPr>
        <w:t>处必须列明</w:t>
      </w:r>
      <w:r>
        <w:rPr>
          <w:rFonts w:ascii="宋体" w:hAnsi="宋体" w:eastAsia="宋体" w:cs="宋体"/>
          <w:color w:val="auto"/>
          <w:spacing w:val="-2"/>
          <w:sz w:val="24"/>
          <w:szCs w:val="24"/>
          <w:highlight w:val="none"/>
        </w:rPr>
        <w:t>联合体各方名称，标注联合体牵头人名称，</w:t>
      </w:r>
      <w:r>
        <w:rPr>
          <w:rFonts w:ascii="宋体" w:hAnsi="宋体" w:eastAsia="宋体" w:cs="宋体"/>
          <w:b/>
          <w:bCs/>
          <w:color w:val="auto"/>
          <w:spacing w:val="-2"/>
          <w:sz w:val="24"/>
          <w:szCs w:val="24"/>
          <w:highlight w:val="none"/>
        </w:rPr>
        <w:t>否则其响应文件按无效处理。</w:t>
      </w:r>
    </w:p>
    <w:p w14:paraId="30F5C16D">
      <w:pPr>
        <w:spacing w:before="2" w:line="360" w:lineRule="auto"/>
        <w:ind w:left="122" w:right="276" w:firstLine="480"/>
        <w:rPr>
          <w:rFonts w:ascii="宋体" w:hAnsi="宋体" w:eastAsia="宋体" w:cs="宋体"/>
          <w:color w:val="auto"/>
          <w:sz w:val="24"/>
          <w:szCs w:val="24"/>
          <w:highlight w:val="none"/>
        </w:rPr>
      </w:pPr>
      <w:r>
        <w:rPr>
          <w:rFonts w:ascii="宋体" w:hAnsi="宋体" w:eastAsia="宋体" w:cs="宋体"/>
          <w:color w:val="auto"/>
          <w:spacing w:val="-6"/>
          <w:sz w:val="24"/>
          <w:szCs w:val="24"/>
          <w:highlight w:val="none"/>
        </w:rPr>
        <w:t>6.如为联合体竞标，盖章处须加盖联合体牵头</w:t>
      </w:r>
      <w:r>
        <w:rPr>
          <w:rFonts w:ascii="宋体" w:hAnsi="宋体" w:eastAsia="宋体" w:cs="宋体"/>
          <w:color w:val="auto"/>
          <w:spacing w:val="-7"/>
          <w:sz w:val="24"/>
          <w:szCs w:val="24"/>
          <w:highlight w:val="none"/>
        </w:rPr>
        <w:t>人电子签章，</w:t>
      </w:r>
      <w:r>
        <w:rPr>
          <w:rFonts w:ascii="宋体" w:hAnsi="宋体" w:eastAsia="宋体" w:cs="宋体"/>
          <w:b/>
          <w:bCs/>
          <w:color w:val="auto"/>
          <w:spacing w:val="-7"/>
          <w:sz w:val="24"/>
          <w:szCs w:val="24"/>
          <w:highlight w:val="none"/>
        </w:rPr>
        <w:t>否则其响应文件按</w:t>
      </w:r>
      <w:r>
        <w:rPr>
          <w:rFonts w:ascii="宋体" w:hAnsi="宋体" w:eastAsia="宋体" w:cs="宋体"/>
          <w:b/>
          <w:bCs/>
          <w:color w:val="auto"/>
          <w:spacing w:val="-5"/>
          <w:sz w:val="24"/>
          <w:szCs w:val="24"/>
          <w:highlight w:val="none"/>
        </w:rPr>
        <w:t>无效处理。</w:t>
      </w:r>
    </w:p>
    <w:p w14:paraId="381D4050">
      <w:pPr>
        <w:spacing w:line="360" w:lineRule="auto"/>
        <w:rPr>
          <w:rFonts w:ascii="宋体" w:hAnsi="宋体" w:eastAsia="宋体" w:cs="宋体"/>
          <w:color w:val="auto"/>
          <w:sz w:val="24"/>
          <w:szCs w:val="24"/>
          <w:highlight w:val="none"/>
        </w:rPr>
        <w:sectPr>
          <w:footerReference r:id="rId10" w:type="default"/>
          <w:pgSz w:w="11910" w:h="16840"/>
          <w:pgMar w:top="1299" w:right="1390" w:bottom="1088" w:left="1569" w:header="0" w:footer="929" w:gutter="0"/>
          <w:cols w:space="720" w:num="1"/>
        </w:sectPr>
      </w:pPr>
    </w:p>
    <w:p w14:paraId="318A4ABB">
      <w:pPr>
        <w:spacing w:before="47" w:line="218" w:lineRule="auto"/>
        <w:ind w:left="388"/>
        <w:rPr>
          <w:rFonts w:ascii="宋体" w:hAnsi="宋体" w:eastAsia="宋体" w:cs="宋体"/>
          <w:color w:val="auto"/>
          <w:spacing w:val="-1"/>
          <w:sz w:val="24"/>
          <w:szCs w:val="24"/>
          <w:highlight w:val="none"/>
        </w:rPr>
      </w:pPr>
      <w:r>
        <w:rPr>
          <w:rFonts w:ascii="宋体" w:hAnsi="宋体" w:eastAsia="宋体" w:cs="宋体"/>
          <w:color w:val="auto"/>
          <w:spacing w:val="-1"/>
          <w:sz w:val="24"/>
          <w:szCs w:val="24"/>
          <w:highlight w:val="none"/>
        </w:rPr>
        <w:t>7.如有多分标，分别列明各分标的报价表，</w:t>
      </w:r>
      <w:r>
        <w:rPr>
          <w:rFonts w:ascii="宋体" w:hAnsi="宋体" w:eastAsia="宋体" w:cs="宋体"/>
          <w:b/>
          <w:bCs/>
          <w:color w:val="auto"/>
          <w:spacing w:val="-1"/>
          <w:sz w:val="24"/>
          <w:szCs w:val="24"/>
          <w:highlight w:val="none"/>
        </w:rPr>
        <w:t>否则其响应文件按无效处理。</w:t>
      </w:r>
    </w:p>
    <w:p w14:paraId="3BB754FA">
      <w:pPr>
        <w:spacing w:line="283" w:lineRule="auto"/>
        <w:rPr>
          <w:rFonts w:ascii="Arial"/>
          <w:color w:val="auto"/>
          <w:sz w:val="24"/>
          <w:szCs w:val="24"/>
          <w:highlight w:val="none"/>
        </w:rPr>
      </w:pPr>
    </w:p>
    <w:p w14:paraId="05776CB1">
      <w:pPr>
        <w:spacing w:line="283" w:lineRule="auto"/>
        <w:rPr>
          <w:rFonts w:ascii="Arial"/>
          <w:color w:val="auto"/>
          <w:sz w:val="24"/>
          <w:szCs w:val="24"/>
          <w:highlight w:val="none"/>
        </w:rPr>
      </w:pPr>
    </w:p>
    <w:p w14:paraId="77667B0F">
      <w:pPr>
        <w:spacing w:before="78" w:line="360" w:lineRule="auto"/>
        <w:ind w:left="2542" w:right="343" w:firstLine="476" w:firstLineChars="200"/>
        <w:rPr>
          <w:rFonts w:ascii="宋体" w:hAnsi="宋体" w:eastAsia="宋体" w:cs="宋体"/>
          <w:color w:val="auto"/>
          <w:spacing w:val="-26"/>
          <w:sz w:val="24"/>
          <w:szCs w:val="24"/>
          <w:highlight w:val="none"/>
        </w:rPr>
      </w:pPr>
      <w:r>
        <w:rPr>
          <w:rFonts w:ascii="宋体" w:hAnsi="宋体" w:eastAsia="宋体" w:cs="宋体"/>
          <w:color w:val="auto"/>
          <w:spacing w:val="-1"/>
          <w:sz w:val="24"/>
          <w:szCs w:val="24"/>
          <w:highlight w:val="none"/>
        </w:rPr>
        <w:t>法定代表人或者委托代理人（签字或者电子签名</w:t>
      </w:r>
      <w:r>
        <w:rPr>
          <w:rFonts w:ascii="宋体" w:hAnsi="宋体" w:eastAsia="宋体" w:cs="宋体"/>
          <w:color w:val="auto"/>
          <w:spacing w:val="-26"/>
          <w:sz w:val="24"/>
          <w:szCs w:val="24"/>
          <w:highlight w:val="none"/>
        </w:rPr>
        <w:t>）：</w:t>
      </w:r>
    </w:p>
    <w:p w14:paraId="1046C4C3">
      <w:pPr>
        <w:spacing w:before="78" w:line="360" w:lineRule="auto"/>
        <w:ind w:left="2542" w:right="343" w:firstLine="476" w:firstLineChars="200"/>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供应商名称（电子签章</w:t>
      </w:r>
      <w:r>
        <w:rPr>
          <w:rFonts w:ascii="宋体" w:hAnsi="宋体" w:eastAsia="宋体" w:cs="宋体"/>
          <w:color w:val="auto"/>
          <w:sz w:val="24"/>
          <w:szCs w:val="24"/>
          <w:highlight w:val="none"/>
        </w:rPr>
        <w:t>）：</w:t>
      </w:r>
    </w:p>
    <w:p w14:paraId="25DA2E16">
      <w:pPr>
        <w:spacing w:before="78" w:line="360" w:lineRule="auto"/>
        <w:ind w:left="2542" w:right="343" w:firstLine="476" w:firstLineChars="200"/>
        <w:rPr>
          <w:rFonts w:ascii="宋体" w:hAnsi="宋体" w:eastAsia="宋体" w:cs="宋体"/>
          <w:color w:val="auto"/>
          <w:spacing w:val="-1"/>
          <w:sz w:val="24"/>
          <w:szCs w:val="24"/>
          <w:highlight w:val="none"/>
        </w:rPr>
      </w:pPr>
      <w:r>
        <w:rPr>
          <w:rFonts w:ascii="宋体" w:hAnsi="宋体" w:eastAsia="宋体" w:cs="宋体"/>
          <w:color w:val="auto"/>
          <w:spacing w:val="-1"/>
          <w:sz w:val="24"/>
          <w:szCs w:val="24"/>
          <w:highlight w:val="none"/>
        </w:rPr>
        <w:t>日期：   年   月   日</w:t>
      </w:r>
    </w:p>
    <w:p w14:paraId="30213CB3">
      <w:pPr>
        <w:rPr>
          <w:color w:val="auto"/>
          <w:kern w:val="0"/>
          <w:highlight w:val="none"/>
        </w:rPr>
      </w:pPr>
      <w:r>
        <w:rPr>
          <w:color w:val="auto"/>
          <w:kern w:val="0"/>
          <w:highlight w:val="none"/>
        </w:rPr>
        <w:br w:type="page"/>
      </w:r>
    </w:p>
    <w:p w14:paraId="145BC7B7">
      <w:pPr>
        <w:spacing w:before="63" w:line="225" w:lineRule="auto"/>
        <w:rPr>
          <w:rFonts w:ascii="宋体" w:hAnsi="宋体" w:eastAsia="宋体" w:cs="宋体"/>
          <w:color w:val="auto"/>
          <w:sz w:val="30"/>
          <w:szCs w:val="30"/>
          <w:highlight w:val="none"/>
        </w:rPr>
      </w:pPr>
      <w:r>
        <w:rPr>
          <w:rFonts w:ascii="宋体" w:hAnsi="宋体" w:eastAsia="宋体" w:cs="宋体"/>
          <w:b/>
          <w:bCs/>
          <w:color w:val="auto"/>
          <w:spacing w:val="6"/>
          <w:sz w:val="30"/>
          <w:szCs w:val="30"/>
          <w:highlight w:val="none"/>
        </w:rPr>
        <w:t>三、商务技术文件格式</w:t>
      </w:r>
    </w:p>
    <w:p w14:paraId="06473198">
      <w:pPr>
        <w:spacing w:before="101" w:line="225" w:lineRule="auto"/>
        <w:ind w:left="23"/>
        <w:rPr>
          <w:rFonts w:ascii="宋体" w:hAnsi="宋体" w:eastAsia="宋体" w:cs="宋体"/>
          <w:color w:val="auto"/>
          <w:sz w:val="30"/>
          <w:szCs w:val="30"/>
          <w:highlight w:val="none"/>
        </w:rPr>
      </w:pPr>
      <w:r>
        <w:rPr>
          <w:rFonts w:ascii="宋体" w:hAnsi="宋体" w:eastAsia="宋体" w:cs="宋体"/>
          <w:b/>
          <w:bCs/>
          <w:color w:val="auto"/>
          <w:spacing w:val="3"/>
          <w:sz w:val="30"/>
          <w:szCs w:val="30"/>
          <w:highlight w:val="none"/>
        </w:rPr>
        <w:t>1.商务技术文件封面格式</w:t>
      </w:r>
    </w:p>
    <w:p w14:paraId="26BACB92">
      <w:pPr>
        <w:spacing w:line="257" w:lineRule="auto"/>
        <w:rPr>
          <w:rFonts w:ascii="Arial"/>
          <w:color w:val="auto"/>
          <w:sz w:val="21"/>
          <w:highlight w:val="none"/>
        </w:rPr>
      </w:pPr>
    </w:p>
    <w:p w14:paraId="1AB3E15B">
      <w:pPr>
        <w:spacing w:line="257" w:lineRule="auto"/>
        <w:rPr>
          <w:rFonts w:ascii="Arial"/>
          <w:color w:val="auto"/>
          <w:sz w:val="21"/>
          <w:highlight w:val="none"/>
        </w:rPr>
      </w:pPr>
    </w:p>
    <w:p w14:paraId="78835BA1">
      <w:pPr>
        <w:spacing w:line="258" w:lineRule="auto"/>
        <w:rPr>
          <w:rFonts w:ascii="Arial"/>
          <w:color w:val="auto"/>
          <w:sz w:val="21"/>
          <w:highlight w:val="none"/>
        </w:rPr>
      </w:pPr>
    </w:p>
    <w:p w14:paraId="4E849F8C">
      <w:pPr>
        <w:spacing w:before="140" w:line="223" w:lineRule="auto"/>
        <w:jc w:val="center"/>
        <w:rPr>
          <w:rFonts w:ascii="宋体" w:hAnsi="宋体" w:eastAsia="宋体" w:cs="宋体"/>
          <w:color w:val="auto"/>
          <w:sz w:val="44"/>
          <w:szCs w:val="44"/>
          <w:highlight w:val="none"/>
        </w:rPr>
      </w:pPr>
      <w:r>
        <w:rPr>
          <w:rFonts w:ascii="宋体" w:hAnsi="宋体" w:eastAsia="宋体" w:cs="宋体"/>
          <w:color w:val="auto"/>
          <w:spacing w:val="-20"/>
          <w:sz w:val="44"/>
          <w:szCs w:val="44"/>
          <w:highlight w:val="none"/>
        </w:rPr>
        <w:t>电</w:t>
      </w:r>
      <w:r>
        <w:rPr>
          <w:rFonts w:ascii="宋体" w:hAnsi="宋体" w:eastAsia="宋体" w:cs="宋体"/>
          <w:color w:val="auto"/>
          <w:spacing w:val="24"/>
          <w:sz w:val="44"/>
          <w:szCs w:val="44"/>
          <w:highlight w:val="none"/>
        </w:rPr>
        <w:t xml:space="preserve"> </w:t>
      </w:r>
      <w:r>
        <w:rPr>
          <w:rFonts w:ascii="宋体" w:hAnsi="宋体" w:eastAsia="宋体" w:cs="宋体"/>
          <w:color w:val="auto"/>
          <w:spacing w:val="-20"/>
          <w:sz w:val="44"/>
          <w:szCs w:val="44"/>
          <w:highlight w:val="none"/>
        </w:rPr>
        <w:t>子</w:t>
      </w:r>
      <w:r>
        <w:rPr>
          <w:rFonts w:ascii="宋体" w:hAnsi="宋体" w:eastAsia="宋体" w:cs="宋体"/>
          <w:color w:val="auto"/>
          <w:spacing w:val="45"/>
          <w:sz w:val="44"/>
          <w:szCs w:val="44"/>
          <w:highlight w:val="none"/>
        </w:rPr>
        <w:t xml:space="preserve"> </w:t>
      </w:r>
      <w:r>
        <w:rPr>
          <w:rFonts w:ascii="宋体" w:hAnsi="宋体" w:eastAsia="宋体" w:cs="宋体"/>
          <w:color w:val="auto"/>
          <w:spacing w:val="-20"/>
          <w:sz w:val="44"/>
          <w:szCs w:val="44"/>
          <w:highlight w:val="none"/>
        </w:rPr>
        <w:t>响</w:t>
      </w:r>
      <w:r>
        <w:rPr>
          <w:rFonts w:ascii="宋体" w:hAnsi="宋体" w:eastAsia="宋体" w:cs="宋体"/>
          <w:color w:val="auto"/>
          <w:spacing w:val="23"/>
          <w:sz w:val="44"/>
          <w:szCs w:val="44"/>
          <w:highlight w:val="none"/>
        </w:rPr>
        <w:t xml:space="preserve"> </w:t>
      </w:r>
      <w:r>
        <w:rPr>
          <w:rFonts w:ascii="宋体" w:hAnsi="宋体" w:eastAsia="宋体" w:cs="宋体"/>
          <w:color w:val="auto"/>
          <w:spacing w:val="-20"/>
          <w:sz w:val="44"/>
          <w:szCs w:val="44"/>
          <w:highlight w:val="none"/>
        </w:rPr>
        <w:t>应</w:t>
      </w:r>
      <w:r>
        <w:rPr>
          <w:rFonts w:ascii="宋体" w:hAnsi="宋体" w:eastAsia="宋体" w:cs="宋体"/>
          <w:color w:val="auto"/>
          <w:spacing w:val="27"/>
          <w:sz w:val="44"/>
          <w:szCs w:val="44"/>
          <w:highlight w:val="none"/>
        </w:rPr>
        <w:t xml:space="preserve"> </w:t>
      </w:r>
      <w:r>
        <w:rPr>
          <w:rFonts w:ascii="宋体" w:hAnsi="宋体" w:eastAsia="宋体" w:cs="宋体"/>
          <w:color w:val="auto"/>
          <w:spacing w:val="-20"/>
          <w:sz w:val="44"/>
          <w:szCs w:val="44"/>
          <w:highlight w:val="none"/>
        </w:rPr>
        <w:t>文</w:t>
      </w:r>
      <w:r>
        <w:rPr>
          <w:rFonts w:ascii="宋体" w:hAnsi="宋体" w:eastAsia="宋体" w:cs="宋体"/>
          <w:color w:val="auto"/>
          <w:spacing w:val="21"/>
          <w:sz w:val="44"/>
          <w:szCs w:val="44"/>
          <w:highlight w:val="none"/>
        </w:rPr>
        <w:t xml:space="preserve"> </w:t>
      </w:r>
      <w:r>
        <w:rPr>
          <w:rFonts w:ascii="宋体" w:hAnsi="宋体" w:eastAsia="宋体" w:cs="宋体"/>
          <w:color w:val="auto"/>
          <w:spacing w:val="-20"/>
          <w:sz w:val="44"/>
          <w:szCs w:val="44"/>
          <w:highlight w:val="none"/>
        </w:rPr>
        <w:t>件</w:t>
      </w:r>
    </w:p>
    <w:p w14:paraId="47D8B3CF">
      <w:pPr>
        <w:spacing w:line="306" w:lineRule="auto"/>
        <w:jc w:val="center"/>
        <w:rPr>
          <w:rFonts w:ascii="Arial"/>
          <w:color w:val="auto"/>
          <w:sz w:val="44"/>
          <w:szCs w:val="44"/>
          <w:highlight w:val="none"/>
        </w:rPr>
      </w:pPr>
    </w:p>
    <w:p w14:paraId="47D3B842">
      <w:pPr>
        <w:spacing w:line="307" w:lineRule="auto"/>
        <w:jc w:val="center"/>
        <w:rPr>
          <w:rFonts w:ascii="Arial"/>
          <w:color w:val="auto"/>
          <w:sz w:val="44"/>
          <w:szCs w:val="44"/>
          <w:highlight w:val="none"/>
        </w:rPr>
      </w:pPr>
    </w:p>
    <w:p w14:paraId="32750BD3">
      <w:pPr>
        <w:spacing w:before="140" w:line="221" w:lineRule="auto"/>
        <w:jc w:val="center"/>
        <w:rPr>
          <w:rFonts w:ascii="宋体" w:hAnsi="宋体" w:eastAsia="宋体" w:cs="宋体"/>
          <w:color w:val="auto"/>
          <w:sz w:val="44"/>
          <w:szCs w:val="44"/>
          <w:highlight w:val="none"/>
        </w:rPr>
      </w:pPr>
      <w:r>
        <w:rPr>
          <w:rFonts w:ascii="宋体" w:hAnsi="宋体" w:eastAsia="宋体" w:cs="宋体"/>
          <w:b/>
          <w:bCs/>
          <w:color w:val="auto"/>
          <w:sz w:val="44"/>
          <w:szCs w:val="44"/>
          <w:highlight w:val="none"/>
        </w:rPr>
        <w:t>商</w:t>
      </w:r>
      <w:r>
        <w:rPr>
          <w:rFonts w:ascii="宋体" w:hAnsi="宋体" w:eastAsia="宋体" w:cs="宋体"/>
          <w:color w:val="auto"/>
          <w:sz w:val="44"/>
          <w:szCs w:val="44"/>
          <w:highlight w:val="none"/>
        </w:rPr>
        <w:t xml:space="preserve">  </w:t>
      </w:r>
      <w:r>
        <w:rPr>
          <w:rFonts w:ascii="宋体" w:hAnsi="宋体" w:eastAsia="宋体" w:cs="宋体"/>
          <w:b/>
          <w:bCs/>
          <w:color w:val="auto"/>
          <w:sz w:val="44"/>
          <w:szCs w:val="44"/>
          <w:highlight w:val="none"/>
        </w:rPr>
        <w:t>务</w:t>
      </w:r>
      <w:r>
        <w:rPr>
          <w:rFonts w:ascii="宋体" w:hAnsi="宋体" w:eastAsia="宋体" w:cs="宋体"/>
          <w:color w:val="auto"/>
          <w:spacing w:val="9"/>
          <w:sz w:val="44"/>
          <w:szCs w:val="44"/>
          <w:highlight w:val="none"/>
        </w:rPr>
        <w:t xml:space="preserve">  </w:t>
      </w:r>
      <w:r>
        <w:rPr>
          <w:rFonts w:ascii="宋体" w:hAnsi="宋体" w:eastAsia="宋体" w:cs="宋体"/>
          <w:b/>
          <w:bCs/>
          <w:color w:val="auto"/>
          <w:sz w:val="44"/>
          <w:szCs w:val="44"/>
          <w:highlight w:val="none"/>
        </w:rPr>
        <w:t>技</w:t>
      </w:r>
      <w:r>
        <w:rPr>
          <w:rFonts w:ascii="宋体" w:hAnsi="宋体" w:eastAsia="宋体" w:cs="宋体"/>
          <w:color w:val="auto"/>
          <w:spacing w:val="8"/>
          <w:sz w:val="44"/>
          <w:szCs w:val="44"/>
          <w:highlight w:val="none"/>
        </w:rPr>
        <w:t xml:space="preserve">  </w:t>
      </w:r>
      <w:r>
        <w:rPr>
          <w:rFonts w:ascii="宋体" w:hAnsi="宋体" w:eastAsia="宋体" w:cs="宋体"/>
          <w:b/>
          <w:bCs/>
          <w:color w:val="auto"/>
          <w:sz w:val="44"/>
          <w:szCs w:val="44"/>
          <w:highlight w:val="none"/>
        </w:rPr>
        <w:t>术</w:t>
      </w:r>
      <w:r>
        <w:rPr>
          <w:rFonts w:ascii="宋体" w:hAnsi="宋体" w:eastAsia="宋体" w:cs="宋体"/>
          <w:color w:val="auto"/>
          <w:spacing w:val="9"/>
          <w:sz w:val="44"/>
          <w:szCs w:val="44"/>
          <w:highlight w:val="none"/>
        </w:rPr>
        <w:t xml:space="preserve">  </w:t>
      </w:r>
      <w:r>
        <w:rPr>
          <w:rFonts w:ascii="宋体" w:hAnsi="宋体" w:eastAsia="宋体" w:cs="宋体"/>
          <w:b/>
          <w:bCs/>
          <w:color w:val="auto"/>
          <w:sz w:val="44"/>
          <w:szCs w:val="44"/>
          <w:highlight w:val="none"/>
        </w:rPr>
        <w:t>文</w:t>
      </w:r>
      <w:r>
        <w:rPr>
          <w:rFonts w:ascii="宋体" w:hAnsi="宋体" w:eastAsia="宋体" w:cs="宋体"/>
          <w:color w:val="auto"/>
          <w:spacing w:val="10"/>
          <w:sz w:val="44"/>
          <w:szCs w:val="44"/>
          <w:highlight w:val="none"/>
        </w:rPr>
        <w:t xml:space="preserve">  </w:t>
      </w:r>
      <w:r>
        <w:rPr>
          <w:rFonts w:ascii="宋体" w:hAnsi="宋体" w:eastAsia="宋体" w:cs="宋体"/>
          <w:b/>
          <w:bCs/>
          <w:color w:val="auto"/>
          <w:sz w:val="44"/>
          <w:szCs w:val="44"/>
          <w:highlight w:val="none"/>
        </w:rPr>
        <w:t>件</w:t>
      </w:r>
    </w:p>
    <w:p w14:paraId="7B8F48DF">
      <w:pPr>
        <w:spacing w:line="253" w:lineRule="auto"/>
        <w:rPr>
          <w:rFonts w:ascii="Arial"/>
          <w:color w:val="auto"/>
          <w:sz w:val="21"/>
          <w:highlight w:val="none"/>
        </w:rPr>
      </w:pPr>
    </w:p>
    <w:p w14:paraId="4ADF55E3">
      <w:pPr>
        <w:spacing w:line="253" w:lineRule="auto"/>
        <w:rPr>
          <w:rFonts w:ascii="Arial"/>
          <w:color w:val="auto"/>
          <w:sz w:val="21"/>
          <w:highlight w:val="none"/>
        </w:rPr>
      </w:pPr>
    </w:p>
    <w:p w14:paraId="0B9010C0">
      <w:pPr>
        <w:spacing w:line="253" w:lineRule="auto"/>
        <w:rPr>
          <w:rFonts w:ascii="Arial"/>
          <w:color w:val="auto"/>
          <w:sz w:val="21"/>
          <w:highlight w:val="none"/>
        </w:rPr>
      </w:pPr>
    </w:p>
    <w:p w14:paraId="5BD1AD0C">
      <w:pPr>
        <w:spacing w:line="253" w:lineRule="auto"/>
        <w:rPr>
          <w:rFonts w:ascii="Arial"/>
          <w:color w:val="auto"/>
          <w:sz w:val="21"/>
          <w:highlight w:val="none"/>
        </w:rPr>
      </w:pPr>
    </w:p>
    <w:p w14:paraId="24822FFB">
      <w:pPr>
        <w:spacing w:line="254" w:lineRule="auto"/>
        <w:rPr>
          <w:rFonts w:ascii="Arial"/>
          <w:color w:val="auto"/>
          <w:sz w:val="21"/>
          <w:highlight w:val="none"/>
        </w:rPr>
      </w:pPr>
    </w:p>
    <w:p w14:paraId="0B5DE19C">
      <w:pPr>
        <w:spacing w:line="254" w:lineRule="auto"/>
        <w:rPr>
          <w:rFonts w:ascii="Arial"/>
          <w:color w:val="auto"/>
          <w:sz w:val="21"/>
          <w:highlight w:val="none"/>
        </w:rPr>
      </w:pPr>
    </w:p>
    <w:p w14:paraId="457657A7">
      <w:pPr>
        <w:spacing w:before="101" w:line="225" w:lineRule="auto"/>
        <w:ind w:left="645"/>
        <w:rPr>
          <w:rFonts w:ascii="宋体" w:hAnsi="宋体" w:eastAsia="宋体" w:cs="宋体"/>
          <w:color w:val="auto"/>
          <w:sz w:val="30"/>
          <w:szCs w:val="30"/>
          <w:highlight w:val="none"/>
        </w:rPr>
      </w:pPr>
      <w:r>
        <w:rPr>
          <w:rFonts w:ascii="宋体" w:hAnsi="宋体" w:eastAsia="宋体" w:cs="宋体"/>
          <w:color w:val="auto"/>
          <w:spacing w:val="4"/>
          <w:sz w:val="30"/>
          <w:szCs w:val="30"/>
          <w:highlight w:val="none"/>
        </w:rPr>
        <w:t>项目名称：</w:t>
      </w:r>
    </w:p>
    <w:p w14:paraId="40C2EE02">
      <w:pPr>
        <w:spacing w:line="294" w:lineRule="auto"/>
        <w:rPr>
          <w:rFonts w:ascii="Arial"/>
          <w:color w:val="auto"/>
          <w:sz w:val="30"/>
          <w:szCs w:val="30"/>
          <w:highlight w:val="none"/>
        </w:rPr>
      </w:pPr>
    </w:p>
    <w:p w14:paraId="073A98E4">
      <w:pPr>
        <w:spacing w:before="101" w:line="225" w:lineRule="auto"/>
        <w:ind w:left="645"/>
        <w:rPr>
          <w:rFonts w:ascii="宋体" w:hAnsi="宋体" w:eastAsia="宋体" w:cs="宋体"/>
          <w:color w:val="auto"/>
          <w:sz w:val="30"/>
          <w:szCs w:val="30"/>
          <w:highlight w:val="none"/>
        </w:rPr>
      </w:pPr>
      <w:r>
        <w:rPr>
          <w:rFonts w:ascii="宋体" w:hAnsi="宋体" w:eastAsia="宋体" w:cs="宋体"/>
          <w:color w:val="auto"/>
          <w:spacing w:val="4"/>
          <w:sz w:val="30"/>
          <w:szCs w:val="30"/>
          <w:highlight w:val="none"/>
        </w:rPr>
        <w:t>项目编号：</w:t>
      </w:r>
    </w:p>
    <w:p w14:paraId="36C1CF7A">
      <w:pPr>
        <w:spacing w:line="293" w:lineRule="auto"/>
        <w:rPr>
          <w:rFonts w:ascii="Arial"/>
          <w:color w:val="auto"/>
          <w:sz w:val="30"/>
          <w:szCs w:val="30"/>
          <w:highlight w:val="none"/>
        </w:rPr>
      </w:pPr>
    </w:p>
    <w:p w14:paraId="06DB9F93">
      <w:pPr>
        <w:spacing w:before="101" w:line="253" w:lineRule="auto"/>
        <w:ind w:left="9" w:firstLine="630"/>
        <w:rPr>
          <w:rFonts w:ascii="宋体" w:hAnsi="宋体" w:eastAsia="宋体" w:cs="宋体"/>
          <w:color w:val="auto"/>
          <w:sz w:val="30"/>
          <w:szCs w:val="30"/>
          <w:highlight w:val="none"/>
        </w:rPr>
      </w:pPr>
      <w:r>
        <w:rPr>
          <w:rFonts w:ascii="宋体" w:hAnsi="宋体" w:eastAsia="宋体" w:cs="宋体"/>
          <w:color w:val="auto"/>
          <w:spacing w:val="30"/>
          <w:sz w:val="30"/>
          <w:szCs w:val="30"/>
          <w:highlight w:val="none"/>
        </w:rPr>
        <w:t>所竞分标（如有则填写</w:t>
      </w:r>
      <w:r>
        <w:rPr>
          <w:rFonts w:ascii="宋体" w:hAnsi="宋体" w:eastAsia="宋体" w:cs="宋体"/>
          <w:color w:val="auto"/>
          <w:spacing w:val="-67"/>
          <w:sz w:val="30"/>
          <w:szCs w:val="30"/>
          <w:highlight w:val="none"/>
        </w:rPr>
        <w:t xml:space="preserve"> </w:t>
      </w:r>
      <w:r>
        <w:rPr>
          <w:rFonts w:ascii="宋体" w:hAnsi="宋体" w:eastAsia="宋体" w:cs="宋体"/>
          <w:color w:val="auto"/>
          <w:spacing w:val="30"/>
          <w:sz w:val="30"/>
          <w:szCs w:val="30"/>
          <w:highlight w:val="none"/>
        </w:rPr>
        <w:t>，无分标时填写</w:t>
      </w:r>
      <w:r>
        <w:rPr>
          <w:rFonts w:ascii="宋体" w:hAnsi="宋体" w:eastAsia="宋体" w:cs="宋体"/>
          <w:color w:val="auto"/>
          <w:spacing w:val="-114"/>
          <w:sz w:val="30"/>
          <w:szCs w:val="30"/>
          <w:highlight w:val="none"/>
        </w:rPr>
        <w:t xml:space="preserve"> </w:t>
      </w:r>
      <w:r>
        <w:rPr>
          <w:rFonts w:hint="eastAsia" w:ascii="宋体" w:hAnsi="宋体" w:cs="宋体"/>
          <w:color w:val="auto"/>
          <w:spacing w:val="30"/>
          <w:sz w:val="30"/>
          <w:szCs w:val="30"/>
          <w:highlight w:val="none"/>
          <w:lang w:eastAsia="zh-CN"/>
        </w:rPr>
        <w:t>“</w:t>
      </w:r>
      <w:r>
        <w:rPr>
          <w:rFonts w:ascii="宋体" w:hAnsi="宋体" w:eastAsia="宋体" w:cs="宋体"/>
          <w:color w:val="auto"/>
          <w:spacing w:val="-106"/>
          <w:sz w:val="30"/>
          <w:szCs w:val="30"/>
          <w:highlight w:val="none"/>
        </w:rPr>
        <w:t xml:space="preserve"> </w:t>
      </w:r>
      <w:r>
        <w:rPr>
          <w:rFonts w:ascii="宋体" w:hAnsi="宋体" w:eastAsia="宋体" w:cs="宋体"/>
          <w:color w:val="auto"/>
          <w:spacing w:val="30"/>
          <w:sz w:val="30"/>
          <w:szCs w:val="30"/>
          <w:highlight w:val="none"/>
        </w:rPr>
        <w:t>无</w:t>
      </w:r>
      <w:r>
        <w:rPr>
          <w:rFonts w:ascii="宋体" w:hAnsi="宋体" w:eastAsia="宋体" w:cs="宋体"/>
          <w:color w:val="auto"/>
          <w:spacing w:val="-79"/>
          <w:sz w:val="30"/>
          <w:szCs w:val="30"/>
          <w:highlight w:val="none"/>
        </w:rPr>
        <w:t xml:space="preserve"> </w:t>
      </w:r>
      <w:r>
        <w:rPr>
          <w:rFonts w:hint="eastAsia" w:ascii="宋体" w:hAnsi="宋体" w:cs="宋体"/>
          <w:color w:val="auto"/>
          <w:spacing w:val="30"/>
          <w:sz w:val="30"/>
          <w:szCs w:val="30"/>
          <w:highlight w:val="none"/>
          <w:lang w:eastAsia="zh-CN"/>
        </w:rPr>
        <w:t>”</w:t>
      </w:r>
      <w:r>
        <w:rPr>
          <w:rFonts w:ascii="宋体" w:hAnsi="宋体" w:eastAsia="宋体" w:cs="宋体"/>
          <w:color w:val="auto"/>
          <w:spacing w:val="30"/>
          <w:sz w:val="30"/>
          <w:szCs w:val="30"/>
          <w:highlight w:val="none"/>
        </w:rPr>
        <w:t>或者留</w:t>
      </w:r>
      <w:r>
        <w:rPr>
          <w:rFonts w:ascii="宋体" w:hAnsi="宋体" w:eastAsia="宋体" w:cs="宋体"/>
          <w:color w:val="auto"/>
          <w:spacing w:val="-14"/>
          <w:sz w:val="30"/>
          <w:szCs w:val="30"/>
          <w:highlight w:val="none"/>
        </w:rPr>
        <w:t>空</w:t>
      </w:r>
      <w:r>
        <w:rPr>
          <w:rFonts w:ascii="宋体" w:hAnsi="宋体" w:eastAsia="宋体" w:cs="宋体"/>
          <w:color w:val="auto"/>
          <w:sz w:val="30"/>
          <w:szCs w:val="30"/>
          <w:highlight w:val="none"/>
        </w:rPr>
        <w:t>）：</w:t>
      </w:r>
    </w:p>
    <w:p w14:paraId="6E69ABB5">
      <w:pPr>
        <w:spacing w:line="463" w:lineRule="auto"/>
        <w:rPr>
          <w:rFonts w:ascii="Arial"/>
          <w:color w:val="auto"/>
          <w:sz w:val="30"/>
          <w:szCs w:val="30"/>
          <w:highlight w:val="none"/>
        </w:rPr>
      </w:pPr>
    </w:p>
    <w:p w14:paraId="51ADE4E3">
      <w:pPr>
        <w:spacing w:before="101" w:line="224" w:lineRule="auto"/>
        <w:ind w:left="640"/>
        <w:rPr>
          <w:rFonts w:ascii="宋体" w:hAnsi="宋体" w:eastAsia="宋体" w:cs="宋体"/>
          <w:color w:val="auto"/>
          <w:sz w:val="31"/>
          <w:szCs w:val="31"/>
          <w:highlight w:val="none"/>
        </w:rPr>
      </w:pPr>
      <w:r>
        <w:rPr>
          <w:rFonts w:ascii="宋体" w:hAnsi="宋体" w:eastAsia="宋体" w:cs="宋体"/>
          <w:color w:val="auto"/>
          <w:spacing w:val="5"/>
          <w:sz w:val="30"/>
          <w:szCs w:val="30"/>
          <w:highlight w:val="none"/>
        </w:rPr>
        <w:t>供应商名称：</w:t>
      </w:r>
    </w:p>
    <w:p w14:paraId="4EC6E516">
      <w:pPr>
        <w:spacing w:line="272" w:lineRule="auto"/>
        <w:rPr>
          <w:rFonts w:ascii="Arial"/>
          <w:color w:val="auto"/>
          <w:sz w:val="21"/>
          <w:highlight w:val="none"/>
        </w:rPr>
      </w:pPr>
    </w:p>
    <w:p w14:paraId="2840AD7A">
      <w:pPr>
        <w:spacing w:line="273" w:lineRule="auto"/>
        <w:rPr>
          <w:rFonts w:ascii="Arial"/>
          <w:color w:val="auto"/>
          <w:sz w:val="21"/>
          <w:highlight w:val="none"/>
        </w:rPr>
      </w:pPr>
    </w:p>
    <w:p w14:paraId="7FA5391E">
      <w:pPr>
        <w:spacing w:line="273" w:lineRule="auto"/>
        <w:rPr>
          <w:rFonts w:ascii="Arial"/>
          <w:color w:val="auto"/>
          <w:sz w:val="21"/>
          <w:highlight w:val="none"/>
        </w:rPr>
      </w:pPr>
    </w:p>
    <w:p w14:paraId="3D700B59">
      <w:pPr>
        <w:ind w:firstLine="5662" w:firstLineChars="1900"/>
        <w:rPr>
          <w:rFonts w:ascii="宋体" w:hAnsi="宋体" w:eastAsia="宋体" w:cs="宋体"/>
          <w:color w:val="auto"/>
          <w:spacing w:val="-6"/>
          <w:sz w:val="31"/>
          <w:szCs w:val="31"/>
          <w:highlight w:val="none"/>
        </w:rPr>
      </w:pPr>
      <w:r>
        <w:rPr>
          <w:rFonts w:ascii="宋体" w:hAnsi="宋体" w:eastAsia="宋体" w:cs="宋体"/>
          <w:color w:val="auto"/>
          <w:spacing w:val="-6"/>
          <w:sz w:val="31"/>
          <w:szCs w:val="31"/>
          <w:highlight w:val="none"/>
        </w:rPr>
        <w:t>年</w:t>
      </w:r>
      <w:r>
        <w:rPr>
          <w:rFonts w:ascii="宋体" w:hAnsi="宋体" w:eastAsia="宋体" w:cs="宋体"/>
          <w:color w:val="auto"/>
          <w:spacing w:val="10"/>
          <w:sz w:val="31"/>
          <w:szCs w:val="31"/>
          <w:highlight w:val="none"/>
        </w:rPr>
        <w:t xml:space="preserve">    </w:t>
      </w:r>
      <w:r>
        <w:rPr>
          <w:rFonts w:ascii="宋体" w:hAnsi="宋体" w:eastAsia="宋体" w:cs="宋体"/>
          <w:color w:val="auto"/>
          <w:spacing w:val="-6"/>
          <w:sz w:val="31"/>
          <w:szCs w:val="31"/>
          <w:highlight w:val="none"/>
        </w:rPr>
        <w:t>月</w:t>
      </w:r>
      <w:r>
        <w:rPr>
          <w:rFonts w:ascii="宋体" w:hAnsi="宋体" w:eastAsia="宋体" w:cs="宋体"/>
          <w:color w:val="auto"/>
          <w:spacing w:val="22"/>
          <w:sz w:val="31"/>
          <w:szCs w:val="31"/>
          <w:highlight w:val="none"/>
        </w:rPr>
        <w:t xml:space="preserve">    </w:t>
      </w:r>
      <w:r>
        <w:rPr>
          <w:rFonts w:ascii="宋体" w:hAnsi="宋体" w:eastAsia="宋体" w:cs="宋体"/>
          <w:color w:val="auto"/>
          <w:spacing w:val="-6"/>
          <w:sz w:val="31"/>
          <w:szCs w:val="31"/>
          <w:highlight w:val="none"/>
        </w:rPr>
        <w:t>日</w:t>
      </w:r>
    </w:p>
    <w:p w14:paraId="4038A6EB">
      <w:pPr>
        <w:rPr>
          <w:rFonts w:ascii="宋体" w:hAnsi="宋体" w:eastAsia="宋体" w:cs="宋体"/>
          <w:color w:val="auto"/>
          <w:spacing w:val="-6"/>
          <w:sz w:val="31"/>
          <w:szCs w:val="31"/>
          <w:highlight w:val="none"/>
        </w:rPr>
      </w:pPr>
      <w:r>
        <w:rPr>
          <w:rFonts w:ascii="宋体" w:hAnsi="宋体" w:eastAsia="宋体" w:cs="宋体"/>
          <w:color w:val="auto"/>
          <w:spacing w:val="-6"/>
          <w:sz w:val="31"/>
          <w:szCs w:val="31"/>
          <w:highlight w:val="none"/>
        </w:rPr>
        <w:br w:type="page"/>
      </w:r>
    </w:p>
    <w:p w14:paraId="22759364">
      <w:pPr>
        <w:spacing w:before="63" w:line="225" w:lineRule="auto"/>
        <w:ind w:left="141"/>
        <w:rPr>
          <w:rFonts w:ascii="宋体" w:hAnsi="宋体" w:eastAsia="宋体" w:cs="宋体"/>
          <w:color w:val="auto"/>
          <w:sz w:val="30"/>
          <w:szCs w:val="30"/>
          <w:highlight w:val="none"/>
        </w:rPr>
      </w:pPr>
      <w:r>
        <w:rPr>
          <w:rFonts w:ascii="宋体" w:hAnsi="宋体" w:eastAsia="宋体" w:cs="宋体"/>
          <w:b/>
          <w:bCs/>
          <w:color w:val="auto"/>
          <w:spacing w:val="5"/>
          <w:sz w:val="30"/>
          <w:szCs w:val="30"/>
          <w:highlight w:val="none"/>
        </w:rPr>
        <w:t>2.商务技术文件目录</w:t>
      </w:r>
    </w:p>
    <w:p w14:paraId="41B08939">
      <w:pPr>
        <w:ind w:firstLine="652" w:firstLineChars="200"/>
        <w:rPr>
          <w:rFonts w:ascii="宋体" w:hAnsi="宋体" w:eastAsia="宋体" w:cs="宋体"/>
          <w:color w:val="auto"/>
          <w:spacing w:val="4"/>
          <w:sz w:val="30"/>
          <w:szCs w:val="30"/>
          <w:highlight w:val="none"/>
        </w:rPr>
      </w:pPr>
      <w:r>
        <w:rPr>
          <w:rFonts w:ascii="宋体" w:hAnsi="宋体" w:eastAsia="宋体" w:cs="宋体"/>
          <w:color w:val="auto"/>
          <w:spacing w:val="13"/>
          <w:sz w:val="30"/>
          <w:szCs w:val="30"/>
          <w:highlight w:val="none"/>
        </w:rPr>
        <w:t>根据谈判文件规定及供应商提供的材料自行编写目录（部</w:t>
      </w:r>
      <w:r>
        <w:rPr>
          <w:rFonts w:ascii="宋体" w:hAnsi="宋体" w:eastAsia="宋体" w:cs="宋体"/>
          <w:color w:val="auto"/>
          <w:spacing w:val="4"/>
          <w:sz w:val="30"/>
          <w:szCs w:val="30"/>
          <w:highlight w:val="none"/>
        </w:rPr>
        <w:t>分格式后附）。</w:t>
      </w:r>
    </w:p>
    <w:p w14:paraId="2D41BB76">
      <w:pPr>
        <w:rPr>
          <w:rFonts w:ascii="宋体" w:hAnsi="宋体" w:eastAsia="宋体" w:cs="宋体"/>
          <w:color w:val="auto"/>
          <w:spacing w:val="4"/>
          <w:sz w:val="30"/>
          <w:szCs w:val="30"/>
          <w:highlight w:val="none"/>
        </w:rPr>
      </w:pPr>
      <w:r>
        <w:rPr>
          <w:rFonts w:ascii="宋体" w:hAnsi="宋体" w:eastAsia="宋体" w:cs="宋体"/>
          <w:color w:val="auto"/>
          <w:spacing w:val="4"/>
          <w:sz w:val="30"/>
          <w:szCs w:val="30"/>
          <w:highlight w:val="none"/>
        </w:rPr>
        <w:br w:type="page"/>
      </w:r>
    </w:p>
    <w:p w14:paraId="43FD5E63">
      <w:pPr>
        <w:spacing w:before="104" w:line="604" w:lineRule="exact"/>
        <w:jc w:val="center"/>
        <w:rPr>
          <w:rFonts w:ascii="宋体" w:hAnsi="宋体" w:eastAsia="宋体" w:cs="宋体"/>
          <w:color w:val="auto"/>
          <w:sz w:val="36"/>
          <w:szCs w:val="36"/>
          <w:highlight w:val="none"/>
        </w:rPr>
      </w:pPr>
      <w:r>
        <w:rPr>
          <w:rFonts w:ascii="宋体" w:hAnsi="宋体" w:eastAsia="宋体" w:cs="宋体"/>
          <w:b/>
          <w:bCs/>
          <w:color w:val="auto"/>
          <w:spacing w:val="4"/>
          <w:position w:val="3"/>
          <w:sz w:val="36"/>
          <w:szCs w:val="36"/>
          <w:highlight w:val="none"/>
        </w:rPr>
        <w:t>无串通竞标行为的承诺函</w:t>
      </w:r>
    </w:p>
    <w:p w14:paraId="1E5C23D4">
      <w:pPr>
        <w:spacing w:line="474" w:lineRule="auto"/>
        <w:rPr>
          <w:rFonts w:ascii="Arial"/>
          <w:color w:val="auto"/>
          <w:sz w:val="21"/>
          <w:highlight w:val="none"/>
        </w:rPr>
      </w:pPr>
    </w:p>
    <w:p w14:paraId="5673D9AA">
      <w:pPr>
        <w:spacing w:before="78" w:line="219" w:lineRule="auto"/>
        <w:ind w:left="487"/>
        <w:rPr>
          <w:rFonts w:ascii="宋体" w:hAnsi="宋体" w:eastAsia="宋体" w:cs="宋体"/>
          <w:color w:val="auto"/>
          <w:sz w:val="24"/>
          <w:szCs w:val="24"/>
          <w:highlight w:val="none"/>
        </w:rPr>
      </w:pPr>
      <w:r>
        <w:rPr>
          <w:rFonts w:ascii="宋体" w:hAnsi="宋体" w:eastAsia="宋体" w:cs="宋体"/>
          <w:b/>
          <w:bCs/>
          <w:color w:val="auto"/>
          <w:spacing w:val="-3"/>
          <w:sz w:val="24"/>
          <w:szCs w:val="24"/>
          <w:highlight w:val="none"/>
        </w:rPr>
        <w:t>一、我方承诺无下列相互串通竞标的情形：</w:t>
      </w:r>
    </w:p>
    <w:p w14:paraId="23107A0E">
      <w:pPr>
        <w:spacing w:before="180" w:line="359" w:lineRule="auto"/>
        <w:ind w:right="11" w:firstLine="497"/>
        <w:rPr>
          <w:rFonts w:ascii="宋体" w:hAnsi="宋体" w:eastAsia="宋体" w:cs="宋体"/>
          <w:color w:val="auto"/>
          <w:sz w:val="24"/>
          <w:szCs w:val="24"/>
          <w:highlight w:val="none"/>
        </w:rPr>
      </w:pPr>
      <w:r>
        <w:rPr>
          <w:rFonts w:ascii="宋体" w:hAnsi="宋体" w:eastAsia="宋体" w:cs="宋体"/>
          <w:color w:val="auto"/>
          <w:spacing w:val="6"/>
          <w:sz w:val="24"/>
          <w:szCs w:val="24"/>
          <w:highlight w:val="none"/>
        </w:rPr>
        <w:t>1.不同供应商的响应文件由同一单位或者个人编制；或不同供应商报名的</w:t>
      </w:r>
      <w:r>
        <w:rPr>
          <w:rFonts w:ascii="宋体" w:hAnsi="宋体" w:eastAsia="宋体" w:cs="宋体"/>
          <w:color w:val="auto"/>
          <w:spacing w:val="-18"/>
          <w:sz w:val="24"/>
          <w:szCs w:val="24"/>
          <w:highlight w:val="none"/>
        </w:rPr>
        <w:t xml:space="preserve"> </w:t>
      </w:r>
      <w:r>
        <w:rPr>
          <w:rFonts w:ascii="宋体" w:hAnsi="宋体" w:eastAsia="宋体" w:cs="宋体"/>
          <w:color w:val="auto"/>
          <w:sz w:val="24"/>
          <w:szCs w:val="24"/>
          <w:highlight w:val="none"/>
        </w:rPr>
        <w:t>IP</w:t>
      </w:r>
      <w:r>
        <w:rPr>
          <w:rFonts w:ascii="宋体" w:hAnsi="宋体" w:eastAsia="宋体" w:cs="宋体"/>
          <w:color w:val="auto"/>
          <w:spacing w:val="-2"/>
          <w:sz w:val="24"/>
          <w:szCs w:val="24"/>
          <w:highlight w:val="none"/>
        </w:rPr>
        <w:t>地址一致的；</w:t>
      </w:r>
    </w:p>
    <w:p w14:paraId="6075A144">
      <w:pPr>
        <w:spacing w:line="218" w:lineRule="auto"/>
        <w:ind w:left="483"/>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2.不同供应商委托同一单位或者个人办理竞标事宜；</w:t>
      </w:r>
    </w:p>
    <w:p w14:paraId="1450129D">
      <w:pPr>
        <w:spacing w:before="184" w:line="219" w:lineRule="auto"/>
        <w:ind w:left="485"/>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3.不同的供应商的响应文件载明的项目管理员为同一个人；</w:t>
      </w:r>
    </w:p>
    <w:p w14:paraId="50B93530">
      <w:pPr>
        <w:spacing w:before="181" w:line="218" w:lineRule="auto"/>
        <w:ind w:left="480"/>
        <w:rPr>
          <w:rFonts w:ascii="宋体" w:hAnsi="宋体" w:eastAsia="宋体" w:cs="宋体"/>
          <w:color w:val="auto"/>
          <w:sz w:val="24"/>
          <w:szCs w:val="24"/>
          <w:highlight w:val="none"/>
        </w:rPr>
      </w:pPr>
      <w:r>
        <w:rPr>
          <w:rFonts w:ascii="宋体" w:hAnsi="宋体" w:eastAsia="宋体" w:cs="宋体"/>
          <w:color w:val="auto"/>
          <w:spacing w:val="-10"/>
          <w:sz w:val="24"/>
          <w:szCs w:val="24"/>
          <w:highlight w:val="none"/>
        </w:rPr>
        <w:t>4.不同供应商的响应文件异常一致或者竞标报</w:t>
      </w:r>
      <w:r>
        <w:rPr>
          <w:rFonts w:ascii="宋体" w:hAnsi="宋体" w:eastAsia="宋体" w:cs="宋体"/>
          <w:color w:val="auto"/>
          <w:spacing w:val="-11"/>
          <w:sz w:val="24"/>
          <w:szCs w:val="24"/>
          <w:highlight w:val="none"/>
        </w:rPr>
        <w:t>价呈规律性差异；</w:t>
      </w:r>
    </w:p>
    <w:p w14:paraId="71BB6C20">
      <w:pPr>
        <w:spacing w:before="184" w:line="219" w:lineRule="auto"/>
        <w:ind w:left="485"/>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5.不同供应商的响应文件相互混装；</w:t>
      </w:r>
    </w:p>
    <w:p w14:paraId="35CE1BBD">
      <w:pPr>
        <w:spacing w:before="181" w:line="219" w:lineRule="auto"/>
        <w:ind w:left="482"/>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6.不同供应商的竞标保证金从同一单位或者个人账户转出。</w:t>
      </w:r>
    </w:p>
    <w:p w14:paraId="4B2ECC7E">
      <w:pPr>
        <w:spacing w:before="184" w:line="219" w:lineRule="auto"/>
        <w:ind w:left="487"/>
        <w:rPr>
          <w:rFonts w:ascii="宋体" w:hAnsi="宋体" w:eastAsia="宋体" w:cs="宋体"/>
          <w:color w:val="auto"/>
          <w:sz w:val="24"/>
          <w:szCs w:val="24"/>
          <w:highlight w:val="none"/>
        </w:rPr>
      </w:pPr>
      <w:r>
        <w:rPr>
          <w:rFonts w:ascii="宋体" w:hAnsi="宋体" w:eastAsia="宋体" w:cs="宋体"/>
          <w:b/>
          <w:bCs/>
          <w:color w:val="auto"/>
          <w:spacing w:val="-3"/>
          <w:sz w:val="24"/>
          <w:szCs w:val="24"/>
          <w:highlight w:val="none"/>
        </w:rPr>
        <w:t>二、我方承诺无下列恶意串通的情形：</w:t>
      </w:r>
    </w:p>
    <w:p w14:paraId="505E254F">
      <w:pPr>
        <w:spacing w:before="181" w:line="360" w:lineRule="auto"/>
        <w:ind w:left="11" w:right="12" w:firstLine="487"/>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1.供应商直接或者间接从采购人或者采购代理机构处获</w:t>
      </w:r>
      <w:r>
        <w:rPr>
          <w:rFonts w:ascii="宋体" w:hAnsi="宋体" w:eastAsia="宋体" w:cs="宋体"/>
          <w:color w:val="auto"/>
          <w:spacing w:val="1"/>
          <w:sz w:val="24"/>
          <w:szCs w:val="24"/>
          <w:highlight w:val="none"/>
        </w:rPr>
        <w:t>得其他供应商的相关信</w:t>
      </w:r>
      <w:r>
        <w:rPr>
          <w:rFonts w:ascii="宋体" w:hAnsi="宋体" w:eastAsia="宋体" w:cs="宋体"/>
          <w:color w:val="auto"/>
          <w:spacing w:val="-2"/>
          <w:sz w:val="24"/>
          <w:szCs w:val="24"/>
          <w:highlight w:val="none"/>
        </w:rPr>
        <w:t>息并修改其响应文件；</w:t>
      </w:r>
    </w:p>
    <w:p w14:paraId="0C66B7E5">
      <w:pPr>
        <w:spacing w:before="1" w:line="218" w:lineRule="auto"/>
        <w:ind w:left="483"/>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2.供应商按照采购人或者采购代理机构的授意撤换、修改响应文件；</w:t>
      </w:r>
    </w:p>
    <w:p w14:paraId="0EE6BE5C">
      <w:pPr>
        <w:spacing w:before="181" w:line="218" w:lineRule="auto"/>
        <w:ind w:left="485"/>
        <w:rPr>
          <w:rFonts w:ascii="宋体" w:hAnsi="宋体" w:eastAsia="宋体" w:cs="宋体"/>
          <w:color w:val="auto"/>
          <w:sz w:val="24"/>
          <w:szCs w:val="24"/>
          <w:highlight w:val="none"/>
        </w:rPr>
      </w:pPr>
      <w:r>
        <w:rPr>
          <w:rFonts w:ascii="宋体" w:hAnsi="宋体" w:eastAsia="宋体" w:cs="宋体"/>
          <w:color w:val="auto"/>
          <w:spacing w:val="-11"/>
          <w:sz w:val="24"/>
          <w:szCs w:val="24"/>
          <w:highlight w:val="none"/>
        </w:rPr>
        <w:t>3.供应商之间协商报价、技术方案等响应文件的实质性内容；</w:t>
      </w:r>
    </w:p>
    <w:p w14:paraId="5E74DC63">
      <w:pPr>
        <w:spacing w:before="182" w:line="359" w:lineRule="auto"/>
        <w:ind w:right="12" w:firstLine="480"/>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4.属于同一集团、协会、商会等组织成员的供应商按照该组织要求协同参加政</w:t>
      </w:r>
      <w:r>
        <w:rPr>
          <w:rFonts w:ascii="宋体" w:hAnsi="宋体" w:eastAsia="宋体" w:cs="宋体"/>
          <w:color w:val="auto"/>
          <w:spacing w:val="-2"/>
          <w:sz w:val="24"/>
          <w:szCs w:val="24"/>
          <w:highlight w:val="none"/>
        </w:rPr>
        <w:t>府采购活动；</w:t>
      </w:r>
    </w:p>
    <w:p w14:paraId="5914FF7F">
      <w:pPr>
        <w:spacing w:before="2" w:line="359" w:lineRule="auto"/>
        <w:ind w:right="12" w:firstLine="484"/>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5.供应商之间事先约定一致抬高或者压低竞标报价，或者在竞争性谈判项目中事先约定轮流以高价位或者低价位成交，或者事先约定由某一特定供应商成交，然</w:t>
      </w:r>
      <w:r>
        <w:rPr>
          <w:rFonts w:ascii="宋体" w:hAnsi="宋体" w:eastAsia="宋体" w:cs="宋体"/>
          <w:color w:val="auto"/>
          <w:spacing w:val="-2"/>
          <w:sz w:val="24"/>
          <w:szCs w:val="24"/>
          <w:highlight w:val="none"/>
        </w:rPr>
        <w:t>后再参加竞标；</w:t>
      </w:r>
    </w:p>
    <w:p w14:paraId="0747C5D4">
      <w:pPr>
        <w:spacing w:before="1" w:line="218" w:lineRule="auto"/>
        <w:ind w:left="482"/>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6.供应商之间商定部分供应商放弃参加政府采购活动或者放弃成交；</w:t>
      </w:r>
    </w:p>
    <w:p w14:paraId="09B12609">
      <w:pPr>
        <w:spacing w:before="184" w:line="359" w:lineRule="auto"/>
        <w:ind w:left="5" w:firstLine="480"/>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7.供应商与采购人或者采购代理机构之间、供应商相互之间，为谋求特定供应</w:t>
      </w:r>
      <w:r>
        <w:rPr>
          <w:rFonts w:ascii="宋体" w:hAnsi="宋体" w:eastAsia="宋体" w:cs="宋体"/>
          <w:color w:val="auto"/>
          <w:spacing w:val="-12"/>
          <w:sz w:val="24"/>
          <w:szCs w:val="24"/>
          <w:highlight w:val="none"/>
        </w:rPr>
        <w:t>商成交或者排斥其他供应商的其他串通行为。</w:t>
      </w:r>
    </w:p>
    <w:p w14:paraId="632631DC">
      <w:pPr>
        <w:spacing w:line="360" w:lineRule="auto"/>
        <w:ind w:left="2" w:right="12" w:firstLine="507"/>
        <w:rPr>
          <w:rFonts w:ascii="宋体" w:hAnsi="宋体" w:eastAsia="宋体" w:cs="宋体"/>
          <w:color w:val="auto"/>
          <w:sz w:val="24"/>
          <w:szCs w:val="24"/>
          <w:highlight w:val="none"/>
        </w:rPr>
      </w:pPr>
      <w:r>
        <w:rPr>
          <w:rFonts w:ascii="宋体" w:hAnsi="宋体" w:eastAsia="宋体" w:cs="宋体"/>
          <w:b/>
          <w:bCs/>
          <w:color w:val="auto"/>
          <w:spacing w:val="-1"/>
          <w:sz w:val="24"/>
          <w:szCs w:val="24"/>
          <w:highlight w:val="none"/>
        </w:rPr>
        <w:t>以上情形一经核查属实，我方愿意承担一切后果，并不再寻求任何旨</w:t>
      </w:r>
      <w:r>
        <w:rPr>
          <w:rFonts w:ascii="宋体" w:hAnsi="宋体" w:eastAsia="宋体" w:cs="宋体"/>
          <w:b/>
          <w:bCs/>
          <w:color w:val="auto"/>
          <w:spacing w:val="-2"/>
          <w:sz w:val="24"/>
          <w:szCs w:val="24"/>
          <w:highlight w:val="none"/>
        </w:rPr>
        <w:t>在减轻或</w:t>
      </w:r>
      <w:r>
        <w:rPr>
          <w:rFonts w:ascii="宋体" w:hAnsi="宋体" w:eastAsia="宋体" w:cs="宋体"/>
          <w:b/>
          <w:bCs/>
          <w:color w:val="auto"/>
          <w:spacing w:val="-3"/>
          <w:sz w:val="24"/>
          <w:szCs w:val="24"/>
          <w:highlight w:val="none"/>
        </w:rPr>
        <w:t>者免除法律责任的辩解。</w:t>
      </w:r>
    </w:p>
    <w:p w14:paraId="0B2DF1C6">
      <w:pPr>
        <w:spacing w:line="282" w:lineRule="auto"/>
        <w:rPr>
          <w:rFonts w:ascii="Arial"/>
          <w:color w:val="auto"/>
          <w:sz w:val="24"/>
          <w:szCs w:val="24"/>
          <w:highlight w:val="none"/>
        </w:rPr>
      </w:pPr>
    </w:p>
    <w:p w14:paraId="33B7CC8D">
      <w:pPr>
        <w:spacing w:line="282" w:lineRule="auto"/>
        <w:rPr>
          <w:rFonts w:ascii="Arial"/>
          <w:color w:val="auto"/>
          <w:sz w:val="24"/>
          <w:szCs w:val="24"/>
          <w:highlight w:val="none"/>
        </w:rPr>
      </w:pPr>
    </w:p>
    <w:p w14:paraId="5803D08A">
      <w:pPr>
        <w:spacing w:line="282" w:lineRule="auto"/>
        <w:rPr>
          <w:rFonts w:ascii="Arial"/>
          <w:color w:val="auto"/>
          <w:sz w:val="24"/>
          <w:szCs w:val="24"/>
          <w:highlight w:val="none"/>
        </w:rPr>
      </w:pPr>
    </w:p>
    <w:p w14:paraId="533B397E">
      <w:pPr>
        <w:spacing w:before="79" w:line="219" w:lineRule="auto"/>
        <w:ind w:left="3600" w:firstLine="238" w:firstLineChars="100"/>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供应商名称（电子签章</w:t>
      </w:r>
      <w:r>
        <w:rPr>
          <w:rFonts w:ascii="宋体" w:hAnsi="宋体" w:eastAsia="宋体" w:cs="宋体"/>
          <w:color w:val="auto"/>
          <w:sz w:val="24"/>
          <w:szCs w:val="24"/>
          <w:highlight w:val="none"/>
        </w:rPr>
        <w:t>）：</w:t>
      </w:r>
    </w:p>
    <w:p w14:paraId="39B7C7FE">
      <w:pPr>
        <w:ind w:firstLine="4884" w:firstLineChars="2200"/>
        <w:rPr>
          <w:rFonts w:ascii="宋体" w:hAnsi="宋体" w:eastAsia="宋体" w:cs="宋体"/>
          <w:color w:val="auto"/>
          <w:spacing w:val="-9"/>
          <w:sz w:val="24"/>
          <w:szCs w:val="24"/>
          <w:highlight w:val="none"/>
        </w:rPr>
      </w:pPr>
      <w:r>
        <w:rPr>
          <w:rFonts w:ascii="宋体" w:hAnsi="宋体" w:eastAsia="宋体" w:cs="宋体"/>
          <w:color w:val="auto"/>
          <w:spacing w:val="-9"/>
          <w:sz w:val="24"/>
          <w:szCs w:val="24"/>
          <w:highlight w:val="none"/>
        </w:rPr>
        <w:t>年</w:t>
      </w:r>
      <w:r>
        <w:rPr>
          <w:rFonts w:ascii="宋体" w:hAnsi="宋体" w:eastAsia="宋体" w:cs="宋体"/>
          <w:color w:val="auto"/>
          <w:spacing w:val="5"/>
          <w:sz w:val="24"/>
          <w:szCs w:val="24"/>
          <w:highlight w:val="none"/>
        </w:rPr>
        <w:t xml:space="preserve">   </w:t>
      </w:r>
      <w:r>
        <w:rPr>
          <w:rFonts w:ascii="宋体" w:hAnsi="宋体" w:eastAsia="宋体" w:cs="宋体"/>
          <w:color w:val="auto"/>
          <w:spacing w:val="-9"/>
          <w:sz w:val="24"/>
          <w:szCs w:val="24"/>
          <w:highlight w:val="none"/>
        </w:rPr>
        <w:t>月</w:t>
      </w:r>
      <w:r>
        <w:rPr>
          <w:rFonts w:ascii="宋体" w:hAnsi="宋体" w:eastAsia="宋体" w:cs="宋体"/>
          <w:color w:val="auto"/>
          <w:spacing w:val="17"/>
          <w:sz w:val="24"/>
          <w:szCs w:val="24"/>
          <w:highlight w:val="none"/>
        </w:rPr>
        <w:t xml:space="preserve">   </w:t>
      </w:r>
      <w:r>
        <w:rPr>
          <w:rFonts w:ascii="宋体" w:hAnsi="宋体" w:eastAsia="宋体" w:cs="宋体"/>
          <w:color w:val="auto"/>
          <w:spacing w:val="-9"/>
          <w:sz w:val="24"/>
          <w:szCs w:val="24"/>
          <w:highlight w:val="none"/>
        </w:rPr>
        <w:t>日</w:t>
      </w:r>
    </w:p>
    <w:p w14:paraId="0BEA52D3">
      <w:pPr>
        <w:jc w:val="center"/>
        <w:rPr>
          <w:rFonts w:ascii="宋体" w:hAnsi="宋体" w:eastAsia="宋体" w:cs="宋体"/>
          <w:color w:val="auto"/>
          <w:sz w:val="32"/>
          <w:szCs w:val="32"/>
          <w:highlight w:val="none"/>
        </w:rPr>
      </w:pPr>
      <w:r>
        <w:rPr>
          <w:rFonts w:ascii="宋体" w:hAnsi="宋体" w:eastAsia="宋体" w:cs="宋体"/>
          <w:color w:val="auto"/>
          <w:spacing w:val="-9"/>
          <w:sz w:val="24"/>
          <w:szCs w:val="24"/>
          <w:highlight w:val="none"/>
        </w:rPr>
        <w:br w:type="page"/>
      </w:r>
      <w:r>
        <w:rPr>
          <w:rFonts w:ascii="宋体" w:hAnsi="宋体" w:eastAsia="宋体" w:cs="宋体"/>
          <w:b/>
          <w:bCs/>
          <w:color w:val="auto"/>
          <w:spacing w:val="4"/>
          <w:position w:val="3"/>
          <w:sz w:val="32"/>
          <w:szCs w:val="32"/>
          <w:highlight w:val="none"/>
        </w:rPr>
        <w:t>法定代表人证明书</w:t>
      </w:r>
    </w:p>
    <w:p w14:paraId="5167A039">
      <w:pPr>
        <w:spacing w:line="297" w:lineRule="auto"/>
        <w:rPr>
          <w:rFonts w:ascii="Arial"/>
          <w:color w:val="auto"/>
          <w:sz w:val="21"/>
          <w:highlight w:val="none"/>
        </w:rPr>
      </w:pPr>
    </w:p>
    <w:p w14:paraId="4058EBDC">
      <w:pPr>
        <w:spacing w:line="297" w:lineRule="auto"/>
        <w:rPr>
          <w:rFonts w:ascii="Arial"/>
          <w:color w:val="auto"/>
          <w:sz w:val="21"/>
          <w:highlight w:val="none"/>
        </w:rPr>
      </w:pPr>
    </w:p>
    <w:p w14:paraId="2206C7A5">
      <w:pPr>
        <w:spacing w:before="78" w:line="219" w:lineRule="auto"/>
        <w:ind w:left="540"/>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供应商名称：</w:t>
      </w:r>
      <w:r>
        <w:rPr>
          <w:rFonts w:ascii="宋体" w:hAnsi="宋体" w:eastAsia="宋体" w:cs="宋体"/>
          <w:color w:val="auto"/>
          <w:sz w:val="24"/>
          <w:szCs w:val="24"/>
          <w:highlight w:val="none"/>
          <w:u w:val="single" w:color="auto"/>
        </w:rPr>
        <w:t xml:space="preserve">                                                        </w:t>
      </w:r>
    </w:p>
    <w:p w14:paraId="486047F5">
      <w:pPr>
        <w:spacing w:before="181" w:line="229" w:lineRule="auto"/>
        <w:ind w:left="540"/>
        <w:rPr>
          <w:rFonts w:ascii="宋体" w:hAnsi="宋体" w:eastAsia="宋体" w:cs="宋体"/>
          <w:color w:val="auto"/>
          <w:sz w:val="24"/>
          <w:szCs w:val="24"/>
          <w:highlight w:val="none"/>
        </w:rPr>
      </w:pPr>
      <w:r>
        <w:rPr>
          <w:rFonts w:ascii="宋体" w:hAnsi="宋体" w:eastAsia="宋体" w:cs="宋体"/>
          <w:color w:val="auto"/>
          <w:spacing w:val="-17"/>
          <w:sz w:val="24"/>
          <w:szCs w:val="24"/>
          <w:highlight w:val="none"/>
        </w:rPr>
        <w:t>地</w:t>
      </w:r>
      <w:r>
        <w:rPr>
          <w:rFonts w:ascii="宋体" w:hAnsi="宋体" w:eastAsia="宋体" w:cs="宋体"/>
          <w:color w:val="auto"/>
          <w:spacing w:val="2"/>
          <w:sz w:val="24"/>
          <w:szCs w:val="24"/>
          <w:highlight w:val="none"/>
        </w:rPr>
        <w:t xml:space="preserve">    </w:t>
      </w:r>
      <w:r>
        <w:rPr>
          <w:rFonts w:ascii="宋体" w:hAnsi="宋体" w:eastAsia="宋体" w:cs="宋体"/>
          <w:color w:val="auto"/>
          <w:spacing w:val="-17"/>
          <w:sz w:val="24"/>
          <w:szCs w:val="24"/>
          <w:highlight w:val="none"/>
        </w:rPr>
        <w:t>址</w:t>
      </w:r>
      <w:r>
        <w:rPr>
          <w:rFonts w:ascii="宋体" w:hAnsi="宋体" w:eastAsia="宋体" w:cs="宋体"/>
          <w:color w:val="auto"/>
          <w:spacing w:val="-88"/>
          <w:sz w:val="24"/>
          <w:szCs w:val="24"/>
          <w:highlight w:val="none"/>
        </w:rPr>
        <w:t xml:space="preserve"> </w:t>
      </w:r>
      <w:r>
        <w:rPr>
          <w:rFonts w:ascii="宋体" w:hAnsi="宋体" w:eastAsia="宋体" w:cs="宋体"/>
          <w:color w:val="auto"/>
          <w:spacing w:val="-17"/>
          <w:sz w:val="24"/>
          <w:szCs w:val="24"/>
          <w:highlight w:val="none"/>
        </w:rPr>
        <w:t>：</w:t>
      </w:r>
      <w:r>
        <w:rPr>
          <w:rFonts w:ascii="宋体" w:hAnsi="宋体" w:eastAsia="宋体" w:cs="宋体"/>
          <w:color w:val="auto"/>
          <w:sz w:val="24"/>
          <w:szCs w:val="24"/>
          <w:highlight w:val="none"/>
          <w:u w:val="single" w:color="auto"/>
        </w:rPr>
        <w:t xml:space="preserve">                                                        </w:t>
      </w:r>
    </w:p>
    <w:p w14:paraId="69F34B08">
      <w:pPr>
        <w:spacing w:before="171" w:line="219" w:lineRule="auto"/>
        <w:ind w:left="540"/>
        <w:rPr>
          <w:rFonts w:ascii="宋体" w:hAnsi="宋体" w:eastAsia="宋体" w:cs="宋体"/>
          <w:color w:val="auto"/>
          <w:sz w:val="24"/>
          <w:szCs w:val="24"/>
          <w:highlight w:val="none"/>
        </w:rPr>
      </w:pPr>
      <w:r>
        <w:rPr>
          <w:rFonts w:ascii="宋体" w:hAnsi="宋体" w:eastAsia="宋体" w:cs="宋体"/>
          <w:color w:val="auto"/>
          <w:spacing w:val="-11"/>
          <w:sz w:val="24"/>
          <w:szCs w:val="24"/>
          <w:highlight w:val="none"/>
        </w:rPr>
        <w:t>姓</w:t>
      </w:r>
      <w:r>
        <w:rPr>
          <w:rFonts w:ascii="宋体" w:hAnsi="宋体" w:eastAsia="宋体" w:cs="宋体"/>
          <w:color w:val="auto"/>
          <w:spacing w:val="6"/>
          <w:sz w:val="24"/>
          <w:szCs w:val="24"/>
          <w:highlight w:val="none"/>
        </w:rPr>
        <w:t xml:space="preserve">    </w:t>
      </w:r>
      <w:r>
        <w:rPr>
          <w:rFonts w:ascii="宋体" w:hAnsi="宋体" w:eastAsia="宋体" w:cs="宋体"/>
          <w:color w:val="auto"/>
          <w:spacing w:val="-11"/>
          <w:sz w:val="24"/>
          <w:szCs w:val="24"/>
          <w:highlight w:val="none"/>
        </w:rPr>
        <w:t>名</w:t>
      </w:r>
      <w:r>
        <w:rPr>
          <w:rFonts w:ascii="宋体" w:hAnsi="宋体" w:eastAsia="宋体" w:cs="宋体"/>
          <w:color w:val="auto"/>
          <w:spacing w:val="-87"/>
          <w:sz w:val="24"/>
          <w:szCs w:val="24"/>
          <w:highlight w:val="none"/>
        </w:rPr>
        <w:t xml:space="preserve"> </w:t>
      </w:r>
      <w:r>
        <w:rPr>
          <w:rFonts w:ascii="宋体" w:hAnsi="宋体" w:eastAsia="宋体" w:cs="宋体"/>
          <w:color w:val="auto"/>
          <w:spacing w:val="-11"/>
          <w:sz w:val="24"/>
          <w:szCs w:val="24"/>
          <w:highlight w:val="none"/>
        </w:rPr>
        <w:t>：</w:t>
      </w:r>
      <w:r>
        <w:rPr>
          <w:rFonts w:ascii="宋体" w:hAnsi="宋体" w:eastAsia="宋体" w:cs="宋体"/>
          <w:color w:val="auto"/>
          <w:spacing w:val="-11"/>
          <w:sz w:val="24"/>
          <w:szCs w:val="24"/>
          <w:highlight w:val="none"/>
          <w:u w:val="single" w:color="auto"/>
        </w:rPr>
        <w:t xml:space="preserve">                </w:t>
      </w:r>
      <w:r>
        <w:rPr>
          <w:rFonts w:ascii="宋体" w:hAnsi="宋体" w:eastAsia="宋体" w:cs="宋体"/>
          <w:color w:val="auto"/>
          <w:spacing w:val="-108"/>
          <w:sz w:val="24"/>
          <w:szCs w:val="24"/>
          <w:highlight w:val="none"/>
        </w:rPr>
        <w:t xml:space="preserve"> </w:t>
      </w:r>
      <w:r>
        <w:rPr>
          <w:rFonts w:ascii="宋体" w:hAnsi="宋体" w:eastAsia="宋体" w:cs="宋体"/>
          <w:color w:val="auto"/>
          <w:spacing w:val="-11"/>
          <w:sz w:val="24"/>
          <w:szCs w:val="24"/>
          <w:highlight w:val="none"/>
        </w:rPr>
        <w:t>性</w:t>
      </w:r>
      <w:r>
        <w:rPr>
          <w:rFonts w:ascii="宋体" w:hAnsi="宋体" w:eastAsia="宋体" w:cs="宋体"/>
          <w:color w:val="auto"/>
          <w:spacing w:val="2"/>
          <w:sz w:val="24"/>
          <w:szCs w:val="24"/>
          <w:highlight w:val="none"/>
        </w:rPr>
        <w:t xml:space="preserve">      </w:t>
      </w:r>
      <w:r>
        <w:rPr>
          <w:rFonts w:ascii="宋体" w:hAnsi="宋体" w:eastAsia="宋体" w:cs="宋体"/>
          <w:color w:val="auto"/>
          <w:spacing w:val="-11"/>
          <w:sz w:val="24"/>
          <w:szCs w:val="24"/>
          <w:highlight w:val="none"/>
        </w:rPr>
        <w:t>别</w:t>
      </w:r>
      <w:r>
        <w:rPr>
          <w:rFonts w:ascii="宋体" w:hAnsi="宋体" w:eastAsia="宋体" w:cs="宋体"/>
          <w:color w:val="auto"/>
          <w:spacing w:val="-90"/>
          <w:sz w:val="24"/>
          <w:szCs w:val="24"/>
          <w:highlight w:val="none"/>
        </w:rPr>
        <w:t xml:space="preserve"> </w:t>
      </w:r>
      <w:r>
        <w:rPr>
          <w:rFonts w:ascii="宋体" w:hAnsi="宋体" w:eastAsia="宋体" w:cs="宋体"/>
          <w:color w:val="auto"/>
          <w:spacing w:val="-11"/>
          <w:sz w:val="24"/>
          <w:szCs w:val="24"/>
          <w:highlight w:val="none"/>
        </w:rPr>
        <w:t>：</w:t>
      </w:r>
      <w:r>
        <w:rPr>
          <w:rFonts w:ascii="宋体" w:hAnsi="宋体" w:eastAsia="宋体" w:cs="宋体"/>
          <w:color w:val="auto"/>
          <w:sz w:val="24"/>
          <w:szCs w:val="24"/>
          <w:highlight w:val="none"/>
          <w:u w:val="single" w:color="auto"/>
        </w:rPr>
        <w:t xml:space="preserve">                </w:t>
      </w:r>
    </w:p>
    <w:p w14:paraId="3D690777">
      <w:pPr>
        <w:spacing w:before="180" w:line="219" w:lineRule="auto"/>
        <w:ind w:left="540"/>
        <w:rPr>
          <w:rFonts w:ascii="宋体" w:hAnsi="宋体" w:eastAsia="宋体" w:cs="宋体"/>
          <w:color w:val="auto"/>
          <w:sz w:val="24"/>
          <w:szCs w:val="24"/>
          <w:highlight w:val="none"/>
        </w:rPr>
      </w:pPr>
      <w:r>
        <w:rPr>
          <w:rFonts w:ascii="宋体" w:hAnsi="宋体" w:eastAsia="宋体" w:cs="宋体"/>
          <w:color w:val="auto"/>
          <w:spacing w:val="-10"/>
          <w:sz w:val="24"/>
          <w:szCs w:val="24"/>
          <w:highlight w:val="none"/>
        </w:rPr>
        <w:t>年</w:t>
      </w:r>
      <w:r>
        <w:rPr>
          <w:rFonts w:ascii="宋体" w:hAnsi="宋体" w:eastAsia="宋体" w:cs="宋体"/>
          <w:color w:val="auto"/>
          <w:spacing w:val="2"/>
          <w:sz w:val="24"/>
          <w:szCs w:val="24"/>
          <w:highlight w:val="none"/>
        </w:rPr>
        <w:t xml:space="preserve">    </w:t>
      </w:r>
      <w:r>
        <w:rPr>
          <w:rFonts w:ascii="宋体" w:hAnsi="宋体" w:eastAsia="宋体" w:cs="宋体"/>
          <w:color w:val="auto"/>
          <w:spacing w:val="-10"/>
          <w:sz w:val="24"/>
          <w:szCs w:val="24"/>
          <w:highlight w:val="none"/>
        </w:rPr>
        <w:t>龄</w:t>
      </w:r>
      <w:r>
        <w:rPr>
          <w:rFonts w:ascii="宋体" w:hAnsi="宋体" w:eastAsia="宋体" w:cs="宋体"/>
          <w:color w:val="auto"/>
          <w:spacing w:val="-89"/>
          <w:sz w:val="24"/>
          <w:szCs w:val="24"/>
          <w:highlight w:val="none"/>
        </w:rPr>
        <w:t xml:space="preserve"> </w:t>
      </w:r>
      <w:r>
        <w:rPr>
          <w:rFonts w:ascii="宋体" w:hAnsi="宋体" w:eastAsia="宋体" w:cs="宋体"/>
          <w:color w:val="auto"/>
          <w:spacing w:val="-10"/>
          <w:sz w:val="24"/>
          <w:szCs w:val="24"/>
          <w:highlight w:val="none"/>
        </w:rPr>
        <w:t>：</w:t>
      </w:r>
      <w:r>
        <w:rPr>
          <w:rFonts w:ascii="宋体" w:hAnsi="宋体" w:eastAsia="宋体" w:cs="宋体"/>
          <w:color w:val="auto"/>
          <w:spacing w:val="-10"/>
          <w:sz w:val="24"/>
          <w:szCs w:val="24"/>
          <w:highlight w:val="none"/>
          <w:u w:val="single" w:color="auto"/>
        </w:rPr>
        <w:t xml:space="preserve">                </w:t>
      </w:r>
      <w:r>
        <w:rPr>
          <w:rFonts w:ascii="宋体" w:hAnsi="宋体" w:eastAsia="宋体" w:cs="宋体"/>
          <w:color w:val="auto"/>
          <w:spacing w:val="-110"/>
          <w:sz w:val="24"/>
          <w:szCs w:val="24"/>
          <w:highlight w:val="none"/>
        </w:rPr>
        <w:t xml:space="preserve"> </w:t>
      </w:r>
      <w:r>
        <w:rPr>
          <w:rFonts w:ascii="宋体" w:hAnsi="宋体" w:eastAsia="宋体" w:cs="宋体"/>
          <w:color w:val="auto"/>
          <w:spacing w:val="-10"/>
          <w:sz w:val="24"/>
          <w:szCs w:val="24"/>
          <w:highlight w:val="none"/>
        </w:rPr>
        <w:t>职</w:t>
      </w:r>
      <w:r>
        <w:rPr>
          <w:rFonts w:ascii="宋体" w:hAnsi="宋体" w:eastAsia="宋体" w:cs="宋体"/>
          <w:color w:val="auto"/>
          <w:spacing w:val="1"/>
          <w:sz w:val="24"/>
          <w:szCs w:val="24"/>
          <w:highlight w:val="none"/>
        </w:rPr>
        <w:t xml:space="preserve">      </w:t>
      </w:r>
      <w:r>
        <w:rPr>
          <w:rFonts w:ascii="宋体" w:hAnsi="宋体" w:eastAsia="宋体" w:cs="宋体"/>
          <w:color w:val="auto"/>
          <w:spacing w:val="-11"/>
          <w:sz w:val="24"/>
          <w:szCs w:val="24"/>
          <w:highlight w:val="none"/>
        </w:rPr>
        <w:t>务</w:t>
      </w:r>
      <w:r>
        <w:rPr>
          <w:rFonts w:ascii="宋体" w:hAnsi="宋体" w:eastAsia="宋体" w:cs="宋体"/>
          <w:color w:val="auto"/>
          <w:spacing w:val="-85"/>
          <w:sz w:val="24"/>
          <w:szCs w:val="24"/>
          <w:highlight w:val="none"/>
        </w:rPr>
        <w:t xml:space="preserve"> </w:t>
      </w:r>
      <w:r>
        <w:rPr>
          <w:rFonts w:ascii="宋体" w:hAnsi="宋体" w:eastAsia="宋体" w:cs="宋体"/>
          <w:color w:val="auto"/>
          <w:spacing w:val="-11"/>
          <w:sz w:val="24"/>
          <w:szCs w:val="24"/>
          <w:highlight w:val="none"/>
        </w:rPr>
        <w:t>：</w:t>
      </w:r>
      <w:r>
        <w:rPr>
          <w:rFonts w:ascii="宋体" w:hAnsi="宋体" w:eastAsia="宋体" w:cs="宋体"/>
          <w:color w:val="auto"/>
          <w:sz w:val="24"/>
          <w:szCs w:val="24"/>
          <w:highlight w:val="none"/>
          <w:u w:val="single" w:color="auto"/>
        </w:rPr>
        <w:t xml:space="preserve">                </w:t>
      </w:r>
    </w:p>
    <w:p w14:paraId="6DFB4259">
      <w:pPr>
        <w:spacing w:before="183" w:line="219" w:lineRule="auto"/>
        <w:ind w:left="546"/>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身份证号码：</w:t>
      </w:r>
      <w:r>
        <w:rPr>
          <w:rFonts w:ascii="宋体" w:hAnsi="宋体" w:eastAsia="宋体" w:cs="宋体"/>
          <w:color w:val="auto"/>
          <w:sz w:val="24"/>
          <w:szCs w:val="24"/>
          <w:highlight w:val="none"/>
          <w:u w:val="single" w:color="auto"/>
        </w:rPr>
        <w:t xml:space="preserve">                                        </w:t>
      </w:r>
    </w:p>
    <w:p w14:paraId="49CCF1A3">
      <w:pPr>
        <w:spacing w:before="180" w:line="219" w:lineRule="auto"/>
        <w:ind w:left="544"/>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系</w:t>
      </w:r>
      <w:r>
        <w:rPr>
          <w:rFonts w:ascii="宋体" w:hAnsi="宋体" w:eastAsia="宋体" w:cs="宋体"/>
          <w:color w:val="auto"/>
          <w:spacing w:val="-2"/>
          <w:sz w:val="24"/>
          <w:szCs w:val="24"/>
          <w:highlight w:val="none"/>
          <w:u w:val="single" w:color="auto"/>
        </w:rPr>
        <w:t xml:space="preserve">    （供应商名称）   </w:t>
      </w:r>
      <w:r>
        <w:rPr>
          <w:rFonts w:ascii="宋体" w:hAnsi="宋体" w:eastAsia="宋体" w:cs="宋体"/>
          <w:color w:val="auto"/>
          <w:spacing w:val="-91"/>
          <w:sz w:val="24"/>
          <w:szCs w:val="24"/>
          <w:highlight w:val="none"/>
        </w:rPr>
        <w:t xml:space="preserve"> </w:t>
      </w:r>
      <w:r>
        <w:rPr>
          <w:rFonts w:ascii="宋体" w:hAnsi="宋体" w:eastAsia="宋体" w:cs="宋体"/>
          <w:color w:val="auto"/>
          <w:spacing w:val="-2"/>
          <w:sz w:val="24"/>
          <w:szCs w:val="24"/>
          <w:highlight w:val="none"/>
        </w:rPr>
        <w:t>的法定代表人。</w:t>
      </w:r>
    </w:p>
    <w:p w14:paraId="75D59495">
      <w:pPr>
        <w:spacing w:before="184" w:line="219" w:lineRule="auto"/>
        <w:ind w:left="540"/>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特此证明。</w:t>
      </w:r>
    </w:p>
    <w:p w14:paraId="00791DCC">
      <w:pPr>
        <w:spacing w:line="249" w:lineRule="auto"/>
        <w:rPr>
          <w:rFonts w:ascii="Arial"/>
          <w:color w:val="auto"/>
          <w:sz w:val="24"/>
          <w:szCs w:val="24"/>
          <w:highlight w:val="none"/>
        </w:rPr>
      </w:pPr>
    </w:p>
    <w:p w14:paraId="6B69173D">
      <w:pPr>
        <w:spacing w:line="249" w:lineRule="auto"/>
        <w:rPr>
          <w:rFonts w:ascii="Arial"/>
          <w:color w:val="auto"/>
          <w:sz w:val="24"/>
          <w:szCs w:val="24"/>
          <w:highlight w:val="none"/>
        </w:rPr>
      </w:pPr>
    </w:p>
    <w:p w14:paraId="655AC8BB">
      <w:pPr>
        <w:spacing w:line="249" w:lineRule="auto"/>
        <w:rPr>
          <w:rFonts w:ascii="Arial"/>
          <w:color w:val="auto"/>
          <w:sz w:val="24"/>
          <w:szCs w:val="24"/>
          <w:highlight w:val="none"/>
        </w:rPr>
      </w:pPr>
    </w:p>
    <w:p w14:paraId="65A82A7F">
      <w:pPr>
        <w:spacing w:line="249" w:lineRule="auto"/>
        <w:rPr>
          <w:rFonts w:ascii="Arial"/>
          <w:color w:val="auto"/>
          <w:sz w:val="24"/>
          <w:szCs w:val="24"/>
          <w:highlight w:val="none"/>
        </w:rPr>
      </w:pPr>
    </w:p>
    <w:p w14:paraId="4E1D714C">
      <w:pPr>
        <w:spacing w:line="249" w:lineRule="auto"/>
        <w:rPr>
          <w:rFonts w:ascii="Arial"/>
          <w:color w:val="auto"/>
          <w:sz w:val="24"/>
          <w:szCs w:val="24"/>
          <w:highlight w:val="none"/>
        </w:rPr>
      </w:pPr>
    </w:p>
    <w:p w14:paraId="54714331">
      <w:pPr>
        <w:spacing w:before="78" w:line="219" w:lineRule="auto"/>
        <w:ind w:left="558"/>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附件：法定代表人有效身份证正反面复印件</w:t>
      </w:r>
    </w:p>
    <w:p w14:paraId="35705125">
      <w:pPr>
        <w:spacing w:line="284" w:lineRule="auto"/>
        <w:rPr>
          <w:rFonts w:ascii="Arial"/>
          <w:color w:val="auto"/>
          <w:sz w:val="24"/>
          <w:szCs w:val="24"/>
          <w:highlight w:val="none"/>
        </w:rPr>
      </w:pPr>
    </w:p>
    <w:p w14:paraId="71B4EBBD">
      <w:pPr>
        <w:spacing w:line="284" w:lineRule="auto"/>
        <w:rPr>
          <w:rFonts w:ascii="Arial"/>
          <w:color w:val="auto"/>
          <w:sz w:val="24"/>
          <w:szCs w:val="24"/>
          <w:highlight w:val="none"/>
        </w:rPr>
      </w:pPr>
    </w:p>
    <w:p w14:paraId="5A3BE5D1">
      <w:pPr>
        <w:tabs>
          <w:tab w:val="left" w:pos="4670"/>
        </w:tabs>
        <w:spacing w:before="79" w:line="360" w:lineRule="auto"/>
        <w:ind w:left="4070" w:right="31" w:firstLine="1778"/>
        <w:rPr>
          <w:rFonts w:ascii="宋体" w:hAnsi="宋体" w:eastAsia="宋体" w:cs="宋体"/>
          <w:color w:val="auto"/>
          <w:spacing w:val="-109"/>
          <w:sz w:val="24"/>
          <w:szCs w:val="24"/>
          <w:highlight w:val="none"/>
        </w:rPr>
      </w:pPr>
      <w:r>
        <w:rPr>
          <w:rFonts w:ascii="宋体" w:hAnsi="宋体" w:eastAsia="宋体" w:cs="宋体"/>
          <w:color w:val="auto"/>
          <w:spacing w:val="-1"/>
          <w:sz w:val="24"/>
          <w:szCs w:val="24"/>
          <w:highlight w:val="none"/>
        </w:rPr>
        <w:t>供应商名称（电子签章</w:t>
      </w:r>
      <w:r>
        <w:rPr>
          <w:rFonts w:ascii="宋体" w:hAnsi="宋体" w:eastAsia="宋体" w:cs="宋体"/>
          <w:color w:val="auto"/>
          <w:spacing w:val="-31"/>
          <w:sz w:val="24"/>
          <w:szCs w:val="24"/>
          <w:highlight w:val="none"/>
        </w:rPr>
        <w:t>）：</w:t>
      </w:r>
      <w:r>
        <w:rPr>
          <w:rFonts w:ascii="宋体" w:hAnsi="宋体" w:eastAsia="宋体" w:cs="宋体"/>
          <w:color w:val="auto"/>
          <w:sz w:val="24"/>
          <w:szCs w:val="24"/>
          <w:highlight w:val="none"/>
          <w:u w:val="single" w:color="auto"/>
        </w:rPr>
        <w:tab/>
      </w:r>
      <w:r>
        <w:rPr>
          <w:rFonts w:ascii="宋体" w:hAnsi="宋体" w:eastAsia="宋体" w:cs="宋体"/>
          <w:color w:val="auto"/>
          <w:spacing w:val="-109"/>
          <w:sz w:val="24"/>
          <w:szCs w:val="24"/>
          <w:highlight w:val="none"/>
        </w:rPr>
        <w:t xml:space="preserve"> </w:t>
      </w:r>
    </w:p>
    <w:p w14:paraId="5CAAD46B">
      <w:pPr>
        <w:tabs>
          <w:tab w:val="left" w:pos="4670"/>
        </w:tabs>
        <w:spacing w:before="79" w:line="360" w:lineRule="auto"/>
        <w:ind w:right="31" w:firstLine="4080" w:firstLineChars="1700"/>
        <w:rPr>
          <w:rFonts w:hint="default" w:ascii="宋体" w:hAnsi="宋体" w:eastAsia="宋体" w:cs="宋体"/>
          <w:color w:val="auto"/>
          <w:sz w:val="24"/>
          <w:szCs w:val="24"/>
          <w:highlight w:val="none"/>
          <w:lang w:val="en-US" w:eastAsia="zh-CN"/>
        </w:rPr>
      </w:pPr>
      <w:r>
        <w:rPr>
          <w:rFonts w:ascii="宋体" w:hAnsi="宋体" w:eastAsia="宋体" w:cs="宋体"/>
          <w:color w:val="auto"/>
          <w:sz w:val="24"/>
          <w:szCs w:val="24"/>
          <w:highlight w:val="none"/>
          <w:u w:val="single" w:color="auto"/>
        </w:rPr>
        <w:tab/>
      </w:r>
      <w:r>
        <w:rPr>
          <w:rFonts w:ascii="宋体" w:hAnsi="宋体" w:eastAsia="宋体" w:cs="宋体"/>
          <w:color w:val="auto"/>
          <w:spacing w:val="-9"/>
          <w:sz w:val="24"/>
          <w:szCs w:val="24"/>
          <w:highlight w:val="none"/>
        </w:rPr>
        <w:t>年</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105"/>
          <w:sz w:val="24"/>
          <w:szCs w:val="24"/>
          <w:highlight w:val="none"/>
        </w:rPr>
        <w:t xml:space="preserve"> </w:t>
      </w:r>
      <w:r>
        <w:rPr>
          <w:rFonts w:ascii="宋体" w:hAnsi="宋体" w:eastAsia="宋体" w:cs="宋体"/>
          <w:color w:val="auto"/>
          <w:spacing w:val="-9"/>
          <w:sz w:val="24"/>
          <w:szCs w:val="24"/>
          <w:highlight w:val="none"/>
        </w:rPr>
        <w:t>月</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69"/>
          <w:sz w:val="24"/>
          <w:szCs w:val="24"/>
          <w:highlight w:val="none"/>
        </w:rPr>
        <w:t xml:space="preserve"> </w:t>
      </w:r>
      <w:r>
        <w:rPr>
          <w:rFonts w:ascii="宋体" w:hAnsi="宋体" w:eastAsia="宋体" w:cs="宋体"/>
          <w:color w:val="auto"/>
          <w:spacing w:val="-9"/>
          <w:sz w:val="24"/>
          <w:szCs w:val="24"/>
          <w:highlight w:val="none"/>
        </w:rPr>
        <w:t>日</w:t>
      </w:r>
      <w:r>
        <w:rPr>
          <w:rFonts w:hint="eastAsia" w:ascii="宋体" w:hAnsi="宋体" w:eastAsia="宋体" w:cs="宋体"/>
          <w:color w:val="auto"/>
          <w:spacing w:val="-9"/>
          <w:sz w:val="24"/>
          <w:szCs w:val="24"/>
          <w:highlight w:val="none"/>
          <w:lang w:val="en-US" w:eastAsia="zh-CN"/>
        </w:rPr>
        <w:t xml:space="preserve">           </w:t>
      </w:r>
    </w:p>
    <w:p w14:paraId="53F445C1">
      <w:pPr>
        <w:spacing w:line="381" w:lineRule="auto"/>
        <w:rPr>
          <w:rFonts w:ascii="Arial"/>
          <w:color w:val="auto"/>
          <w:sz w:val="24"/>
          <w:szCs w:val="24"/>
          <w:highlight w:val="none"/>
        </w:rPr>
      </w:pPr>
    </w:p>
    <w:p w14:paraId="401C2B56">
      <w:pPr>
        <w:rPr>
          <w:rFonts w:ascii="宋体" w:hAnsi="宋体" w:eastAsia="宋体" w:cs="宋体"/>
          <w:color w:val="auto"/>
          <w:spacing w:val="-3"/>
          <w:sz w:val="24"/>
          <w:szCs w:val="24"/>
          <w:highlight w:val="none"/>
        </w:rPr>
      </w:pPr>
      <w:r>
        <w:rPr>
          <w:rFonts w:ascii="宋体" w:hAnsi="宋体" w:eastAsia="宋体" w:cs="宋体"/>
          <w:color w:val="auto"/>
          <w:spacing w:val="-2"/>
          <w:sz w:val="24"/>
          <w:szCs w:val="24"/>
          <w:highlight w:val="none"/>
        </w:rPr>
        <w:t>注：</w:t>
      </w:r>
      <w:r>
        <w:rPr>
          <w:rFonts w:ascii="宋体" w:hAnsi="宋体" w:eastAsia="宋体" w:cs="宋体"/>
          <w:color w:val="auto"/>
          <w:spacing w:val="-72"/>
          <w:sz w:val="24"/>
          <w:szCs w:val="24"/>
          <w:highlight w:val="none"/>
        </w:rPr>
        <w:t xml:space="preserve"> </w:t>
      </w:r>
      <w:r>
        <w:rPr>
          <w:rFonts w:ascii="宋体" w:hAnsi="宋体" w:eastAsia="宋体" w:cs="宋体"/>
          <w:color w:val="auto"/>
          <w:spacing w:val="-2"/>
          <w:sz w:val="24"/>
          <w:szCs w:val="24"/>
          <w:highlight w:val="none"/>
        </w:rPr>
        <w:t>自然人竞标的无需提供，联合体竞标的只需牵</w:t>
      </w:r>
      <w:r>
        <w:rPr>
          <w:rFonts w:ascii="宋体" w:hAnsi="宋体" w:eastAsia="宋体" w:cs="宋体"/>
          <w:color w:val="auto"/>
          <w:spacing w:val="-3"/>
          <w:sz w:val="24"/>
          <w:szCs w:val="24"/>
          <w:highlight w:val="none"/>
        </w:rPr>
        <w:t>头人出具。</w:t>
      </w:r>
    </w:p>
    <w:p w14:paraId="07D5A359">
      <w:pPr>
        <w:rPr>
          <w:rFonts w:ascii="宋体" w:hAnsi="宋体" w:eastAsia="宋体" w:cs="宋体"/>
          <w:color w:val="auto"/>
          <w:spacing w:val="-3"/>
          <w:sz w:val="24"/>
          <w:szCs w:val="24"/>
          <w:highlight w:val="none"/>
        </w:rPr>
      </w:pPr>
      <w:r>
        <w:rPr>
          <w:rFonts w:ascii="宋体" w:hAnsi="宋体" w:eastAsia="宋体" w:cs="宋体"/>
          <w:color w:val="auto"/>
          <w:spacing w:val="-3"/>
          <w:sz w:val="24"/>
          <w:szCs w:val="24"/>
          <w:highlight w:val="none"/>
        </w:rPr>
        <w:br w:type="page"/>
      </w:r>
    </w:p>
    <w:p w14:paraId="68B76114">
      <w:pPr>
        <w:spacing w:before="103" w:line="224" w:lineRule="auto"/>
        <w:jc w:val="center"/>
        <w:rPr>
          <w:rFonts w:ascii="宋体" w:hAnsi="宋体" w:eastAsia="宋体" w:cs="宋体"/>
          <w:color w:val="auto"/>
          <w:sz w:val="36"/>
          <w:szCs w:val="36"/>
          <w:highlight w:val="none"/>
        </w:rPr>
      </w:pPr>
      <w:r>
        <w:rPr>
          <w:rFonts w:ascii="宋体" w:hAnsi="宋体" w:eastAsia="宋体" w:cs="宋体"/>
          <w:b/>
          <w:bCs/>
          <w:color w:val="auto"/>
          <w:spacing w:val="4"/>
          <w:sz w:val="36"/>
          <w:szCs w:val="36"/>
          <w:highlight w:val="none"/>
        </w:rPr>
        <w:t>授权委托书</w:t>
      </w:r>
    </w:p>
    <w:p w14:paraId="0D3FCDF5">
      <w:pPr>
        <w:spacing w:line="223" w:lineRule="auto"/>
        <w:jc w:val="center"/>
        <w:rPr>
          <w:rFonts w:ascii="宋体" w:hAnsi="宋体" w:eastAsia="宋体" w:cs="宋体"/>
          <w:color w:val="auto"/>
          <w:sz w:val="36"/>
          <w:szCs w:val="36"/>
          <w:highlight w:val="none"/>
        </w:rPr>
      </w:pPr>
      <w:r>
        <w:rPr>
          <w:rFonts w:ascii="宋体" w:hAnsi="宋体" w:eastAsia="宋体" w:cs="宋体"/>
          <w:b/>
          <w:bCs/>
          <w:color w:val="auto"/>
          <w:spacing w:val="9"/>
          <w:sz w:val="36"/>
          <w:szCs w:val="36"/>
          <w:highlight w:val="none"/>
        </w:rPr>
        <w:t>（非联合体竞标格式）</w:t>
      </w:r>
    </w:p>
    <w:p w14:paraId="6BC40D5D">
      <w:pPr>
        <w:spacing w:line="604" w:lineRule="exact"/>
        <w:jc w:val="center"/>
        <w:rPr>
          <w:rFonts w:ascii="宋体" w:hAnsi="宋体" w:eastAsia="宋体" w:cs="宋体"/>
          <w:color w:val="auto"/>
          <w:sz w:val="36"/>
          <w:szCs w:val="36"/>
          <w:highlight w:val="none"/>
        </w:rPr>
      </w:pPr>
      <w:r>
        <w:rPr>
          <w:rFonts w:ascii="宋体" w:hAnsi="宋体" w:eastAsia="宋体" w:cs="宋体"/>
          <w:b/>
          <w:bCs/>
          <w:color w:val="auto"/>
          <w:spacing w:val="10"/>
          <w:position w:val="3"/>
          <w:sz w:val="36"/>
          <w:szCs w:val="36"/>
          <w:highlight w:val="none"/>
        </w:rPr>
        <w:t>（如有委托时）</w:t>
      </w:r>
    </w:p>
    <w:p w14:paraId="66B17ADE">
      <w:pPr>
        <w:spacing w:line="472" w:lineRule="auto"/>
        <w:rPr>
          <w:rFonts w:ascii="Arial"/>
          <w:color w:val="auto"/>
          <w:sz w:val="21"/>
          <w:highlight w:val="none"/>
        </w:rPr>
      </w:pPr>
    </w:p>
    <w:p w14:paraId="42CE2238">
      <w:pPr>
        <w:spacing w:before="78" w:line="219" w:lineRule="auto"/>
        <w:rPr>
          <w:rFonts w:ascii="宋体" w:hAnsi="宋体" w:eastAsia="宋体" w:cs="宋体"/>
          <w:color w:val="auto"/>
          <w:sz w:val="24"/>
          <w:szCs w:val="24"/>
          <w:highlight w:val="none"/>
        </w:rPr>
      </w:pPr>
      <w:r>
        <w:rPr>
          <w:rFonts w:ascii="宋体" w:hAnsi="宋体" w:eastAsia="宋体" w:cs="宋体"/>
          <w:color w:val="auto"/>
          <w:spacing w:val="9"/>
          <w:sz w:val="24"/>
          <w:szCs w:val="24"/>
          <w:highlight w:val="none"/>
        </w:rPr>
        <w:t>致</w:t>
      </w:r>
      <w:r>
        <w:rPr>
          <w:rFonts w:ascii="宋体" w:hAnsi="宋体" w:eastAsia="宋体" w:cs="宋体"/>
          <w:color w:val="auto"/>
          <w:spacing w:val="-17"/>
          <w:sz w:val="24"/>
          <w:szCs w:val="24"/>
          <w:highlight w:val="none"/>
        </w:rPr>
        <w:t>：</w:t>
      </w:r>
      <w:r>
        <w:rPr>
          <w:rFonts w:ascii="宋体" w:hAnsi="宋体" w:eastAsia="宋体" w:cs="宋体"/>
          <w:color w:val="auto"/>
          <w:spacing w:val="-17"/>
          <w:sz w:val="24"/>
          <w:szCs w:val="24"/>
          <w:highlight w:val="none"/>
          <w:u w:val="single" w:color="auto"/>
        </w:rPr>
        <w:t>（</w:t>
      </w:r>
      <w:r>
        <w:rPr>
          <w:rFonts w:ascii="宋体" w:hAnsi="宋体" w:eastAsia="宋体" w:cs="宋体"/>
          <w:color w:val="auto"/>
          <w:spacing w:val="9"/>
          <w:sz w:val="24"/>
          <w:szCs w:val="24"/>
          <w:highlight w:val="none"/>
          <w:u w:val="single" w:color="auto"/>
        </w:rPr>
        <w:t>采购人名称</w:t>
      </w:r>
      <w:r>
        <w:rPr>
          <w:rFonts w:ascii="宋体" w:hAnsi="宋体" w:eastAsia="宋体" w:cs="宋体"/>
          <w:color w:val="auto"/>
          <w:spacing w:val="-17"/>
          <w:sz w:val="24"/>
          <w:szCs w:val="24"/>
          <w:highlight w:val="none"/>
          <w:u w:val="single" w:color="auto"/>
        </w:rPr>
        <w:t>）</w:t>
      </w:r>
      <w:r>
        <w:rPr>
          <w:rFonts w:ascii="宋体" w:hAnsi="宋体" w:eastAsia="宋体" w:cs="宋体"/>
          <w:color w:val="auto"/>
          <w:spacing w:val="-17"/>
          <w:sz w:val="24"/>
          <w:szCs w:val="24"/>
          <w:highlight w:val="none"/>
        </w:rPr>
        <w:t>：</w:t>
      </w:r>
    </w:p>
    <w:p w14:paraId="5089D452">
      <w:pPr>
        <w:spacing w:before="184" w:line="332" w:lineRule="auto"/>
        <w:ind w:firstLine="482"/>
        <w:jc w:val="both"/>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我</w:t>
      </w:r>
      <w:r>
        <w:rPr>
          <w:rFonts w:ascii="宋体" w:hAnsi="宋体" w:eastAsia="宋体" w:cs="宋体"/>
          <w:color w:val="auto"/>
          <w:spacing w:val="2"/>
          <w:sz w:val="24"/>
          <w:szCs w:val="24"/>
          <w:highlight w:val="none"/>
          <w:u w:val="single" w:color="auto"/>
        </w:rPr>
        <w:t xml:space="preserve">  （姓名）  </w:t>
      </w:r>
      <w:r>
        <w:rPr>
          <w:rFonts w:ascii="宋体" w:hAnsi="宋体" w:eastAsia="宋体" w:cs="宋体"/>
          <w:color w:val="auto"/>
          <w:spacing w:val="-105"/>
          <w:sz w:val="24"/>
          <w:szCs w:val="24"/>
          <w:highlight w:val="none"/>
        </w:rPr>
        <w:t xml:space="preserve"> </w:t>
      </w:r>
      <w:r>
        <w:rPr>
          <w:rFonts w:ascii="宋体" w:hAnsi="宋体" w:eastAsia="宋体" w:cs="宋体"/>
          <w:color w:val="auto"/>
          <w:spacing w:val="2"/>
          <w:sz w:val="24"/>
          <w:szCs w:val="24"/>
          <w:highlight w:val="none"/>
        </w:rPr>
        <w:t>系</w:t>
      </w:r>
      <w:r>
        <w:rPr>
          <w:rFonts w:ascii="宋体" w:hAnsi="宋体" w:eastAsia="宋体" w:cs="宋体"/>
          <w:color w:val="auto"/>
          <w:spacing w:val="2"/>
          <w:sz w:val="24"/>
          <w:szCs w:val="24"/>
          <w:highlight w:val="none"/>
          <w:u w:val="single" w:color="auto"/>
        </w:rPr>
        <w:t xml:space="preserve">  （供应商名称） </w:t>
      </w:r>
      <w:r>
        <w:rPr>
          <w:rFonts w:ascii="宋体" w:hAnsi="宋体" w:eastAsia="宋体" w:cs="宋体"/>
          <w:color w:val="auto"/>
          <w:spacing w:val="1"/>
          <w:sz w:val="24"/>
          <w:szCs w:val="24"/>
          <w:highlight w:val="none"/>
          <w:u w:val="single" w:color="auto"/>
        </w:rPr>
        <w:t xml:space="preserve"> </w:t>
      </w:r>
      <w:r>
        <w:rPr>
          <w:rFonts w:ascii="宋体" w:hAnsi="宋体" w:eastAsia="宋体" w:cs="宋体"/>
          <w:color w:val="auto"/>
          <w:spacing w:val="-91"/>
          <w:sz w:val="24"/>
          <w:szCs w:val="24"/>
          <w:highlight w:val="none"/>
        </w:rPr>
        <w:t xml:space="preserve"> </w:t>
      </w:r>
      <w:r>
        <w:rPr>
          <w:rFonts w:ascii="宋体" w:hAnsi="宋体" w:eastAsia="宋体" w:cs="宋体"/>
          <w:color w:val="auto"/>
          <w:spacing w:val="1"/>
          <w:sz w:val="24"/>
          <w:szCs w:val="24"/>
          <w:highlight w:val="none"/>
        </w:rPr>
        <w:t>的 (</w:t>
      </w:r>
      <w:r>
        <w:rPr>
          <w:rFonts w:ascii="宋体" w:hAnsi="宋体" w:eastAsia="宋体" w:cs="宋体"/>
          <w:color w:val="auto"/>
          <w:spacing w:val="-83"/>
          <w:sz w:val="24"/>
          <w:szCs w:val="24"/>
          <w:highlight w:val="none"/>
        </w:rPr>
        <w:t xml:space="preserve"> </w:t>
      </w:r>
      <w:r>
        <w:rPr>
          <w:rFonts w:ascii="微软雅黑" w:hAnsi="微软雅黑" w:eastAsia="微软雅黑" w:cs="微软雅黑"/>
          <w:color w:val="auto"/>
          <w:spacing w:val="-50"/>
          <w:sz w:val="24"/>
          <w:szCs w:val="24"/>
          <w:highlight w:val="none"/>
          <w:u w:val="single" w:color="auto"/>
        </w:rPr>
        <w:t xml:space="preserve"> </w:t>
      </w:r>
      <w:r>
        <w:rPr>
          <w:rFonts w:ascii="微软雅黑" w:hAnsi="微软雅黑" w:eastAsia="微软雅黑" w:cs="微软雅黑"/>
          <w:color w:val="auto"/>
          <w:spacing w:val="1"/>
          <w:sz w:val="24"/>
          <w:szCs w:val="24"/>
          <w:highlight w:val="none"/>
          <w:u w:val="single" w:color="auto"/>
        </w:rPr>
        <w:t>□</w:t>
      </w:r>
      <w:r>
        <w:rPr>
          <w:rFonts w:ascii="宋体" w:hAnsi="宋体" w:eastAsia="宋体" w:cs="宋体"/>
          <w:color w:val="auto"/>
          <w:spacing w:val="1"/>
          <w:sz w:val="24"/>
          <w:szCs w:val="24"/>
          <w:highlight w:val="none"/>
          <w:u w:val="single" w:color="auto"/>
        </w:rPr>
        <w:t>法定代表人/□负责人/□自然人</w:t>
      </w:r>
      <w:r>
        <w:rPr>
          <w:rFonts w:ascii="宋体" w:hAnsi="宋体" w:eastAsia="宋体" w:cs="宋体"/>
          <w:color w:val="auto"/>
          <w:spacing w:val="-1"/>
          <w:sz w:val="24"/>
          <w:szCs w:val="24"/>
          <w:highlight w:val="none"/>
          <w:u w:val="single" w:color="auto"/>
        </w:rPr>
        <w:t>本人</w:t>
      </w:r>
      <w:r>
        <w:rPr>
          <w:rFonts w:ascii="宋体" w:hAnsi="宋体" w:eastAsia="宋体" w:cs="宋体"/>
          <w:color w:val="auto"/>
          <w:spacing w:val="13"/>
          <w:sz w:val="24"/>
          <w:szCs w:val="24"/>
          <w:highlight w:val="none"/>
        </w:rPr>
        <w:t>），</w:t>
      </w:r>
      <w:r>
        <w:rPr>
          <w:rFonts w:ascii="宋体" w:hAnsi="宋体" w:eastAsia="宋体" w:cs="宋体"/>
          <w:color w:val="auto"/>
          <w:spacing w:val="-1"/>
          <w:sz w:val="24"/>
          <w:szCs w:val="24"/>
          <w:highlight w:val="none"/>
        </w:rPr>
        <w:t>现授权</w:t>
      </w:r>
      <w:r>
        <w:rPr>
          <w:rFonts w:ascii="宋体" w:hAnsi="宋体" w:eastAsia="宋体" w:cs="宋体"/>
          <w:color w:val="auto"/>
          <w:spacing w:val="-1"/>
          <w:sz w:val="24"/>
          <w:szCs w:val="24"/>
          <w:highlight w:val="none"/>
          <w:u w:val="single" w:color="auto"/>
        </w:rPr>
        <w:t xml:space="preserve"> （姓名） </w:t>
      </w:r>
      <w:r>
        <w:rPr>
          <w:rFonts w:ascii="宋体" w:hAnsi="宋体" w:eastAsia="宋体" w:cs="宋体"/>
          <w:color w:val="auto"/>
          <w:spacing w:val="-84"/>
          <w:sz w:val="24"/>
          <w:szCs w:val="24"/>
          <w:highlight w:val="none"/>
        </w:rPr>
        <w:t xml:space="preserve"> </w:t>
      </w:r>
      <w:r>
        <w:rPr>
          <w:rFonts w:ascii="宋体" w:hAnsi="宋体" w:eastAsia="宋体" w:cs="宋体"/>
          <w:color w:val="auto"/>
          <w:spacing w:val="-1"/>
          <w:sz w:val="24"/>
          <w:szCs w:val="24"/>
          <w:highlight w:val="none"/>
        </w:rPr>
        <w:t>以我方的名义参加</w:t>
      </w:r>
      <w:r>
        <w:rPr>
          <w:rFonts w:ascii="宋体" w:hAnsi="宋体" w:eastAsia="宋体" w:cs="宋体"/>
          <w:color w:val="auto"/>
          <w:spacing w:val="-117"/>
          <w:sz w:val="24"/>
          <w:szCs w:val="24"/>
          <w:highlight w:val="none"/>
        </w:rPr>
        <w:t xml:space="preserve"> </w:t>
      </w:r>
      <w:r>
        <w:rPr>
          <w:rFonts w:ascii="宋体" w:hAnsi="宋体" w:eastAsia="宋体" w:cs="宋体"/>
          <w:color w:val="auto"/>
          <w:spacing w:val="2"/>
          <w:sz w:val="24"/>
          <w:szCs w:val="24"/>
          <w:highlight w:val="none"/>
          <w:u w:val="single" w:color="auto"/>
        </w:rPr>
        <w:t xml:space="preserve">              </w:t>
      </w:r>
      <w:r>
        <w:rPr>
          <w:rFonts w:ascii="宋体" w:hAnsi="宋体" w:eastAsia="宋体" w:cs="宋体"/>
          <w:color w:val="auto"/>
          <w:spacing w:val="-106"/>
          <w:sz w:val="24"/>
          <w:szCs w:val="24"/>
          <w:highlight w:val="none"/>
        </w:rPr>
        <w:t xml:space="preserve"> </w:t>
      </w:r>
      <w:r>
        <w:rPr>
          <w:rFonts w:ascii="宋体" w:hAnsi="宋体" w:eastAsia="宋体" w:cs="宋体"/>
          <w:color w:val="auto"/>
          <w:spacing w:val="-1"/>
          <w:sz w:val="24"/>
          <w:szCs w:val="24"/>
          <w:highlight w:val="none"/>
        </w:rPr>
        <w:t>项目的竞标活动，并</w:t>
      </w:r>
      <w:r>
        <w:rPr>
          <w:rFonts w:ascii="宋体" w:hAnsi="宋体" w:eastAsia="宋体" w:cs="宋体"/>
          <w:color w:val="auto"/>
          <w:spacing w:val="9"/>
          <w:sz w:val="24"/>
          <w:szCs w:val="24"/>
          <w:highlight w:val="none"/>
        </w:rPr>
        <w:t>代表我方全权办理针对上述项目的所有采购程序和环节的具体事务和签署相关文</w:t>
      </w:r>
      <w:r>
        <w:rPr>
          <w:rFonts w:ascii="宋体" w:hAnsi="宋体" w:eastAsia="宋体" w:cs="宋体"/>
          <w:color w:val="auto"/>
          <w:spacing w:val="-5"/>
          <w:sz w:val="24"/>
          <w:szCs w:val="24"/>
          <w:highlight w:val="none"/>
        </w:rPr>
        <w:t>件。</w:t>
      </w:r>
    </w:p>
    <w:p w14:paraId="2FCCD9A8">
      <w:pPr>
        <w:spacing w:line="219" w:lineRule="auto"/>
        <w:ind w:left="482"/>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我方对委托代理人的签字或者电子签名事项负全部责任。</w:t>
      </w:r>
    </w:p>
    <w:p w14:paraId="0C4061C4">
      <w:pPr>
        <w:spacing w:before="183" w:line="359" w:lineRule="auto"/>
        <w:ind w:left="6" w:right="2" w:firstLine="475"/>
        <w:rPr>
          <w:rFonts w:ascii="宋体" w:hAnsi="宋体" w:eastAsia="宋体" w:cs="宋体"/>
          <w:color w:val="auto"/>
          <w:sz w:val="24"/>
          <w:szCs w:val="24"/>
          <w:highlight w:val="none"/>
        </w:rPr>
      </w:pPr>
      <w:r>
        <w:rPr>
          <w:rFonts w:ascii="宋体" w:hAnsi="宋体" w:eastAsia="宋体" w:cs="宋体"/>
          <w:color w:val="auto"/>
          <w:spacing w:val="10"/>
          <w:sz w:val="24"/>
          <w:szCs w:val="24"/>
          <w:highlight w:val="none"/>
        </w:rPr>
        <w:t>本授权书自签署之日起生效，在撤销授权的书</w:t>
      </w:r>
      <w:r>
        <w:rPr>
          <w:rFonts w:ascii="宋体" w:hAnsi="宋体" w:eastAsia="宋体" w:cs="宋体"/>
          <w:color w:val="auto"/>
          <w:spacing w:val="9"/>
          <w:sz w:val="24"/>
          <w:szCs w:val="24"/>
          <w:highlight w:val="none"/>
        </w:rPr>
        <w:t>面通知以前，本授权书一直有</w:t>
      </w:r>
      <w:r>
        <w:rPr>
          <w:rFonts w:ascii="宋体" w:hAnsi="宋体" w:eastAsia="宋体" w:cs="宋体"/>
          <w:color w:val="auto"/>
          <w:spacing w:val="-1"/>
          <w:sz w:val="24"/>
          <w:szCs w:val="24"/>
          <w:highlight w:val="none"/>
        </w:rPr>
        <w:t>效。委托代理人在授权书有效期内签署的所有文件不因授权的撤销而失效。</w:t>
      </w:r>
    </w:p>
    <w:p w14:paraId="36311253">
      <w:pPr>
        <w:spacing w:line="219" w:lineRule="auto"/>
        <w:ind w:left="480"/>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委托代理人无转委托权，特此委托。</w:t>
      </w:r>
    </w:p>
    <w:p w14:paraId="3354C5D1">
      <w:pPr>
        <w:spacing w:before="183" w:line="219" w:lineRule="auto"/>
        <w:ind w:left="49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附：法定代表人身份证明书及委托代理人有效身份证正反面复印件</w:t>
      </w:r>
    </w:p>
    <w:p w14:paraId="7205A2A9">
      <w:pPr>
        <w:spacing w:line="283" w:lineRule="auto"/>
        <w:rPr>
          <w:rFonts w:ascii="Arial"/>
          <w:color w:val="auto"/>
          <w:sz w:val="24"/>
          <w:szCs w:val="24"/>
          <w:highlight w:val="none"/>
        </w:rPr>
      </w:pPr>
    </w:p>
    <w:p w14:paraId="06D13A28">
      <w:pPr>
        <w:spacing w:line="284" w:lineRule="auto"/>
        <w:rPr>
          <w:rFonts w:ascii="Arial"/>
          <w:color w:val="auto"/>
          <w:sz w:val="24"/>
          <w:szCs w:val="24"/>
          <w:highlight w:val="none"/>
        </w:rPr>
      </w:pPr>
    </w:p>
    <w:p w14:paraId="334C8A53">
      <w:pPr>
        <w:spacing w:before="78" w:line="219" w:lineRule="auto"/>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委托代理人（签字或者电子签名）：</w:t>
      </w:r>
      <w:r>
        <w:rPr>
          <w:rFonts w:hint="eastAsia" w:ascii="宋体" w:hAnsi="宋体" w:eastAsia="宋体" w:cs="宋体"/>
          <w:color w:val="auto"/>
          <w:spacing w:val="5"/>
          <w:sz w:val="24"/>
          <w:szCs w:val="24"/>
          <w:highlight w:val="none"/>
          <w:lang w:val="en-US" w:eastAsia="zh-CN"/>
        </w:rPr>
        <w:t xml:space="preserve">   </w:t>
      </w:r>
      <w:r>
        <w:rPr>
          <w:rFonts w:ascii="宋体" w:hAnsi="宋体" w:eastAsia="宋体" w:cs="宋体"/>
          <w:color w:val="auto"/>
          <w:spacing w:val="5"/>
          <w:sz w:val="24"/>
          <w:szCs w:val="24"/>
          <w:highlight w:val="none"/>
        </w:rPr>
        <w:t>法定代表人（签</w:t>
      </w:r>
      <w:r>
        <w:rPr>
          <w:rFonts w:ascii="宋体" w:hAnsi="宋体" w:eastAsia="宋体" w:cs="宋体"/>
          <w:color w:val="auto"/>
          <w:spacing w:val="4"/>
          <w:sz w:val="24"/>
          <w:szCs w:val="24"/>
          <w:highlight w:val="none"/>
        </w:rPr>
        <w:t>字或者盖章或者电子签</w:t>
      </w:r>
      <w:r>
        <w:rPr>
          <w:rFonts w:ascii="宋体" w:hAnsi="宋体" w:eastAsia="宋体" w:cs="宋体"/>
          <w:color w:val="auto"/>
          <w:spacing w:val="-13"/>
          <w:sz w:val="24"/>
          <w:szCs w:val="24"/>
          <w:highlight w:val="none"/>
        </w:rPr>
        <w:t>名</w:t>
      </w:r>
      <w:r>
        <w:rPr>
          <w:rFonts w:ascii="宋体" w:hAnsi="宋体" w:eastAsia="宋体" w:cs="宋体"/>
          <w:color w:val="auto"/>
          <w:sz w:val="24"/>
          <w:szCs w:val="24"/>
          <w:highlight w:val="none"/>
        </w:rPr>
        <w:t>）：</w:t>
      </w:r>
    </w:p>
    <w:p w14:paraId="630D0CE8">
      <w:pPr>
        <w:spacing w:before="179" w:line="219" w:lineRule="auto"/>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委托代理人身份证号码：</w:t>
      </w:r>
    </w:p>
    <w:p w14:paraId="65BE0FFC">
      <w:pPr>
        <w:spacing w:line="283" w:lineRule="auto"/>
        <w:rPr>
          <w:rFonts w:ascii="Arial"/>
          <w:color w:val="auto"/>
          <w:sz w:val="24"/>
          <w:szCs w:val="24"/>
          <w:highlight w:val="none"/>
        </w:rPr>
      </w:pPr>
    </w:p>
    <w:p w14:paraId="7F4DB6CF">
      <w:pPr>
        <w:spacing w:line="283" w:lineRule="auto"/>
        <w:rPr>
          <w:rFonts w:ascii="Arial"/>
          <w:color w:val="auto"/>
          <w:sz w:val="24"/>
          <w:szCs w:val="24"/>
          <w:highlight w:val="none"/>
        </w:rPr>
      </w:pPr>
    </w:p>
    <w:p w14:paraId="0BABC343">
      <w:pPr>
        <w:spacing w:before="78" w:line="219" w:lineRule="auto"/>
        <w:ind w:left="3000"/>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供应商名称（电子签章</w:t>
      </w:r>
      <w:r>
        <w:rPr>
          <w:rFonts w:ascii="宋体" w:hAnsi="宋体" w:eastAsia="宋体" w:cs="宋体"/>
          <w:color w:val="auto"/>
          <w:sz w:val="24"/>
          <w:szCs w:val="24"/>
          <w:highlight w:val="none"/>
        </w:rPr>
        <w:t>）：</w:t>
      </w:r>
    </w:p>
    <w:p w14:paraId="4178165A">
      <w:pPr>
        <w:spacing w:before="182" w:line="219" w:lineRule="auto"/>
        <w:ind w:left="4921"/>
        <w:rPr>
          <w:rFonts w:ascii="宋体" w:hAnsi="宋体" w:eastAsia="宋体" w:cs="宋体"/>
          <w:color w:val="auto"/>
          <w:sz w:val="24"/>
          <w:szCs w:val="24"/>
          <w:highlight w:val="none"/>
        </w:rPr>
      </w:pPr>
      <w:r>
        <w:rPr>
          <w:rFonts w:ascii="宋体" w:hAnsi="宋体" w:eastAsia="宋体" w:cs="宋体"/>
          <w:color w:val="auto"/>
          <w:spacing w:val="-9"/>
          <w:sz w:val="24"/>
          <w:szCs w:val="24"/>
          <w:highlight w:val="none"/>
        </w:rPr>
        <w:t>年</w:t>
      </w:r>
      <w:r>
        <w:rPr>
          <w:rFonts w:ascii="宋体" w:hAnsi="宋体" w:eastAsia="宋体" w:cs="宋体"/>
          <w:color w:val="auto"/>
          <w:spacing w:val="3"/>
          <w:sz w:val="24"/>
          <w:szCs w:val="24"/>
          <w:highlight w:val="none"/>
        </w:rPr>
        <w:t xml:space="preserve">    </w:t>
      </w:r>
      <w:r>
        <w:rPr>
          <w:rFonts w:ascii="宋体" w:hAnsi="宋体" w:eastAsia="宋体" w:cs="宋体"/>
          <w:color w:val="auto"/>
          <w:spacing w:val="-9"/>
          <w:sz w:val="24"/>
          <w:szCs w:val="24"/>
          <w:highlight w:val="none"/>
        </w:rPr>
        <w:t>月</w:t>
      </w:r>
      <w:r>
        <w:rPr>
          <w:rFonts w:ascii="宋体" w:hAnsi="宋体" w:eastAsia="宋体" w:cs="宋体"/>
          <w:color w:val="auto"/>
          <w:spacing w:val="13"/>
          <w:sz w:val="24"/>
          <w:szCs w:val="24"/>
          <w:highlight w:val="none"/>
        </w:rPr>
        <w:t xml:space="preserve">    </w:t>
      </w:r>
      <w:r>
        <w:rPr>
          <w:rFonts w:ascii="宋体" w:hAnsi="宋体" w:eastAsia="宋体" w:cs="宋体"/>
          <w:color w:val="auto"/>
          <w:spacing w:val="-9"/>
          <w:sz w:val="24"/>
          <w:szCs w:val="24"/>
          <w:highlight w:val="none"/>
        </w:rPr>
        <w:t>日</w:t>
      </w:r>
    </w:p>
    <w:p w14:paraId="3E57692E">
      <w:pPr>
        <w:spacing w:line="284" w:lineRule="auto"/>
        <w:rPr>
          <w:rFonts w:ascii="Arial"/>
          <w:color w:val="auto"/>
          <w:sz w:val="24"/>
          <w:szCs w:val="24"/>
          <w:highlight w:val="none"/>
        </w:rPr>
      </w:pPr>
    </w:p>
    <w:p w14:paraId="781CABB7">
      <w:pPr>
        <w:spacing w:line="285" w:lineRule="auto"/>
        <w:rPr>
          <w:rFonts w:ascii="Arial"/>
          <w:color w:val="auto"/>
          <w:sz w:val="24"/>
          <w:szCs w:val="24"/>
          <w:highlight w:val="none"/>
        </w:rPr>
      </w:pPr>
    </w:p>
    <w:p w14:paraId="1F00C031">
      <w:pPr>
        <w:spacing w:before="79" w:line="359" w:lineRule="auto"/>
        <w:ind w:left="3" w:hanging="3"/>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注：1. 法定代表人必须在授权委托书上签字或者盖章或者电子签名，委托代理人</w:t>
      </w:r>
      <w:r>
        <w:rPr>
          <w:rFonts w:ascii="宋体" w:hAnsi="宋体" w:eastAsia="宋体" w:cs="宋体"/>
          <w:color w:val="auto"/>
          <w:spacing w:val="-1"/>
          <w:sz w:val="24"/>
          <w:szCs w:val="24"/>
          <w:highlight w:val="none"/>
        </w:rPr>
        <w:t>必须在授权委托书上签字或者电子签名，</w:t>
      </w:r>
      <w:r>
        <w:rPr>
          <w:rFonts w:ascii="宋体" w:hAnsi="宋体" w:eastAsia="宋体" w:cs="宋体"/>
          <w:b/>
          <w:bCs/>
          <w:color w:val="auto"/>
          <w:spacing w:val="-1"/>
          <w:sz w:val="24"/>
          <w:szCs w:val="24"/>
          <w:highlight w:val="none"/>
        </w:rPr>
        <w:t>否则其响应文件</w:t>
      </w:r>
      <w:r>
        <w:rPr>
          <w:rFonts w:ascii="宋体" w:hAnsi="宋体" w:eastAsia="宋体" w:cs="宋体"/>
          <w:b/>
          <w:bCs/>
          <w:color w:val="auto"/>
          <w:spacing w:val="-2"/>
          <w:sz w:val="24"/>
          <w:szCs w:val="24"/>
          <w:highlight w:val="none"/>
        </w:rPr>
        <w:t>按无效响应处理。</w:t>
      </w:r>
    </w:p>
    <w:p w14:paraId="0A6CE713">
      <w:pPr>
        <w:rPr>
          <w:rFonts w:ascii="宋体" w:hAnsi="宋体" w:eastAsia="宋体" w:cs="宋体"/>
          <w:color w:val="auto"/>
          <w:spacing w:val="-2"/>
          <w:sz w:val="24"/>
          <w:szCs w:val="24"/>
          <w:highlight w:val="none"/>
        </w:rPr>
      </w:pPr>
      <w:r>
        <w:rPr>
          <w:rFonts w:ascii="宋体" w:hAnsi="宋体" w:eastAsia="宋体" w:cs="宋体"/>
          <w:color w:val="auto"/>
          <w:spacing w:val="-5"/>
          <w:sz w:val="24"/>
          <w:szCs w:val="24"/>
          <w:highlight w:val="none"/>
        </w:rPr>
        <w:t>2.法人、其他组织竞标时</w:t>
      </w:r>
      <w:r>
        <w:rPr>
          <w:rFonts w:hint="eastAsia" w:ascii="宋体" w:hAnsi="宋体" w:cs="宋体"/>
          <w:color w:val="auto"/>
          <w:spacing w:val="-5"/>
          <w:sz w:val="24"/>
          <w:szCs w:val="24"/>
          <w:highlight w:val="none"/>
          <w:lang w:eastAsia="zh-CN"/>
        </w:rPr>
        <w:t>“</w:t>
      </w:r>
      <w:r>
        <w:rPr>
          <w:rFonts w:ascii="宋体" w:hAnsi="宋体" w:eastAsia="宋体" w:cs="宋体"/>
          <w:color w:val="auto"/>
          <w:spacing w:val="-5"/>
          <w:sz w:val="24"/>
          <w:szCs w:val="24"/>
          <w:highlight w:val="none"/>
        </w:rPr>
        <w:t>我方</w:t>
      </w:r>
      <w:r>
        <w:rPr>
          <w:rFonts w:ascii="宋体" w:hAnsi="宋体" w:eastAsia="宋体" w:cs="宋体"/>
          <w:color w:val="auto"/>
          <w:spacing w:val="-71"/>
          <w:sz w:val="24"/>
          <w:szCs w:val="24"/>
          <w:highlight w:val="none"/>
        </w:rPr>
        <w:t xml:space="preserve"> </w:t>
      </w:r>
      <w:r>
        <w:rPr>
          <w:rFonts w:hint="eastAsia" w:ascii="宋体" w:hAnsi="宋体" w:cs="宋体"/>
          <w:color w:val="auto"/>
          <w:spacing w:val="-5"/>
          <w:sz w:val="24"/>
          <w:szCs w:val="24"/>
          <w:highlight w:val="none"/>
          <w:lang w:eastAsia="zh-CN"/>
        </w:rPr>
        <w:t>”</w:t>
      </w:r>
      <w:r>
        <w:rPr>
          <w:rFonts w:ascii="宋体" w:hAnsi="宋体" w:eastAsia="宋体" w:cs="宋体"/>
          <w:color w:val="auto"/>
          <w:spacing w:val="-5"/>
          <w:sz w:val="24"/>
          <w:szCs w:val="24"/>
          <w:highlight w:val="none"/>
        </w:rPr>
        <w:t>是指</w:t>
      </w:r>
      <w:r>
        <w:rPr>
          <w:rFonts w:hint="eastAsia" w:ascii="宋体" w:hAnsi="宋体" w:cs="宋体"/>
          <w:color w:val="auto"/>
          <w:spacing w:val="-5"/>
          <w:sz w:val="24"/>
          <w:szCs w:val="24"/>
          <w:highlight w:val="none"/>
          <w:lang w:eastAsia="zh-CN"/>
        </w:rPr>
        <w:t>“</w:t>
      </w:r>
      <w:r>
        <w:rPr>
          <w:rFonts w:ascii="宋体" w:hAnsi="宋体" w:eastAsia="宋体" w:cs="宋体"/>
          <w:color w:val="auto"/>
          <w:spacing w:val="-5"/>
          <w:sz w:val="24"/>
          <w:szCs w:val="24"/>
          <w:highlight w:val="none"/>
        </w:rPr>
        <w:t>我单位</w:t>
      </w:r>
      <w:r>
        <w:rPr>
          <w:rFonts w:ascii="宋体" w:hAnsi="宋体" w:eastAsia="宋体" w:cs="宋体"/>
          <w:color w:val="auto"/>
          <w:spacing w:val="-88"/>
          <w:sz w:val="24"/>
          <w:szCs w:val="24"/>
          <w:highlight w:val="none"/>
        </w:rPr>
        <w:t xml:space="preserve"> </w:t>
      </w:r>
      <w:r>
        <w:rPr>
          <w:rFonts w:hint="eastAsia" w:ascii="宋体" w:hAnsi="宋体" w:cs="宋体"/>
          <w:color w:val="auto"/>
          <w:spacing w:val="-5"/>
          <w:sz w:val="24"/>
          <w:szCs w:val="24"/>
          <w:highlight w:val="none"/>
          <w:lang w:eastAsia="zh-CN"/>
        </w:rPr>
        <w:t>”</w:t>
      </w:r>
      <w:r>
        <w:rPr>
          <w:rFonts w:ascii="宋体" w:hAnsi="宋体" w:eastAsia="宋体" w:cs="宋体"/>
          <w:color w:val="auto"/>
          <w:spacing w:val="-5"/>
          <w:sz w:val="24"/>
          <w:szCs w:val="24"/>
          <w:highlight w:val="none"/>
        </w:rPr>
        <w:t>，</w:t>
      </w:r>
      <w:r>
        <w:rPr>
          <w:rFonts w:ascii="宋体" w:hAnsi="宋体" w:eastAsia="宋体" w:cs="宋体"/>
          <w:color w:val="auto"/>
          <w:spacing w:val="-72"/>
          <w:sz w:val="24"/>
          <w:szCs w:val="24"/>
          <w:highlight w:val="none"/>
        </w:rPr>
        <w:t xml:space="preserve"> </w:t>
      </w:r>
      <w:r>
        <w:rPr>
          <w:rFonts w:ascii="宋体" w:hAnsi="宋体" w:eastAsia="宋体" w:cs="宋体"/>
          <w:color w:val="auto"/>
          <w:spacing w:val="-5"/>
          <w:sz w:val="24"/>
          <w:szCs w:val="24"/>
          <w:highlight w:val="none"/>
        </w:rPr>
        <w:t>自然人竞标时</w:t>
      </w:r>
      <w:r>
        <w:rPr>
          <w:rFonts w:hint="eastAsia" w:ascii="宋体" w:hAnsi="宋体" w:cs="宋体"/>
          <w:color w:val="auto"/>
          <w:spacing w:val="-5"/>
          <w:sz w:val="24"/>
          <w:szCs w:val="24"/>
          <w:highlight w:val="none"/>
          <w:lang w:eastAsia="zh-CN"/>
        </w:rPr>
        <w:t>“</w:t>
      </w:r>
      <w:r>
        <w:rPr>
          <w:rFonts w:ascii="宋体" w:hAnsi="宋体" w:eastAsia="宋体" w:cs="宋体"/>
          <w:color w:val="auto"/>
          <w:spacing w:val="-5"/>
          <w:sz w:val="24"/>
          <w:szCs w:val="24"/>
          <w:highlight w:val="none"/>
        </w:rPr>
        <w:t>我方</w:t>
      </w:r>
      <w:r>
        <w:rPr>
          <w:rFonts w:ascii="宋体" w:hAnsi="宋体" w:eastAsia="宋体" w:cs="宋体"/>
          <w:color w:val="auto"/>
          <w:spacing w:val="-88"/>
          <w:sz w:val="24"/>
          <w:szCs w:val="24"/>
          <w:highlight w:val="none"/>
        </w:rPr>
        <w:t xml:space="preserve"> </w:t>
      </w:r>
      <w:r>
        <w:rPr>
          <w:rFonts w:hint="eastAsia" w:ascii="宋体" w:hAnsi="宋体" w:cs="宋体"/>
          <w:color w:val="auto"/>
          <w:spacing w:val="-5"/>
          <w:sz w:val="24"/>
          <w:szCs w:val="24"/>
          <w:highlight w:val="none"/>
          <w:lang w:eastAsia="zh-CN"/>
        </w:rPr>
        <w:t>”</w:t>
      </w:r>
      <w:r>
        <w:rPr>
          <w:rFonts w:ascii="宋体" w:hAnsi="宋体" w:eastAsia="宋体" w:cs="宋体"/>
          <w:color w:val="auto"/>
          <w:spacing w:val="-5"/>
          <w:sz w:val="24"/>
          <w:szCs w:val="24"/>
          <w:highlight w:val="none"/>
        </w:rPr>
        <w:t>是</w:t>
      </w:r>
      <w:r>
        <w:rPr>
          <w:rFonts w:ascii="宋体" w:hAnsi="宋体" w:eastAsia="宋体" w:cs="宋体"/>
          <w:color w:val="auto"/>
          <w:spacing w:val="-2"/>
          <w:sz w:val="24"/>
          <w:szCs w:val="24"/>
          <w:highlight w:val="none"/>
        </w:rPr>
        <w:t>指</w:t>
      </w:r>
      <w:r>
        <w:rPr>
          <w:rFonts w:hint="eastAsia" w:ascii="宋体" w:hAnsi="宋体" w:cs="宋体"/>
          <w:color w:val="auto"/>
          <w:spacing w:val="-2"/>
          <w:sz w:val="24"/>
          <w:szCs w:val="24"/>
          <w:highlight w:val="none"/>
          <w:lang w:eastAsia="zh-CN"/>
        </w:rPr>
        <w:t>“</w:t>
      </w:r>
      <w:r>
        <w:rPr>
          <w:rFonts w:ascii="宋体" w:hAnsi="宋体" w:eastAsia="宋体" w:cs="宋体"/>
          <w:color w:val="auto"/>
          <w:spacing w:val="-2"/>
          <w:sz w:val="24"/>
          <w:szCs w:val="24"/>
          <w:highlight w:val="none"/>
        </w:rPr>
        <w:t>本人</w:t>
      </w:r>
      <w:r>
        <w:rPr>
          <w:rFonts w:ascii="宋体" w:hAnsi="宋体" w:eastAsia="宋体" w:cs="宋体"/>
          <w:color w:val="auto"/>
          <w:spacing w:val="-89"/>
          <w:sz w:val="24"/>
          <w:szCs w:val="24"/>
          <w:highlight w:val="none"/>
        </w:rPr>
        <w:t xml:space="preserve"> </w:t>
      </w:r>
      <w:r>
        <w:rPr>
          <w:rFonts w:hint="eastAsia" w:ascii="宋体" w:hAnsi="宋体" w:cs="宋体"/>
          <w:color w:val="auto"/>
          <w:spacing w:val="-2"/>
          <w:sz w:val="24"/>
          <w:szCs w:val="24"/>
          <w:highlight w:val="none"/>
          <w:lang w:eastAsia="zh-CN"/>
        </w:rPr>
        <w:t>”</w:t>
      </w:r>
      <w:r>
        <w:rPr>
          <w:rFonts w:ascii="宋体" w:hAnsi="宋体" w:eastAsia="宋体" w:cs="宋体"/>
          <w:color w:val="auto"/>
          <w:spacing w:val="-2"/>
          <w:sz w:val="24"/>
          <w:szCs w:val="24"/>
          <w:highlight w:val="none"/>
        </w:rPr>
        <w:t>。</w:t>
      </w:r>
    </w:p>
    <w:p w14:paraId="1FAA3413">
      <w:pPr>
        <w:rPr>
          <w:rFonts w:ascii="宋体" w:hAnsi="宋体" w:eastAsia="宋体" w:cs="宋体"/>
          <w:color w:val="auto"/>
          <w:spacing w:val="-2"/>
          <w:sz w:val="24"/>
          <w:szCs w:val="24"/>
          <w:highlight w:val="none"/>
        </w:rPr>
      </w:pPr>
      <w:r>
        <w:rPr>
          <w:rFonts w:ascii="宋体" w:hAnsi="宋体" w:eastAsia="宋体" w:cs="宋体"/>
          <w:color w:val="auto"/>
          <w:spacing w:val="-2"/>
          <w:sz w:val="24"/>
          <w:szCs w:val="24"/>
          <w:highlight w:val="none"/>
        </w:rPr>
        <w:br w:type="page"/>
      </w:r>
    </w:p>
    <w:p w14:paraId="079D8352">
      <w:pPr>
        <w:spacing w:before="104" w:line="604" w:lineRule="exact"/>
        <w:jc w:val="center"/>
        <w:rPr>
          <w:rFonts w:ascii="宋体" w:hAnsi="宋体" w:eastAsia="宋体" w:cs="宋体"/>
          <w:color w:val="auto"/>
          <w:sz w:val="43"/>
          <w:szCs w:val="43"/>
          <w:highlight w:val="none"/>
        </w:rPr>
      </w:pPr>
      <w:r>
        <w:rPr>
          <w:rFonts w:ascii="宋体" w:hAnsi="宋体" w:eastAsia="宋体" w:cs="宋体"/>
          <w:b/>
          <w:bCs/>
          <w:color w:val="auto"/>
          <w:spacing w:val="4"/>
          <w:position w:val="3"/>
          <w:sz w:val="36"/>
          <w:szCs w:val="36"/>
          <w:highlight w:val="none"/>
        </w:rPr>
        <w:t>商务要求偏离表格式</w:t>
      </w:r>
    </w:p>
    <w:p w14:paraId="392014AC">
      <w:pPr>
        <w:spacing w:before="3" w:line="441" w:lineRule="exact"/>
        <w:jc w:val="center"/>
        <w:rPr>
          <w:rFonts w:ascii="宋体" w:hAnsi="宋体" w:eastAsia="宋体" w:cs="宋体"/>
          <w:color w:val="auto"/>
          <w:sz w:val="30"/>
          <w:szCs w:val="30"/>
          <w:highlight w:val="none"/>
        </w:rPr>
      </w:pPr>
      <w:r>
        <w:rPr>
          <w:rFonts w:ascii="宋体" w:hAnsi="宋体" w:eastAsia="宋体" w:cs="宋体"/>
          <w:b/>
          <w:bCs/>
          <w:i/>
          <w:iCs/>
          <w:color w:val="auto"/>
          <w:spacing w:val="-10"/>
          <w:position w:val="1"/>
          <w:sz w:val="30"/>
          <w:szCs w:val="30"/>
          <w:highlight w:val="none"/>
        </w:rPr>
        <w:t>（注：按采购需求具体条款修改）</w:t>
      </w:r>
    </w:p>
    <w:p w14:paraId="37AB3E7A">
      <w:pPr>
        <w:spacing w:line="266" w:lineRule="auto"/>
        <w:rPr>
          <w:rFonts w:ascii="Arial"/>
          <w:color w:val="auto"/>
          <w:sz w:val="21"/>
          <w:highlight w:val="none"/>
        </w:rPr>
      </w:pPr>
    </w:p>
    <w:p w14:paraId="44E8D561">
      <w:pPr>
        <w:spacing w:before="78" w:line="220" w:lineRule="auto"/>
        <w:ind w:left="122"/>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所竞分标：</w:t>
      </w:r>
      <w:r>
        <w:rPr>
          <w:rFonts w:ascii="宋体" w:hAnsi="宋体" w:eastAsia="宋体" w:cs="宋体"/>
          <w:color w:val="auto"/>
          <w:sz w:val="24"/>
          <w:szCs w:val="24"/>
          <w:highlight w:val="none"/>
          <w:u w:val="single" w:color="auto"/>
        </w:rPr>
        <w:t xml:space="preserve">              </w:t>
      </w:r>
    </w:p>
    <w:p w14:paraId="5DEADEC8">
      <w:pPr>
        <w:spacing w:before="214"/>
        <w:rPr>
          <w:color w:val="auto"/>
          <w:sz w:val="24"/>
          <w:szCs w:val="24"/>
          <w:highlight w:val="none"/>
        </w:rPr>
      </w:pPr>
    </w:p>
    <w:tbl>
      <w:tblPr>
        <w:tblStyle w:val="78"/>
        <w:tblW w:w="89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97"/>
        <w:gridCol w:w="2561"/>
        <w:gridCol w:w="2527"/>
        <w:gridCol w:w="1761"/>
      </w:tblGrid>
      <w:tr w14:paraId="371B91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2097" w:type="dxa"/>
            <w:vAlign w:val="center"/>
          </w:tcPr>
          <w:p w14:paraId="78360C89">
            <w:pPr>
              <w:pStyle w:val="77"/>
              <w:spacing w:before="186" w:line="220" w:lineRule="auto"/>
              <w:jc w:val="center"/>
              <w:rPr>
                <w:color w:val="auto"/>
                <w:sz w:val="24"/>
                <w:szCs w:val="24"/>
                <w:highlight w:val="none"/>
              </w:rPr>
            </w:pPr>
            <w:r>
              <w:rPr>
                <w:color w:val="auto"/>
                <w:spacing w:val="-7"/>
                <w:sz w:val="24"/>
                <w:szCs w:val="24"/>
                <w:highlight w:val="none"/>
              </w:rPr>
              <w:t>项目</w:t>
            </w:r>
          </w:p>
        </w:tc>
        <w:tc>
          <w:tcPr>
            <w:tcW w:w="2561" w:type="dxa"/>
            <w:vAlign w:val="center"/>
          </w:tcPr>
          <w:p w14:paraId="60578482">
            <w:pPr>
              <w:pStyle w:val="77"/>
              <w:spacing w:before="187" w:line="219" w:lineRule="auto"/>
              <w:jc w:val="center"/>
              <w:rPr>
                <w:color w:val="auto"/>
                <w:sz w:val="24"/>
                <w:szCs w:val="24"/>
                <w:highlight w:val="none"/>
              </w:rPr>
            </w:pPr>
            <w:r>
              <w:rPr>
                <w:color w:val="auto"/>
                <w:spacing w:val="-2"/>
                <w:sz w:val="24"/>
                <w:szCs w:val="24"/>
                <w:highlight w:val="none"/>
              </w:rPr>
              <w:t>谈判文件商务要求</w:t>
            </w:r>
          </w:p>
        </w:tc>
        <w:tc>
          <w:tcPr>
            <w:tcW w:w="2527" w:type="dxa"/>
            <w:vAlign w:val="center"/>
          </w:tcPr>
          <w:p w14:paraId="3C1DC4F0">
            <w:pPr>
              <w:pStyle w:val="77"/>
              <w:spacing w:before="186" w:line="219" w:lineRule="auto"/>
              <w:jc w:val="center"/>
              <w:rPr>
                <w:color w:val="auto"/>
                <w:sz w:val="24"/>
                <w:szCs w:val="24"/>
                <w:highlight w:val="none"/>
              </w:rPr>
            </w:pPr>
            <w:r>
              <w:rPr>
                <w:color w:val="auto"/>
                <w:spacing w:val="-2"/>
                <w:sz w:val="24"/>
                <w:szCs w:val="24"/>
                <w:highlight w:val="none"/>
              </w:rPr>
              <w:t>供应商的响应</w:t>
            </w:r>
          </w:p>
        </w:tc>
        <w:tc>
          <w:tcPr>
            <w:tcW w:w="1761" w:type="dxa"/>
            <w:vAlign w:val="center"/>
          </w:tcPr>
          <w:p w14:paraId="7B3A63D2">
            <w:pPr>
              <w:pStyle w:val="77"/>
              <w:spacing w:before="187" w:line="219" w:lineRule="auto"/>
              <w:jc w:val="center"/>
              <w:rPr>
                <w:color w:val="auto"/>
                <w:sz w:val="24"/>
                <w:szCs w:val="24"/>
                <w:highlight w:val="none"/>
              </w:rPr>
            </w:pPr>
            <w:r>
              <w:rPr>
                <w:color w:val="auto"/>
                <w:spacing w:val="-3"/>
                <w:sz w:val="24"/>
                <w:szCs w:val="24"/>
                <w:highlight w:val="none"/>
              </w:rPr>
              <w:t>偏离说明</w:t>
            </w:r>
          </w:p>
        </w:tc>
      </w:tr>
      <w:tr w14:paraId="7BC833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3" w:hRule="atLeast"/>
        </w:trPr>
        <w:tc>
          <w:tcPr>
            <w:tcW w:w="2097" w:type="dxa"/>
            <w:vAlign w:val="top"/>
          </w:tcPr>
          <w:p w14:paraId="748F0E16">
            <w:pPr>
              <w:rPr>
                <w:rFonts w:ascii="Arial"/>
                <w:color w:val="auto"/>
                <w:sz w:val="24"/>
                <w:szCs w:val="24"/>
                <w:highlight w:val="none"/>
              </w:rPr>
            </w:pPr>
          </w:p>
        </w:tc>
        <w:tc>
          <w:tcPr>
            <w:tcW w:w="2561" w:type="dxa"/>
            <w:vAlign w:val="top"/>
          </w:tcPr>
          <w:p w14:paraId="5E67AEA8">
            <w:pPr>
              <w:rPr>
                <w:rFonts w:ascii="Arial"/>
                <w:color w:val="auto"/>
                <w:sz w:val="24"/>
                <w:szCs w:val="24"/>
                <w:highlight w:val="none"/>
              </w:rPr>
            </w:pPr>
          </w:p>
        </w:tc>
        <w:tc>
          <w:tcPr>
            <w:tcW w:w="2527" w:type="dxa"/>
            <w:vAlign w:val="top"/>
          </w:tcPr>
          <w:p w14:paraId="4936051B">
            <w:pPr>
              <w:rPr>
                <w:rFonts w:ascii="Arial"/>
                <w:color w:val="auto"/>
                <w:sz w:val="24"/>
                <w:szCs w:val="24"/>
                <w:highlight w:val="none"/>
              </w:rPr>
            </w:pPr>
          </w:p>
        </w:tc>
        <w:tc>
          <w:tcPr>
            <w:tcW w:w="1761" w:type="dxa"/>
            <w:vAlign w:val="top"/>
          </w:tcPr>
          <w:p w14:paraId="74398E4C">
            <w:pPr>
              <w:rPr>
                <w:rFonts w:ascii="Arial"/>
                <w:color w:val="auto"/>
                <w:sz w:val="24"/>
                <w:szCs w:val="24"/>
                <w:highlight w:val="none"/>
              </w:rPr>
            </w:pPr>
          </w:p>
        </w:tc>
      </w:tr>
      <w:tr w14:paraId="6BF275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2097" w:type="dxa"/>
            <w:vAlign w:val="top"/>
          </w:tcPr>
          <w:p w14:paraId="6CF6CC15">
            <w:pPr>
              <w:rPr>
                <w:rFonts w:ascii="Arial"/>
                <w:color w:val="auto"/>
                <w:sz w:val="24"/>
                <w:szCs w:val="24"/>
                <w:highlight w:val="none"/>
              </w:rPr>
            </w:pPr>
          </w:p>
        </w:tc>
        <w:tc>
          <w:tcPr>
            <w:tcW w:w="2561" w:type="dxa"/>
            <w:vAlign w:val="top"/>
          </w:tcPr>
          <w:p w14:paraId="3B5968DE">
            <w:pPr>
              <w:rPr>
                <w:rFonts w:ascii="Arial"/>
                <w:color w:val="auto"/>
                <w:sz w:val="24"/>
                <w:szCs w:val="24"/>
                <w:highlight w:val="none"/>
              </w:rPr>
            </w:pPr>
          </w:p>
        </w:tc>
        <w:tc>
          <w:tcPr>
            <w:tcW w:w="2527" w:type="dxa"/>
            <w:vAlign w:val="top"/>
          </w:tcPr>
          <w:p w14:paraId="6689C3A0">
            <w:pPr>
              <w:rPr>
                <w:rFonts w:ascii="Arial"/>
                <w:color w:val="auto"/>
                <w:sz w:val="24"/>
                <w:szCs w:val="24"/>
                <w:highlight w:val="none"/>
              </w:rPr>
            </w:pPr>
          </w:p>
        </w:tc>
        <w:tc>
          <w:tcPr>
            <w:tcW w:w="1761" w:type="dxa"/>
            <w:vAlign w:val="top"/>
          </w:tcPr>
          <w:p w14:paraId="4641AACB">
            <w:pPr>
              <w:rPr>
                <w:rFonts w:ascii="Arial"/>
                <w:color w:val="auto"/>
                <w:sz w:val="24"/>
                <w:szCs w:val="24"/>
                <w:highlight w:val="none"/>
              </w:rPr>
            </w:pPr>
          </w:p>
        </w:tc>
      </w:tr>
      <w:tr w14:paraId="0CABEB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6" w:hRule="atLeast"/>
        </w:trPr>
        <w:tc>
          <w:tcPr>
            <w:tcW w:w="2097" w:type="dxa"/>
            <w:vAlign w:val="top"/>
          </w:tcPr>
          <w:p w14:paraId="43D96A78">
            <w:pPr>
              <w:pStyle w:val="77"/>
              <w:spacing w:before="161" w:line="378" w:lineRule="exact"/>
              <w:ind w:left="950"/>
              <w:rPr>
                <w:color w:val="auto"/>
                <w:sz w:val="24"/>
                <w:szCs w:val="24"/>
                <w:highlight w:val="none"/>
              </w:rPr>
            </w:pPr>
            <w:r>
              <w:rPr>
                <w:color w:val="auto"/>
                <w:position w:val="3"/>
                <w:sz w:val="24"/>
                <w:szCs w:val="24"/>
                <w:highlight w:val="none"/>
              </w:rPr>
              <w:t>…</w:t>
            </w:r>
          </w:p>
        </w:tc>
        <w:tc>
          <w:tcPr>
            <w:tcW w:w="2561" w:type="dxa"/>
            <w:vAlign w:val="top"/>
          </w:tcPr>
          <w:p w14:paraId="6767E44E">
            <w:pPr>
              <w:rPr>
                <w:rFonts w:ascii="Arial"/>
                <w:color w:val="auto"/>
                <w:sz w:val="24"/>
                <w:szCs w:val="24"/>
                <w:highlight w:val="none"/>
              </w:rPr>
            </w:pPr>
          </w:p>
        </w:tc>
        <w:tc>
          <w:tcPr>
            <w:tcW w:w="2527" w:type="dxa"/>
            <w:vAlign w:val="top"/>
          </w:tcPr>
          <w:p w14:paraId="17E41F54">
            <w:pPr>
              <w:rPr>
                <w:rFonts w:ascii="Arial"/>
                <w:color w:val="auto"/>
                <w:sz w:val="24"/>
                <w:szCs w:val="24"/>
                <w:highlight w:val="none"/>
              </w:rPr>
            </w:pPr>
          </w:p>
        </w:tc>
        <w:tc>
          <w:tcPr>
            <w:tcW w:w="1761" w:type="dxa"/>
            <w:vAlign w:val="top"/>
          </w:tcPr>
          <w:p w14:paraId="1C09C799">
            <w:pPr>
              <w:rPr>
                <w:rFonts w:ascii="Arial"/>
                <w:color w:val="auto"/>
                <w:sz w:val="24"/>
                <w:szCs w:val="24"/>
                <w:highlight w:val="none"/>
              </w:rPr>
            </w:pPr>
          </w:p>
        </w:tc>
      </w:tr>
    </w:tbl>
    <w:p w14:paraId="7D7884D5">
      <w:pPr>
        <w:spacing w:before="37" w:line="224" w:lineRule="auto"/>
        <w:ind w:left="122"/>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注：</w:t>
      </w:r>
    </w:p>
    <w:p w14:paraId="50CE87CF">
      <w:pPr>
        <w:spacing w:before="175" w:line="359" w:lineRule="auto"/>
        <w:ind w:left="141" w:right="115" w:hanging="2"/>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 说明：应对照谈判文件</w:t>
      </w:r>
      <w:r>
        <w:rPr>
          <w:rFonts w:hint="eastAsia" w:ascii="宋体" w:hAnsi="宋体" w:cs="宋体"/>
          <w:color w:val="auto"/>
          <w:spacing w:val="1"/>
          <w:sz w:val="24"/>
          <w:szCs w:val="24"/>
          <w:highlight w:val="none"/>
          <w:lang w:eastAsia="zh-CN"/>
        </w:rPr>
        <w:t>“</w:t>
      </w:r>
      <w:r>
        <w:rPr>
          <w:rFonts w:ascii="宋体" w:hAnsi="宋体" w:eastAsia="宋体" w:cs="宋体"/>
          <w:color w:val="auto"/>
          <w:spacing w:val="1"/>
          <w:sz w:val="24"/>
          <w:szCs w:val="24"/>
          <w:highlight w:val="none"/>
        </w:rPr>
        <w:t>第三章 采购需求</w:t>
      </w:r>
      <w:r>
        <w:rPr>
          <w:rFonts w:ascii="宋体" w:hAnsi="宋体" w:eastAsia="宋体" w:cs="宋体"/>
          <w:color w:val="auto"/>
          <w:spacing w:val="-86"/>
          <w:sz w:val="24"/>
          <w:szCs w:val="24"/>
          <w:highlight w:val="none"/>
        </w:rPr>
        <w:t xml:space="preserve"> </w:t>
      </w:r>
      <w:r>
        <w:rPr>
          <w:rFonts w:hint="eastAsia" w:ascii="宋体" w:hAnsi="宋体" w:cs="宋体"/>
          <w:color w:val="auto"/>
          <w:spacing w:val="1"/>
          <w:sz w:val="24"/>
          <w:szCs w:val="24"/>
          <w:highlight w:val="none"/>
          <w:lang w:eastAsia="zh-CN"/>
        </w:rPr>
        <w:t>”</w:t>
      </w:r>
      <w:r>
        <w:rPr>
          <w:rFonts w:ascii="宋体" w:hAnsi="宋体" w:eastAsia="宋体" w:cs="宋体"/>
          <w:color w:val="auto"/>
          <w:spacing w:val="1"/>
          <w:sz w:val="24"/>
          <w:szCs w:val="24"/>
          <w:highlight w:val="none"/>
        </w:rPr>
        <w:t>中的商</w:t>
      </w:r>
      <w:r>
        <w:rPr>
          <w:rFonts w:ascii="宋体" w:hAnsi="宋体" w:eastAsia="宋体" w:cs="宋体"/>
          <w:color w:val="auto"/>
          <w:sz w:val="24"/>
          <w:szCs w:val="24"/>
          <w:highlight w:val="none"/>
        </w:rPr>
        <w:t>务要求逐条明确响应，并作</w:t>
      </w:r>
      <w:r>
        <w:rPr>
          <w:rFonts w:ascii="宋体" w:hAnsi="宋体" w:eastAsia="宋体" w:cs="宋体"/>
          <w:color w:val="auto"/>
          <w:spacing w:val="-5"/>
          <w:sz w:val="24"/>
          <w:szCs w:val="24"/>
          <w:highlight w:val="none"/>
        </w:rPr>
        <w:t>出偏离说明。</w:t>
      </w:r>
    </w:p>
    <w:p w14:paraId="5638C5B0">
      <w:pPr>
        <w:spacing w:before="2" w:line="360" w:lineRule="auto"/>
        <w:ind w:left="110" w:firstLine="14"/>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2.供应商应根据自身的承诺，对照谈判文件要求在</w:t>
      </w:r>
      <w:r>
        <w:rPr>
          <w:rFonts w:hint="eastAsia" w:ascii="宋体" w:hAnsi="宋体" w:cs="宋体"/>
          <w:color w:val="auto"/>
          <w:spacing w:val="3"/>
          <w:sz w:val="24"/>
          <w:szCs w:val="24"/>
          <w:highlight w:val="none"/>
          <w:lang w:eastAsia="zh-CN"/>
        </w:rPr>
        <w:t>“</w:t>
      </w:r>
      <w:r>
        <w:rPr>
          <w:rFonts w:ascii="宋体" w:hAnsi="宋体" w:eastAsia="宋体" w:cs="宋体"/>
          <w:color w:val="auto"/>
          <w:spacing w:val="3"/>
          <w:sz w:val="24"/>
          <w:szCs w:val="24"/>
          <w:highlight w:val="none"/>
        </w:rPr>
        <w:t>偏离说明</w:t>
      </w:r>
      <w:r>
        <w:rPr>
          <w:rFonts w:ascii="宋体" w:hAnsi="宋体" w:eastAsia="宋体" w:cs="宋体"/>
          <w:color w:val="auto"/>
          <w:spacing w:val="-75"/>
          <w:sz w:val="24"/>
          <w:szCs w:val="24"/>
          <w:highlight w:val="none"/>
        </w:rPr>
        <w:t xml:space="preserve"> </w:t>
      </w:r>
      <w:r>
        <w:rPr>
          <w:rFonts w:hint="eastAsia" w:ascii="宋体" w:hAnsi="宋体" w:cs="宋体"/>
          <w:color w:val="auto"/>
          <w:spacing w:val="3"/>
          <w:sz w:val="24"/>
          <w:szCs w:val="24"/>
          <w:highlight w:val="none"/>
          <w:lang w:eastAsia="zh-CN"/>
        </w:rPr>
        <w:t>”</w:t>
      </w:r>
      <w:r>
        <w:rPr>
          <w:rFonts w:ascii="宋体" w:hAnsi="宋体" w:eastAsia="宋体" w:cs="宋体"/>
          <w:color w:val="auto"/>
          <w:spacing w:val="3"/>
          <w:sz w:val="24"/>
          <w:szCs w:val="24"/>
          <w:highlight w:val="none"/>
        </w:rPr>
        <w:t>中注明</w:t>
      </w:r>
      <w:r>
        <w:rPr>
          <w:rFonts w:hint="eastAsia" w:ascii="宋体" w:hAnsi="宋体" w:cs="宋体"/>
          <w:color w:val="auto"/>
          <w:spacing w:val="3"/>
          <w:sz w:val="24"/>
          <w:szCs w:val="24"/>
          <w:highlight w:val="none"/>
          <w:lang w:eastAsia="zh-CN"/>
        </w:rPr>
        <w:t>“</w:t>
      </w:r>
      <w:r>
        <w:rPr>
          <w:rFonts w:ascii="宋体" w:hAnsi="宋体" w:eastAsia="宋体" w:cs="宋体"/>
          <w:color w:val="auto"/>
          <w:spacing w:val="3"/>
          <w:sz w:val="24"/>
          <w:szCs w:val="24"/>
          <w:highlight w:val="none"/>
        </w:rPr>
        <w:t>正偏离</w:t>
      </w:r>
      <w:r>
        <w:rPr>
          <w:rFonts w:ascii="宋体" w:hAnsi="宋体" w:eastAsia="宋体" w:cs="宋体"/>
          <w:color w:val="auto"/>
          <w:spacing w:val="-86"/>
          <w:sz w:val="24"/>
          <w:szCs w:val="24"/>
          <w:highlight w:val="none"/>
        </w:rPr>
        <w:t xml:space="preserve"> </w:t>
      </w:r>
      <w:r>
        <w:rPr>
          <w:rFonts w:hint="eastAsia" w:ascii="宋体" w:hAnsi="宋体" w:cs="宋体"/>
          <w:color w:val="auto"/>
          <w:spacing w:val="3"/>
          <w:sz w:val="24"/>
          <w:szCs w:val="24"/>
          <w:highlight w:val="none"/>
          <w:lang w:eastAsia="zh-CN"/>
        </w:rPr>
        <w:t>”</w:t>
      </w:r>
      <w:r>
        <w:rPr>
          <w:rFonts w:hint="eastAsia" w:ascii="宋体" w:hAnsi="宋体" w:cs="宋体"/>
          <w:color w:val="auto"/>
          <w:spacing w:val="-1"/>
          <w:sz w:val="24"/>
          <w:szCs w:val="24"/>
          <w:highlight w:val="none"/>
          <w:lang w:eastAsia="zh-CN"/>
        </w:rPr>
        <w:t>“</w:t>
      </w:r>
      <w:r>
        <w:rPr>
          <w:rFonts w:ascii="宋体" w:hAnsi="宋体" w:eastAsia="宋体" w:cs="宋体"/>
          <w:color w:val="auto"/>
          <w:spacing w:val="-1"/>
          <w:sz w:val="24"/>
          <w:szCs w:val="24"/>
          <w:highlight w:val="none"/>
        </w:rPr>
        <w:t>负偏离</w:t>
      </w:r>
      <w:r>
        <w:rPr>
          <w:rFonts w:ascii="宋体" w:hAnsi="宋体" w:eastAsia="宋体" w:cs="宋体"/>
          <w:color w:val="auto"/>
          <w:spacing w:val="-86"/>
          <w:sz w:val="24"/>
          <w:szCs w:val="24"/>
          <w:highlight w:val="none"/>
        </w:rPr>
        <w:t xml:space="preserve"> </w:t>
      </w:r>
      <w:r>
        <w:rPr>
          <w:rFonts w:hint="eastAsia" w:ascii="宋体" w:hAnsi="宋体" w:cs="宋体"/>
          <w:color w:val="auto"/>
          <w:spacing w:val="-1"/>
          <w:sz w:val="24"/>
          <w:szCs w:val="24"/>
          <w:highlight w:val="none"/>
          <w:lang w:eastAsia="zh-CN"/>
        </w:rPr>
        <w:t>”</w:t>
      </w:r>
      <w:r>
        <w:rPr>
          <w:rFonts w:ascii="宋体" w:hAnsi="宋体" w:eastAsia="宋体" w:cs="宋体"/>
          <w:color w:val="auto"/>
          <w:spacing w:val="-1"/>
          <w:sz w:val="24"/>
          <w:szCs w:val="24"/>
          <w:highlight w:val="none"/>
        </w:rPr>
        <w:t>或者</w:t>
      </w:r>
      <w:r>
        <w:rPr>
          <w:rFonts w:hint="eastAsia" w:ascii="宋体" w:hAnsi="宋体" w:cs="宋体"/>
          <w:color w:val="auto"/>
          <w:spacing w:val="-1"/>
          <w:sz w:val="24"/>
          <w:szCs w:val="24"/>
          <w:highlight w:val="none"/>
          <w:lang w:eastAsia="zh-CN"/>
        </w:rPr>
        <w:t>“</w:t>
      </w:r>
      <w:r>
        <w:rPr>
          <w:rFonts w:ascii="宋体" w:hAnsi="宋体" w:eastAsia="宋体" w:cs="宋体"/>
          <w:color w:val="auto"/>
          <w:spacing w:val="-1"/>
          <w:sz w:val="24"/>
          <w:szCs w:val="24"/>
          <w:highlight w:val="none"/>
        </w:rPr>
        <w:t>无偏离</w:t>
      </w:r>
      <w:r>
        <w:rPr>
          <w:rFonts w:ascii="宋体" w:hAnsi="宋体" w:eastAsia="宋体" w:cs="宋体"/>
          <w:color w:val="auto"/>
          <w:spacing w:val="-83"/>
          <w:sz w:val="24"/>
          <w:szCs w:val="24"/>
          <w:highlight w:val="none"/>
        </w:rPr>
        <w:t xml:space="preserve"> </w:t>
      </w:r>
      <w:r>
        <w:rPr>
          <w:rFonts w:hint="eastAsia" w:ascii="宋体" w:hAnsi="宋体" w:cs="宋体"/>
          <w:color w:val="auto"/>
          <w:spacing w:val="-1"/>
          <w:sz w:val="24"/>
          <w:szCs w:val="24"/>
          <w:highlight w:val="none"/>
          <w:lang w:eastAsia="zh-CN"/>
        </w:rPr>
        <w:t>”</w:t>
      </w:r>
      <w:r>
        <w:rPr>
          <w:rFonts w:ascii="宋体" w:hAnsi="宋体" w:eastAsia="宋体" w:cs="宋体"/>
          <w:color w:val="auto"/>
          <w:spacing w:val="-1"/>
          <w:sz w:val="24"/>
          <w:szCs w:val="24"/>
          <w:highlight w:val="none"/>
        </w:rPr>
        <w:t>。既不属于</w:t>
      </w:r>
      <w:r>
        <w:rPr>
          <w:rFonts w:hint="eastAsia" w:ascii="宋体" w:hAnsi="宋体" w:cs="宋体"/>
          <w:color w:val="auto"/>
          <w:spacing w:val="-1"/>
          <w:sz w:val="24"/>
          <w:szCs w:val="24"/>
          <w:highlight w:val="none"/>
          <w:lang w:eastAsia="zh-CN"/>
        </w:rPr>
        <w:t>“</w:t>
      </w:r>
      <w:r>
        <w:rPr>
          <w:rFonts w:ascii="宋体" w:hAnsi="宋体" w:eastAsia="宋体" w:cs="宋体"/>
          <w:color w:val="auto"/>
          <w:spacing w:val="-1"/>
          <w:sz w:val="24"/>
          <w:szCs w:val="24"/>
          <w:highlight w:val="none"/>
        </w:rPr>
        <w:t>正偏离</w:t>
      </w:r>
      <w:r>
        <w:rPr>
          <w:rFonts w:ascii="宋体" w:hAnsi="宋体" w:eastAsia="宋体" w:cs="宋体"/>
          <w:color w:val="auto"/>
          <w:spacing w:val="-86"/>
          <w:sz w:val="24"/>
          <w:szCs w:val="24"/>
          <w:highlight w:val="none"/>
        </w:rPr>
        <w:t xml:space="preserve"> </w:t>
      </w:r>
      <w:r>
        <w:rPr>
          <w:rFonts w:hint="eastAsia" w:ascii="宋体" w:hAnsi="宋体" w:cs="宋体"/>
          <w:color w:val="auto"/>
          <w:spacing w:val="-1"/>
          <w:sz w:val="24"/>
          <w:szCs w:val="24"/>
          <w:highlight w:val="none"/>
          <w:lang w:eastAsia="zh-CN"/>
        </w:rPr>
        <w:t>”</w:t>
      </w:r>
      <w:r>
        <w:rPr>
          <w:rFonts w:ascii="宋体" w:hAnsi="宋体" w:eastAsia="宋体" w:cs="宋体"/>
          <w:color w:val="auto"/>
          <w:spacing w:val="-2"/>
          <w:sz w:val="24"/>
          <w:szCs w:val="24"/>
          <w:highlight w:val="none"/>
        </w:rPr>
        <w:t>也不属于</w:t>
      </w:r>
      <w:r>
        <w:rPr>
          <w:rFonts w:hint="eastAsia" w:ascii="宋体" w:hAnsi="宋体" w:cs="宋体"/>
          <w:color w:val="auto"/>
          <w:spacing w:val="-2"/>
          <w:sz w:val="24"/>
          <w:szCs w:val="24"/>
          <w:highlight w:val="none"/>
          <w:lang w:eastAsia="zh-CN"/>
        </w:rPr>
        <w:t>“</w:t>
      </w:r>
      <w:r>
        <w:rPr>
          <w:rFonts w:ascii="宋体" w:hAnsi="宋体" w:eastAsia="宋体" w:cs="宋体"/>
          <w:color w:val="auto"/>
          <w:spacing w:val="-2"/>
          <w:sz w:val="24"/>
          <w:szCs w:val="24"/>
          <w:highlight w:val="none"/>
        </w:rPr>
        <w:t>负偏离</w:t>
      </w:r>
      <w:r>
        <w:rPr>
          <w:rFonts w:ascii="宋体" w:hAnsi="宋体" w:eastAsia="宋体" w:cs="宋体"/>
          <w:color w:val="auto"/>
          <w:spacing w:val="-85"/>
          <w:sz w:val="24"/>
          <w:szCs w:val="24"/>
          <w:highlight w:val="none"/>
        </w:rPr>
        <w:t xml:space="preserve"> </w:t>
      </w:r>
      <w:r>
        <w:rPr>
          <w:rFonts w:hint="eastAsia" w:ascii="宋体" w:hAnsi="宋体" w:cs="宋体"/>
          <w:color w:val="auto"/>
          <w:spacing w:val="-2"/>
          <w:sz w:val="24"/>
          <w:szCs w:val="24"/>
          <w:highlight w:val="none"/>
          <w:lang w:eastAsia="zh-CN"/>
        </w:rPr>
        <w:t>”</w:t>
      </w:r>
      <w:r>
        <w:rPr>
          <w:rFonts w:ascii="宋体" w:hAnsi="宋体" w:eastAsia="宋体" w:cs="宋体"/>
          <w:color w:val="auto"/>
          <w:spacing w:val="-2"/>
          <w:sz w:val="24"/>
          <w:szCs w:val="24"/>
          <w:highlight w:val="none"/>
        </w:rPr>
        <w:t>即为</w:t>
      </w:r>
      <w:r>
        <w:rPr>
          <w:rFonts w:hint="eastAsia" w:ascii="宋体" w:hAnsi="宋体" w:cs="宋体"/>
          <w:color w:val="auto"/>
          <w:spacing w:val="-2"/>
          <w:sz w:val="24"/>
          <w:szCs w:val="24"/>
          <w:highlight w:val="none"/>
          <w:lang w:eastAsia="zh-CN"/>
        </w:rPr>
        <w:t>“</w:t>
      </w:r>
      <w:r>
        <w:rPr>
          <w:rFonts w:ascii="宋体" w:hAnsi="宋体" w:eastAsia="宋体" w:cs="宋体"/>
          <w:color w:val="auto"/>
          <w:spacing w:val="-2"/>
          <w:sz w:val="24"/>
          <w:szCs w:val="24"/>
          <w:highlight w:val="none"/>
        </w:rPr>
        <w:t>无偏</w:t>
      </w:r>
      <w:r>
        <w:rPr>
          <w:rFonts w:ascii="宋体" w:hAnsi="宋体" w:eastAsia="宋体" w:cs="宋体"/>
          <w:color w:val="auto"/>
          <w:spacing w:val="1"/>
          <w:sz w:val="24"/>
          <w:szCs w:val="24"/>
          <w:highlight w:val="none"/>
        </w:rPr>
        <w:t>离</w:t>
      </w:r>
      <w:r>
        <w:rPr>
          <w:rFonts w:ascii="宋体" w:hAnsi="宋体" w:eastAsia="宋体" w:cs="宋体"/>
          <w:color w:val="auto"/>
          <w:spacing w:val="-89"/>
          <w:sz w:val="24"/>
          <w:szCs w:val="24"/>
          <w:highlight w:val="none"/>
        </w:rPr>
        <w:t xml:space="preserve"> </w:t>
      </w:r>
      <w:r>
        <w:rPr>
          <w:rFonts w:hint="eastAsia" w:ascii="宋体" w:hAnsi="宋体" w:cs="宋体"/>
          <w:color w:val="auto"/>
          <w:spacing w:val="1"/>
          <w:sz w:val="24"/>
          <w:szCs w:val="24"/>
          <w:highlight w:val="none"/>
          <w:lang w:eastAsia="zh-CN"/>
        </w:rPr>
        <w:t>”</w:t>
      </w:r>
      <w:r>
        <w:rPr>
          <w:rFonts w:ascii="宋体" w:hAnsi="宋体" w:eastAsia="宋体" w:cs="宋体"/>
          <w:color w:val="auto"/>
          <w:spacing w:val="1"/>
          <w:sz w:val="24"/>
          <w:szCs w:val="24"/>
          <w:highlight w:val="none"/>
        </w:rPr>
        <w:t>。</w:t>
      </w:r>
    </w:p>
    <w:p w14:paraId="568C1003">
      <w:pPr>
        <w:spacing w:line="261" w:lineRule="auto"/>
        <w:rPr>
          <w:rFonts w:ascii="Arial"/>
          <w:color w:val="auto"/>
          <w:sz w:val="24"/>
          <w:szCs w:val="24"/>
          <w:highlight w:val="none"/>
        </w:rPr>
      </w:pPr>
    </w:p>
    <w:p w14:paraId="3A5DF77F">
      <w:pPr>
        <w:spacing w:line="261" w:lineRule="auto"/>
        <w:rPr>
          <w:rFonts w:ascii="Arial"/>
          <w:color w:val="auto"/>
          <w:sz w:val="24"/>
          <w:szCs w:val="24"/>
          <w:highlight w:val="none"/>
        </w:rPr>
      </w:pPr>
    </w:p>
    <w:p w14:paraId="52C79B4A">
      <w:pPr>
        <w:spacing w:line="262" w:lineRule="auto"/>
        <w:rPr>
          <w:rFonts w:ascii="Arial"/>
          <w:color w:val="auto"/>
          <w:sz w:val="24"/>
          <w:szCs w:val="24"/>
          <w:highlight w:val="none"/>
        </w:rPr>
      </w:pPr>
    </w:p>
    <w:p w14:paraId="7D4BB383">
      <w:pPr>
        <w:spacing w:line="262" w:lineRule="auto"/>
        <w:rPr>
          <w:rFonts w:ascii="Arial"/>
          <w:color w:val="auto"/>
          <w:sz w:val="24"/>
          <w:szCs w:val="24"/>
          <w:highlight w:val="none"/>
        </w:rPr>
      </w:pPr>
    </w:p>
    <w:p w14:paraId="727645A7">
      <w:pPr>
        <w:spacing w:line="262" w:lineRule="auto"/>
        <w:rPr>
          <w:rFonts w:ascii="Arial"/>
          <w:color w:val="auto"/>
          <w:sz w:val="24"/>
          <w:szCs w:val="24"/>
          <w:highlight w:val="none"/>
        </w:rPr>
      </w:pPr>
    </w:p>
    <w:p w14:paraId="7A274120">
      <w:pPr>
        <w:spacing w:before="79" w:line="219" w:lineRule="auto"/>
        <w:ind w:left="2136"/>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法定代表人或者委托代理人（签字或者电子签名</w:t>
      </w:r>
      <w:r>
        <w:rPr>
          <w:rFonts w:ascii="宋体" w:hAnsi="宋体" w:eastAsia="宋体" w:cs="宋体"/>
          <w:color w:val="auto"/>
          <w:spacing w:val="4"/>
          <w:sz w:val="24"/>
          <w:szCs w:val="24"/>
          <w:highlight w:val="none"/>
        </w:rPr>
        <w:t>）：</w:t>
      </w:r>
    </w:p>
    <w:p w14:paraId="36E20049">
      <w:pPr>
        <w:spacing w:before="79" w:line="219" w:lineRule="auto"/>
        <w:ind w:left="2136"/>
        <w:rPr>
          <w:rFonts w:ascii="宋体" w:hAnsi="宋体" w:eastAsia="宋体" w:cs="宋体"/>
          <w:color w:val="auto"/>
          <w:spacing w:val="-1"/>
          <w:sz w:val="24"/>
          <w:szCs w:val="24"/>
          <w:highlight w:val="none"/>
        </w:rPr>
      </w:pPr>
      <w:r>
        <w:rPr>
          <w:rFonts w:ascii="宋体" w:hAnsi="宋体" w:eastAsia="宋体" w:cs="宋体"/>
          <w:color w:val="auto"/>
          <w:spacing w:val="-1"/>
          <w:sz w:val="24"/>
          <w:szCs w:val="24"/>
          <w:highlight w:val="none"/>
        </w:rPr>
        <w:t>供应商名称（电子签章）：</w:t>
      </w:r>
    </w:p>
    <w:p w14:paraId="4640CE2E">
      <w:pPr>
        <w:spacing w:before="79" w:line="219" w:lineRule="auto"/>
        <w:ind w:left="2136"/>
        <w:rPr>
          <w:rFonts w:ascii="宋体" w:hAnsi="宋体" w:eastAsia="宋体" w:cs="宋体"/>
          <w:color w:val="auto"/>
          <w:spacing w:val="-1"/>
          <w:sz w:val="24"/>
          <w:szCs w:val="24"/>
          <w:highlight w:val="none"/>
        </w:rPr>
      </w:pPr>
      <w:r>
        <w:rPr>
          <w:rFonts w:ascii="宋体" w:hAnsi="宋体" w:eastAsia="宋体" w:cs="宋体"/>
          <w:color w:val="auto"/>
          <w:spacing w:val="-1"/>
          <w:sz w:val="24"/>
          <w:szCs w:val="24"/>
          <w:highlight w:val="none"/>
        </w:rPr>
        <w:t>日期：   年   月   日</w:t>
      </w:r>
    </w:p>
    <w:p w14:paraId="76B41221">
      <w:pPr>
        <w:rPr>
          <w:rFonts w:ascii="宋体" w:hAnsi="宋体" w:eastAsia="宋体" w:cs="宋体"/>
          <w:color w:val="auto"/>
          <w:spacing w:val="-1"/>
          <w:sz w:val="24"/>
          <w:szCs w:val="24"/>
          <w:highlight w:val="none"/>
        </w:rPr>
      </w:pPr>
      <w:r>
        <w:rPr>
          <w:rFonts w:ascii="宋体" w:hAnsi="宋体" w:eastAsia="宋体" w:cs="宋体"/>
          <w:color w:val="auto"/>
          <w:spacing w:val="-1"/>
          <w:sz w:val="24"/>
          <w:szCs w:val="24"/>
          <w:highlight w:val="none"/>
        </w:rPr>
        <w:br w:type="page"/>
      </w:r>
    </w:p>
    <w:p w14:paraId="653F0462">
      <w:pPr>
        <w:spacing w:before="86" w:line="219" w:lineRule="auto"/>
        <w:jc w:val="center"/>
        <w:rPr>
          <w:rFonts w:ascii="宋体" w:hAnsi="宋体" w:eastAsia="宋体" w:cs="宋体"/>
          <w:color w:val="auto"/>
          <w:sz w:val="36"/>
          <w:szCs w:val="36"/>
          <w:highlight w:val="none"/>
        </w:rPr>
      </w:pPr>
      <w:r>
        <w:rPr>
          <w:rFonts w:ascii="宋体" w:hAnsi="宋体" w:eastAsia="宋体" w:cs="宋体"/>
          <w:b/>
          <w:bCs/>
          <w:color w:val="auto"/>
          <w:spacing w:val="3"/>
          <w:sz w:val="36"/>
          <w:szCs w:val="36"/>
          <w:highlight w:val="none"/>
        </w:rPr>
        <w:t>货物配置清单</w:t>
      </w:r>
    </w:p>
    <w:p w14:paraId="48E1E4A8">
      <w:pPr>
        <w:spacing w:line="263" w:lineRule="auto"/>
        <w:rPr>
          <w:rFonts w:ascii="Arial"/>
          <w:color w:val="auto"/>
          <w:sz w:val="21"/>
          <w:highlight w:val="none"/>
        </w:rPr>
      </w:pPr>
    </w:p>
    <w:p w14:paraId="7B6E1D14">
      <w:pPr>
        <w:spacing w:before="78" w:line="219" w:lineRule="auto"/>
        <w:ind w:left="126"/>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项目编号：</w:t>
      </w:r>
      <w:r>
        <w:rPr>
          <w:rFonts w:ascii="宋体" w:hAnsi="宋体" w:eastAsia="宋体" w:cs="宋体"/>
          <w:color w:val="auto"/>
          <w:sz w:val="24"/>
          <w:szCs w:val="24"/>
          <w:highlight w:val="none"/>
          <w:u w:val="single" w:color="auto"/>
        </w:rPr>
        <w:t xml:space="preserve">                 </w:t>
      </w:r>
    </w:p>
    <w:p w14:paraId="55DAA1E8">
      <w:pPr>
        <w:spacing w:before="182" w:line="220" w:lineRule="auto"/>
        <w:ind w:left="126"/>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项目名称：</w:t>
      </w:r>
      <w:r>
        <w:rPr>
          <w:rFonts w:ascii="宋体" w:hAnsi="宋体" w:eastAsia="宋体" w:cs="宋体"/>
          <w:color w:val="auto"/>
          <w:sz w:val="24"/>
          <w:szCs w:val="24"/>
          <w:highlight w:val="none"/>
          <w:u w:val="single" w:color="auto"/>
        </w:rPr>
        <w:t xml:space="preserve">                 </w:t>
      </w:r>
    </w:p>
    <w:p w14:paraId="21F48F3C">
      <w:pPr>
        <w:spacing w:before="179" w:line="220" w:lineRule="auto"/>
        <w:ind w:left="122"/>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所竞分标：</w:t>
      </w:r>
      <w:r>
        <w:rPr>
          <w:rFonts w:ascii="宋体" w:hAnsi="宋体" w:eastAsia="宋体" w:cs="宋体"/>
          <w:color w:val="auto"/>
          <w:sz w:val="24"/>
          <w:szCs w:val="24"/>
          <w:highlight w:val="none"/>
          <w:u w:val="single" w:color="auto"/>
        </w:rPr>
        <w:t xml:space="preserve">                 </w:t>
      </w:r>
    </w:p>
    <w:p w14:paraId="10A03D60">
      <w:pPr>
        <w:spacing w:line="146" w:lineRule="exact"/>
        <w:rPr>
          <w:color w:val="auto"/>
          <w:sz w:val="24"/>
          <w:szCs w:val="24"/>
          <w:highlight w:val="none"/>
        </w:rPr>
      </w:pPr>
    </w:p>
    <w:tbl>
      <w:tblPr>
        <w:tblStyle w:val="78"/>
        <w:tblW w:w="895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4"/>
        <w:gridCol w:w="1244"/>
        <w:gridCol w:w="1054"/>
        <w:gridCol w:w="1010"/>
        <w:gridCol w:w="1417"/>
        <w:gridCol w:w="1244"/>
        <w:gridCol w:w="736"/>
        <w:gridCol w:w="1501"/>
      </w:tblGrid>
      <w:tr w14:paraId="5DFA27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trPr>
        <w:tc>
          <w:tcPr>
            <w:tcW w:w="744" w:type="dxa"/>
            <w:vAlign w:val="center"/>
          </w:tcPr>
          <w:p w14:paraId="52E4F6FC">
            <w:pPr>
              <w:pStyle w:val="77"/>
              <w:spacing w:before="78" w:line="221" w:lineRule="auto"/>
              <w:jc w:val="center"/>
              <w:rPr>
                <w:color w:val="auto"/>
                <w:sz w:val="24"/>
                <w:szCs w:val="24"/>
                <w:highlight w:val="none"/>
              </w:rPr>
            </w:pPr>
            <w:r>
              <w:rPr>
                <w:color w:val="auto"/>
                <w:spacing w:val="-5"/>
                <w:sz w:val="24"/>
                <w:szCs w:val="24"/>
                <w:highlight w:val="none"/>
              </w:rPr>
              <w:t>序号</w:t>
            </w:r>
          </w:p>
        </w:tc>
        <w:tc>
          <w:tcPr>
            <w:tcW w:w="1244" w:type="dxa"/>
            <w:vAlign w:val="center"/>
          </w:tcPr>
          <w:p w14:paraId="5C829507">
            <w:pPr>
              <w:pStyle w:val="77"/>
              <w:spacing w:before="78" w:line="219" w:lineRule="auto"/>
              <w:jc w:val="center"/>
              <w:rPr>
                <w:color w:val="auto"/>
                <w:sz w:val="24"/>
                <w:szCs w:val="24"/>
                <w:highlight w:val="none"/>
              </w:rPr>
            </w:pPr>
            <w:r>
              <w:rPr>
                <w:color w:val="auto"/>
                <w:spacing w:val="-4"/>
                <w:sz w:val="24"/>
                <w:szCs w:val="24"/>
                <w:highlight w:val="none"/>
              </w:rPr>
              <w:t>货物名称</w:t>
            </w:r>
          </w:p>
        </w:tc>
        <w:tc>
          <w:tcPr>
            <w:tcW w:w="1054" w:type="dxa"/>
            <w:vAlign w:val="center"/>
          </w:tcPr>
          <w:p w14:paraId="0DB1002C">
            <w:pPr>
              <w:pStyle w:val="77"/>
              <w:spacing w:before="193" w:line="241" w:lineRule="auto"/>
              <w:ind w:right="164"/>
              <w:jc w:val="center"/>
              <w:rPr>
                <w:color w:val="auto"/>
                <w:sz w:val="24"/>
                <w:szCs w:val="24"/>
                <w:highlight w:val="none"/>
              </w:rPr>
            </w:pPr>
            <w:r>
              <w:rPr>
                <w:color w:val="auto"/>
                <w:spacing w:val="-4"/>
                <w:sz w:val="24"/>
                <w:szCs w:val="24"/>
                <w:highlight w:val="none"/>
              </w:rPr>
              <w:t>数量及</w:t>
            </w:r>
            <w:r>
              <w:rPr>
                <w:color w:val="auto"/>
                <w:spacing w:val="-6"/>
                <w:sz w:val="24"/>
                <w:szCs w:val="24"/>
                <w:highlight w:val="none"/>
              </w:rPr>
              <w:t>单位</w:t>
            </w:r>
          </w:p>
        </w:tc>
        <w:tc>
          <w:tcPr>
            <w:tcW w:w="1010" w:type="dxa"/>
            <w:vAlign w:val="center"/>
          </w:tcPr>
          <w:p w14:paraId="0A4BD252">
            <w:pPr>
              <w:pStyle w:val="77"/>
              <w:spacing w:before="78" w:line="219" w:lineRule="auto"/>
              <w:jc w:val="center"/>
              <w:rPr>
                <w:color w:val="auto"/>
                <w:sz w:val="24"/>
                <w:szCs w:val="24"/>
                <w:highlight w:val="none"/>
              </w:rPr>
            </w:pPr>
            <w:r>
              <w:rPr>
                <w:color w:val="auto"/>
                <w:spacing w:val="-15"/>
                <w:sz w:val="24"/>
                <w:szCs w:val="24"/>
                <w:highlight w:val="none"/>
              </w:rPr>
              <w:t>品牌</w:t>
            </w:r>
          </w:p>
        </w:tc>
        <w:tc>
          <w:tcPr>
            <w:tcW w:w="1417" w:type="dxa"/>
            <w:vAlign w:val="center"/>
          </w:tcPr>
          <w:p w14:paraId="494FFF83">
            <w:pPr>
              <w:pStyle w:val="77"/>
              <w:spacing w:before="78" w:line="219" w:lineRule="auto"/>
              <w:jc w:val="center"/>
              <w:rPr>
                <w:color w:val="auto"/>
                <w:sz w:val="24"/>
                <w:szCs w:val="24"/>
                <w:highlight w:val="none"/>
              </w:rPr>
            </w:pPr>
            <w:r>
              <w:rPr>
                <w:color w:val="auto"/>
                <w:spacing w:val="-3"/>
                <w:sz w:val="24"/>
                <w:szCs w:val="24"/>
                <w:highlight w:val="none"/>
              </w:rPr>
              <w:t>规格型号</w:t>
            </w:r>
          </w:p>
        </w:tc>
        <w:tc>
          <w:tcPr>
            <w:tcW w:w="1244" w:type="dxa"/>
            <w:vAlign w:val="center"/>
          </w:tcPr>
          <w:p w14:paraId="30EFF74F">
            <w:pPr>
              <w:pStyle w:val="77"/>
              <w:spacing w:before="78" w:line="220" w:lineRule="auto"/>
              <w:jc w:val="center"/>
              <w:rPr>
                <w:color w:val="auto"/>
                <w:sz w:val="24"/>
                <w:szCs w:val="24"/>
                <w:highlight w:val="none"/>
              </w:rPr>
            </w:pPr>
            <w:r>
              <w:rPr>
                <w:color w:val="auto"/>
                <w:spacing w:val="-4"/>
                <w:sz w:val="24"/>
                <w:szCs w:val="24"/>
                <w:highlight w:val="none"/>
              </w:rPr>
              <w:t>制造商</w:t>
            </w:r>
          </w:p>
        </w:tc>
        <w:tc>
          <w:tcPr>
            <w:tcW w:w="736" w:type="dxa"/>
            <w:vAlign w:val="center"/>
          </w:tcPr>
          <w:p w14:paraId="0A2B0AFB">
            <w:pPr>
              <w:pStyle w:val="77"/>
              <w:spacing w:before="194" w:line="245" w:lineRule="auto"/>
              <w:ind w:right="124"/>
              <w:jc w:val="center"/>
              <w:rPr>
                <w:color w:val="auto"/>
                <w:sz w:val="24"/>
                <w:szCs w:val="24"/>
                <w:highlight w:val="none"/>
              </w:rPr>
            </w:pPr>
            <w:r>
              <w:rPr>
                <w:color w:val="auto"/>
                <w:spacing w:val="-8"/>
                <w:sz w:val="24"/>
                <w:szCs w:val="24"/>
                <w:highlight w:val="none"/>
              </w:rPr>
              <w:t>原产</w:t>
            </w:r>
            <w:r>
              <w:rPr>
                <w:color w:val="auto"/>
                <w:sz w:val="24"/>
                <w:szCs w:val="24"/>
                <w:highlight w:val="none"/>
              </w:rPr>
              <w:t>地</w:t>
            </w:r>
          </w:p>
        </w:tc>
        <w:tc>
          <w:tcPr>
            <w:tcW w:w="1501" w:type="dxa"/>
            <w:vAlign w:val="center"/>
          </w:tcPr>
          <w:p w14:paraId="7D2B3056">
            <w:pPr>
              <w:pStyle w:val="77"/>
              <w:spacing w:before="193" w:line="241" w:lineRule="auto"/>
              <w:ind w:right="149"/>
              <w:jc w:val="center"/>
              <w:rPr>
                <w:color w:val="auto"/>
                <w:sz w:val="24"/>
                <w:szCs w:val="24"/>
                <w:highlight w:val="none"/>
              </w:rPr>
            </w:pPr>
            <w:r>
              <w:rPr>
                <w:color w:val="auto"/>
                <w:spacing w:val="-3"/>
                <w:sz w:val="24"/>
                <w:szCs w:val="24"/>
                <w:highlight w:val="none"/>
              </w:rPr>
              <w:t>参数性能、指标及配置</w:t>
            </w:r>
          </w:p>
        </w:tc>
      </w:tr>
      <w:tr w14:paraId="2FB811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trPr>
        <w:tc>
          <w:tcPr>
            <w:tcW w:w="744" w:type="dxa"/>
            <w:vAlign w:val="top"/>
          </w:tcPr>
          <w:p w14:paraId="37EAB776">
            <w:pPr>
              <w:rPr>
                <w:rFonts w:ascii="Arial"/>
                <w:color w:val="auto"/>
                <w:sz w:val="24"/>
                <w:szCs w:val="24"/>
                <w:highlight w:val="none"/>
              </w:rPr>
            </w:pPr>
          </w:p>
        </w:tc>
        <w:tc>
          <w:tcPr>
            <w:tcW w:w="1244" w:type="dxa"/>
            <w:vAlign w:val="top"/>
          </w:tcPr>
          <w:p w14:paraId="4A5F090E">
            <w:pPr>
              <w:rPr>
                <w:rFonts w:ascii="Arial"/>
                <w:color w:val="auto"/>
                <w:sz w:val="24"/>
                <w:szCs w:val="24"/>
                <w:highlight w:val="none"/>
              </w:rPr>
            </w:pPr>
          </w:p>
        </w:tc>
        <w:tc>
          <w:tcPr>
            <w:tcW w:w="1054" w:type="dxa"/>
            <w:vAlign w:val="top"/>
          </w:tcPr>
          <w:p w14:paraId="2EC950DD">
            <w:pPr>
              <w:rPr>
                <w:rFonts w:ascii="Arial"/>
                <w:color w:val="auto"/>
                <w:sz w:val="24"/>
                <w:szCs w:val="24"/>
                <w:highlight w:val="none"/>
              </w:rPr>
            </w:pPr>
          </w:p>
        </w:tc>
        <w:tc>
          <w:tcPr>
            <w:tcW w:w="1010" w:type="dxa"/>
            <w:vAlign w:val="top"/>
          </w:tcPr>
          <w:p w14:paraId="7070C4CF">
            <w:pPr>
              <w:rPr>
                <w:rFonts w:ascii="Arial"/>
                <w:color w:val="auto"/>
                <w:sz w:val="24"/>
                <w:szCs w:val="24"/>
                <w:highlight w:val="none"/>
              </w:rPr>
            </w:pPr>
          </w:p>
        </w:tc>
        <w:tc>
          <w:tcPr>
            <w:tcW w:w="1417" w:type="dxa"/>
            <w:vAlign w:val="top"/>
          </w:tcPr>
          <w:p w14:paraId="6B5DA15D">
            <w:pPr>
              <w:rPr>
                <w:rFonts w:ascii="Arial"/>
                <w:color w:val="auto"/>
                <w:sz w:val="24"/>
                <w:szCs w:val="24"/>
                <w:highlight w:val="none"/>
              </w:rPr>
            </w:pPr>
          </w:p>
        </w:tc>
        <w:tc>
          <w:tcPr>
            <w:tcW w:w="1244" w:type="dxa"/>
            <w:vAlign w:val="top"/>
          </w:tcPr>
          <w:p w14:paraId="45790A57">
            <w:pPr>
              <w:rPr>
                <w:rFonts w:ascii="Arial"/>
                <w:color w:val="auto"/>
                <w:sz w:val="24"/>
                <w:szCs w:val="24"/>
                <w:highlight w:val="none"/>
              </w:rPr>
            </w:pPr>
          </w:p>
        </w:tc>
        <w:tc>
          <w:tcPr>
            <w:tcW w:w="736" w:type="dxa"/>
            <w:vAlign w:val="top"/>
          </w:tcPr>
          <w:p w14:paraId="3A26FC06">
            <w:pPr>
              <w:rPr>
                <w:rFonts w:ascii="Arial"/>
                <w:color w:val="auto"/>
                <w:sz w:val="24"/>
                <w:szCs w:val="24"/>
                <w:highlight w:val="none"/>
              </w:rPr>
            </w:pPr>
          </w:p>
        </w:tc>
        <w:tc>
          <w:tcPr>
            <w:tcW w:w="1501" w:type="dxa"/>
            <w:vAlign w:val="top"/>
          </w:tcPr>
          <w:p w14:paraId="7FBF224E">
            <w:pPr>
              <w:rPr>
                <w:rFonts w:ascii="Arial"/>
                <w:color w:val="auto"/>
                <w:sz w:val="24"/>
                <w:szCs w:val="24"/>
                <w:highlight w:val="none"/>
              </w:rPr>
            </w:pPr>
          </w:p>
        </w:tc>
      </w:tr>
      <w:tr w14:paraId="6F39E6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744" w:type="dxa"/>
            <w:vAlign w:val="top"/>
          </w:tcPr>
          <w:p w14:paraId="41E44394">
            <w:pPr>
              <w:rPr>
                <w:rFonts w:ascii="Arial"/>
                <w:color w:val="auto"/>
                <w:sz w:val="24"/>
                <w:szCs w:val="24"/>
                <w:highlight w:val="none"/>
              </w:rPr>
            </w:pPr>
          </w:p>
        </w:tc>
        <w:tc>
          <w:tcPr>
            <w:tcW w:w="1244" w:type="dxa"/>
            <w:vAlign w:val="top"/>
          </w:tcPr>
          <w:p w14:paraId="2ECAFC2E">
            <w:pPr>
              <w:rPr>
                <w:rFonts w:ascii="Arial"/>
                <w:color w:val="auto"/>
                <w:sz w:val="24"/>
                <w:szCs w:val="24"/>
                <w:highlight w:val="none"/>
              </w:rPr>
            </w:pPr>
          </w:p>
        </w:tc>
        <w:tc>
          <w:tcPr>
            <w:tcW w:w="1054" w:type="dxa"/>
            <w:vAlign w:val="top"/>
          </w:tcPr>
          <w:p w14:paraId="4DD517CC">
            <w:pPr>
              <w:rPr>
                <w:rFonts w:ascii="Arial"/>
                <w:color w:val="auto"/>
                <w:sz w:val="24"/>
                <w:szCs w:val="24"/>
                <w:highlight w:val="none"/>
              </w:rPr>
            </w:pPr>
          </w:p>
        </w:tc>
        <w:tc>
          <w:tcPr>
            <w:tcW w:w="1010" w:type="dxa"/>
            <w:vAlign w:val="top"/>
          </w:tcPr>
          <w:p w14:paraId="59492065">
            <w:pPr>
              <w:rPr>
                <w:rFonts w:ascii="Arial"/>
                <w:color w:val="auto"/>
                <w:sz w:val="24"/>
                <w:szCs w:val="24"/>
                <w:highlight w:val="none"/>
              </w:rPr>
            </w:pPr>
          </w:p>
        </w:tc>
        <w:tc>
          <w:tcPr>
            <w:tcW w:w="1417" w:type="dxa"/>
            <w:vAlign w:val="top"/>
          </w:tcPr>
          <w:p w14:paraId="6E196894">
            <w:pPr>
              <w:rPr>
                <w:rFonts w:ascii="Arial"/>
                <w:color w:val="auto"/>
                <w:sz w:val="24"/>
                <w:szCs w:val="24"/>
                <w:highlight w:val="none"/>
              </w:rPr>
            </w:pPr>
          </w:p>
        </w:tc>
        <w:tc>
          <w:tcPr>
            <w:tcW w:w="1244" w:type="dxa"/>
            <w:vAlign w:val="top"/>
          </w:tcPr>
          <w:p w14:paraId="46469A6D">
            <w:pPr>
              <w:rPr>
                <w:rFonts w:ascii="Arial"/>
                <w:color w:val="auto"/>
                <w:sz w:val="24"/>
                <w:szCs w:val="24"/>
                <w:highlight w:val="none"/>
              </w:rPr>
            </w:pPr>
          </w:p>
        </w:tc>
        <w:tc>
          <w:tcPr>
            <w:tcW w:w="736" w:type="dxa"/>
            <w:vAlign w:val="top"/>
          </w:tcPr>
          <w:p w14:paraId="0C6E50EF">
            <w:pPr>
              <w:rPr>
                <w:rFonts w:ascii="Arial"/>
                <w:color w:val="auto"/>
                <w:sz w:val="24"/>
                <w:szCs w:val="24"/>
                <w:highlight w:val="none"/>
              </w:rPr>
            </w:pPr>
          </w:p>
        </w:tc>
        <w:tc>
          <w:tcPr>
            <w:tcW w:w="1501" w:type="dxa"/>
            <w:vAlign w:val="top"/>
          </w:tcPr>
          <w:p w14:paraId="7E9EE497">
            <w:pPr>
              <w:rPr>
                <w:rFonts w:ascii="Arial"/>
                <w:color w:val="auto"/>
                <w:sz w:val="24"/>
                <w:szCs w:val="24"/>
                <w:highlight w:val="none"/>
              </w:rPr>
            </w:pPr>
          </w:p>
        </w:tc>
      </w:tr>
      <w:tr w14:paraId="700FE2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744" w:type="dxa"/>
            <w:vAlign w:val="top"/>
          </w:tcPr>
          <w:p w14:paraId="0063185C">
            <w:pPr>
              <w:rPr>
                <w:rFonts w:ascii="Arial"/>
                <w:color w:val="auto"/>
                <w:sz w:val="24"/>
                <w:szCs w:val="24"/>
                <w:highlight w:val="none"/>
              </w:rPr>
            </w:pPr>
          </w:p>
        </w:tc>
        <w:tc>
          <w:tcPr>
            <w:tcW w:w="1244" w:type="dxa"/>
            <w:vAlign w:val="top"/>
          </w:tcPr>
          <w:p w14:paraId="24807CB3">
            <w:pPr>
              <w:rPr>
                <w:rFonts w:ascii="Arial"/>
                <w:color w:val="auto"/>
                <w:sz w:val="24"/>
                <w:szCs w:val="24"/>
                <w:highlight w:val="none"/>
              </w:rPr>
            </w:pPr>
          </w:p>
        </w:tc>
        <w:tc>
          <w:tcPr>
            <w:tcW w:w="1054" w:type="dxa"/>
            <w:vAlign w:val="top"/>
          </w:tcPr>
          <w:p w14:paraId="66C0F7AB">
            <w:pPr>
              <w:rPr>
                <w:rFonts w:ascii="Arial"/>
                <w:color w:val="auto"/>
                <w:sz w:val="24"/>
                <w:szCs w:val="24"/>
                <w:highlight w:val="none"/>
              </w:rPr>
            </w:pPr>
          </w:p>
        </w:tc>
        <w:tc>
          <w:tcPr>
            <w:tcW w:w="1010" w:type="dxa"/>
            <w:vAlign w:val="top"/>
          </w:tcPr>
          <w:p w14:paraId="7C46B6B4">
            <w:pPr>
              <w:rPr>
                <w:rFonts w:ascii="Arial"/>
                <w:color w:val="auto"/>
                <w:sz w:val="24"/>
                <w:szCs w:val="24"/>
                <w:highlight w:val="none"/>
              </w:rPr>
            </w:pPr>
          </w:p>
        </w:tc>
        <w:tc>
          <w:tcPr>
            <w:tcW w:w="1417" w:type="dxa"/>
            <w:vAlign w:val="top"/>
          </w:tcPr>
          <w:p w14:paraId="64C3BB0A">
            <w:pPr>
              <w:rPr>
                <w:rFonts w:ascii="Arial"/>
                <w:color w:val="auto"/>
                <w:sz w:val="24"/>
                <w:szCs w:val="24"/>
                <w:highlight w:val="none"/>
              </w:rPr>
            </w:pPr>
          </w:p>
        </w:tc>
        <w:tc>
          <w:tcPr>
            <w:tcW w:w="1244" w:type="dxa"/>
            <w:vAlign w:val="top"/>
          </w:tcPr>
          <w:p w14:paraId="21BDE488">
            <w:pPr>
              <w:rPr>
                <w:rFonts w:ascii="Arial"/>
                <w:color w:val="auto"/>
                <w:sz w:val="24"/>
                <w:szCs w:val="24"/>
                <w:highlight w:val="none"/>
              </w:rPr>
            </w:pPr>
          </w:p>
        </w:tc>
        <w:tc>
          <w:tcPr>
            <w:tcW w:w="736" w:type="dxa"/>
            <w:vAlign w:val="top"/>
          </w:tcPr>
          <w:p w14:paraId="0BCF4823">
            <w:pPr>
              <w:rPr>
                <w:rFonts w:ascii="Arial"/>
                <w:color w:val="auto"/>
                <w:sz w:val="24"/>
                <w:szCs w:val="24"/>
                <w:highlight w:val="none"/>
              </w:rPr>
            </w:pPr>
          </w:p>
        </w:tc>
        <w:tc>
          <w:tcPr>
            <w:tcW w:w="1501" w:type="dxa"/>
            <w:vAlign w:val="top"/>
          </w:tcPr>
          <w:p w14:paraId="2510818E">
            <w:pPr>
              <w:rPr>
                <w:rFonts w:ascii="Arial"/>
                <w:color w:val="auto"/>
                <w:sz w:val="24"/>
                <w:szCs w:val="24"/>
                <w:highlight w:val="none"/>
              </w:rPr>
            </w:pPr>
          </w:p>
        </w:tc>
      </w:tr>
    </w:tbl>
    <w:p w14:paraId="7B5843E4">
      <w:pPr>
        <w:spacing w:before="35" w:line="221" w:lineRule="auto"/>
        <w:ind w:left="125"/>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备注：</w:t>
      </w:r>
    </w:p>
    <w:p w14:paraId="2C51B987">
      <w:pPr>
        <w:spacing w:before="179" w:line="360" w:lineRule="auto"/>
        <w:ind w:left="122" w:right="114" w:firstLine="27"/>
        <w:jc w:val="both"/>
        <w:rPr>
          <w:rFonts w:ascii="宋体" w:hAnsi="宋体" w:eastAsia="宋体" w:cs="宋体"/>
          <w:color w:val="auto"/>
          <w:sz w:val="24"/>
          <w:szCs w:val="24"/>
          <w:highlight w:val="none"/>
        </w:rPr>
      </w:pPr>
      <w:r>
        <w:rPr>
          <w:rFonts w:ascii="宋体" w:hAnsi="宋体" w:eastAsia="宋体" w:cs="宋体"/>
          <w:b/>
          <w:bCs/>
          <w:color w:val="auto"/>
          <w:spacing w:val="6"/>
          <w:sz w:val="24"/>
          <w:szCs w:val="24"/>
          <w:highlight w:val="none"/>
        </w:rPr>
        <w:t>以上货物配置清单中</w:t>
      </w:r>
      <w:r>
        <w:rPr>
          <w:rFonts w:hint="eastAsia" w:ascii="宋体" w:hAnsi="宋体" w:cs="宋体"/>
          <w:b/>
          <w:bCs/>
          <w:color w:val="auto"/>
          <w:spacing w:val="6"/>
          <w:sz w:val="24"/>
          <w:szCs w:val="24"/>
          <w:highlight w:val="none"/>
          <w:lang w:eastAsia="zh-CN"/>
        </w:rPr>
        <w:t>“</w:t>
      </w:r>
      <w:r>
        <w:rPr>
          <w:rFonts w:ascii="宋体" w:hAnsi="宋体" w:eastAsia="宋体" w:cs="宋体"/>
          <w:b/>
          <w:bCs/>
          <w:color w:val="auto"/>
          <w:spacing w:val="6"/>
          <w:sz w:val="24"/>
          <w:szCs w:val="24"/>
          <w:highlight w:val="none"/>
        </w:rPr>
        <w:t>货物名称、数量及单位、品牌、规格型</w:t>
      </w:r>
      <w:r>
        <w:rPr>
          <w:rFonts w:ascii="宋体" w:hAnsi="宋体" w:eastAsia="宋体" w:cs="宋体"/>
          <w:b/>
          <w:bCs/>
          <w:color w:val="auto"/>
          <w:spacing w:val="5"/>
          <w:sz w:val="24"/>
          <w:szCs w:val="24"/>
          <w:highlight w:val="none"/>
        </w:rPr>
        <w:t>号、制造商、原产</w:t>
      </w:r>
      <w:r>
        <w:rPr>
          <w:rFonts w:ascii="宋体" w:hAnsi="宋体" w:eastAsia="宋体" w:cs="宋体"/>
          <w:b/>
          <w:bCs/>
          <w:color w:val="auto"/>
          <w:spacing w:val="-1"/>
          <w:sz w:val="24"/>
          <w:szCs w:val="24"/>
          <w:highlight w:val="none"/>
        </w:rPr>
        <w:t>地、参数性能、指标及配置</w:t>
      </w:r>
      <w:r>
        <w:rPr>
          <w:rFonts w:ascii="宋体" w:hAnsi="宋体" w:eastAsia="宋体" w:cs="宋体"/>
          <w:color w:val="auto"/>
          <w:spacing w:val="-88"/>
          <w:sz w:val="24"/>
          <w:szCs w:val="24"/>
          <w:highlight w:val="none"/>
        </w:rPr>
        <w:t xml:space="preserve"> </w:t>
      </w:r>
      <w:r>
        <w:rPr>
          <w:rFonts w:hint="eastAsia" w:ascii="宋体" w:hAnsi="宋体" w:cs="宋体"/>
          <w:b/>
          <w:bCs/>
          <w:color w:val="auto"/>
          <w:spacing w:val="-1"/>
          <w:sz w:val="24"/>
          <w:szCs w:val="24"/>
          <w:highlight w:val="none"/>
          <w:lang w:eastAsia="zh-CN"/>
        </w:rPr>
        <w:t>”</w:t>
      </w:r>
      <w:r>
        <w:rPr>
          <w:rFonts w:ascii="宋体" w:hAnsi="宋体" w:eastAsia="宋体" w:cs="宋体"/>
          <w:b/>
          <w:bCs/>
          <w:color w:val="auto"/>
          <w:spacing w:val="-1"/>
          <w:sz w:val="24"/>
          <w:szCs w:val="24"/>
          <w:highlight w:val="none"/>
        </w:rPr>
        <w:t>必须如实填写完整，品牌、</w:t>
      </w:r>
      <w:r>
        <w:rPr>
          <w:rFonts w:ascii="宋体" w:hAnsi="宋体" w:eastAsia="宋体" w:cs="宋体"/>
          <w:b/>
          <w:bCs/>
          <w:color w:val="auto"/>
          <w:spacing w:val="-2"/>
          <w:sz w:val="24"/>
          <w:szCs w:val="24"/>
          <w:highlight w:val="none"/>
        </w:rPr>
        <w:t>规格型号没有则填无，填</w:t>
      </w:r>
      <w:r>
        <w:rPr>
          <w:rFonts w:ascii="宋体" w:hAnsi="宋体" w:eastAsia="宋体" w:cs="宋体"/>
          <w:b/>
          <w:bCs/>
          <w:color w:val="auto"/>
          <w:spacing w:val="1"/>
          <w:sz w:val="24"/>
          <w:szCs w:val="24"/>
          <w:highlight w:val="none"/>
        </w:rPr>
        <w:t>写有缺漏的，响应文件按无效处理。</w:t>
      </w:r>
      <w:r>
        <w:rPr>
          <w:rFonts w:ascii="宋体" w:hAnsi="宋体" w:eastAsia="宋体" w:cs="宋体"/>
          <w:color w:val="auto"/>
          <w:spacing w:val="1"/>
          <w:sz w:val="24"/>
          <w:szCs w:val="24"/>
          <w:highlight w:val="none"/>
        </w:rPr>
        <w:t>货物名称、数量及单位、品牌必须与</w:t>
      </w:r>
      <w:r>
        <w:rPr>
          <w:rFonts w:hint="eastAsia" w:ascii="宋体" w:hAnsi="宋体" w:cs="宋体"/>
          <w:color w:val="auto"/>
          <w:spacing w:val="1"/>
          <w:sz w:val="24"/>
          <w:szCs w:val="24"/>
          <w:highlight w:val="none"/>
          <w:lang w:eastAsia="zh-CN"/>
        </w:rPr>
        <w:t>“</w:t>
      </w:r>
      <w:r>
        <w:rPr>
          <w:rFonts w:ascii="宋体" w:hAnsi="宋体" w:eastAsia="宋体" w:cs="宋体"/>
          <w:color w:val="auto"/>
          <w:spacing w:val="1"/>
          <w:sz w:val="24"/>
          <w:szCs w:val="24"/>
          <w:highlight w:val="none"/>
        </w:rPr>
        <w:t>竞标报</w:t>
      </w:r>
      <w:r>
        <w:rPr>
          <w:rFonts w:ascii="宋体" w:hAnsi="宋体" w:eastAsia="宋体" w:cs="宋体"/>
          <w:color w:val="auto"/>
          <w:spacing w:val="-3"/>
          <w:sz w:val="24"/>
          <w:szCs w:val="24"/>
          <w:highlight w:val="none"/>
        </w:rPr>
        <w:t>价表</w:t>
      </w:r>
      <w:r>
        <w:rPr>
          <w:rFonts w:ascii="宋体" w:hAnsi="宋体" w:eastAsia="宋体" w:cs="宋体"/>
          <w:color w:val="auto"/>
          <w:spacing w:val="-79"/>
          <w:sz w:val="24"/>
          <w:szCs w:val="24"/>
          <w:highlight w:val="none"/>
        </w:rPr>
        <w:t xml:space="preserve"> </w:t>
      </w:r>
      <w:r>
        <w:rPr>
          <w:rFonts w:hint="eastAsia" w:ascii="宋体" w:hAnsi="宋体" w:cs="宋体"/>
          <w:color w:val="auto"/>
          <w:spacing w:val="-3"/>
          <w:sz w:val="24"/>
          <w:szCs w:val="24"/>
          <w:highlight w:val="none"/>
          <w:lang w:eastAsia="zh-CN"/>
        </w:rPr>
        <w:t>”</w:t>
      </w:r>
      <w:r>
        <w:rPr>
          <w:rFonts w:ascii="宋体" w:hAnsi="宋体" w:eastAsia="宋体" w:cs="宋体"/>
          <w:color w:val="auto"/>
          <w:spacing w:val="-3"/>
          <w:sz w:val="24"/>
          <w:szCs w:val="24"/>
          <w:highlight w:val="none"/>
        </w:rPr>
        <w:t>一致，否则响应文件按无效处理</w:t>
      </w:r>
      <w:r>
        <w:rPr>
          <w:rFonts w:ascii="宋体" w:hAnsi="宋体" w:eastAsia="宋体" w:cs="宋体"/>
          <w:b/>
          <w:bCs/>
          <w:color w:val="auto"/>
          <w:spacing w:val="-3"/>
          <w:sz w:val="24"/>
          <w:szCs w:val="24"/>
          <w:highlight w:val="none"/>
        </w:rPr>
        <w:t>。</w:t>
      </w:r>
    </w:p>
    <w:p w14:paraId="6F571ABE">
      <w:pPr>
        <w:spacing w:line="262" w:lineRule="auto"/>
        <w:rPr>
          <w:rFonts w:ascii="Arial"/>
          <w:color w:val="auto"/>
          <w:sz w:val="24"/>
          <w:szCs w:val="24"/>
          <w:highlight w:val="none"/>
        </w:rPr>
      </w:pPr>
    </w:p>
    <w:p w14:paraId="2DC50B1A">
      <w:pPr>
        <w:spacing w:line="262" w:lineRule="auto"/>
        <w:rPr>
          <w:rFonts w:ascii="Arial"/>
          <w:color w:val="auto"/>
          <w:sz w:val="24"/>
          <w:szCs w:val="24"/>
          <w:highlight w:val="none"/>
        </w:rPr>
      </w:pPr>
    </w:p>
    <w:p w14:paraId="3D9AB751">
      <w:pPr>
        <w:spacing w:line="262" w:lineRule="auto"/>
        <w:rPr>
          <w:rFonts w:ascii="Arial"/>
          <w:color w:val="auto"/>
          <w:sz w:val="24"/>
          <w:szCs w:val="24"/>
          <w:highlight w:val="none"/>
        </w:rPr>
      </w:pPr>
    </w:p>
    <w:p w14:paraId="39BEA04F">
      <w:pPr>
        <w:spacing w:line="262" w:lineRule="auto"/>
        <w:rPr>
          <w:rFonts w:ascii="Arial"/>
          <w:color w:val="auto"/>
          <w:sz w:val="24"/>
          <w:szCs w:val="24"/>
          <w:highlight w:val="none"/>
        </w:rPr>
      </w:pPr>
    </w:p>
    <w:p w14:paraId="78EA676D">
      <w:pPr>
        <w:spacing w:line="262" w:lineRule="auto"/>
        <w:rPr>
          <w:rFonts w:ascii="Arial"/>
          <w:color w:val="auto"/>
          <w:sz w:val="24"/>
          <w:szCs w:val="24"/>
          <w:highlight w:val="none"/>
        </w:rPr>
      </w:pPr>
    </w:p>
    <w:p w14:paraId="697EAC2F">
      <w:pPr>
        <w:spacing w:before="79" w:line="219" w:lineRule="auto"/>
        <w:ind w:left="2136"/>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法定代表人或者委托代理人（签字或者电子签名</w:t>
      </w:r>
      <w:r>
        <w:rPr>
          <w:rFonts w:ascii="宋体" w:hAnsi="宋体" w:eastAsia="宋体" w:cs="宋体"/>
          <w:color w:val="auto"/>
          <w:spacing w:val="4"/>
          <w:sz w:val="24"/>
          <w:szCs w:val="24"/>
          <w:highlight w:val="none"/>
        </w:rPr>
        <w:t>）：</w:t>
      </w:r>
    </w:p>
    <w:p w14:paraId="65B68DB0">
      <w:pPr>
        <w:spacing w:before="180" w:line="219" w:lineRule="auto"/>
        <w:ind w:left="3002"/>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供应商名称（电子签章</w:t>
      </w:r>
      <w:r>
        <w:rPr>
          <w:rFonts w:ascii="宋体" w:hAnsi="宋体" w:eastAsia="宋体" w:cs="宋体"/>
          <w:color w:val="auto"/>
          <w:sz w:val="24"/>
          <w:szCs w:val="24"/>
          <w:highlight w:val="none"/>
        </w:rPr>
        <w:t>）：</w:t>
      </w:r>
    </w:p>
    <w:p w14:paraId="065AC96F">
      <w:pPr>
        <w:spacing w:before="180" w:line="219" w:lineRule="auto"/>
        <w:ind w:left="3002"/>
        <w:rPr>
          <w:rFonts w:ascii="宋体" w:hAnsi="宋体" w:eastAsia="宋体" w:cs="宋体"/>
          <w:color w:val="auto"/>
          <w:spacing w:val="-1"/>
          <w:sz w:val="24"/>
          <w:szCs w:val="24"/>
          <w:highlight w:val="none"/>
        </w:rPr>
      </w:pPr>
      <w:r>
        <w:rPr>
          <w:rFonts w:ascii="宋体" w:hAnsi="宋体" w:eastAsia="宋体" w:cs="宋体"/>
          <w:color w:val="auto"/>
          <w:spacing w:val="-1"/>
          <w:sz w:val="24"/>
          <w:szCs w:val="24"/>
          <w:highlight w:val="none"/>
        </w:rPr>
        <w:t>日期：   年   月   日</w:t>
      </w:r>
    </w:p>
    <w:p w14:paraId="12FEDA11">
      <w:pPr>
        <w:rPr>
          <w:rFonts w:ascii="宋体" w:hAnsi="宋体" w:eastAsia="宋体" w:cs="宋体"/>
          <w:color w:val="auto"/>
          <w:spacing w:val="-1"/>
          <w:sz w:val="24"/>
          <w:szCs w:val="24"/>
          <w:highlight w:val="none"/>
        </w:rPr>
      </w:pPr>
      <w:r>
        <w:rPr>
          <w:rFonts w:ascii="宋体" w:hAnsi="宋体" w:eastAsia="宋体" w:cs="宋体"/>
          <w:color w:val="auto"/>
          <w:spacing w:val="-1"/>
          <w:sz w:val="24"/>
          <w:szCs w:val="24"/>
          <w:highlight w:val="none"/>
        </w:rPr>
        <w:br w:type="page"/>
      </w:r>
    </w:p>
    <w:p w14:paraId="2D4954B5">
      <w:pPr>
        <w:spacing w:before="104" w:line="604" w:lineRule="exact"/>
        <w:jc w:val="center"/>
        <w:rPr>
          <w:rFonts w:ascii="宋体" w:hAnsi="宋体" w:eastAsia="宋体" w:cs="宋体"/>
          <w:color w:val="auto"/>
          <w:sz w:val="36"/>
          <w:szCs w:val="36"/>
          <w:highlight w:val="none"/>
        </w:rPr>
      </w:pPr>
      <w:r>
        <w:rPr>
          <w:rFonts w:ascii="宋体" w:hAnsi="宋体" w:eastAsia="宋体" w:cs="宋体"/>
          <w:b/>
          <w:bCs/>
          <w:color w:val="auto"/>
          <w:spacing w:val="4"/>
          <w:position w:val="3"/>
          <w:sz w:val="36"/>
          <w:szCs w:val="36"/>
          <w:highlight w:val="none"/>
        </w:rPr>
        <w:t>技术要求偏离表</w:t>
      </w:r>
    </w:p>
    <w:p w14:paraId="55839844">
      <w:pPr>
        <w:spacing w:line="320" w:lineRule="auto"/>
        <w:rPr>
          <w:rFonts w:ascii="Arial"/>
          <w:color w:val="auto"/>
          <w:sz w:val="21"/>
          <w:highlight w:val="none"/>
        </w:rPr>
      </w:pPr>
    </w:p>
    <w:p w14:paraId="57992986">
      <w:pPr>
        <w:spacing w:before="78" w:line="219" w:lineRule="auto"/>
        <w:ind w:left="77"/>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采购项目编号：</w:t>
      </w:r>
      <w:r>
        <w:rPr>
          <w:rFonts w:ascii="宋体" w:hAnsi="宋体" w:eastAsia="宋体" w:cs="宋体"/>
          <w:color w:val="auto"/>
          <w:sz w:val="24"/>
          <w:szCs w:val="24"/>
          <w:highlight w:val="none"/>
          <w:u w:val="single" w:color="auto"/>
        </w:rPr>
        <w:t xml:space="preserve">                 </w:t>
      </w:r>
    </w:p>
    <w:p w14:paraId="57B77E7E">
      <w:pPr>
        <w:spacing w:before="183" w:line="219" w:lineRule="auto"/>
        <w:ind w:left="77"/>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采购项目名称：</w:t>
      </w:r>
      <w:r>
        <w:rPr>
          <w:rFonts w:ascii="宋体" w:hAnsi="宋体" w:eastAsia="宋体" w:cs="宋体"/>
          <w:color w:val="auto"/>
          <w:sz w:val="24"/>
          <w:szCs w:val="24"/>
          <w:highlight w:val="none"/>
          <w:u w:val="single" w:color="auto"/>
        </w:rPr>
        <w:t xml:space="preserve">                 </w:t>
      </w:r>
    </w:p>
    <w:p w14:paraId="2557C5B0">
      <w:pPr>
        <w:spacing w:before="183" w:line="220" w:lineRule="auto"/>
        <w:ind w:left="81"/>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分标号：</w:t>
      </w:r>
      <w:r>
        <w:rPr>
          <w:rFonts w:ascii="宋体" w:hAnsi="宋体" w:eastAsia="宋体" w:cs="宋体"/>
          <w:color w:val="auto"/>
          <w:sz w:val="24"/>
          <w:szCs w:val="24"/>
          <w:highlight w:val="none"/>
          <w:u w:val="single" w:color="auto"/>
        </w:rPr>
        <w:t xml:space="preserve">                       </w:t>
      </w:r>
    </w:p>
    <w:p w14:paraId="09A75A06">
      <w:pPr>
        <w:spacing w:line="145" w:lineRule="exact"/>
        <w:rPr>
          <w:color w:val="auto"/>
          <w:sz w:val="24"/>
          <w:szCs w:val="24"/>
          <w:highlight w:val="none"/>
        </w:rPr>
      </w:pPr>
    </w:p>
    <w:tbl>
      <w:tblPr>
        <w:tblStyle w:val="78"/>
        <w:tblW w:w="886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4"/>
        <w:gridCol w:w="899"/>
        <w:gridCol w:w="2987"/>
        <w:gridCol w:w="2274"/>
        <w:gridCol w:w="1797"/>
      </w:tblGrid>
      <w:tr w14:paraId="790BEC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904" w:type="dxa"/>
            <w:vAlign w:val="center"/>
          </w:tcPr>
          <w:p w14:paraId="063E9F18">
            <w:pPr>
              <w:pStyle w:val="77"/>
              <w:spacing w:before="38" w:line="221" w:lineRule="auto"/>
              <w:jc w:val="center"/>
              <w:rPr>
                <w:color w:val="auto"/>
                <w:sz w:val="24"/>
                <w:szCs w:val="24"/>
                <w:highlight w:val="none"/>
              </w:rPr>
            </w:pPr>
            <w:r>
              <w:rPr>
                <w:color w:val="auto"/>
                <w:spacing w:val="-5"/>
                <w:sz w:val="24"/>
                <w:szCs w:val="24"/>
                <w:highlight w:val="none"/>
              </w:rPr>
              <w:t>序号</w:t>
            </w:r>
          </w:p>
        </w:tc>
        <w:tc>
          <w:tcPr>
            <w:tcW w:w="899" w:type="dxa"/>
            <w:vAlign w:val="center"/>
          </w:tcPr>
          <w:p w14:paraId="6C9D7538">
            <w:pPr>
              <w:pStyle w:val="77"/>
              <w:spacing w:before="39" w:line="221" w:lineRule="auto"/>
              <w:jc w:val="center"/>
              <w:rPr>
                <w:color w:val="auto"/>
                <w:sz w:val="24"/>
                <w:szCs w:val="24"/>
                <w:highlight w:val="none"/>
              </w:rPr>
            </w:pPr>
            <w:r>
              <w:rPr>
                <w:color w:val="auto"/>
                <w:spacing w:val="-7"/>
                <w:sz w:val="24"/>
                <w:szCs w:val="24"/>
                <w:highlight w:val="none"/>
              </w:rPr>
              <w:t>名称</w:t>
            </w:r>
          </w:p>
        </w:tc>
        <w:tc>
          <w:tcPr>
            <w:tcW w:w="2987" w:type="dxa"/>
            <w:vAlign w:val="center"/>
          </w:tcPr>
          <w:p w14:paraId="019D0629">
            <w:pPr>
              <w:pStyle w:val="77"/>
              <w:spacing w:before="39" w:line="219" w:lineRule="auto"/>
              <w:jc w:val="center"/>
              <w:rPr>
                <w:color w:val="auto"/>
                <w:sz w:val="24"/>
                <w:szCs w:val="24"/>
                <w:highlight w:val="none"/>
              </w:rPr>
            </w:pPr>
            <w:r>
              <w:rPr>
                <w:color w:val="auto"/>
                <w:spacing w:val="-2"/>
                <w:sz w:val="24"/>
                <w:szCs w:val="24"/>
                <w:highlight w:val="none"/>
              </w:rPr>
              <w:t>谈判文件要求</w:t>
            </w:r>
          </w:p>
        </w:tc>
        <w:tc>
          <w:tcPr>
            <w:tcW w:w="2274" w:type="dxa"/>
            <w:vAlign w:val="center"/>
          </w:tcPr>
          <w:p w14:paraId="6E8C86A2">
            <w:pPr>
              <w:pStyle w:val="77"/>
              <w:spacing w:before="39" w:line="220" w:lineRule="auto"/>
              <w:jc w:val="center"/>
              <w:rPr>
                <w:color w:val="auto"/>
                <w:sz w:val="24"/>
                <w:szCs w:val="24"/>
                <w:highlight w:val="none"/>
              </w:rPr>
            </w:pPr>
            <w:r>
              <w:rPr>
                <w:color w:val="auto"/>
                <w:spacing w:val="-4"/>
                <w:sz w:val="24"/>
                <w:szCs w:val="24"/>
                <w:highlight w:val="none"/>
              </w:rPr>
              <w:t>竞标响应</w:t>
            </w:r>
          </w:p>
        </w:tc>
        <w:tc>
          <w:tcPr>
            <w:tcW w:w="1797" w:type="dxa"/>
            <w:vAlign w:val="center"/>
          </w:tcPr>
          <w:p w14:paraId="2F299E8E">
            <w:pPr>
              <w:pStyle w:val="77"/>
              <w:spacing w:before="39" w:line="219" w:lineRule="auto"/>
              <w:jc w:val="center"/>
              <w:rPr>
                <w:color w:val="auto"/>
                <w:sz w:val="24"/>
                <w:szCs w:val="24"/>
                <w:highlight w:val="none"/>
              </w:rPr>
            </w:pPr>
            <w:r>
              <w:rPr>
                <w:color w:val="auto"/>
                <w:spacing w:val="-3"/>
                <w:sz w:val="24"/>
                <w:szCs w:val="24"/>
                <w:highlight w:val="none"/>
              </w:rPr>
              <w:t>偏离说明</w:t>
            </w:r>
          </w:p>
        </w:tc>
      </w:tr>
      <w:tr w14:paraId="72E7B4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904" w:type="dxa"/>
            <w:vAlign w:val="top"/>
          </w:tcPr>
          <w:p w14:paraId="1E1B2B38">
            <w:pPr>
              <w:pStyle w:val="77"/>
              <w:spacing w:before="36" w:line="241" w:lineRule="auto"/>
              <w:ind w:left="417"/>
              <w:rPr>
                <w:color w:val="auto"/>
                <w:sz w:val="24"/>
                <w:szCs w:val="24"/>
                <w:highlight w:val="none"/>
              </w:rPr>
            </w:pPr>
            <w:r>
              <w:rPr>
                <w:color w:val="auto"/>
                <w:sz w:val="24"/>
                <w:szCs w:val="24"/>
                <w:highlight w:val="none"/>
              </w:rPr>
              <w:t>1</w:t>
            </w:r>
          </w:p>
        </w:tc>
        <w:tc>
          <w:tcPr>
            <w:tcW w:w="899" w:type="dxa"/>
            <w:vAlign w:val="top"/>
          </w:tcPr>
          <w:p w14:paraId="5BAA0B0A">
            <w:pPr>
              <w:rPr>
                <w:rFonts w:ascii="Arial"/>
                <w:color w:val="auto"/>
                <w:sz w:val="24"/>
                <w:szCs w:val="24"/>
                <w:highlight w:val="none"/>
              </w:rPr>
            </w:pPr>
          </w:p>
        </w:tc>
        <w:tc>
          <w:tcPr>
            <w:tcW w:w="2987" w:type="dxa"/>
            <w:vAlign w:val="top"/>
          </w:tcPr>
          <w:p w14:paraId="78F1FC8C">
            <w:pPr>
              <w:rPr>
                <w:rFonts w:ascii="Arial"/>
                <w:color w:val="auto"/>
                <w:sz w:val="24"/>
                <w:szCs w:val="24"/>
                <w:highlight w:val="none"/>
              </w:rPr>
            </w:pPr>
          </w:p>
        </w:tc>
        <w:tc>
          <w:tcPr>
            <w:tcW w:w="2274" w:type="dxa"/>
            <w:vAlign w:val="top"/>
          </w:tcPr>
          <w:p w14:paraId="24684585">
            <w:pPr>
              <w:rPr>
                <w:rFonts w:ascii="Arial"/>
                <w:color w:val="auto"/>
                <w:sz w:val="24"/>
                <w:szCs w:val="24"/>
                <w:highlight w:val="none"/>
              </w:rPr>
            </w:pPr>
          </w:p>
        </w:tc>
        <w:tc>
          <w:tcPr>
            <w:tcW w:w="1797" w:type="dxa"/>
            <w:vAlign w:val="top"/>
          </w:tcPr>
          <w:p w14:paraId="00C0E167">
            <w:pPr>
              <w:rPr>
                <w:rFonts w:ascii="Arial"/>
                <w:color w:val="auto"/>
                <w:sz w:val="24"/>
                <w:szCs w:val="24"/>
                <w:highlight w:val="none"/>
              </w:rPr>
            </w:pPr>
          </w:p>
        </w:tc>
      </w:tr>
      <w:tr w14:paraId="232EDE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904" w:type="dxa"/>
            <w:vAlign w:val="top"/>
          </w:tcPr>
          <w:p w14:paraId="1B16606C">
            <w:pPr>
              <w:pStyle w:val="77"/>
              <w:spacing w:before="38" w:line="241" w:lineRule="auto"/>
              <w:ind w:left="402"/>
              <w:rPr>
                <w:color w:val="auto"/>
                <w:sz w:val="24"/>
                <w:szCs w:val="24"/>
                <w:highlight w:val="none"/>
              </w:rPr>
            </w:pPr>
            <w:r>
              <w:rPr>
                <w:color w:val="auto"/>
                <w:sz w:val="24"/>
                <w:szCs w:val="24"/>
                <w:highlight w:val="none"/>
              </w:rPr>
              <w:t>2</w:t>
            </w:r>
          </w:p>
        </w:tc>
        <w:tc>
          <w:tcPr>
            <w:tcW w:w="899" w:type="dxa"/>
            <w:vAlign w:val="top"/>
          </w:tcPr>
          <w:p w14:paraId="0E4E5933">
            <w:pPr>
              <w:rPr>
                <w:rFonts w:ascii="Arial"/>
                <w:color w:val="auto"/>
                <w:sz w:val="24"/>
                <w:szCs w:val="24"/>
                <w:highlight w:val="none"/>
              </w:rPr>
            </w:pPr>
          </w:p>
        </w:tc>
        <w:tc>
          <w:tcPr>
            <w:tcW w:w="2987" w:type="dxa"/>
            <w:vAlign w:val="top"/>
          </w:tcPr>
          <w:p w14:paraId="7BBD65C7">
            <w:pPr>
              <w:rPr>
                <w:rFonts w:ascii="Arial"/>
                <w:color w:val="auto"/>
                <w:sz w:val="24"/>
                <w:szCs w:val="24"/>
                <w:highlight w:val="none"/>
              </w:rPr>
            </w:pPr>
          </w:p>
        </w:tc>
        <w:tc>
          <w:tcPr>
            <w:tcW w:w="2274" w:type="dxa"/>
            <w:vAlign w:val="top"/>
          </w:tcPr>
          <w:p w14:paraId="5DD5F43B">
            <w:pPr>
              <w:rPr>
                <w:rFonts w:ascii="Arial"/>
                <w:color w:val="auto"/>
                <w:sz w:val="24"/>
                <w:szCs w:val="24"/>
                <w:highlight w:val="none"/>
              </w:rPr>
            </w:pPr>
          </w:p>
        </w:tc>
        <w:tc>
          <w:tcPr>
            <w:tcW w:w="1797" w:type="dxa"/>
            <w:vAlign w:val="top"/>
          </w:tcPr>
          <w:p w14:paraId="463116BD">
            <w:pPr>
              <w:rPr>
                <w:rFonts w:ascii="Arial"/>
                <w:color w:val="auto"/>
                <w:sz w:val="24"/>
                <w:szCs w:val="24"/>
                <w:highlight w:val="none"/>
              </w:rPr>
            </w:pPr>
          </w:p>
        </w:tc>
      </w:tr>
      <w:tr w14:paraId="426945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904" w:type="dxa"/>
            <w:vAlign w:val="top"/>
          </w:tcPr>
          <w:p w14:paraId="6BC298A5">
            <w:pPr>
              <w:pStyle w:val="77"/>
              <w:spacing w:before="39"/>
              <w:ind w:left="404"/>
              <w:rPr>
                <w:color w:val="auto"/>
                <w:sz w:val="24"/>
                <w:szCs w:val="24"/>
                <w:highlight w:val="none"/>
              </w:rPr>
            </w:pPr>
            <w:r>
              <w:rPr>
                <w:color w:val="auto"/>
                <w:sz w:val="24"/>
                <w:szCs w:val="24"/>
                <w:highlight w:val="none"/>
              </w:rPr>
              <w:t>3</w:t>
            </w:r>
          </w:p>
        </w:tc>
        <w:tc>
          <w:tcPr>
            <w:tcW w:w="899" w:type="dxa"/>
            <w:vAlign w:val="top"/>
          </w:tcPr>
          <w:p w14:paraId="48AAFC43">
            <w:pPr>
              <w:rPr>
                <w:rFonts w:ascii="Arial"/>
                <w:color w:val="auto"/>
                <w:sz w:val="24"/>
                <w:szCs w:val="24"/>
                <w:highlight w:val="none"/>
              </w:rPr>
            </w:pPr>
          </w:p>
        </w:tc>
        <w:tc>
          <w:tcPr>
            <w:tcW w:w="2987" w:type="dxa"/>
            <w:vAlign w:val="top"/>
          </w:tcPr>
          <w:p w14:paraId="7F812A3F">
            <w:pPr>
              <w:rPr>
                <w:rFonts w:ascii="Arial"/>
                <w:color w:val="auto"/>
                <w:sz w:val="24"/>
                <w:szCs w:val="24"/>
                <w:highlight w:val="none"/>
              </w:rPr>
            </w:pPr>
          </w:p>
        </w:tc>
        <w:tc>
          <w:tcPr>
            <w:tcW w:w="2274" w:type="dxa"/>
            <w:vAlign w:val="top"/>
          </w:tcPr>
          <w:p w14:paraId="22BF55DD">
            <w:pPr>
              <w:rPr>
                <w:rFonts w:ascii="Arial"/>
                <w:color w:val="auto"/>
                <w:sz w:val="24"/>
                <w:szCs w:val="24"/>
                <w:highlight w:val="none"/>
              </w:rPr>
            </w:pPr>
          </w:p>
        </w:tc>
        <w:tc>
          <w:tcPr>
            <w:tcW w:w="1797" w:type="dxa"/>
            <w:vAlign w:val="top"/>
          </w:tcPr>
          <w:p w14:paraId="6DD39EE5">
            <w:pPr>
              <w:rPr>
                <w:rFonts w:ascii="Arial"/>
                <w:color w:val="auto"/>
                <w:sz w:val="24"/>
                <w:szCs w:val="24"/>
                <w:highlight w:val="none"/>
              </w:rPr>
            </w:pPr>
          </w:p>
        </w:tc>
      </w:tr>
      <w:tr w14:paraId="1793F7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904" w:type="dxa"/>
            <w:vAlign w:val="top"/>
          </w:tcPr>
          <w:p w14:paraId="2726472F">
            <w:pPr>
              <w:pStyle w:val="77"/>
              <w:spacing w:before="37" w:line="241" w:lineRule="auto"/>
              <w:ind w:left="398"/>
              <w:rPr>
                <w:color w:val="auto"/>
                <w:sz w:val="24"/>
                <w:szCs w:val="24"/>
                <w:highlight w:val="none"/>
              </w:rPr>
            </w:pPr>
            <w:r>
              <w:rPr>
                <w:color w:val="auto"/>
                <w:sz w:val="24"/>
                <w:szCs w:val="24"/>
                <w:highlight w:val="none"/>
              </w:rPr>
              <w:t>4</w:t>
            </w:r>
          </w:p>
        </w:tc>
        <w:tc>
          <w:tcPr>
            <w:tcW w:w="899" w:type="dxa"/>
            <w:vAlign w:val="top"/>
          </w:tcPr>
          <w:p w14:paraId="4CECD261">
            <w:pPr>
              <w:rPr>
                <w:rFonts w:ascii="Arial"/>
                <w:color w:val="auto"/>
                <w:sz w:val="24"/>
                <w:szCs w:val="24"/>
                <w:highlight w:val="none"/>
              </w:rPr>
            </w:pPr>
          </w:p>
        </w:tc>
        <w:tc>
          <w:tcPr>
            <w:tcW w:w="2987" w:type="dxa"/>
            <w:vAlign w:val="top"/>
          </w:tcPr>
          <w:p w14:paraId="08060411">
            <w:pPr>
              <w:rPr>
                <w:rFonts w:ascii="Arial"/>
                <w:color w:val="auto"/>
                <w:sz w:val="24"/>
                <w:szCs w:val="24"/>
                <w:highlight w:val="none"/>
              </w:rPr>
            </w:pPr>
          </w:p>
        </w:tc>
        <w:tc>
          <w:tcPr>
            <w:tcW w:w="2274" w:type="dxa"/>
            <w:vAlign w:val="top"/>
          </w:tcPr>
          <w:p w14:paraId="1D51D3A6">
            <w:pPr>
              <w:rPr>
                <w:rFonts w:ascii="Arial"/>
                <w:color w:val="auto"/>
                <w:sz w:val="24"/>
                <w:szCs w:val="24"/>
                <w:highlight w:val="none"/>
              </w:rPr>
            </w:pPr>
          </w:p>
        </w:tc>
        <w:tc>
          <w:tcPr>
            <w:tcW w:w="1797" w:type="dxa"/>
            <w:vAlign w:val="top"/>
          </w:tcPr>
          <w:p w14:paraId="10F05E12">
            <w:pPr>
              <w:rPr>
                <w:rFonts w:ascii="Arial"/>
                <w:color w:val="auto"/>
                <w:sz w:val="24"/>
                <w:szCs w:val="24"/>
                <w:highlight w:val="none"/>
              </w:rPr>
            </w:pPr>
          </w:p>
        </w:tc>
      </w:tr>
      <w:tr w14:paraId="66754B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904" w:type="dxa"/>
            <w:vAlign w:val="top"/>
          </w:tcPr>
          <w:p w14:paraId="03606B79">
            <w:pPr>
              <w:pStyle w:val="77"/>
              <w:spacing w:before="39"/>
              <w:ind w:left="404"/>
              <w:rPr>
                <w:color w:val="auto"/>
                <w:sz w:val="24"/>
                <w:szCs w:val="24"/>
                <w:highlight w:val="none"/>
              </w:rPr>
            </w:pPr>
            <w:r>
              <w:rPr>
                <w:color w:val="auto"/>
                <w:sz w:val="24"/>
                <w:szCs w:val="24"/>
                <w:highlight w:val="none"/>
              </w:rPr>
              <w:t>5</w:t>
            </w:r>
          </w:p>
        </w:tc>
        <w:tc>
          <w:tcPr>
            <w:tcW w:w="899" w:type="dxa"/>
            <w:vAlign w:val="top"/>
          </w:tcPr>
          <w:p w14:paraId="6E95E894">
            <w:pPr>
              <w:rPr>
                <w:rFonts w:ascii="Arial"/>
                <w:color w:val="auto"/>
                <w:sz w:val="24"/>
                <w:szCs w:val="24"/>
                <w:highlight w:val="none"/>
              </w:rPr>
            </w:pPr>
          </w:p>
        </w:tc>
        <w:tc>
          <w:tcPr>
            <w:tcW w:w="2987" w:type="dxa"/>
            <w:vAlign w:val="top"/>
          </w:tcPr>
          <w:p w14:paraId="6A073808">
            <w:pPr>
              <w:rPr>
                <w:rFonts w:ascii="Arial"/>
                <w:color w:val="auto"/>
                <w:sz w:val="24"/>
                <w:szCs w:val="24"/>
                <w:highlight w:val="none"/>
              </w:rPr>
            </w:pPr>
          </w:p>
        </w:tc>
        <w:tc>
          <w:tcPr>
            <w:tcW w:w="2274" w:type="dxa"/>
            <w:vAlign w:val="top"/>
          </w:tcPr>
          <w:p w14:paraId="1E088D0A">
            <w:pPr>
              <w:rPr>
                <w:rFonts w:ascii="Arial"/>
                <w:color w:val="auto"/>
                <w:sz w:val="24"/>
                <w:szCs w:val="24"/>
                <w:highlight w:val="none"/>
              </w:rPr>
            </w:pPr>
          </w:p>
        </w:tc>
        <w:tc>
          <w:tcPr>
            <w:tcW w:w="1797" w:type="dxa"/>
            <w:vAlign w:val="top"/>
          </w:tcPr>
          <w:p w14:paraId="20F842E0">
            <w:pPr>
              <w:rPr>
                <w:rFonts w:ascii="Arial"/>
                <w:color w:val="auto"/>
                <w:sz w:val="24"/>
                <w:szCs w:val="24"/>
                <w:highlight w:val="none"/>
              </w:rPr>
            </w:pPr>
          </w:p>
        </w:tc>
      </w:tr>
      <w:tr w14:paraId="2C2155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904" w:type="dxa"/>
            <w:vAlign w:val="top"/>
          </w:tcPr>
          <w:p w14:paraId="18CC05F9">
            <w:pPr>
              <w:pStyle w:val="77"/>
              <w:spacing w:before="38" w:line="378" w:lineRule="exact"/>
              <w:ind w:left="354"/>
              <w:rPr>
                <w:color w:val="auto"/>
                <w:sz w:val="24"/>
                <w:szCs w:val="24"/>
                <w:highlight w:val="none"/>
              </w:rPr>
            </w:pPr>
            <w:r>
              <w:rPr>
                <w:color w:val="auto"/>
                <w:position w:val="3"/>
                <w:sz w:val="24"/>
                <w:szCs w:val="24"/>
                <w:highlight w:val="none"/>
              </w:rPr>
              <w:t>…</w:t>
            </w:r>
          </w:p>
        </w:tc>
        <w:tc>
          <w:tcPr>
            <w:tcW w:w="899" w:type="dxa"/>
            <w:vAlign w:val="top"/>
          </w:tcPr>
          <w:p w14:paraId="20E0F09C">
            <w:pPr>
              <w:rPr>
                <w:rFonts w:ascii="Arial"/>
                <w:color w:val="auto"/>
                <w:sz w:val="24"/>
                <w:szCs w:val="24"/>
                <w:highlight w:val="none"/>
              </w:rPr>
            </w:pPr>
          </w:p>
        </w:tc>
        <w:tc>
          <w:tcPr>
            <w:tcW w:w="2987" w:type="dxa"/>
            <w:vAlign w:val="top"/>
          </w:tcPr>
          <w:p w14:paraId="4F31845E">
            <w:pPr>
              <w:rPr>
                <w:rFonts w:ascii="Arial"/>
                <w:color w:val="auto"/>
                <w:sz w:val="24"/>
                <w:szCs w:val="24"/>
                <w:highlight w:val="none"/>
              </w:rPr>
            </w:pPr>
          </w:p>
        </w:tc>
        <w:tc>
          <w:tcPr>
            <w:tcW w:w="2274" w:type="dxa"/>
            <w:vAlign w:val="top"/>
          </w:tcPr>
          <w:p w14:paraId="33757E26">
            <w:pPr>
              <w:rPr>
                <w:rFonts w:ascii="Arial"/>
                <w:color w:val="auto"/>
                <w:sz w:val="24"/>
                <w:szCs w:val="24"/>
                <w:highlight w:val="none"/>
              </w:rPr>
            </w:pPr>
          </w:p>
        </w:tc>
        <w:tc>
          <w:tcPr>
            <w:tcW w:w="1797" w:type="dxa"/>
            <w:vAlign w:val="top"/>
          </w:tcPr>
          <w:p w14:paraId="4F9DED47">
            <w:pPr>
              <w:rPr>
                <w:rFonts w:ascii="Arial"/>
                <w:color w:val="auto"/>
                <w:sz w:val="24"/>
                <w:szCs w:val="24"/>
                <w:highlight w:val="none"/>
              </w:rPr>
            </w:pPr>
          </w:p>
        </w:tc>
      </w:tr>
    </w:tbl>
    <w:p w14:paraId="2762B4A1">
      <w:pPr>
        <w:spacing w:before="35" w:line="224" w:lineRule="auto"/>
        <w:ind w:left="78"/>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注：</w:t>
      </w:r>
    </w:p>
    <w:p w14:paraId="1C15E3DC">
      <w:pPr>
        <w:spacing w:before="177" w:line="359" w:lineRule="auto"/>
        <w:ind w:left="79" w:right="115" w:firstLine="16"/>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1.说明：应对照谈判文件</w:t>
      </w:r>
      <w:r>
        <w:rPr>
          <w:rFonts w:hint="eastAsia" w:ascii="宋体" w:hAnsi="宋体" w:cs="宋体"/>
          <w:color w:val="auto"/>
          <w:spacing w:val="1"/>
          <w:sz w:val="24"/>
          <w:szCs w:val="24"/>
          <w:highlight w:val="none"/>
          <w:lang w:eastAsia="zh-CN"/>
        </w:rPr>
        <w:t>“</w:t>
      </w:r>
      <w:r>
        <w:rPr>
          <w:rFonts w:ascii="宋体" w:hAnsi="宋体" w:eastAsia="宋体" w:cs="宋体"/>
          <w:color w:val="auto"/>
          <w:spacing w:val="1"/>
          <w:sz w:val="24"/>
          <w:szCs w:val="24"/>
          <w:highlight w:val="none"/>
        </w:rPr>
        <w:t>第三章 采购需求</w:t>
      </w:r>
      <w:r>
        <w:rPr>
          <w:rFonts w:ascii="宋体" w:hAnsi="宋体" w:eastAsia="宋体" w:cs="宋体"/>
          <w:color w:val="auto"/>
          <w:spacing w:val="-86"/>
          <w:sz w:val="24"/>
          <w:szCs w:val="24"/>
          <w:highlight w:val="none"/>
        </w:rPr>
        <w:t xml:space="preserve"> </w:t>
      </w:r>
      <w:r>
        <w:rPr>
          <w:rFonts w:hint="eastAsia" w:ascii="宋体" w:hAnsi="宋体" w:cs="宋体"/>
          <w:color w:val="auto"/>
          <w:spacing w:val="1"/>
          <w:sz w:val="24"/>
          <w:szCs w:val="24"/>
          <w:highlight w:val="none"/>
          <w:lang w:eastAsia="zh-CN"/>
        </w:rPr>
        <w:t>”</w:t>
      </w:r>
      <w:r>
        <w:rPr>
          <w:rFonts w:ascii="宋体" w:hAnsi="宋体" w:eastAsia="宋体" w:cs="宋体"/>
          <w:color w:val="auto"/>
          <w:spacing w:val="1"/>
          <w:sz w:val="24"/>
          <w:szCs w:val="24"/>
          <w:highlight w:val="none"/>
        </w:rPr>
        <w:t>中的技</w:t>
      </w:r>
      <w:r>
        <w:rPr>
          <w:rFonts w:ascii="宋体" w:hAnsi="宋体" w:eastAsia="宋体" w:cs="宋体"/>
          <w:color w:val="auto"/>
          <w:sz w:val="24"/>
          <w:szCs w:val="24"/>
          <w:highlight w:val="none"/>
        </w:rPr>
        <w:t>术要求逐条实质性响应，并</w:t>
      </w:r>
      <w:r>
        <w:rPr>
          <w:rFonts w:ascii="宋体" w:hAnsi="宋体" w:eastAsia="宋体" w:cs="宋体"/>
          <w:color w:val="auto"/>
          <w:spacing w:val="-2"/>
          <w:sz w:val="24"/>
          <w:szCs w:val="24"/>
          <w:highlight w:val="none"/>
        </w:rPr>
        <w:t>作出偏离说明。</w:t>
      </w:r>
    </w:p>
    <w:p w14:paraId="220F5ED5">
      <w:pPr>
        <w:spacing w:before="3" w:line="358" w:lineRule="auto"/>
        <w:ind w:left="66" w:firstLine="14"/>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2.供应商应根据竞标设备的性能指标，对照谈判文件要求，在</w:t>
      </w:r>
      <w:r>
        <w:rPr>
          <w:rFonts w:hint="eastAsia" w:ascii="宋体" w:hAnsi="宋体" w:cs="宋体"/>
          <w:color w:val="auto"/>
          <w:spacing w:val="1"/>
          <w:sz w:val="24"/>
          <w:szCs w:val="24"/>
          <w:highlight w:val="none"/>
          <w:lang w:eastAsia="zh-CN"/>
        </w:rPr>
        <w:t>“</w:t>
      </w:r>
      <w:r>
        <w:rPr>
          <w:rFonts w:ascii="宋体" w:hAnsi="宋体" w:eastAsia="宋体" w:cs="宋体"/>
          <w:color w:val="auto"/>
          <w:spacing w:val="1"/>
          <w:sz w:val="24"/>
          <w:szCs w:val="24"/>
          <w:highlight w:val="none"/>
        </w:rPr>
        <w:t>偏离说明</w:t>
      </w:r>
      <w:r>
        <w:rPr>
          <w:rFonts w:ascii="宋体" w:hAnsi="宋体" w:eastAsia="宋体" w:cs="宋体"/>
          <w:color w:val="auto"/>
          <w:spacing w:val="-82"/>
          <w:sz w:val="24"/>
          <w:szCs w:val="24"/>
          <w:highlight w:val="none"/>
        </w:rPr>
        <w:t xml:space="preserve"> </w:t>
      </w:r>
      <w:r>
        <w:rPr>
          <w:rFonts w:hint="eastAsia" w:ascii="宋体" w:hAnsi="宋体" w:cs="宋体"/>
          <w:color w:val="auto"/>
          <w:spacing w:val="1"/>
          <w:sz w:val="24"/>
          <w:szCs w:val="24"/>
          <w:highlight w:val="none"/>
          <w:lang w:eastAsia="zh-CN"/>
        </w:rPr>
        <w:t>”</w:t>
      </w:r>
      <w:r>
        <w:rPr>
          <w:rFonts w:ascii="宋体" w:hAnsi="宋体" w:eastAsia="宋体" w:cs="宋体"/>
          <w:color w:val="auto"/>
          <w:spacing w:val="1"/>
          <w:sz w:val="24"/>
          <w:szCs w:val="24"/>
          <w:highlight w:val="none"/>
        </w:rPr>
        <w:t>中注明</w:t>
      </w:r>
      <w:r>
        <w:rPr>
          <w:rFonts w:hint="eastAsia" w:ascii="宋体" w:hAnsi="宋体" w:cs="宋体"/>
          <w:color w:val="auto"/>
          <w:spacing w:val="1"/>
          <w:sz w:val="24"/>
          <w:szCs w:val="24"/>
          <w:highlight w:val="none"/>
          <w:lang w:eastAsia="zh-CN"/>
        </w:rPr>
        <w:t>“</w:t>
      </w:r>
      <w:r>
        <w:rPr>
          <w:rFonts w:ascii="宋体" w:hAnsi="宋体" w:eastAsia="宋体" w:cs="宋体"/>
          <w:color w:val="auto"/>
          <w:spacing w:val="1"/>
          <w:sz w:val="24"/>
          <w:szCs w:val="24"/>
          <w:highlight w:val="none"/>
        </w:rPr>
        <w:t>正偏离</w:t>
      </w:r>
      <w:r>
        <w:rPr>
          <w:rFonts w:ascii="宋体" w:hAnsi="宋体" w:eastAsia="宋体" w:cs="宋体"/>
          <w:color w:val="auto"/>
          <w:spacing w:val="-86"/>
          <w:sz w:val="24"/>
          <w:szCs w:val="24"/>
          <w:highlight w:val="none"/>
        </w:rPr>
        <w:t xml:space="preserve"> </w:t>
      </w:r>
      <w:r>
        <w:rPr>
          <w:rFonts w:hint="eastAsia" w:ascii="宋体" w:hAnsi="宋体" w:cs="宋体"/>
          <w:color w:val="auto"/>
          <w:spacing w:val="1"/>
          <w:sz w:val="24"/>
          <w:szCs w:val="24"/>
          <w:highlight w:val="none"/>
          <w:lang w:eastAsia="zh-CN"/>
        </w:rPr>
        <w:t>”“</w:t>
      </w:r>
      <w:r>
        <w:rPr>
          <w:rFonts w:ascii="宋体" w:hAnsi="宋体" w:eastAsia="宋体" w:cs="宋体"/>
          <w:color w:val="auto"/>
          <w:spacing w:val="1"/>
          <w:sz w:val="24"/>
          <w:szCs w:val="24"/>
          <w:highlight w:val="none"/>
        </w:rPr>
        <w:t>负偏离</w:t>
      </w:r>
      <w:r>
        <w:rPr>
          <w:rFonts w:ascii="宋体" w:hAnsi="宋体" w:eastAsia="宋体" w:cs="宋体"/>
          <w:color w:val="auto"/>
          <w:spacing w:val="-83"/>
          <w:sz w:val="24"/>
          <w:szCs w:val="24"/>
          <w:highlight w:val="none"/>
        </w:rPr>
        <w:t xml:space="preserve"> </w:t>
      </w:r>
      <w:r>
        <w:rPr>
          <w:rFonts w:hint="eastAsia" w:ascii="宋体" w:hAnsi="宋体" w:cs="宋体"/>
          <w:color w:val="auto"/>
          <w:spacing w:val="1"/>
          <w:sz w:val="24"/>
          <w:szCs w:val="24"/>
          <w:highlight w:val="none"/>
          <w:lang w:eastAsia="zh-CN"/>
        </w:rPr>
        <w:t>”</w:t>
      </w:r>
      <w:r>
        <w:rPr>
          <w:rFonts w:ascii="宋体" w:hAnsi="宋体" w:eastAsia="宋体" w:cs="宋体"/>
          <w:color w:val="auto"/>
          <w:spacing w:val="1"/>
          <w:sz w:val="24"/>
          <w:szCs w:val="24"/>
          <w:highlight w:val="none"/>
        </w:rPr>
        <w:t>或者</w:t>
      </w:r>
      <w:r>
        <w:rPr>
          <w:rFonts w:hint="eastAsia" w:ascii="宋体" w:hAnsi="宋体" w:cs="宋体"/>
          <w:color w:val="auto"/>
          <w:spacing w:val="1"/>
          <w:sz w:val="24"/>
          <w:szCs w:val="24"/>
          <w:highlight w:val="none"/>
          <w:lang w:eastAsia="zh-CN"/>
        </w:rPr>
        <w:t>“</w:t>
      </w:r>
      <w:r>
        <w:rPr>
          <w:rFonts w:ascii="宋体" w:hAnsi="宋体" w:eastAsia="宋体" w:cs="宋体"/>
          <w:color w:val="auto"/>
          <w:spacing w:val="1"/>
          <w:sz w:val="24"/>
          <w:szCs w:val="24"/>
          <w:highlight w:val="none"/>
        </w:rPr>
        <w:t>无偏离</w:t>
      </w:r>
      <w:r>
        <w:rPr>
          <w:rFonts w:ascii="宋体" w:hAnsi="宋体" w:eastAsia="宋体" w:cs="宋体"/>
          <w:color w:val="auto"/>
          <w:spacing w:val="-86"/>
          <w:sz w:val="24"/>
          <w:szCs w:val="24"/>
          <w:highlight w:val="none"/>
        </w:rPr>
        <w:t xml:space="preserve"> </w:t>
      </w:r>
      <w:r>
        <w:rPr>
          <w:rFonts w:hint="eastAsia" w:ascii="宋体" w:hAnsi="宋体" w:cs="宋体"/>
          <w:color w:val="auto"/>
          <w:spacing w:val="1"/>
          <w:sz w:val="24"/>
          <w:szCs w:val="24"/>
          <w:highlight w:val="none"/>
          <w:lang w:eastAsia="zh-CN"/>
        </w:rPr>
        <w:t>”</w:t>
      </w:r>
      <w:r>
        <w:rPr>
          <w:rFonts w:ascii="宋体" w:hAnsi="宋体" w:eastAsia="宋体" w:cs="宋体"/>
          <w:color w:val="auto"/>
          <w:spacing w:val="1"/>
          <w:sz w:val="24"/>
          <w:szCs w:val="24"/>
          <w:highlight w:val="none"/>
        </w:rPr>
        <w:t>。既不属于</w:t>
      </w:r>
      <w:r>
        <w:rPr>
          <w:rFonts w:hint="eastAsia" w:ascii="宋体" w:hAnsi="宋体" w:cs="宋体"/>
          <w:color w:val="auto"/>
          <w:spacing w:val="1"/>
          <w:sz w:val="24"/>
          <w:szCs w:val="24"/>
          <w:highlight w:val="none"/>
          <w:lang w:eastAsia="zh-CN"/>
        </w:rPr>
        <w:t>“</w:t>
      </w:r>
      <w:r>
        <w:rPr>
          <w:rFonts w:ascii="宋体" w:hAnsi="宋体" w:eastAsia="宋体" w:cs="宋体"/>
          <w:color w:val="auto"/>
          <w:spacing w:val="1"/>
          <w:sz w:val="24"/>
          <w:szCs w:val="24"/>
          <w:highlight w:val="none"/>
        </w:rPr>
        <w:t>正偏离</w:t>
      </w:r>
      <w:r>
        <w:rPr>
          <w:rFonts w:ascii="宋体" w:hAnsi="宋体" w:eastAsia="宋体" w:cs="宋体"/>
          <w:color w:val="auto"/>
          <w:spacing w:val="-88"/>
          <w:sz w:val="24"/>
          <w:szCs w:val="24"/>
          <w:highlight w:val="none"/>
        </w:rPr>
        <w:t xml:space="preserve"> </w:t>
      </w:r>
      <w:r>
        <w:rPr>
          <w:rFonts w:hint="eastAsia" w:ascii="宋体" w:hAnsi="宋体" w:cs="宋体"/>
          <w:color w:val="auto"/>
          <w:spacing w:val="1"/>
          <w:sz w:val="24"/>
          <w:szCs w:val="24"/>
          <w:highlight w:val="none"/>
          <w:lang w:eastAsia="zh-CN"/>
        </w:rPr>
        <w:t>”</w:t>
      </w:r>
      <w:r>
        <w:rPr>
          <w:rFonts w:ascii="宋体" w:hAnsi="宋体" w:eastAsia="宋体" w:cs="宋体"/>
          <w:color w:val="auto"/>
          <w:spacing w:val="1"/>
          <w:sz w:val="24"/>
          <w:szCs w:val="24"/>
          <w:highlight w:val="none"/>
        </w:rPr>
        <w:t>也不属于</w:t>
      </w:r>
      <w:r>
        <w:rPr>
          <w:rFonts w:hint="eastAsia" w:ascii="宋体" w:hAnsi="宋体" w:cs="宋体"/>
          <w:color w:val="auto"/>
          <w:spacing w:val="1"/>
          <w:sz w:val="24"/>
          <w:szCs w:val="24"/>
          <w:highlight w:val="none"/>
          <w:lang w:eastAsia="zh-CN"/>
        </w:rPr>
        <w:t>“</w:t>
      </w:r>
      <w:r>
        <w:rPr>
          <w:rFonts w:ascii="宋体" w:hAnsi="宋体" w:eastAsia="宋体" w:cs="宋体"/>
          <w:color w:val="auto"/>
          <w:spacing w:val="1"/>
          <w:sz w:val="24"/>
          <w:szCs w:val="24"/>
          <w:highlight w:val="none"/>
        </w:rPr>
        <w:t>负</w:t>
      </w:r>
      <w:r>
        <w:rPr>
          <w:rFonts w:ascii="宋体" w:hAnsi="宋体" w:eastAsia="宋体" w:cs="宋体"/>
          <w:color w:val="auto"/>
          <w:sz w:val="24"/>
          <w:szCs w:val="24"/>
          <w:highlight w:val="none"/>
        </w:rPr>
        <w:t>偏离</w:t>
      </w:r>
      <w:r>
        <w:rPr>
          <w:rFonts w:ascii="宋体" w:hAnsi="宋体" w:eastAsia="宋体" w:cs="宋体"/>
          <w:color w:val="auto"/>
          <w:spacing w:val="-85"/>
          <w:sz w:val="24"/>
          <w:szCs w:val="24"/>
          <w:highlight w:val="none"/>
        </w:rPr>
        <w:t xml:space="preserve"> </w:t>
      </w:r>
      <w:r>
        <w:rPr>
          <w:rFonts w:hint="eastAsia" w:ascii="宋体" w:hAnsi="宋体" w:cs="宋体"/>
          <w:color w:val="auto"/>
          <w:sz w:val="24"/>
          <w:szCs w:val="24"/>
          <w:highlight w:val="none"/>
          <w:lang w:eastAsia="zh-CN"/>
        </w:rPr>
        <w:t>”</w:t>
      </w:r>
      <w:r>
        <w:rPr>
          <w:rFonts w:ascii="宋体" w:hAnsi="宋体" w:eastAsia="宋体" w:cs="宋体"/>
          <w:color w:val="auto"/>
          <w:sz w:val="24"/>
          <w:szCs w:val="24"/>
          <w:highlight w:val="none"/>
        </w:rPr>
        <w:t>即为</w:t>
      </w:r>
      <w:r>
        <w:rPr>
          <w:rFonts w:hint="eastAsia" w:ascii="宋体" w:hAnsi="宋体" w:cs="宋体"/>
          <w:color w:val="auto"/>
          <w:sz w:val="24"/>
          <w:szCs w:val="24"/>
          <w:highlight w:val="none"/>
          <w:lang w:eastAsia="zh-CN"/>
        </w:rPr>
        <w:t>“</w:t>
      </w:r>
      <w:r>
        <w:rPr>
          <w:rFonts w:ascii="宋体" w:hAnsi="宋体" w:eastAsia="宋体" w:cs="宋体"/>
          <w:color w:val="auto"/>
          <w:sz w:val="24"/>
          <w:szCs w:val="24"/>
          <w:highlight w:val="none"/>
        </w:rPr>
        <w:t>无偏离</w:t>
      </w:r>
      <w:r>
        <w:rPr>
          <w:rFonts w:ascii="宋体" w:hAnsi="宋体" w:eastAsia="宋体" w:cs="宋体"/>
          <w:color w:val="auto"/>
          <w:spacing w:val="-86"/>
          <w:sz w:val="24"/>
          <w:szCs w:val="24"/>
          <w:highlight w:val="none"/>
        </w:rPr>
        <w:t xml:space="preserve"> </w:t>
      </w:r>
      <w:r>
        <w:rPr>
          <w:rFonts w:hint="eastAsia" w:ascii="宋体" w:hAnsi="宋体" w:cs="宋体"/>
          <w:color w:val="auto"/>
          <w:sz w:val="24"/>
          <w:szCs w:val="24"/>
          <w:highlight w:val="none"/>
          <w:lang w:eastAsia="zh-CN"/>
        </w:rPr>
        <w:t>”</w:t>
      </w:r>
      <w:r>
        <w:rPr>
          <w:rFonts w:ascii="宋体" w:hAnsi="宋体" w:eastAsia="宋体" w:cs="宋体"/>
          <w:color w:val="auto"/>
          <w:sz w:val="24"/>
          <w:szCs w:val="24"/>
          <w:highlight w:val="none"/>
        </w:rPr>
        <w:t>。</w:t>
      </w:r>
    </w:p>
    <w:p w14:paraId="27DAD4F7">
      <w:pPr>
        <w:spacing w:before="3" w:line="359" w:lineRule="auto"/>
        <w:ind w:left="80" w:right="112" w:firstLine="2"/>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3.供应商认为其竞标响应有正偏离的，请在技术要求偏离表中列明，且在响应文件中提供竞标产品的彩页或国家认可有资质的第三方检测机构出具的检测报告复印件或产品生产厂家出具的技术参数说明证明作为佐证，以上佐证材料均需加盖生产厂</w:t>
      </w:r>
      <w:r>
        <w:rPr>
          <w:rFonts w:ascii="宋体" w:hAnsi="宋体" w:eastAsia="宋体" w:cs="宋体"/>
          <w:color w:val="auto"/>
          <w:spacing w:val="-1"/>
          <w:sz w:val="24"/>
          <w:szCs w:val="24"/>
          <w:highlight w:val="none"/>
        </w:rPr>
        <w:t>家或代理商（附生产厂家授权资料）公章。</w:t>
      </w:r>
    </w:p>
    <w:p w14:paraId="26547352">
      <w:pPr>
        <w:spacing w:before="1" w:line="218" w:lineRule="auto"/>
        <w:ind w:left="77"/>
        <w:rPr>
          <w:rFonts w:ascii="宋体" w:hAnsi="宋体" w:eastAsia="宋体" w:cs="宋体"/>
          <w:color w:val="auto"/>
          <w:sz w:val="24"/>
          <w:szCs w:val="24"/>
          <w:highlight w:val="none"/>
        </w:rPr>
      </w:pPr>
      <w:r>
        <w:rPr>
          <w:rFonts w:ascii="宋体" w:hAnsi="宋体" w:eastAsia="宋体" w:cs="宋体"/>
          <w:color w:val="auto"/>
          <w:sz w:val="24"/>
          <w:szCs w:val="24"/>
          <w:highlight w:val="none"/>
        </w:rPr>
        <w:t>4.如技术要求偏离表中的竞标响应与佐证材料不一致</w:t>
      </w:r>
      <w:r>
        <w:rPr>
          <w:rFonts w:ascii="宋体" w:hAnsi="宋体" w:eastAsia="宋体" w:cs="宋体"/>
          <w:color w:val="auto"/>
          <w:spacing w:val="-1"/>
          <w:sz w:val="24"/>
          <w:szCs w:val="24"/>
          <w:highlight w:val="none"/>
        </w:rPr>
        <w:t>的，以佐证材料为准。</w:t>
      </w:r>
    </w:p>
    <w:p w14:paraId="1B7FE883">
      <w:pPr>
        <w:spacing w:line="257" w:lineRule="auto"/>
        <w:rPr>
          <w:rFonts w:ascii="Arial"/>
          <w:color w:val="auto"/>
          <w:sz w:val="24"/>
          <w:szCs w:val="24"/>
          <w:highlight w:val="none"/>
        </w:rPr>
      </w:pPr>
    </w:p>
    <w:p w14:paraId="4B449961">
      <w:pPr>
        <w:spacing w:line="258" w:lineRule="auto"/>
        <w:rPr>
          <w:rFonts w:ascii="Arial"/>
          <w:color w:val="auto"/>
          <w:sz w:val="24"/>
          <w:szCs w:val="24"/>
          <w:highlight w:val="none"/>
        </w:rPr>
      </w:pPr>
    </w:p>
    <w:p w14:paraId="791D1DE3">
      <w:pPr>
        <w:spacing w:line="258" w:lineRule="auto"/>
        <w:rPr>
          <w:rFonts w:ascii="Arial"/>
          <w:color w:val="auto"/>
          <w:sz w:val="24"/>
          <w:szCs w:val="24"/>
          <w:highlight w:val="none"/>
        </w:rPr>
      </w:pPr>
    </w:p>
    <w:p w14:paraId="09EA2E0C">
      <w:pPr>
        <w:spacing w:line="258" w:lineRule="auto"/>
        <w:rPr>
          <w:rFonts w:ascii="Arial"/>
          <w:color w:val="auto"/>
          <w:sz w:val="24"/>
          <w:szCs w:val="24"/>
          <w:highlight w:val="none"/>
        </w:rPr>
      </w:pPr>
    </w:p>
    <w:p w14:paraId="72D379B1">
      <w:pPr>
        <w:spacing w:before="78" w:line="219" w:lineRule="auto"/>
        <w:ind w:left="2092"/>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法定代表人或者委托代理人（签字或者电子签名</w:t>
      </w:r>
      <w:r>
        <w:rPr>
          <w:rFonts w:ascii="宋体" w:hAnsi="宋体" w:eastAsia="宋体" w:cs="宋体"/>
          <w:color w:val="auto"/>
          <w:spacing w:val="4"/>
          <w:sz w:val="24"/>
          <w:szCs w:val="24"/>
          <w:highlight w:val="none"/>
        </w:rPr>
        <w:t>）：</w:t>
      </w:r>
    </w:p>
    <w:p w14:paraId="024AB363">
      <w:pPr>
        <w:spacing w:before="180" w:line="219" w:lineRule="auto"/>
        <w:ind w:left="4878"/>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供应商名称（电子签章</w:t>
      </w:r>
      <w:r>
        <w:rPr>
          <w:rFonts w:ascii="宋体" w:hAnsi="宋体" w:eastAsia="宋体" w:cs="宋体"/>
          <w:color w:val="auto"/>
          <w:sz w:val="24"/>
          <w:szCs w:val="24"/>
          <w:highlight w:val="none"/>
        </w:rPr>
        <w:t>）：</w:t>
      </w:r>
    </w:p>
    <w:p w14:paraId="45C60A92">
      <w:pPr>
        <w:spacing w:before="78" w:line="219" w:lineRule="auto"/>
        <w:ind w:firstLine="4998" w:firstLineChars="2100"/>
        <w:rPr>
          <w:rFonts w:ascii="宋体" w:hAnsi="宋体" w:eastAsia="宋体" w:cs="宋体"/>
          <w:color w:val="auto"/>
          <w:spacing w:val="-1"/>
          <w:sz w:val="24"/>
          <w:szCs w:val="24"/>
          <w:highlight w:val="none"/>
        </w:rPr>
      </w:pPr>
      <w:r>
        <w:rPr>
          <w:rFonts w:ascii="宋体" w:hAnsi="宋体" w:eastAsia="宋体" w:cs="宋体"/>
          <w:color w:val="auto"/>
          <w:spacing w:val="-1"/>
          <w:sz w:val="24"/>
          <w:szCs w:val="24"/>
          <w:highlight w:val="none"/>
        </w:rPr>
        <w:t>日期：   年   月   日</w:t>
      </w:r>
    </w:p>
    <w:p w14:paraId="3A489180">
      <w:pPr>
        <w:rPr>
          <w:rFonts w:ascii="宋体" w:hAnsi="宋体" w:eastAsia="宋体" w:cs="宋体"/>
          <w:color w:val="auto"/>
          <w:spacing w:val="-1"/>
          <w:sz w:val="24"/>
          <w:szCs w:val="24"/>
          <w:highlight w:val="none"/>
        </w:rPr>
      </w:pPr>
      <w:r>
        <w:rPr>
          <w:rFonts w:ascii="宋体" w:hAnsi="宋体" w:eastAsia="宋体" w:cs="宋体"/>
          <w:color w:val="auto"/>
          <w:spacing w:val="-1"/>
          <w:sz w:val="24"/>
          <w:szCs w:val="24"/>
          <w:highlight w:val="none"/>
        </w:rPr>
        <w:br w:type="page"/>
      </w:r>
    </w:p>
    <w:p w14:paraId="61DEDB30">
      <w:pPr>
        <w:spacing w:before="47" w:line="219" w:lineRule="auto"/>
        <w:ind w:left="429"/>
        <w:rPr>
          <w:rFonts w:ascii="宋体" w:hAnsi="宋体" w:eastAsia="宋体" w:cs="宋体"/>
          <w:color w:val="auto"/>
          <w:sz w:val="24"/>
          <w:szCs w:val="24"/>
          <w:highlight w:val="none"/>
        </w:rPr>
      </w:pPr>
      <w:r>
        <w:rPr>
          <w:rFonts w:ascii="宋体" w:hAnsi="宋体" w:eastAsia="宋体" w:cs="宋体"/>
          <w:b/>
          <w:bCs/>
          <w:color w:val="auto"/>
          <w:spacing w:val="-3"/>
          <w:sz w:val="24"/>
          <w:szCs w:val="24"/>
          <w:highlight w:val="none"/>
        </w:rPr>
        <w:t>其他文书、文件格式</w:t>
      </w:r>
    </w:p>
    <w:p w14:paraId="71434DDC">
      <w:pPr>
        <w:spacing w:before="147" w:line="603" w:lineRule="exact"/>
        <w:jc w:val="center"/>
        <w:rPr>
          <w:rFonts w:ascii="宋体" w:hAnsi="宋体" w:eastAsia="宋体" w:cs="宋体"/>
          <w:color w:val="auto"/>
          <w:sz w:val="36"/>
          <w:szCs w:val="36"/>
          <w:highlight w:val="none"/>
        </w:rPr>
      </w:pPr>
      <w:r>
        <w:rPr>
          <w:rFonts w:ascii="宋体" w:hAnsi="宋体" w:eastAsia="宋体" w:cs="宋体"/>
          <w:b/>
          <w:bCs/>
          <w:color w:val="auto"/>
          <w:spacing w:val="5"/>
          <w:position w:val="3"/>
          <w:sz w:val="36"/>
          <w:szCs w:val="36"/>
          <w:highlight w:val="none"/>
        </w:rPr>
        <w:t>中小企业声明函（货物）</w:t>
      </w:r>
    </w:p>
    <w:p w14:paraId="7B42BD57">
      <w:pPr>
        <w:spacing w:line="369" w:lineRule="auto"/>
        <w:rPr>
          <w:rFonts w:ascii="Arial"/>
          <w:color w:val="auto"/>
          <w:sz w:val="21"/>
          <w:highlight w:val="none"/>
        </w:rPr>
      </w:pPr>
    </w:p>
    <w:p w14:paraId="613D35D5">
      <w:pPr>
        <w:spacing w:before="78" w:line="359" w:lineRule="auto"/>
        <w:ind w:right="-22" w:rightChars="0" w:firstLine="642"/>
        <w:rPr>
          <w:rFonts w:ascii="宋体" w:hAnsi="宋体" w:eastAsia="宋体" w:cs="宋体"/>
          <w:color w:val="auto"/>
          <w:sz w:val="24"/>
          <w:szCs w:val="24"/>
          <w:highlight w:val="none"/>
        </w:rPr>
      </w:pPr>
      <w:r>
        <w:rPr>
          <w:rFonts w:ascii="宋体" w:hAnsi="宋体" w:eastAsia="宋体" w:cs="宋体"/>
          <w:color w:val="auto"/>
          <w:spacing w:val="13"/>
          <w:sz w:val="24"/>
          <w:szCs w:val="24"/>
          <w:highlight w:val="none"/>
        </w:rPr>
        <w:t>本公司（联合体）郑重声明，根据《政府采购促进中小企业发展管理办法》</w:t>
      </w:r>
      <w:r>
        <w:rPr>
          <w:rFonts w:ascii="宋体" w:hAnsi="宋体" w:eastAsia="宋体" w:cs="宋体"/>
          <w:color w:val="auto"/>
          <w:spacing w:val="3"/>
          <w:sz w:val="24"/>
          <w:szCs w:val="24"/>
          <w:highlight w:val="none"/>
        </w:rPr>
        <w:t xml:space="preserve"> </w:t>
      </w:r>
      <w:r>
        <w:rPr>
          <w:rFonts w:ascii="宋体" w:hAnsi="宋体" w:eastAsia="宋体" w:cs="宋体"/>
          <w:color w:val="auto"/>
          <w:spacing w:val="1"/>
          <w:sz w:val="24"/>
          <w:szCs w:val="24"/>
          <w:highlight w:val="none"/>
        </w:rPr>
        <w:t>（财库﹝2020﹞46</w:t>
      </w:r>
      <w:r>
        <w:rPr>
          <w:rFonts w:ascii="宋体" w:hAnsi="宋体" w:eastAsia="宋体" w:cs="宋体"/>
          <w:color w:val="auto"/>
          <w:spacing w:val="-36"/>
          <w:sz w:val="24"/>
          <w:szCs w:val="24"/>
          <w:highlight w:val="none"/>
        </w:rPr>
        <w:t xml:space="preserve"> </w:t>
      </w:r>
      <w:r>
        <w:rPr>
          <w:rFonts w:ascii="宋体" w:hAnsi="宋体" w:eastAsia="宋体" w:cs="宋体"/>
          <w:color w:val="auto"/>
          <w:spacing w:val="1"/>
          <w:sz w:val="24"/>
          <w:szCs w:val="24"/>
          <w:highlight w:val="none"/>
        </w:rPr>
        <w:t>号）的规定，本公司（联合体）参加</w:t>
      </w:r>
      <w:r>
        <w:rPr>
          <w:rFonts w:ascii="宋体" w:hAnsi="宋体" w:eastAsia="宋体" w:cs="宋体"/>
          <w:color w:val="auto"/>
          <w:spacing w:val="1"/>
          <w:sz w:val="24"/>
          <w:szCs w:val="24"/>
          <w:highlight w:val="none"/>
          <w:u w:val="single" w:color="auto"/>
        </w:rPr>
        <w:t>（单位名称）</w:t>
      </w:r>
      <w:r>
        <w:rPr>
          <w:rFonts w:ascii="宋体" w:hAnsi="宋体" w:eastAsia="宋体" w:cs="宋体"/>
          <w:color w:val="auto"/>
          <w:spacing w:val="1"/>
          <w:sz w:val="24"/>
          <w:szCs w:val="24"/>
          <w:highlight w:val="none"/>
        </w:rPr>
        <w:t>的</w:t>
      </w:r>
      <w:r>
        <w:rPr>
          <w:rFonts w:ascii="宋体" w:hAnsi="宋体" w:eastAsia="宋体" w:cs="宋体"/>
          <w:color w:val="auto"/>
          <w:spacing w:val="1"/>
          <w:sz w:val="24"/>
          <w:szCs w:val="24"/>
          <w:highlight w:val="none"/>
          <w:u w:val="single" w:color="auto"/>
        </w:rPr>
        <w:t>（项目名称）</w:t>
      </w:r>
      <w:r>
        <w:rPr>
          <w:rFonts w:ascii="宋体" w:hAnsi="宋体" w:eastAsia="宋体" w:cs="宋体"/>
          <w:color w:val="auto"/>
          <w:spacing w:val="3"/>
          <w:sz w:val="24"/>
          <w:szCs w:val="24"/>
          <w:highlight w:val="none"/>
        </w:rPr>
        <w:t>采购活动，提供的货物全部由符合政策要求的中小企业制造。相关企业（含联合体中</w:t>
      </w:r>
      <w:r>
        <w:rPr>
          <w:rFonts w:ascii="宋体" w:hAnsi="宋体" w:eastAsia="宋体" w:cs="宋体"/>
          <w:color w:val="auto"/>
          <w:spacing w:val="-1"/>
          <w:sz w:val="24"/>
          <w:szCs w:val="24"/>
          <w:highlight w:val="none"/>
        </w:rPr>
        <w:t>的中小企业、签订分包意向协议的中小企业）的具体情况如下：</w:t>
      </w:r>
    </w:p>
    <w:p w14:paraId="757B8F67">
      <w:pPr>
        <w:spacing w:before="2" w:line="358" w:lineRule="auto"/>
        <w:ind w:firstLine="673"/>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1.</w:t>
      </w:r>
      <w:r>
        <w:rPr>
          <w:rFonts w:ascii="宋体" w:hAnsi="宋体" w:eastAsia="宋体" w:cs="宋体"/>
          <w:color w:val="auto"/>
          <w:spacing w:val="3"/>
          <w:sz w:val="24"/>
          <w:szCs w:val="24"/>
          <w:highlight w:val="none"/>
          <w:u w:val="single" w:color="auto"/>
        </w:rPr>
        <w:t>（标的名称</w:t>
      </w:r>
      <w:r>
        <w:rPr>
          <w:rFonts w:ascii="宋体" w:hAnsi="宋体" w:eastAsia="宋体" w:cs="宋体"/>
          <w:color w:val="auto"/>
          <w:spacing w:val="14"/>
          <w:sz w:val="24"/>
          <w:szCs w:val="24"/>
          <w:highlight w:val="none"/>
          <w:u w:val="single" w:color="auto"/>
        </w:rPr>
        <w:t>）</w:t>
      </w:r>
      <w:r>
        <w:rPr>
          <w:rFonts w:ascii="宋体" w:hAnsi="宋体" w:eastAsia="宋体" w:cs="宋体"/>
          <w:color w:val="auto"/>
          <w:spacing w:val="14"/>
          <w:sz w:val="24"/>
          <w:szCs w:val="24"/>
          <w:highlight w:val="none"/>
        </w:rPr>
        <w:t>，</w:t>
      </w:r>
      <w:r>
        <w:rPr>
          <w:rFonts w:ascii="宋体" w:hAnsi="宋体" w:eastAsia="宋体" w:cs="宋体"/>
          <w:color w:val="auto"/>
          <w:spacing w:val="3"/>
          <w:sz w:val="24"/>
          <w:szCs w:val="24"/>
          <w:highlight w:val="none"/>
        </w:rPr>
        <w:t>属于</w:t>
      </w:r>
      <w:r>
        <w:rPr>
          <w:rFonts w:ascii="宋体" w:hAnsi="宋体" w:eastAsia="宋体" w:cs="宋体"/>
          <w:color w:val="auto"/>
          <w:spacing w:val="3"/>
          <w:sz w:val="24"/>
          <w:szCs w:val="24"/>
          <w:highlight w:val="none"/>
          <w:u w:val="single" w:color="auto"/>
        </w:rPr>
        <w:t>（采购文件中明确的所属行业）</w:t>
      </w:r>
      <w:r>
        <w:rPr>
          <w:rFonts w:ascii="宋体" w:hAnsi="宋体" w:eastAsia="宋体" w:cs="宋体"/>
          <w:color w:val="auto"/>
          <w:spacing w:val="3"/>
          <w:sz w:val="24"/>
          <w:szCs w:val="24"/>
          <w:highlight w:val="none"/>
        </w:rPr>
        <w:t>行业；制造商为</w:t>
      </w:r>
      <w:r>
        <w:rPr>
          <w:rFonts w:ascii="宋体" w:hAnsi="宋体" w:eastAsia="宋体" w:cs="宋体"/>
          <w:color w:val="auto"/>
          <w:spacing w:val="3"/>
          <w:sz w:val="24"/>
          <w:szCs w:val="24"/>
          <w:highlight w:val="none"/>
          <w:u w:val="single" w:color="auto"/>
        </w:rPr>
        <w:t>（企业名</w:t>
      </w:r>
      <w:r>
        <w:rPr>
          <w:rFonts w:ascii="宋体" w:hAnsi="宋体" w:eastAsia="宋体" w:cs="宋体"/>
          <w:color w:val="auto"/>
          <w:sz w:val="24"/>
          <w:szCs w:val="24"/>
          <w:highlight w:val="none"/>
          <w:u w:val="single" w:color="auto"/>
        </w:rPr>
        <w:t>称</w:t>
      </w:r>
      <w:r>
        <w:rPr>
          <w:rFonts w:ascii="宋体" w:hAnsi="宋体" w:eastAsia="宋体" w:cs="宋体"/>
          <w:color w:val="auto"/>
          <w:spacing w:val="9"/>
          <w:sz w:val="24"/>
          <w:szCs w:val="24"/>
          <w:highlight w:val="none"/>
          <w:u w:val="single" w:color="auto"/>
        </w:rPr>
        <w:t>）</w:t>
      </w:r>
      <w:r>
        <w:rPr>
          <w:rFonts w:ascii="宋体" w:hAnsi="宋体" w:eastAsia="宋体" w:cs="宋体"/>
          <w:color w:val="auto"/>
          <w:spacing w:val="9"/>
          <w:sz w:val="24"/>
          <w:szCs w:val="24"/>
          <w:highlight w:val="none"/>
        </w:rPr>
        <w:t>，</w:t>
      </w:r>
      <w:r>
        <w:rPr>
          <w:rFonts w:ascii="宋体" w:hAnsi="宋体" w:eastAsia="宋体" w:cs="宋体"/>
          <w:color w:val="auto"/>
          <w:sz w:val="24"/>
          <w:szCs w:val="24"/>
          <w:highlight w:val="none"/>
        </w:rPr>
        <w:t>从业人员</w:t>
      </w:r>
      <w:r>
        <w:rPr>
          <w:rFonts w:ascii="宋体" w:hAnsi="宋体" w:eastAsia="宋体" w:cs="宋体"/>
          <w:color w:val="auto"/>
          <w:spacing w:val="-116"/>
          <w:sz w:val="24"/>
          <w:szCs w:val="24"/>
          <w:highlight w:val="none"/>
        </w:rPr>
        <w:t xml:space="preserve"> </w:t>
      </w:r>
      <w:r>
        <w:rPr>
          <w:rFonts w:ascii="宋体" w:hAnsi="宋体" w:eastAsia="宋体" w:cs="宋体"/>
          <w:color w:val="auto"/>
          <w:spacing w:val="2"/>
          <w:sz w:val="24"/>
          <w:szCs w:val="24"/>
          <w:highlight w:val="none"/>
          <w:u w:val="single" w:color="auto"/>
        </w:rPr>
        <w:t xml:space="preserve">      </w:t>
      </w:r>
      <w:r>
        <w:rPr>
          <w:rFonts w:ascii="宋体" w:hAnsi="宋体" w:eastAsia="宋体" w:cs="宋体"/>
          <w:color w:val="auto"/>
          <w:spacing w:val="-109"/>
          <w:sz w:val="24"/>
          <w:szCs w:val="24"/>
          <w:highlight w:val="none"/>
        </w:rPr>
        <w:t xml:space="preserve"> </w:t>
      </w:r>
      <w:r>
        <w:rPr>
          <w:rFonts w:ascii="宋体" w:hAnsi="宋体" w:eastAsia="宋体" w:cs="宋体"/>
          <w:color w:val="auto"/>
          <w:sz w:val="24"/>
          <w:szCs w:val="24"/>
          <w:highlight w:val="none"/>
        </w:rPr>
        <w:t>人，营业收入为</w:t>
      </w:r>
      <w:r>
        <w:rPr>
          <w:rFonts w:ascii="宋体" w:hAnsi="宋体" w:eastAsia="宋体" w:cs="宋体"/>
          <w:color w:val="auto"/>
          <w:spacing w:val="-118"/>
          <w:sz w:val="24"/>
          <w:szCs w:val="24"/>
          <w:highlight w:val="none"/>
        </w:rPr>
        <w:t xml:space="preserve"> </w:t>
      </w:r>
      <w:r>
        <w:rPr>
          <w:rFonts w:ascii="宋体" w:hAnsi="宋体" w:eastAsia="宋体" w:cs="宋体"/>
          <w:color w:val="auto"/>
          <w:spacing w:val="2"/>
          <w:sz w:val="24"/>
          <w:szCs w:val="24"/>
          <w:highlight w:val="none"/>
          <w:u w:val="single" w:color="auto"/>
        </w:rPr>
        <w:t xml:space="preserve">      </w:t>
      </w:r>
      <w:r>
        <w:rPr>
          <w:rFonts w:ascii="宋体" w:hAnsi="宋体" w:eastAsia="宋体" w:cs="宋体"/>
          <w:color w:val="auto"/>
          <w:spacing w:val="-102"/>
          <w:sz w:val="24"/>
          <w:szCs w:val="24"/>
          <w:highlight w:val="none"/>
        </w:rPr>
        <w:t xml:space="preserve"> </w:t>
      </w:r>
      <w:r>
        <w:rPr>
          <w:rFonts w:ascii="宋体" w:hAnsi="宋体" w:eastAsia="宋体" w:cs="宋体"/>
          <w:color w:val="auto"/>
          <w:sz w:val="24"/>
          <w:szCs w:val="24"/>
          <w:highlight w:val="none"/>
        </w:rPr>
        <w:t>万元，资产总额为</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1"/>
          <w:sz w:val="24"/>
          <w:szCs w:val="24"/>
          <w:highlight w:val="none"/>
          <w:u w:val="single" w:color="auto"/>
        </w:rPr>
        <w:t xml:space="preserve">  </w:t>
      </w:r>
      <w:r>
        <w:rPr>
          <w:rFonts w:ascii="宋体" w:hAnsi="宋体" w:eastAsia="宋体" w:cs="宋体"/>
          <w:color w:val="auto"/>
          <w:spacing w:val="-104"/>
          <w:sz w:val="24"/>
          <w:szCs w:val="24"/>
          <w:highlight w:val="none"/>
        </w:rPr>
        <w:t xml:space="preserve"> </w:t>
      </w:r>
      <w:r>
        <w:rPr>
          <w:rFonts w:ascii="宋体" w:hAnsi="宋体" w:eastAsia="宋体" w:cs="宋体"/>
          <w:color w:val="auto"/>
          <w:spacing w:val="-1"/>
          <w:sz w:val="24"/>
          <w:szCs w:val="24"/>
          <w:highlight w:val="none"/>
        </w:rPr>
        <w:t>万元，属于</w:t>
      </w:r>
      <w:r>
        <w:rPr>
          <w:rFonts w:ascii="宋体" w:hAnsi="宋体" w:eastAsia="宋体" w:cs="宋体"/>
          <w:color w:val="auto"/>
          <w:spacing w:val="-1"/>
          <w:sz w:val="24"/>
          <w:szCs w:val="24"/>
          <w:highlight w:val="none"/>
          <w:u w:val="single" w:color="auto"/>
        </w:rPr>
        <w:t>（中型企业、小型企业、微型企业</w:t>
      </w:r>
      <w:r>
        <w:rPr>
          <w:rFonts w:ascii="宋体" w:hAnsi="宋体" w:eastAsia="宋体" w:cs="宋体"/>
          <w:color w:val="auto"/>
          <w:spacing w:val="1"/>
          <w:sz w:val="24"/>
          <w:szCs w:val="24"/>
          <w:highlight w:val="none"/>
          <w:u w:val="single" w:color="auto"/>
        </w:rPr>
        <w:t>）</w:t>
      </w:r>
      <w:r>
        <w:rPr>
          <w:rFonts w:ascii="宋体" w:hAnsi="宋体" w:eastAsia="宋体" w:cs="宋体"/>
          <w:color w:val="auto"/>
          <w:spacing w:val="1"/>
          <w:sz w:val="24"/>
          <w:szCs w:val="24"/>
          <w:highlight w:val="none"/>
        </w:rPr>
        <w:t>；</w:t>
      </w:r>
    </w:p>
    <w:p w14:paraId="08FA0826">
      <w:pPr>
        <w:spacing w:before="1" w:line="359" w:lineRule="auto"/>
        <w:ind w:firstLine="659"/>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2.</w:t>
      </w:r>
      <w:r>
        <w:rPr>
          <w:rFonts w:ascii="宋体" w:hAnsi="宋体" w:eastAsia="宋体" w:cs="宋体"/>
          <w:color w:val="auto"/>
          <w:spacing w:val="3"/>
          <w:sz w:val="24"/>
          <w:szCs w:val="24"/>
          <w:highlight w:val="none"/>
          <w:u w:val="single" w:color="auto"/>
        </w:rPr>
        <w:t>（标的名称</w:t>
      </w:r>
      <w:r>
        <w:rPr>
          <w:rFonts w:ascii="宋体" w:hAnsi="宋体" w:eastAsia="宋体" w:cs="宋体"/>
          <w:color w:val="auto"/>
          <w:spacing w:val="21"/>
          <w:sz w:val="24"/>
          <w:szCs w:val="24"/>
          <w:highlight w:val="none"/>
          <w:u w:val="single" w:color="auto"/>
        </w:rPr>
        <w:t>）</w:t>
      </w:r>
      <w:r>
        <w:rPr>
          <w:rFonts w:ascii="宋体" w:hAnsi="宋体" w:eastAsia="宋体" w:cs="宋体"/>
          <w:color w:val="auto"/>
          <w:spacing w:val="21"/>
          <w:sz w:val="24"/>
          <w:szCs w:val="24"/>
          <w:highlight w:val="none"/>
        </w:rPr>
        <w:t>，</w:t>
      </w:r>
      <w:r>
        <w:rPr>
          <w:rFonts w:ascii="宋体" w:hAnsi="宋体" w:eastAsia="宋体" w:cs="宋体"/>
          <w:color w:val="auto"/>
          <w:spacing w:val="3"/>
          <w:sz w:val="24"/>
          <w:szCs w:val="24"/>
          <w:highlight w:val="none"/>
        </w:rPr>
        <w:t>属于</w:t>
      </w:r>
      <w:r>
        <w:rPr>
          <w:rFonts w:ascii="宋体" w:hAnsi="宋体" w:eastAsia="宋体" w:cs="宋体"/>
          <w:color w:val="auto"/>
          <w:spacing w:val="3"/>
          <w:sz w:val="24"/>
          <w:szCs w:val="24"/>
          <w:highlight w:val="none"/>
          <w:u w:val="single" w:color="auto"/>
        </w:rPr>
        <w:t>（采购文件中明确的所属行业）</w:t>
      </w:r>
      <w:r>
        <w:rPr>
          <w:rFonts w:ascii="宋体" w:hAnsi="宋体" w:eastAsia="宋体" w:cs="宋体"/>
          <w:color w:val="auto"/>
          <w:spacing w:val="3"/>
          <w:sz w:val="24"/>
          <w:szCs w:val="24"/>
          <w:highlight w:val="none"/>
        </w:rPr>
        <w:t>行业；制造商为</w:t>
      </w:r>
      <w:r>
        <w:rPr>
          <w:rFonts w:ascii="宋体" w:hAnsi="宋体" w:eastAsia="宋体" w:cs="宋体"/>
          <w:color w:val="auto"/>
          <w:spacing w:val="3"/>
          <w:sz w:val="24"/>
          <w:szCs w:val="24"/>
          <w:highlight w:val="none"/>
          <w:u w:val="single" w:color="auto"/>
        </w:rPr>
        <w:t>（企业名</w:t>
      </w:r>
      <w:r>
        <w:rPr>
          <w:rFonts w:ascii="宋体" w:hAnsi="宋体" w:eastAsia="宋体" w:cs="宋体"/>
          <w:color w:val="auto"/>
          <w:sz w:val="24"/>
          <w:szCs w:val="24"/>
          <w:highlight w:val="none"/>
          <w:u w:val="single" w:color="auto"/>
        </w:rPr>
        <w:t>称</w:t>
      </w:r>
      <w:r>
        <w:rPr>
          <w:rFonts w:ascii="宋体" w:hAnsi="宋体" w:eastAsia="宋体" w:cs="宋体"/>
          <w:color w:val="auto"/>
          <w:spacing w:val="9"/>
          <w:sz w:val="24"/>
          <w:szCs w:val="24"/>
          <w:highlight w:val="none"/>
          <w:u w:val="single" w:color="auto"/>
        </w:rPr>
        <w:t>）</w:t>
      </w:r>
      <w:r>
        <w:rPr>
          <w:rFonts w:ascii="宋体" w:hAnsi="宋体" w:eastAsia="宋体" w:cs="宋体"/>
          <w:color w:val="auto"/>
          <w:spacing w:val="9"/>
          <w:sz w:val="24"/>
          <w:szCs w:val="24"/>
          <w:highlight w:val="none"/>
        </w:rPr>
        <w:t>，</w:t>
      </w:r>
      <w:r>
        <w:rPr>
          <w:rFonts w:ascii="宋体" w:hAnsi="宋体" w:eastAsia="宋体" w:cs="宋体"/>
          <w:color w:val="auto"/>
          <w:sz w:val="24"/>
          <w:szCs w:val="24"/>
          <w:highlight w:val="none"/>
        </w:rPr>
        <w:t>从业人员</w:t>
      </w:r>
      <w:r>
        <w:rPr>
          <w:rFonts w:ascii="宋体" w:hAnsi="宋体" w:eastAsia="宋体" w:cs="宋体"/>
          <w:color w:val="auto"/>
          <w:spacing w:val="-116"/>
          <w:sz w:val="24"/>
          <w:szCs w:val="24"/>
          <w:highlight w:val="none"/>
        </w:rPr>
        <w:t xml:space="preserve"> </w:t>
      </w:r>
      <w:r>
        <w:rPr>
          <w:rFonts w:ascii="宋体" w:hAnsi="宋体" w:eastAsia="宋体" w:cs="宋体"/>
          <w:color w:val="auto"/>
          <w:spacing w:val="2"/>
          <w:sz w:val="24"/>
          <w:szCs w:val="24"/>
          <w:highlight w:val="none"/>
          <w:u w:val="single" w:color="auto"/>
        </w:rPr>
        <w:t xml:space="preserve">      </w:t>
      </w:r>
      <w:r>
        <w:rPr>
          <w:rFonts w:ascii="宋体" w:hAnsi="宋体" w:eastAsia="宋体" w:cs="宋体"/>
          <w:color w:val="auto"/>
          <w:spacing w:val="-109"/>
          <w:sz w:val="24"/>
          <w:szCs w:val="24"/>
          <w:highlight w:val="none"/>
        </w:rPr>
        <w:t xml:space="preserve"> </w:t>
      </w:r>
      <w:r>
        <w:rPr>
          <w:rFonts w:ascii="宋体" w:hAnsi="宋体" w:eastAsia="宋体" w:cs="宋体"/>
          <w:color w:val="auto"/>
          <w:sz w:val="24"/>
          <w:szCs w:val="24"/>
          <w:highlight w:val="none"/>
        </w:rPr>
        <w:t>人，营业收入为</w:t>
      </w:r>
      <w:r>
        <w:rPr>
          <w:rFonts w:ascii="宋体" w:hAnsi="宋体" w:eastAsia="宋体" w:cs="宋体"/>
          <w:color w:val="auto"/>
          <w:spacing w:val="-118"/>
          <w:sz w:val="24"/>
          <w:szCs w:val="24"/>
          <w:highlight w:val="none"/>
        </w:rPr>
        <w:t xml:space="preserve"> </w:t>
      </w:r>
      <w:r>
        <w:rPr>
          <w:rFonts w:ascii="宋体" w:hAnsi="宋体" w:eastAsia="宋体" w:cs="宋体"/>
          <w:color w:val="auto"/>
          <w:spacing w:val="2"/>
          <w:sz w:val="24"/>
          <w:szCs w:val="24"/>
          <w:highlight w:val="none"/>
          <w:u w:val="single" w:color="auto"/>
        </w:rPr>
        <w:t xml:space="preserve">      </w:t>
      </w:r>
      <w:r>
        <w:rPr>
          <w:rFonts w:ascii="宋体" w:hAnsi="宋体" w:eastAsia="宋体" w:cs="宋体"/>
          <w:color w:val="auto"/>
          <w:spacing w:val="-102"/>
          <w:sz w:val="24"/>
          <w:szCs w:val="24"/>
          <w:highlight w:val="none"/>
        </w:rPr>
        <w:t xml:space="preserve"> </w:t>
      </w:r>
      <w:r>
        <w:rPr>
          <w:rFonts w:ascii="宋体" w:hAnsi="宋体" w:eastAsia="宋体" w:cs="宋体"/>
          <w:color w:val="auto"/>
          <w:sz w:val="24"/>
          <w:szCs w:val="24"/>
          <w:highlight w:val="none"/>
        </w:rPr>
        <w:t>万元，资产总额为</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1"/>
          <w:sz w:val="24"/>
          <w:szCs w:val="24"/>
          <w:highlight w:val="none"/>
          <w:u w:val="single" w:color="auto"/>
        </w:rPr>
        <w:t xml:space="preserve">  </w:t>
      </w:r>
      <w:r>
        <w:rPr>
          <w:rFonts w:ascii="宋体" w:hAnsi="宋体" w:eastAsia="宋体" w:cs="宋体"/>
          <w:color w:val="auto"/>
          <w:spacing w:val="-104"/>
          <w:sz w:val="24"/>
          <w:szCs w:val="24"/>
          <w:highlight w:val="none"/>
        </w:rPr>
        <w:t xml:space="preserve"> </w:t>
      </w:r>
      <w:r>
        <w:rPr>
          <w:rFonts w:ascii="宋体" w:hAnsi="宋体" w:eastAsia="宋体" w:cs="宋体"/>
          <w:color w:val="auto"/>
          <w:spacing w:val="-1"/>
          <w:sz w:val="24"/>
          <w:szCs w:val="24"/>
          <w:highlight w:val="none"/>
        </w:rPr>
        <w:t>万元，属于</w:t>
      </w:r>
      <w:r>
        <w:rPr>
          <w:rFonts w:ascii="宋体" w:hAnsi="宋体" w:eastAsia="宋体" w:cs="宋体"/>
          <w:color w:val="auto"/>
          <w:spacing w:val="-1"/>
          <w:sz w:val="24"/>
          <w:szCs w:val="24"/>
          <w:highlight w:val="none"/>
          <w:u w:val="single" w:color="auto"/>
        </w:rPr>
        <w:t>（中型企业、小型企业、微型企业</w:t>
      </w:r>
      <w:r>
        <w:rPr>
          <w:rFonts w:ascii="宋体" w:hAnsi="宋体" w:eastAsia="宋体" w:cs="宋体"/>
          <w:color w:val="auto"/>
          <w:spacing w:val="1"/>
          <w:sz w:val="24"/>
          <w:szCs w:val="24"/>
          <w:highlight w:val="none"/>
          <w:u w:val="single" w:color="auto"/>
        </w:rPr>
        <w:t>）</w:t>
      </w:r>
      <w:r>
        <w:rPr>
          <w:rFonts w:ascii="宋体" w:hAnsi="宋体" w:eastAsia="宋体" w:cs="宋体"/>
          <w:color w:val="auto"/>
          <w:spacing w:val="1"/>
          <w:sz w:val="24"/>
          <w:szCs w:val="24"/>
          <w:highlight w:val="none"/>
        </w:rPr>
        <w:t>；</w:t>
      </w:r>
    </w:p>
    <w:p w14:paraId="054AA28B">
      <w:pPr>
        <w:spacing w:line="378" w:lineRule="exact"/>
        <w:ind w:left="584"/>
        <w:rPr>
          <w:rFonts w:ascii="宋体" w:hAnsi="宋体" w:eastAsia="宋体" w:cs="宋体"/>
          <w:color w:val="auto"/>
          <w:sz w:val="24"/>
          <w:szCs w:val="24"/>
          <w:highlight w:val="none"/>
        </w:rPr>
      </w:pPr>
      <w:r>
        <w:rPr>
          <w:rFonts w:ascii="宋体" w:hAnsi="宋体" w:eastAsia="宋体" w:cs="宋体"/>
          <w:color w:val="auto"/>
          <w:spacing w:val="-13"/>
          <w:position w:val="3"/>
          <w:sz w:val="24"/>
          <w:szCs w:val="24"/>
          <w:highlight w:val="none"/>
        </w:rPr>
        <w:t>……</w:t>
      </w:r>
    </w:p>
    <w:p w14:paraId="15ECB9A1">
      <w:pPr>
        <w:spacing w:before="90" w:line="358" w:lineRule="auto"/>
        <w:ind w:left="21" w:right="199" w:firstLine="481"/>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以上企业，不属于大企业的分支机构，不存在控股股东为大企业的情形</w:t>
      </w:r>
      <w:r>
        <w:rPr>
          <w:rFonts w:ascii="宋体" w:hAnsi="宋体" w:eastAsia="宋体" w:cs="宋体"/>
          <w:color w:val="auto"/>
          <w:spacing w:val="2"/>
          <w:sz w:val="24"/>
          <w:szCs w:val="24"/>
          <w:highlight w:val="none"/>
        </w:rPr>
        <w:t>，也不存</w:t>
      </w:r>
      <w:r>
        <w:rPr>
          <w:rFonts w:ascii="宋体" w:hAnsi="宋体" w:eastAsia="宋体" w:cs="宋体"/>
          <w:color w:val="auto"/>
          <w:spacing w:val="-1"/>
          <w:sz w:val="24"/>
          <w:szCs w:val="24"/>
          <w:highlight w:val="none"/>
        </w:rPr>
        <w:t>在与大企业的负责人为同一人的情形。</w:t>
      </w:r>
    </w:p>
    <w:p w14:paraId="4F1F6F36">
      <w:pPr>
        <w:spacing w:before="1" w:line="218" w:lineRule="auto"/>
        <w:ind w:left="570"/>
        <w:rPr>
          <w:rFonts w:ascii="宋体" w:hAnsi="宋体" w:eastAsia="宋体" w:cs="宋体"/>
          <w:color w:val="auto"/>
          <w:sz w:val="24"/>
          <w:szCs w:val="24"/>
          <w:highlight w:val="none"/>
        </w:rPr>
      </w:pPr>
      <w:r>
        <w:rPr>
          <w:rFonts w:ascii="宋体" w:hAnsi="宋体" w:eastAsia="宋体" w:cs="宋体"/>
          <w:color w:val="auto"/>
          <w:sz w:val="24"/>
          <w:szCs w:val="24"/>
          <w:highlight w:val="none"/>
        </w:rPr>
        <w:t>本企业对上述声明内容的真实性负责。如有虚</w:t>
      </w:r>
      <w:r>
        <w:rPr>
          <w:rFonts w:ascii="宋体" w:hAnsi="宋体" w:eastAsia="宋体" w:cs="宋体"/>
          <w:color w:val="auto"/>
          <w:spacing w:val="-1"/>
          <w:sz w:val="24"/>
          <w:szCs w:val="24"/>
          <w:highlight w:val="none"/>
        </w:rPr>
        <w:t>假，将依法承担相应责任。</w:t>
      </w:r>
    </w:p>
    <w:p w14:paraId="5087D2E5">
      <w:pPr>
        <w:spacing w:line="284" w:lineRule="auto"/>
        <w:rPr>
          <w:rFonts w:ascii="Arial"/>
          <w:color w:val="auto"/>
          <w:sz w:val="24"/>
          <w:szCs w:val="24"/>
          <w:highlight w:val="none"/>
        </w:rPr>
      </w:pPr>
    </w:p>
    <w:p w14:paraId="22F3D0FC">
      <w:pPr>
        <w:spacing w:line="285" w:lineRule="auto"/>
        <w:rPr>
          <w:rFonts w:ascii="Arial"/>
          <w:color w:val="auto"/>
          <w:sz w:val="24"/>
          <w:szCs w:val="24"/>
          <w:highlight w:val="none"/>
        </w:rPr>
      </w:pPr>
    </w:p>
    <w:p w14:paraId="1C211C7C">
      <w:pPr>
        <w:spacing w:before="79" w:line="219" w:lineRule="auto"/>
        <w:ind w:left="4392"/>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企业名称（章</w:t>
      </w:r>
      <w:r>
        <w:rPr>
          <w:rFonts w:ascii="宋体" w:hAnsi="宋体" w:eastAsia="宋体" w:cs="宋体"/>
          <w:color w:val="auto"/>
          <w:spacing w:val="1"/>
          <w:sz w:val="24"/>
          <w:szCs w:val="24"/>
          <w:highlight w:val="none"/>
        </w:rPr>
        <w:t>）：</w:t>
      </w:r>
    </w:p>
    <w:p w14:paraId="7D04531C">
      <w:pPr>
        <w:spacing w:before="79" w:line="219" w:lineRule="auto"/>
        <w:ind w:left="4392"/>
        <w:rPr>
          <w:rFonts w:ascii="宋体" w:hAnsi="宋体" w:eastAsia="宋体" w:cs="宋体"/>
          <w:color w:val="auto"/>
          <w:spacing w:val="-3"/>
          <w:sz w:val="24"/>
          <w:szCs w:val="24"/>
          <w:highlight w:val="none"/>
        </w:rPr>
      </w:pPr>
      <w:r>
        <w:rPr>
          <w:rFonts w:ascii="宋体" w:hAnsi="宋体" w:eastAsia="宋体" w:cs="宋体"/>
          <w:color w:val="auto"/>
          <w:spacing w:val="-3"/>
          <w:sz w:val="24"/>
          <w:szCs w:val="24"/>
          <w:highlight w:val="none"/>
        </w:rPr>
        <w:t>日 期：</w:t>
      </w:r>
    </w:p>
    <w:p w14:paraId="3775504B">
      <w:pPr>
        <w:spacing w:line="462" w:lineRule="auto"/>
        <w:rPr>
          <w:rFonts w:ascii="Arial"/>
          <w:color w:val="auto"/>
          <w:sz w:val="24"/>
          <w:szCs w:val="24"/>
          <w:highlight w:val="none"/>
        </w:rPr>
      </w:pPr>
    </w:p>
    <w:p w14:paraId="1C7B3A31">
      <w:pPr>
        <w:spacing w:before="79" w:line="360" w:lineRule="auto"/>
        <w:ind w:left="429" w:right="86" w:hanging="1"/>
        <w:jc w:val="both"/>
        <w:rPr>
          <w:rFonts w:ascii="宋体" w:hAnsi="宋体" w:eastAsia="宋体" w:cs="宋体"/>
          <w:color w:val="auto"/>
          <w:spacing w:val="-1"/>
          <w:sz w:val="24"/>
          <w:szCs w:val="24"/>
          <w:highlight w:val="none"/>
        </w:rPr>
      </w:pPr>
      <w:r>
        <w:rPr>
          <w:rFonts w:ascii="宋体" w:hAnsi="宋体" w:eastAsia="宋体" w:cs="宋体"/>
          <w:color w:val="auto"/>
          <w:spacing w:val="-1"/>
          <w:sz w:val="24"/>
          <w:szCs w:val="24"/>
          <w:highlight w:val="none"/>
        </w:rPr>
        <w:t>注：享受《政府采购促进中小企业发展管理办法》（财库〔2020〕46号）规定的中</w:t>
      </w:r>
      <w:r>
        <w:rPr>
          <w:rFonts w:ascii="宋体" w:hAnsi="宋体" w:eastAsia="宋体" w:cs="宋体"/>
          <w:color w:val="auto"/>
          <w:sz w:val="24"/>
          <w:szCs w:val="24"/>
          <w:highlight w:val="none"/>
        </w:rPr>
        <w:t>小企业扶持政策的，采购人、采购代理机构应当随成</w:t>
      </w:r>
      <w:r>
        <w:rPr>
          <w:rFonts w:ascii="宋体" w:hAnsi="宋体" w:eastAsia="宋体" w:cs="宋体"/>
          <w:color w:val="auto"/>
          <w:spacing w:val="-1"/>
          <w:sz w:val="24"/>
          <w:szCs w:val="24"/>
          <w:highlight w:val="none"/>
        </w:rPr>
        <w:t>交结果公开成交供应商的《中</w:t>
      </w:r>
      <w:r>
        <w:rPr>
          <w:rFonts w:ascii="宋体" w:hAnsi="宋体" w:eastAsia="宋体" w:cs="宋体"/>
          <w:color w:val="auto"/>
          <w:sz w:val="24"/>
          <w:szCs w:val="24"/>
          <w:highlight w:val="none"/>
        </w:rPr>
        <w:t>小企业声明函》。从业人员、营业收入、资产总额填</w:t>
      </w:r>
      <w:r>
        <w:rPr>
          <w:rFonts w:ascii="宋体" w:hAnsi="宋体" w:eastAsia="宋体" w:cs="宋体"/>
          <w:color w:val="auto"/>
          <w:spacing w:val="-1"/>
          <w:sz w:val="24"/>
          <w:szCs w:val="24"/>
          <w:highlight w:val="none"/>
        </w:rPr>
        <w:t>报上一年度数据，无上一年度数据的新成立企业可不填报。</w:t>
      </w:r>
    </w:p>
    <w:p w14:paraId="5146C45B">
      <w:pPr>
        <w:rPr>
          <w:rFonts w:ascii="宋体" w:hAnsi="宋体" w:eastAsia="宋体" w:cs="宋体"/>
          <w:color w:val="auto"/>
          <w:spacing w:val="-1"/>
          <w:sz w:val="24"/>
          <w:szCs w:val="24"/>
          <w:highlight w:val="none"/>
        </w:rPr>
      </w:pPr>
      <w:r>
        <w:rPr>
          <w:rFonts w:ascii="宋体" w:hAnsi="宋体" w:eastAsia="宋体" w:cs="宋体"/>
          <w:color w:val="auto"/>
          <w:spacing w:val="-1"/>
          <w:sz w:val="24"/>
          <w:szCs w:val="24"/>
          <w:highlight w:val="none"/>
        </w:rPr>
        <w:br w:type="page"/>
      </w:r>
    </w:p>
    <w:p w14:paraId="22347B90">
      <w:pPr>
        <w:spacing w:before="85" w:line="221" w:lineRule="auto"/>
        <w:jc w:val="center"/>
        <w:rPr>
          <w:rFonts w:ascii="宋体" w:hAnsi="宋体" w:eastAsia="宋体" w:cs="宋体"/>
          <w:color w:val="auto"/>
          <w:sz w:val="36"/>
          <w:szCs w:val="36"/>
          <w:highlight w:val="none"/>
        </w:rPr>
      </w:pPr>
      <w:r>
        <w:rPr>
          <w:rFonts w:ascii="宋体" w:hAnsi="宋体" w:eastAsia="宋体" w:cs="宋体"/>
          <w:b/>
          <w:bCs/>
          <w:color w:val="auto"/>
          <w:spacing w:val="4"/>
          <w:sz w:val="36"/>
          <w:szCs w:val="36"/>
          <w:highlight w:val="none"/>
        </w:rPr>
        <w:t>残疾人福利性单位声明函</w:t>
      </w:r>
    </w:p>
    <w:p w14:paraId="479F190C">
      <w:pPr>
        <w:spacing w:line="293" w:lineRule="auto"/>
        <w:rPr>
          <w:rFonts w:ascii="Arial"/>
          <w:color w:val="auto"/>
          <w:sz w:val="21"/>
          <w:highlight w:val="none"/>
        </w:rPr>
      </w:pPr>
    </w:p>
    <w:p w14:paraId="3483AF24">
      <w:pPr>
        <w:spacing w:line="293" w:lineRule="auto"/>
        <w:rPr>
          <w:rFonts w:ascii="Arial"/>
          <w:color w:val="auto"/>
          <w:sz w:val="21"/>
          <w:highlight w:val="none"/>
        </w:rPr>
      </w:pPr>
    </w:p>
    <w:p w14:paraId="60DDBE81">
      <w:pPr>
        <w:spacing w:line="294" w:lineRule="auto"/>
        <w:rPr>
          <w:rFonts w:ascii="Arial"/>
          <w:color w:val="auto"/>
          <w:sz w:val="21"/>
          <w:highlight w:val="none"/>
        </w:rPr>
      </w:pPr>
    </w:p>
    <w:p w14:paraId="14FAA005">
      <w:pPr>
        <w:spacing w:before="78" w:line="359" w:lineRule="auto"/>
        <w:ind w:firstLine="481"/>
        <w:jc w:val="both"/>
        <w:rPr>
          <w:rFonts w:ascii="宋体" w:hAnsi="宋体" w:eastAsia="宋体" w:cs="宋体"/>
          <w:color w:val="auto"/>
          <w:sz w:val="24"/>
          <w:szCs w:val="24"/>
          <w:highlight w:val="none"/>
        </w:rPr>
      </w:pPr>
      <w:r>
        <w:rPr>
          <w:rFonts w:ascii="宋体" w:hAnsi="宋体" w:eastAsia="宋体" w:cs="宋体"/>
          <w:color w:val="auto"/>
          <w:sz w:val="24"/>
          <w:szCs w:val="24"/>
          <w:highlight w:val="none"/>
        </w:rPr>
        <w:t>本单位郑重声明，根据《财政部</w:t>
      </w:r>
      <w:r>
        <w:rPr>
          <w:rFonts w:ascii="宋体" w:hAnsi="宋体" w:eastAsia="宋体" w:cs="宋体"/>
          <w:color w:val="auto"/>
          <w:spacing w:val="40"/>
          <w:sz w:val="24"/>
          <w:szCs w:val="24"/>
          <w:highlight w:val="none"/>
        </w:rPr>
        <w:t xml:space="preserve"> </w:t>
      </w:r>
      <w:r>
        <w:rPr>
          <w:rFonts w:ascii="宋体" w:hAnsi="宋体" w:eastAsia="宋体" w:cs="宋体"/>
          <w:color w:val="auto"/>
          <w:sz w:val="24"/>
          <w:szCs w:val="24"/>
          <w:highlight w:val="none"/>
        </w:rPr>
        <w:t>民政部</w:t>
      </w:r>
      <w:r>
        <w:rPr>
          <w:rFonts w:ascii="宋体" w:hAnsi="宋体" w:eastAsia="宋体" w:cs="宋体"/>
          <w:color w:val="auto"/>
          <w:spacing w:val="39"/>
          <w:sz w:val="24"/>
          <w:szCs w:val="24"/>
          <w:highlight w:val="none"/>
        </w:rPr>
        <w:t xml:space="preserve"> </w:t>
      </w:r>
      <w:r>
        <w:rPr>
          <w:rFonts w:ascii="宋体" w:hAnsi="宋体" w:eastAsia="宋体" w:cs="宋体"/>
          <w:color w:val="auto"/>
          <w:sz w:val="24"/>
          <w:szCs w:val="24"/>
          <w:highlight w:val="none"/>
        </w:rPr>
        <w:t>中国残疾人联合会关于促进残疾人就</w:t>
      </w:r>
      <w:r>
        <w:rPr>
          <w:rFonts w:ascii="宋体" w:hAnsi="宋体" w:eastAsia="宋体" w:cs="宋体"/>
          <w:color w:val="auto"/>
          <w:spacing w:val="3"/>
          <w:sz w:val="24"/>
          <w:szCs w:val="24"/>
          <w:highlight w:val="none"/>
        </w:rPr>
        <w:t>业政府采购政策的通知》（财库〔2017〕141</w:t>
      </w:r>
      <w:r>
        <w:rPr>
          <w:rFonts w:ascii="宋体" w:hAnsi="宋体" w:eastAsia="宋体" w:cs="宋体"/>
          <w:color w:val="auto"/>
          <w:spacing w:val="-38"/>
          <w:sz w:val="24"/>
          <w:szCs w:val="24"/>
          <w:highlight w:val="none"/>
        </w:rPr>
        <w:t xml:space="preserve"> </w:t>
      </w:r>
      <w:r>
        <w:rPr>
          <w:rFonts w:ascii="宋体" w:hAnsi="宋体" w:eastAsia="宋体" w:cs="宋体"/>
          <w:color w:val="auto"/>
          <w:spacing w:val="3"/>
          <w:sz w:val="24"/>
          <w:szCs w:val="24"/>
          <w:highlight w:val="none"/>
        </w:rPr>
        <w:t>号）的规定，本单位为符合条件的残疾人福利性单位，且本单位参加</w:t>
      </w:r>
      <w:r>
        <w:rPr>
          <w:rFonts w:ascii="宋体" w:hAnsi="宋体" w:eastAsia="宋体" w:cs="宋体"/>
          <w:color w:val="auto"/>
          <w:spacing w:val="-109"/>
          <w:sz w:val="24"/>
          <w:szCs w:val="24"/>
          <w:highlight w:val="none"/>
        </w:rPr>
        <w:t xml:space="preserve"> </w:t>
      </w:r>
      <w:r>
        <w:rPr>
          <w:rFonts w:ascii="宋体" w:hAnsi="宋体" w:eastAsia="宋体" w:cs="宋体"/>
          <w:color w:val="auto"/>
          <w:spacing w:val="5"/>
          <w:sz w:val="24"/>
          <w:szCs w:val="24"/>
          <w:highlight w:val="none"/>
          <w:u w:val="single" w:color="auto"/>
        </w:rPr>
        <w:t xml:space="preserve">       </w:t>
      </w:r>
      <w:r>
        <w:rPr>
          <w:rFonts w:ascii="宋体" w:hAnsi="宋体" w:eastAsia="宋体" w:cs="宋体"/>
          <w:color w:val="auto"/>
          <w:spacing w:val="-108"/>
          <w:sz w:val="24"/>
          <w:szCs w:val="24"/>
          <w:highlight w:val="none"/>
        </w:rPr>
        <w:t xml:space="preserve"> </w:t>
      </w:r>
      <w:r>
        <w:rPr>
          <w:rFonts w:ascii="宋体" w:hAnsi="宋体" w:eastAsia="宋体" w:cs="宋体"/>
          <w:color w:val="auto"/>
          <w:spacing w:val="3"/>
          <w:sz w:val="24"/>
          <w:szCs w:val="24"/>
          <w:highlight w:val="none"/>
        </w:rPr>
        <w:t>单位的</w:t>
      </w:r>
      <w:r>
        <w:rPr>
          <w:rFonts w:ascii="宋体" w:hAnsi="宋体" w:eastAsia="宋体" w:cs="宋体"/>
          <w:color w:val="auto"/>
          <w:spacing w:val="-115"/>
          <w:sz w:val="24"/>
          <w:szCs w:val="24"/>
          <w:highlight w:val="none"/>
        </w:rPr>
        <w:t xml:space="preserve"> </w:t>
      </w:r>
      <w:r>
        <w:rPr>
          <w:rFonts w:ascii="宋体" w:hAnsi="宋体" w:eastAsia="宋体" w:cs="宋体"/>
          <w:color w:val="auto"/>
          <w:spacing w:val="5"/>
          <w:sz w:val="24"/>
          <w:szCs w:val="24"/>
          <w:highlight w:val="none"/>
          <w:u w:val="single" w:color="auto"/>
        </w:rPr>
        <w:t xml:space="preserve">        </w:t>
      </w:r>
      <w:r>
        <w:rPr>
          <w:rFonts w:ascii="宋体" w:hAnsi="宋体" w:eastAsia="宋体" w:cs="宋体"/>
          <w:color w:val="auto"/>
          <w:spacing w:val="-106"/>
          <w:sz w:val="24"/>
          <w:szCs w:val="24"/>
          <w:highlight w:val="none"/>
        </w:rPr>
        <w:t xml:space="preserve"> </w:t>
      </w:r>
      <w:r>
        <w:rPr>
          <w:rFonts w:ascii="宋体" w:hAnsi="宋体" w:eastAsia="宋体" w:cs="宋体"/>
          <w:color w:val="auto"/>
          <w:spacing w:val="3"/>
          <w:sz w:val="24"/>
          <w:szCs w:val="24"/>
          <w:highlight w:val="none"/>
        </w:rPr>
        <w:t>项目采购活动提供本单位</w:t>
      </w:r>
      <w:r>
        <w:rPr>
          <w:rFonts w:ascii="宋体" w:hAnsi="宋体" w:eastAsia="宋体" w:cs="宋体"/>
          <w:color w:val="auto"/>
          <w:spacing w:val="5"/>
          <w:sz w:val="24"/>
          <w:szCs w:val="24"/>
          <w:highlight w:val="none"/>
        </w:rPr>
        <w:t>制造的货物（由本单位承担工程/提供服务</w:t>
      </w:r>
      <w:r>
        <w:rPr>
          <w:rFonts w:ascii="宋体" w:hAnsi="宋体" w:eastAsia="宋体" w:cs="宋体"/>
          <w:color w:val="auto"/>
          <w:spacing w:val="16"/>
          <w:sz w:val="24"/>
          <w:szCs w:val="24"/>
          <w:highlight w:val="none"/>
        </w:rPr>
        <w:t>），</w:t>
      </w:r>
      <w:r>
        <w:rPr>
          <w:rFonts w:ascii="宋体" w:hAnsi="宋体" w:eastAsia="宋体" w:cs="宋体"/>
          <w:color w:val="auto"/>
          <w:spacing w:val="5"/>
          <w:sz w:val="24"/>
          <w:szCs w:val="24"/>
          <w:highlight w:val="none"/>
        </w:rPr>
        <w:t>或者提供其他残疾人福利性</w:t>
      </w:r>
      <w:r>
        <w:rPr>
          <w:rFonts w:ascii="宋体" w:hAnsi="宋体" w:eastAsia="宋体" w:cs="宋体"/>
          <w:color w:val="auto"/>
          <w:spacing w:val="4"/>
          <w:sz w:val="24"/>
          <w:szCs w:val="24"/>
          <w:highlight w:val="none"/>
        </w:rPr>
        <w:t>单位制</w:t>
      </w:r>
      <w:r>
        <w:rPr>
          <w:rFonts w:ascii="宋体" w:hAnsi="宋体" w:eastAsia="宋体" w:cs="宋体"/>
          <w:color w:val="auto"/>
          <w:spacing w:val="-1"/>
          <w:sz w:val="24"/>
          <w:szCs w:val="24"/>
          <w:highlight w:val="none"/>
        </w:rPr>
        <w:t>造的货物（不包括使用非残疾人福利性单位注册商标的货物）。</w:t>
      </w:r>
    </w:p>
    <w:p w14:paraId="0E05473C">
      <w:pPr>
        <w:spacing w:line="218" w:lineRule="auto"/>
        <w:ind w:left="481"/>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本单位对上述声明的真实性负责。如有虚假，将依法承担相应责任。</w:t>
      </w:r>
    </w:p>
    <w:p w14:paraId="657D8638">
      <w:pPr>
        <w:spacing w:line="249" w:lineRule="auto"/>
        <w:rPr>
          <w:rFonts w:ascii="Arial"/>
          <w:color w:val="auto"/>
          <w:sz w:val="24"/>
          <w:szCs w:val="24"/>
          <w:highlight w:val="none"/>
        </w:rPr>
      </w:pPr>
    </w:p>
    <w:p w14:paraId="22F53C42">
      <w:pPr>
        <w:spacing w:line="249" w:lineRule="auto"/>
        <w:rPr>
          <w:rFonts w:ascii="Arial"/>
          <w:color w:val="auto"/>
          <w:sz w:val="24"/>
          <w:szCs w:val="24"/>
          <w:highlight w:val="none"/>
        </w:rPr>
      </w:pPr>
    </w:p>
    <w:p w14:paraId="3A1E20C4">
      <w:pPr>
        <w:spacing w:line="249" w:lineRule="auto"/>
        <w:rPr>
          <w:rFonts w:ascii="Arial"/>
          <w:color w:val="auto"/>
          <w:sz w:val="24"/>
          <w:szCs w:val="24"/>
          <w:highlight w:val="none"/>
        </w:rPr>
      </w:pPr>
    </w:p>
    <w:p w14:paraId="19B016F0">
      <w:pPr>
        <w:spacing w:line="249" w:lineRule="auto"/>
        <w:rPr>
          <w:rFonts w:ascii="Arial"/>
          <w:color w:val="auto"/>
          <w:sz w:val="24"/>
          <w:szCs w:val="24"/>
          <w:highlight w:val="none"/>
        </w:rPr>
      </w:pPr>
    </w:p>
    <w:p w14:paraId="25042281">
      <w:pPr>
        <w:spacing w:line="249" w:lineRule="auto"/>
        <w:rPr>
          <w:rFonts w:ascii="Arial"/>
          <w:color w:val="auto"/>
          <w:sz w:val="24"/>
          <w:szCs w:val="24"/>
          <w:highlight w:val="none"/>
        </w:rPr>
      </w:pPr>
    </w:p>
    <w:p w14:paraId="3C0CCA1A">
      <w:pPr>
        <w:spacing w:line="250" w:lineRule="auto"/>
        <w:rPr>
          <w:rFonts w:ascii="Arial"/>
          <w:color w:val="auto"/>
          <w:sz w:val="24"/>
          <w:szCs w:val="24"/>
          <w:highlight w:val="none"/>
        </w:rPr>
      </w:pPr>
    </w:p>
    <w:p w14:paraId="615FE4F2">
      <w:pPr>
        <w:spacing w:before="78" w:line="219" w:lineRule="auto"/>
        <w:ind w:left="2402"/>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单位名称（盖章</w:t>
      </w:r>
      <w:r>
        <w:rPr>
          <w:rFonts w:ascii="宋体" w:hAnsi="宋体" w:eastAsia="宋体" w:cs="宋体"/>
          <w:color w:val="auto"/>
          <w:sz w:val="24"/>
          <w:szCs w:val="24"/>
          <w:highlight w:val="none"/>
        </w:rPr>
        <w:t>）：</w:t>
      </w:r>
    </w:p>
    <w:p w14:paraId="43D9144B">
      <w:pPr>
        <w:spacing w:before="78" w:line="219" w:lineRule="auto"/>
        <w:ind w:left="2402" w:firstLine="1180" w:firstLineChars="500"/>
        <w:rPr>
          <w:rFonts w:ascii="宋体" w:hAnsi="宋体" w:eastAsia="宋体" w:cs="宋体"/>
          <w:color w:val="auto"/>
          <w:spacing w:val="-2"/>
          <w:sz w:val="24"/>
          <w:szCs w:val="24"/>
          <w:highlight w:val="none"/>
        </w:rPr>
      </w:pPr>
      <w:r>
        <w:rPr>
          <w:rFonts w:ascii="宋体" w:hAnsi="宋体" w:eastAsia="宋体" w:cs="宋体"/>
          <w:color w:val="auto"/>
          <w:spacing w:val="-2"/>
          <w:sz w:val="24"/>
          <w:szCs w:val="24"/>
          <w:highlight w:val="none"/>
        </w:rPr>
        <w:t>日  期：</w:t>
      </w:r>
    </w:p>
    <w:p w14:paraId="5ED545F5">
      <w:pPr>
        <w:spacing w:line="249" w:lineRule="auto"/>
        <w:rPr>
          <w:rFonts w:ascii="Arial"/>
          <w:color w:val="auto"/>
          <w:sz w:val="24"/>
          <w:szCs w:val="24"/>
          <w:highlight w:val="none"/>
        </w:rPr>
      </w:pPr>
    </w:p>
    <w:p w14:paraId="3DD38250">
      <w:pPr>
        <w:spacing w:line="249" w:lineRule="auto"/>
        <w:rPr>
          <w:rFonts w:ascii="Arial"/>
          <w:color w:val="auto"/>
          <w:sz w:val="24"/>
          <w:szCs w:val="24"/>
          <w:highlight w:val="none"/>
        </w:rPr>
      </w:pPr>
    </w:p>
    <w:p w14:paraId="591371FC">
      <w:pPr>
        <w:spacing w:line="249" w:lineRule="auto"/>
        <w:rPr>
          <w:rFonts w:ascii="Arial"/>
          <w:color w:val="auto"/>
          <w:sz w:val="24"/>
          <w:szCs w:val="24"/>
          <w:highlight w:val="none"/>
        </w:rPr>
      </w:pPr>
    </w:p>
    <w:p w14:paraId="58863261">
      <w:pPr>
        <w:spacing w:line="249" w:lineRule="auto"/>
        <w:rPr>
          <w:rFonts w:ascii="Arial"/>
          <w:color w:val="auto"/>
          <w:sz w:val="24"/>
          <w:szCs w:val="24"/>
          <w:highlight w:val="none"/>
        </w:rPr>
      </w:pPr>
    </w:p>
    <w:p w14:paraId="1BE1ED26">
      <w:pPr>
        <w:spacing w:line="249" w:lineRule="auto"/>
        <w:rPr>
          <w:rFonts w:ascii="Arial"/>
          <w:color w:val="auto"/>
          <w:sz w:val="24"/>
          <w:szCs w:val="24"/>
          <w:highlight w:val="none"/>
        </w:rPr>
      </w:pPr>
    </w:p>
    <w:p w14:paraId="6FFAAECA">
      <w:pPr>
        <w:spacing w:line="249" w:lineRule="auto"/>
        <w:rPr>
          <w:rFonts w:ascii="Arial"/>
          <w:color w:val="auto"/>
          <w:sz w:val="24"/>
          <w:szCs w:val="24"/>
          <w:highlight w:val="none"/>
        </w:rPr>
      </w:pPr>
    </w:p>
    <w:p w14:paraId="19BBCFD5">
      <w:pPr>
        <w:spacing w:before="79" w:line="360" w:lineRule="auto"/>
        <w:ind w:left="429" w:right="86" w:hanging="1"/>
        <w:jc w:val="both"/>
        <w:rPr>
          <w:rFonts w:ascii="宋体" w:hAnsi="宋体" w:eastAsia="宋体" w:cs="宋体"/>
          <w:color w:val="auto"/>
          <w:spacing w:val="-1"/>
          <w:sz w:val="24"/>
          <w:szCs w:val="24"/>
          <w:highlight w:val="none"/>
        </w:rPr>
      </w:pPr>
      <w:r>
        <w:rPr>
          <w:rFonts w:ascii="宋体" w:hAnsi="宋体" w:eastAsia="宋体" w:cs="宋体"/>
          <w:color w:val="auto"/>
          <w:spacing w:val="2"/>
          <w:sz w:val="24"/>
          <w:szCs w:val="24"/>
          <w:highlight w:val="none"/>
        </w:rPr>
        <w:t>注：请根据自己的真实情况出具《残疾人福利性单位声明函》。依法享受中小企业优惠政策的，采购人或者采购代理机构在公告中标结果时，同时公告其《残疾人福</w:t>
      </w:r>
      <w:r>
        <w:rPr>
          <w:rFonts w:ascii="宋体" w:hAnsi="宋体" w:eastAsia="宋体" w:cs="宋体"/>
          <w:color w:val="auto"/>
          <w:spacing w:val="-1"/>
          <w:sz w:val="24"/>
          <w:szCs w:val="24"/>
          <w:highlight w:val="none"/>
        </w:rPr>
        <w:t>利性单位声明函》，接受社会监督。</w:t>
      </w:r>
    </w:p>
    <w:p w14:paraId="04E2192F">
      <w:pPr>
        <w:rPr>
          <w:rFonts w:ascii="宋体" w:hAnsi="宋体" w:eastAsia="宋体" w:cs="宋体"/>
          <w:color w:val="auto"/>
          <w:spacing w:val="-1"/>
          <w:sz w:val="24"/>
          <w:szCs w:val="24"/>
          <w:highlight w:val="none"/>
        </w:rPr>
      </w:pPr>
      <w:r>
        <w:rPr>
          <w:rFonts w:ascii="宋体" w:hAnsi="宋体" w:eastAsia="宋体" w:cs="宋体"/>
          <w:color w:val="auto"/>
          <w:spacing w:val="-1"/>
          <w:sz w:val="24"/>
          <w:szCs w:val="24"/>
          <w:highlight w:val="none"/>
        </w:rPr>
        <w:br w:type="page"/>
      </w:r>
    </w:p>
    <w:p w14:paraId="56A2833B">
      <w:pPr>
        <w:spacing w:before="71" w:line="224" w:lineRule="auto"/>
        <w:jc w:val="center"/>
        <w:rPr>
          <w:rFonts w:ascii="宋体" w:hAnsi="宋体" w:eastAsia="宋体" w:cs="宋体"/>
          <w:color w:val="auto"/>
          <w:sz w:val="36"/>
          <w:szCs w:val="36"/>
          <w:highlight w:val="none"/>
        </w:rPr>
      </w:pPr>
      <w:r>
        <w:rPr>
          <w:rFonts w:ascii="宋体" w:hAnsi="宋体" w:eastAsia="宋体" w:cs="宋体"/>
          <w:b/>
          <w:bCs/>
          <w:color w:val="auto"/>
          <w:spacing w:val="6"/>
          <w:sz w:val="36"/>
          <w:szCs w:val="36"/>
          <w:highlight w:val="none"/>
        </w:rPr>
        <w:t>关于符合本国产品标准的声明函</w:t>
      </w:r>
    </w:p>
    <w:p w14:paraId="4ECF94F8">
      <w:pPr>
        <w:spacing w:line="317" w:lineRule="auto"/>
        <w:rPr>
          <w:rFonts w:ascii="Arial"/>
          <w:color w:val="auto"/>
          <w:sz w:val="21"/>
          <w:highlight w:val="none"/>
        </w:rPr>
      </w:pPr>
    </w:p>
    <w:p w14:paraId="41E992CE">
      <w:pPr>
        <w:spacing w:before="78" w:line="360" w:lineRule="auto"/>
        <w:ind w:left="29" w:firstLine="461"/>
        <w:jc w:val="both"/>
        <w:rPr>
          <w:rFonts w:ascii="宋体" w:hAnsi="宋体" w:eastAsia="宋体" w:cs="宋体"/>
          <w:color w:val="auto"/>
          <w:sz w:val="24"/>
          <w:szCs w:val="24"/>
          <w:highlight w:val="none"/>
        </w:rPr>
      </w:pPr>
      <w:r>
        <w:rPr>
          <w:rFonts w:ascii="宋体" w:hAnsi="宋体" w:eastAsia="宋体" w:cs="宋体"/>
          <w:color w:val="auto"/>
          <w:sz w:val="24"/>
          <w:szCs w:val="24"/>
          <w:highlight w:val="none"/>
        </w:rPr>
        <w:t>本公司（单位）郑重声明，根据《国务院办公厅关</w:t>
      </w:r>
      <w:r>
        <w:rPr>
          <w:rFonts w:ascii="宋体" w:hAnsi="宋体" w:eastAsia="宋体" w:cs="宋体"/>
          <w:color w:val="auto"/>
          <w:spacing w:val="-1"/>
          <w:sz w:val="24"/>
          <w:szCs w:val="24"/>
          <w:highlight w:val="none"/>
        </w:rPr>
        <w:t>于在政府采购中实施本国产品标准及相关政策的通知》（国办发〔2025〕34</w:t>
      </w:r>
      <w:r>
        <w:rPr>
          <w:rFonts w:ascii="宋体" w:hAnsi="宋体" w:eastAsia="宋体" w:cs="宋体"/>
          <w:color w:val="auto"/>
          <w:spacing w:val="-45"/>
          <w:sz w:val="24"/>
          <w:szCs w:val="24"/>
          <w:highlight w:val="none"/>
        </w:rPr>
        <w:t xml:space="preserve"> </w:t>
      </w:r>
      <w:r>
        <w:rPr>
          <w:rFonts w:ascii="宋体" w:hAnsi="宋体" w:eastAsia="宋体" w:cs="宋体"/>
          <w:color w:val="auto"/>
          <w:spacing w:val="-1"/>
          <w:sz w:val="24"/>
          <w:szCs w:val="24"/>
          <w:highlight w:val="none"/>
        </w:rPr>
        <w:t>号）的规定，本公</w:t>
      </w:r>
      <w:r>
        <w:rPr>
          <w:rFonts w:ascii="宋体" w:hAnsi="宋体" w:eastAsia="宋体" w:cs="宋体"/>
          <w:color w:val="auto"/>
          <w:spacing w:val="-2"/>
          <w:sz w:val="24"/>
          <w:szCs w:val="24"/>
          <w:highlight w:val="none"/>
        </w:rPr>
        <w:t>司（单位）提供的以下产品属于本国产品。具体情况如下：</w:t>
      </w:r>
    </w:p>
    <w:p w14:paraId="1F253300">
      <w:pPr>
        <w:widowControl/>
        <w:shd w:val="clear" w:color="auto" w:fill="FFFFFF"/>
        <w:spacing w:line="360" w:lineRule="auto"/>
        <w:ind w:firstLine="48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w:t>
      </w:r>
      <w:r>
        <w:rPr>
          <w:rFonts w:hint="eastAsia" w:ascii="宋体" w:hAnsi="宋体" w:cs="宋体"/>
          <w:i/>
          <w:iCs/>
          <w:color w:val="auto"/>
          <w:kern w:val="0"/>
          <w:sz w:val="24"/>
          <w:highlight w:val="none"/>
        </w:rPr>
        <w:t>（产品名称1）</w:t>
      </w:r>
      <w:r>
        <w:rPr>
          <w:rFonts w:hint="eastAsia" w:ascii="宋体" w:hAnsi="宋体" w:cs="宋体"/>
          <w:i/>
          <w:iCs/>
          <w:color w:val="auto"/>
          <w:kern w:val="0"/>
          <w:sz w:val="18"/>
          <w:szCs w:val="18"/>
          <w:highlight w:val="none"/>
          <w:vertAlign w:val="superscript"/>
        </w:rPr>
        <w:t>1</w:t>
      </w:r>
      <w:r>
        <w:rPr>
          <w:rFonts w:hint="eastAsia" w:ascii="宋体" w:hAnsi="宋体" w:cs="宋体"/>
          <w:color w:val="auto"/>
          <w:kern w:val="0"/>
          <w:sz w:val="24"/>
          <w:highlight w:val="none"/>
        </w:rPr>
        <w:t>，生产厂为</w:t>
      </w:r>
      <w:r>
        <w:rPr>
          <w:rFonts w:hint="eastAsia" w:ascii="宋体" w:hAnsi="宋体" w:cs="宋体"/>
          <w:i/>
          <w:iCs/>
          <w:color w:val="auto"/>
          <w:kern w:val="0"/>
          <w:sz w:val="24"/>
          <w:highlight w:val="none"/>
        </w:rPr>
        <w:t>（厂名）</w:t>
      </w:r>
      <w:r>
        <w:rPr>
          <w:rFonts w:hint="eastAsia" w:ascii="宋体" w:hAnsi="宋体" w:cs="宋体"/>
          <w:i/>
          <w:iCs/>
          <w:color w:val="auto"/>
          <w:kern w:val="0"/>
          <w:sz w:val="18"/>
          <w:szCs w:val="18"/>
          <w:highlight w:val="none"/>
          <w:vertAlign w:val="superscript"/>
        </w:rPr>
        <w:t>2</w:t>
      </w:r>
      <w:r>
        <w:rPr>
          <w:rFonts w:hint="eastAsia" w:ascii="宋体" w:hAnsi="宋体" w:cs="宋体"/>
          <w:color w:val="auto"/>
          <w:kern w:val="0"/>
          <w:sz w:val="24"/>
          <w:highlight w:val="none"/>
        </w:rPr>
        <w:t>，厂址为</w:t>
      </w:r>
      <w:r>
        <w:rPr>
          <w:rFonts w:hint="eastAsia" w:ascii="宋体" w:hAnsi="宋体" w:cs="宋体"/>
          <w:i/>
          <w:iCs/>
          <w:color w:val="auto"/>
          <w:kern w:val="0"/>
          <w:sz w:val="24"/>
          <w:highlight w:val="none"/>
        </w:rPr>
        <w:t>（生产厂址）</w:t>
      </w:r>
      <w:r>
        <w:rPr>
          <w:rFonts w:hint="eastAsia" w:ascii="宋体" w:hAnsi="宋体" w:cs="宋体"/>
          <w:color w:val="auto"/>
          <w:kern w:val="0"/>
          <w:sz w:val="24"/>
          <w:highlight w:val="none"/>
        </w:rPr>
        <w:t>。</w:t>
      </w:r>
      <w:r>
        <w:rPr>
          <w:rFonts w:hint="eastAsia" w:ascii="宋体" w:hAnsi="宋体" w:cs="宋体"/>
          <w:i/>
          <w:iCs/>
          <w:color w:val="auto"/>
          <w:kern w:val="0"/>
          <w:sz w:val="24"/>
          <w:highlight w:val="none"/>
        </w:rPr>
        <w:t>（产品名称1）</w:t>
      </w:r>
      <w:r>
        <w:rPr>
          <w:rFonts w:hint="eastAsia" w:ascii="宋体" w:hAnsi="宋体" w:cs="宋体"/>
          <w:color w:val="auto"/>
          <w:kern w:val="0"/>
          <w:sz w:val="24"/>
          <w:highlight w:val="none"/>
        </w:rPr>
        <w:t>的中国境内生产的组件成本占比≥</w:t>
      </w:r>
      <w:r>
        <w:rPr>
          <w:rFonts w:hint="eastAsia" w:ascii="宋体" w:hAnsi="宋体" w:cs="宋体"/>
          <w:i/>
          <w:iCs/>
          <w:color w:val="auto"/>
          <w:kern w:val="0"/>
          <w:sz w:val="24"/>
          <w:highlight w:val="none"/>
        </w:rPr>
        <w:t>（规定比例）</w:t>
      </w:r>
      <w:r>
        <w:rPr>
          <w:rFonts w:hint="eastAsia" w:ascii="宋体" w:hAnsi="宋体" w:cs="宋体"/>
          <w:i/>
          <w:iCs/>
          <w:color w:val="auto"/>
          <w:kern w:val="0"/>
          <w:sz w:val="18"/>
          <w:szCs w:val="18"/>
          <w:highlight w:val="none"/>
          <w:vertAlign w:val="superscript"/>
        </w:rPr>
        <w:t>3</w:t>
      </w:r>
      <w:r>
        <w:rPr>
          <w:rFonts w:hint="eastAsia" w:ascii="宋体" w:hAnsi="宋体" w:cs="宋体"/>
          <w:color w:val="auto"/>
          <w:kern w:val="0"/>
          <w:sz w:val="24"/>
          <w:highlight w:val="none"/>
        </w:rPr>
        <w:t>。</w:t>
      </w:r>
      <w:r>
        <w:rPr>
          <w:rFonts w:hint="eastAsia" w:ascii="宋体" w:hAnsi="宋体" w:cs="宋体"/>
          <w:i/>
          <w:iCs/>
          <w:color w:val="auto"/>
          <w:kern w:val="0"/>
          <w:sz w:val="24"/>
          <w:highlight w:val="none"/>
        </w:rPr>
        <w:t>（产品名称1）</w:t>
      </w:r>
      <w:r>
        <w:rPr>
          <w:rFonts w:hint="eastAsia" w:ascii="宋体" w:hAnsi="宋体" w:cs="宋体"/>
          <w:color w:val="auto"/>
          <w:kern w:val="0"/>
          <w:sz w:val="24"/>
          <w:highlight w:val="none"/>
        </w:rPr>
        <w:t>的</w:t>
      </w:r>
      <w:r>
        <w:rPr>
          <w:rFonts w:hint="eastAsia" w:ascii="宋体" w:hAnsi="宋体" w:cs="宋体"/>
          <w:i/>
          <w:iCs/>
          <w:color w:val="auto"/>
          <w:kern w:val="0"/>
          <w:sz w:val="24"/>
          <w:highlight w:val="none"/>
        </w:rPr>
        <w:t>（关键组件）</w:t>
      </w:r>
      <w:r>
        <w:rPr>
          <w:rFonts w:hint="eastAsia" w:ascii="宋体" w:hAnsi="宋体" w:cs="宋体"/>
          <w:i/>
          <w:iCs/>
          <w:color w:val="auto"/>
          <w:kern w:val="0"/>
          <w:sz w:val="18"/>
          <w:szCs w:val="18"/>
          <w:highlight w:val="none"/>
          <w:vertAlign w:val="superscript"/>
        </w:rPr>
        <w:t>4</w:t>
      </w:r>
      <w:r>
        <w:rPr>
          <w:rFonts w:hint="eastAsia" w:ascii="宋体" w:hAnsi="宋体" w:cs="宋体"/>
          <w:color w:val="auto"/>
          <w:kern w:val="0"/>
          <w:sz w:val="24"/>
          <w:highlight w:val="none"/>
        </w:rPr>
        <w:t>在中国境内生产。</w:t>
      </w:r>
      <w:r>
        <w:rPr>
          <w:rFonts w:hint="eastAsia" w:ascii="宋体" w:hAnsi="宋体" w:cs="宋体"/>
          <w:i/>
          <w:iCs/>
          <w:color w:val="auto"/>
          <w:kern w:val="0"/>
          <w:sz w:val="24"/>
          <w:highlight w:val="none"/>
        </w:rPr>
        <w:t>（产品名称1）</w:t>
      </w:r>
      <w:r>
        <w:rPr>
          <w:rFonts w:hint="eastAsia" w:ascii="宋体" w:hAnsi="宋体" w:cs="宋体"/>
          <w:color w:val="auto"/>
          <w:kern w:val="0"/>
          <w:sz w:val="24"/>
          <w:highlight w:val="none"/>
        </w:rPr>
        <w:t>的</w:t>
      </w:r>
      <w:r>
        <w:rPr>
          <w:rFonts w:hint="eastAsia" w:ascii="宋体" w:hAnsi="宋体" w:cs="宋体"/>
          <w:i/>
          <w:iCs/>
          <w:color w:val="auto"/>
          <w:kern w:val="0"/>
          <w:sz w:val="24"/>
          <w:highlight w:val="none"/>
        </w:rPr>
        <w:t>（关键工序）</w:t>
      </w:r>
      <w:r>
        <w:rPr>
          <w:rFonts w:hint="eastAsia" w:ascii="宋体" w:hAnsi="宋体" w:cs="宋体"/>
          <w:i/>
          <w:iCs/>
          <w:color w:val="auto"/>
          <w:kern w:val="0"/>
          <w:sz w:val="18"/>
          <w:szCs w:val="18"/>
          <w:highlight w:val="none"/>
          <w:vertAlign w:val="superscript"/>
        </w:rPr>
        <w:t>5</w:t>
      </w:r>
      <w:r>
        <w:rPr>
          <w:rFonts w:hint="eastAsia" w:ascii="宋体" w:hAnsi="宋体" w:cs="宋体"/>
          <w:color w:val="auto"/>
          <w:kern w:val="0"/>
          <w:sz w:val="24"/>
          <w:highlight w:val="none"/>
        </w:rPr>
        <w:t>在中国境内完成。</w:t>
      </w:r>
    </w:p>
    <w:p w14:paraId="1CACBE31">
      <w:pPr>
        <w:widowControl/>
        <w:shd w:val="clear" w:color="auto" w:fill="FFFFFF"/>
        <w:spacing w:line="360" w:lineRule="auto"/>
        <w:ind w:firstLine="48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w:t>
      </w:r>
      <w:r>
        <w:rPr>
          <w:rFonts w:hint="eastAsia" w:ascii="宋体" w:hAnsi="宋体" w:cs="宋体"/>
          <w:i/>
          <w:iCs/>
          <w:color w:val="auto"/>
          <w:kern w:val="0"/>
          <w:sz w:val="24"/>
          <w:highlight w:val="none"/>
        </w:rPr>
        <w:t>（产品名称2）</w:t>
      </w:r>
      <w:r>
        <w:rPr>
          <w:rFonts w:hint="eastAsia" w:ascii="宋体" w:hAnsi="宋体" w:cs="宋体"/>
          <w:color w:val="auto"/>
          <w:kern w:val="0"/>
          <w:sz w:val="24"/>
          <w:highlight w:val="none"/>
        </w:rPr>
        <w:t>，生产厂为</w:t>
      </w:r>
      <w:r>
        <w:rPr>
          <w:rFonts w:hint="eastAsia" w:ascii="宋体" w:hAnsi="宋体" w:cs="宋体"/>
          <w:i/>
          <w:iCs/>
          <w:color w:val="auto"/>
          <w:kern w:val="0"/>
          <w:sz w:val="24"/>
          <w:highlight w:val="none"/>
        </w:rPr>
        <w:t>（厂名）</w:t>
      </w:r>
      <w:r>
        <w:rPr>
          <w:rFonts w:hint="eastAsia" w:ascii="宋体" w:hAnsi="宋体" w:cs="宋体"/>
          <w:color w:val="auto"/>
          <w:kern w:val="0"/>
          <w:sz w:val="24"/>
          <w:highlight w:val="none"/>
        </w:rPr>
        <w:t>，厂址为</w:t>
      </w:r>
      <w:r>
        <w:rPr>
          <w:rFonts w:hint="eastAsia" w:ascii="宋体" w:hAnsi="宋体" w:cs="宋体"/>
          <w:i/>
          <w:iCs/>
          <w:color w:val="auto"/>
          <w:kern w:val="0"/>
          <w:sz w:val="24"/>
          <w:highlight w:val="none"/>
        </w:rPr>
        <w:t>（生产厂址）</w:t>
      </w:r>
      <w:r>
        <w:rPr>
          <w:rFonts w:hint="eastAsia" w:ascii="宋体" w:hAnsi="宋体" w:cs="宋体"/>
          <w:color w:val="auto"/>
          <w:kern w:val="0"/>
          <w:sz w:val="24"/>
          <w:highlight w:val="none"/>
        </w:rPr>
        <w:t>。</w:t>
      </w:r>
      <w:r>
        <w:rPr>
          <w:rFonts w:hint="eastAsia" w:ascii="宋体" w:hAnsi="宋体" w:cs="宋体"/>
          <w:i/>
          <w:iCs/>
          <w:color w:val="auto"/>
          <w:kern w:val="0"/>
          <w:sz w:val="24"/>
          <w:highlight w:val="none"/>
        </w:rPr>
        <w:t>（产品名称2）</w:t>
      </w:r>
      <w:r>
        <w:rPr>
          <w:rFonts w:hint="eastAsia" w:ascii="宋体" w:hAnsi="宋体" w:cs="宋体"/>
          <w:color w:val="auto"/>
          <w:kern w:val="0"/>
          <w:sz w:val="24"/>
          <w:highlight w:val="none"/>
        </w:rPr>
        <w:t>的中国境内生产的组件成本占比≥</w:t>
      </w:r>
      <w:r>
        <w:rPr>
          <w:rFonts w:hint="eastAsia" w:ascii="宋体" w:hAnsi="宋体" w:cs="宋体"/>
          <w:i/>
          <w:iCs/>
          <w:color w:val="auto"/>
          <w:kern w:val="0"/>
          <w:sz w:val="24"/>
          <w:highlight w:val="none"/>
        </w:rPr>
        <w:t>（规定比例）</w:t>
      </w:r>
      <w:r>
        <w:rPr>
          <w:rFonts w:hint="eastAsia" w:ascii="宋体" w:hAnsi="宋体" w:cs="宋体"/>
          <w:color w:val="auto"/>
          <w:kern w:val="0"/>
          <w:sz w:val="24"/>
          <w:highlight w:val="none"/>
        </w:rPr>
        <w:t>。</w:t>
      </w:r>
      <w:r>
        <w:rPr>
          <w:rFonts w:hint="eastAsia" w:ascii="宋体" w:hAnsi="宋体" w:cs="宋体"/>
          <w:i/>
          <w:iCs/>
          <w:color w:val="auto"/>
          <w:kern w:val="0"/>
          <w:sz w:val="24"/>
          <w:highlight w:val="none"/>
        </w:rPr>
        <w:t>（产品名称2）</w:t>
      </w:r>
      <w:r>
        <w:rPr>
          <w:rFonts w:hint="eastAsia" w:ascii="宋体" w:hAnsi="宋体" w:cs="宋体"/>
          <w:color w:val="auto"/>
          <w:kern w:val="0"/>
          <w:sz w:val="24"/>
          <w:highlight w:val="none"/>
        </w:rPr>
        <w:t>的</w:t>
      </w:r>
      <w:r>
        <w:rPr>
          <w:rFonts w:hint="eastAsia" w:ascii="宋体" w:hAnsi="宋体" w:cs="宋体"/>
          <w:i/>
          <w:iCs/>
          <w:color w:val="auto"/>
          <w:kern w:val="0"/>
          <w:sz w:val="24"/>
          <w:highlight w:val="none"/>
        </w:rPr>
        <w:t>（关键组件）</w:t>
      </w:r>
      <w:r>
        <w:rPr>
          <w:rFonts w:hint="eastAsia" w:ascii="宋体" w:hAnsi="宋体" w:cs="宋体"/>
          <w:color w:val="auto"/>
          <w:kern w:val="0"/>
          <w:sz w:val="24"/>
          <w:highlight w:val="none"/>
        </w:rPr>
        <w:t>在中国境内生产。</w:t>
      </w:r>
      <w:r>
        <w:rPr>
          <w:rFonts w:hint="eastAsia" w:ascii="宋体" w:hAnsi="宋体" w:cs="宋体"/>
          <w:i/>
          <w:iCs/>
          <w:color w:val="auto"/>
          <w:kern w:val="0"/>
          <w:sz w:val="24"/>
          <w:highlight w:val="none"/>
        </w:rPr>
        <w:t>（产品名称2）</w:t>
      </w:r>
      <w:r>
        <w:rPr>
          <w:rFonts w:hint="eastAsia" w:ascii="宋体" w:hAnsi="宋体" w:cs="宋体"/>
          <w:color w:val="auto"/>
          <w:kern w:val="0"/>
          <w:sz w:val="24"/>
          <w:highlight w:val="none"/>
        </w:rPr>
        <w:t>的</w:t>
      </w:r>
      <w:r>
        <w:rPr>
          <w:rFonts w:hint="eastAsia" w:ascii="宋体" w:hAnsi="宋体" w:cs="宋体"/>
          <w:i/>
          <w:iCs/>
          <w:color w:val="auto"/>
          <w:kern w:val="0"/>
          <w:sz w:val="24"/>
          <w:highlight w:val="none"/>
        </w:rPr>
        <w:t>（关键工序）</w:t>
      </w:r>
      <w:r>
        <w:rPr>
          <w:rFonts w:hint="eastAsia" w:ascii="宋体" w:hAnsi="宋体" w:cs="宋体"/>
          <w:color w:val="auto"/>
          <w:kern w:val="0"/>
          <w:sz w:val="24"/>
          <w:highlight w:val="none"/>
        </w:rPr>
        <w:t>在中国境内完成。</w:t>
      </w:r>
    </w:p>
    <w:p w14:paraId="17D428DB">
      <w:pPr>
        <w:widowControl/>
        <w:shd w:val="clear" w:color="auto" w:fill="FFFFFF"/>
        <w:spacing w:before="30" w:after="30" w:line="360" w:lineRule="auto"/>
        <w:ind w:firstLine="480"/>
        <w:jc w:val="left"/>
        <w:rPr>
          <w:rFonts w:hint="eastAsia" w:ascii="宋体" w:hAnsi="宋体" w:cs="宋体"/>
          <w:color w:val="auto"/>
          <w:kern w:val="0"/>
          <w:sz w:val="24"/>
          <w:highlight w:val="none"/>
        </w:rPr>
      </w:pPr>
      <w:r>
        <w:rPr>
          <w:rFonts w:hint="eastAsia" w:ascii="宋体" w:hAnsi="宋体" w:cs="宋体"/>
          <w:color w:val="auto"/>
          <w:kern w:val="0"/>
          <w:sz w:val="24"/>
          <w:highlight w:val="none"/>
        </w:rPr>
        <w:t>……</w:t>
      </w:r>
    </w:p>
    <w:p w14:paraId="575F3160">
      <w:pPr>
        <w:spacing w:before="116" w:line="362" w:lineRule="auto"/>
        <w:ind w:left="8" w:right="60" w:firstLine="481"/>
        <w:rPr>
          <w:rFonts w:ascii="宋体" w:hAnsi="宋体" w:eastAsia="宋体" w:cs="宋体"/>
          <w:color w:val="auto"/>
          <w:sz w:val="24"/>
          <w:szCs w:val="24"/>
          <w:highlight w:val="none"/>
        </w:rPr>
      </w:pPr>
      <w:r>
        <w:rPr>
          <w:rFonts w:ascii="宋体" w:hAnsi="宋体" w:eastAsia="宋体" w:cs="宋体"/>
          <w:color w:val="auto"/>
          <w:sz w:val="24"/>
          <w:szCs w:val="24"/>
          <w:highlight w:val="none"/>
        </w:rPr>
        <w:t>本公司（单位）对上述声明内容的真实性负责。如</w:t>
      </w:r>
      <w:r>
        <w:rPr>
          <w:rFonts w:ascii="宋体" w:hAnsi="宋体" w:eastAsia="宋体" w:cs="宋体"/>
          <w:color w:val="auto"/>
          <w:spacing w:val="-1"/>
          <w:sz w:val="24"/>
          <w:szCs w:val="24"/>
          <w:highlight w:val="none"/>
        </w:rPr>
        <w:t>有虚假，愿承担相应法律责</w:t>
      </w:r>
      <w:r>
        <w:rPr>
          <w:rFonts w:ascii="宋体" w:hAnsi="宋体" w:eastAsia="宋体" w:cs="宋体"/>
          <w:color w:val="auto"/>
          <w:spacing w:val="-5"/>
          <w:sz w:val="24"/>
          <w:szCs w:val="24"/>
          <w:highlight w:val="none"/>
        </w:rPr>
        <w:t>任。</w:t>
      </w:r>
    </w:p>
    <w:p w14:paraId="14045251">
      <w:pPr>
        <w:spacing w:line="438" w:lineRule="auto"/>
        <w:rPr>
          <w:rFonts w:ascii="Arial"/>
          <w:color w:val="auto"/>
          <w:sz w:val="24"/>
          <w:szCs w:val="24"/>
          <w:highlight w:val="none"/>
        </w:rPr>
      </w:pPr>
    </w:p>
    <w:p w14:paraId="67F323B0">
      <w:pPr>
        <w:spacing w:before="79" w:line="219" w:lineRule="auto"/>
        <w:ind w:left="4425"/>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公司（单位）名称（盖章</w:t>
      </w:r>
      <w:r>
        <w:rPr>
          <w:rFonts w:ascii="宋体" w:hAnsi="宋体" w:eastAsia="宋体" w:cs="宋体"/>
          <w:color w:val="auto"/>
          <w:spacing w:val="2"/>
          <w:sz w:val="24"/>
          <w:szCs w:val="24"/>
          <w:highlight w:val="none"/>
        </w:rPr>
        <w:t>）：</w:t>
      </w:r>
    </w:p>
    <w:p w14:paraId="1EADA25A">
      <w:pPr>
        <w:spacing w:before="213" w:line="219" w:lineRule="auto"/>
        <w:ind w:left="4459"/>
        <w:rPr>
          <w:rFonts w:ascii="宋体" w:hAnsi="宋体" w:eastAsia="宋体" w:cs="宋体"/>
          <w:color w:val="auto"/>
          <w:sz w:val="24"/>
          <w:szCs w:val="24"/>
          <w:highlight w:val="none"/>
        </w:rPr>
      </w:pPr>
      <w:r>
        <w:rPr>
          <w:rFonts w:ascii="宋体" w:hAnsi="宋体" w:eastAsia="宋体" w:cs="宋体"/>
          <w:color w:val="auto"/>
          <w:spacing w:val="-13"/>
          <w:sz w:val="24"/>
          <w:szCs w:val="24"/>
          <w:highlight w:val="none"/>
        </w:rPr>
        <w:t>日期：</w:t>
      </w:r>
      <w:r>
        <w:rPr>
          <w:rFonts w:ascii="宋体" w:hAnsi="宋体" w:eastAsia="宋体" w:cs="宋体"/>
          <w:color w:val="auto"/>
          <w:spacing w:val="1"/>
          <w:sz w:val="24"/>
          <w:szCs w:val="24"/>
          <w:highlight w:val="none"/>
        </w:rPr>
        <w:t xml:space="preserve">       </w:t>
      </w:r>
      <w:r>
        <w:rPr>
          <w:rFonts w:ascii="宋体" w:hAnsi="宋体" w:eastAsia="宋体" w:cs="宋体"/>
          <w:color w:val="auto"/>
          <w:spacing w:val="-13"/>
          <w:sz w:val="24"/>
          <w:szCs w:val="24"/>
          <w:highlight w:val="none"/>
        </w:rPr>
        <w:t>年</w:t>
      </w:r>
      <w:r>
        <w:rPr>
          <w:rFonts w:ascii="宋体" w:hAnsi="宋体" w:eastAsia="宋体" w:cs="宋体"/>
          <w:color w:val="auto"/>
          <w:spacing w:val="4"/>
          <w:sz w:val="24"/>
          <w:szCs w:val="24"/>
          <w:highlight w:val="none"/>
        </w:rPr>
        <w:t xml:space="preserve">    </w:t>
      </w:r>
      <w:r>
        <w:rPr>
          <w:rFonts w:ascii="宋体" w:hAnsi="宋体" w:eastAsia="宋体" w:cs="宋体"/>
          <w:color w:val="auto"/>
          <w:spacing w:val="-13"/>
          <w:sz w:val="24"/>
          <w:szCs w:val="24"/>
          <w:highlight w:val="none"/>
        </w:rPr>
        <w:t>月</w:t>
      </w:r>
      <w:r>
        <w:rPr>
          <w:rFonts w:ascii="宋体" w:hAnsi="宋体" w:eastAsia="宋体" w:cs="宋体"/>
          <w:color w:val="auto"/>
          <w:spacing w:val="13"/>
          <w:sz w:val="24"/>
          <w:szCs w:val="24"/>
          <w:highlight w:val="none"/>
        </w:rPr>
        <w:t xml:space="preserve">    </w:t>
      </w:r>
      <w:r>
        <w:rPr>
          <w:rFonts w:ascii="宋体" w:hAnsi="宋体" w:eastAsia="宋体" w:cs="宋体"/>
          <w:color w:val="auto"/>
          <w:spacing w:val="-13"/>
          <w:sz w:val="24"/>
          <w:szCs w:val="24"/>
          <w:highlight w:val="none"/>
        </w:rPr>
        <w:t>日</w:t>
      </w:r>
    </w:p>
    <w:p w14:paraId="402A169E">
      <w:pPr>
        <w:spacing w:line="479" w:lineRule="auto"/>
        <w:rPr>
          <w:rFonts w:ascii="Arial"/>
          <w:color w:val="auto"/>
          <w:sz w:val="21"/>
          <w:highlight w:val="none"/>
        </w:rPr>
      </w:pPr>
      <w:r>
        <w:rPr>
          <w:color w:val="auto"/>
          <w:highlight w:val="none"/>
        </w:rPr>
        <w:drawing>
          <wp:anchor distT="0" distB="0" distL="0" distR="0" simplePos="0" relativeHeight="251660288" behindDoc="0" locked="0" layoutInCell="1" allowOverlap="1">
            <wp:simplePos x="0" y="0"/>
            <wp:positionH relativeFrom="column">
              <wp:posOffset>0</wp:posOffset>
            </wp:positionH>
            <wp:positionV relativeFrom="paragraph">
              <wp:posOffset>280670</wp:posOffset>
            </wp:positionV>
            <wp:extent cx="1371600" cy="6350"/>
            <wp:effectExtent l="0" t="0" r="0" b="0"/>
            <wp:wrapNone/>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17"/>
                    <a:stretch>
                      <a:fillRect/>
                    </a:stretch>
                  </pic:blipFill>
                  <pic:spPr>
                    <a:xfrm>
                      <a:off x="0" y="0"/>
                      <a:ext cx="1371600" cy="6350"/>
                    </a:xfrm>
                    <a:prstGeom prst="rect">
                      <a:avLst/>
                    </a:prstGeom>
                  </pic:spPr>
                </pic:pic>
              </a:graphicData>
            </a:graphic>
          </wp:anchor>
        </w:drawing>
      </w:r>
    </w:p>
    <w:p w14:paraId="559A8FEC">
      <w:pPr>
        <w:spacing w:before="116" w:line="362" w:lineRule="auto"/>
        <w:ind w:left="8" w:right="60" w:firstLine="481"/>
        <w:rPr>
          <w:rFonts w:ascii="宋体" w:hAnsi="宋体" w:eastAsia="宋体" w:cs="宋体"/>
          <w:color w:val="auto"/>
          <w:sz w:val="21"/>
          <w:szCs w:val="21"/>
          <w:highlight w:val="none"/>
        </w:rPr>
      </w:pPr>
      <w:r>
        <w:rPr>
          <w:rFonts w:ascii="宋体" w:hAnsi="宋体" w:eastAsia="宋体" w:cs="宋体"/>
          <w:color w:val="auto"/>
          <w:sz w:val="21"/>
          <w:szCs w:val="21"/>
          <w:highlight w:val="none"/>
        </w:rPr>
        <w:t>1.产品如有型号，请在</w:t>
      </w:r>
      <w:r>
        <w:rPr>
          <w:rFonts w:hint="eastAsia" w:ascii="宋体" w:hAnsi="宋体" w:cs="宋体"/>
          <w:color w:val="auto"/>
          <w:sz w:val="21"/>
          <w:szCs w:val="21"/>
          <w:highlight w:val="none"/>
          <w:lang w:eastAsia="zh-CN"/>
        </w:rPr>
        <w:t>“</w:t>
      </w:r>
      <w:r>
        <w:rPr>
          <w:rFonts w:ascii="宋体" w:hAnsi="宋体" w:eastAsia="宋体" w:cs="宋体"/>
          <w:color w:val="auto"/>
          <w:sz w:val="21"/>
          <w:szCs w:val="21"/>
          <w:highlight w:val="none"/>
        </w:rPr>
        <w:t xml:space="preserve">产品名称 </w:t>
      </w:r>
      <w:r>
        <w:rPr>
          <w:rFonts w:hint="eastAsia" w:ascii="宋体" w:hAnsi="宋体" w:cs="宋体"/>
          <w:color w:val="auto"/>
          <w:sz w:val="21"/>
          <w:szCs w:val="21"/>
          <w:highlight w:val="none"/>
          <w:lang w:eastAsia="zh-CN"/>
        </w:rPr>
        <w:t>”</w:t>
      </w:r>
      <w:r>
        <w:rPr>
          <w:rFonts w:ascii="宋体" w:hAnsi="宋体" w:eastAsia="宋体" w:cs="宋体"/>
          <w:color w:val="auto"/>
          <w:sz w:val="21"/>
          <w:szCs w:val="21"/>
          <w:highlight w:val="none"/>
        </w:rPr>
        <w:t>栏一并填写。</w:t>
      </w:r>
    </w:p>
    <w:p w14:paraId="28CDBE4C">
      <w:pPr>
        <w:spacing w:before="116" w:line="362" w:lineRule="auto"/>
        <w:ind w:left="8" w:right="60" w:firstLine="481"/>
        <w:rPr>
          <w:rFonts w:ascii="宋体" w:hAnsi="宋体" w:eastAsia="宋体" w:cs="宋体"/>
          <w:color w:val="auto"/>
          <w:sz w:val="21"/>
          <w:szCs w:val="21"/>
          <w:highlight w:val="none"/>
        </w:rPr>
      </w:pPr>
      <w:r>
        <w:rPr>
          <w:rFonts w:ascii="宋体" w:hAnsi="宋体" w:eastAsia="宋体" w:cs="宋体"/>
          <w:color w:val="auto"/>
          <w:sz w:val="21"/>
          <w:szCs w:val="21"/>
          <w:highlight w:val="none"/>
        </w:rPr>
        <w:t>2.生产厂名与厂址应与生产厂营业执照载明的相关信息保持一致。</w:t>
      </w:r>
    </w:p>
    <w:p w14:paraId="63882B37">
      <w:pPr>
        <w:spacing w:before="116" w:line="362" w:lineRule="auto"/>
        <w:ind w:left="8" w:right="60" w:firstLine="481"/>
        <w:rPr>
          <w:rFonts w:ascii="宋体" w:hAnsi="宋体" w:eastAsia="宋体" w:cs="宋体"/>
          <w:color w:val="auto"/>
          <w:sz w:val="21"/>
          <w:szCs w:val="21"/>
          <w:highlight w:val="none"/>
        </w:rPr>
      </w:pPr>
      <w:r>
        <w:rPr>
          <w:rFonts w:ascii="宋体" w:hAnsi="宋体" w:eastAsia="宋体" w:cs="宋体"/>
          <w:color w:val="auto"/>
          <w:sz w:val="21"/>
          <w:szCs w:val="21"/>
          <w:highlight w:val="none"/>
        </w:rPr>
        <w:t>3.该产品的中国境内生产的组件成本占比相关要求实施前，</w:t>
      </w:r>
      <w:r>
        <w:rPr>
          <w:rFonts w:hint="eastAsia" w:ascii="宋体" w:hAnsi="宋体" w:cs="宋体"/>
          <w:color w:val="auto"/>
          <w:sz w:val="21"/>
          <w:szCs w:val="21"/>
          <w:highlight w:val="none"/>
          <w:lang w:eastAsia="zh-CN"/>
        </w:rPr>
        <w:t>“</w:t>
      </w:r>
      <w:r>
        <w:rPr>
          <w:rFonts w:ascii="宋体" w:hAnsi="宋体" w:eastAsia="宋体" w:cs="宋体"/>
          <w:color w:val="auto"/>
          <w:sz w:val="21"/>
          <w:szCs w:val="21"/>
          <w:highlight w:val="none"/>
        </w:rPr>
        <w:t xml:space="preserve">规定比例 </w:t>
      </w:r>
      <w:r>
        <w:rPr>
          <w:rFonts w:hint="eastAsia" w:ascii="宋体" w:hAnsi="宋体" w:cs="宋体"/>
          <w:color w:val="auto"/>
          <w:sz w:val="21"/>
          <w:szCs w:val="21"/>
          <w:highlight w:val="none"/>
          <w:lang w:eastAsia="zh-CN"/>
        </w:rPr>
        <w:t>”</w:t>
      </w:r>
      <w:r>
        <w:rPr>
          <w:rFonts w:ascii="宋体" w:hAnsi="宋体" w:eastAsia="宋体" w:cs="宋体"/>
          <w:color w:val="auto"/>
          <w:sz w:val="21"/>
          <w:szCs w:val="21"/>
          <w:highlight w:val="none"/>
        </w:rPr>
        <w:t>栏可不填，下同。</w:t>
      </w:r>
    </w:p>
    <w:p w14:paraId="10AFB10A">
      <w:pPr>
        <w:spacing w:before="116" w:line="362" w:lineRule="auto"/>
        <w:ind w:left="8" w:right="60" w:firstLine="481"/>
        <w:rPr>
          <w:rFonts w:ascii="宋体" w:hAnsi="宋体" w:eastAsia="宋体" w:cs="宋体"/>
          <w:color w:val="auto"/>
          <w:sz w:val="21"/>
          <w:szCs w:val="21"/>
          <w:highlight w:val="none"/>
        </w:rPr>
      </w:pPr>
      <w:r>
        <w:rPr>
          <w:rFonts w:ascii="宋体" w:hAnsi="宋体" w:eastAsia="宋体" w:cs="宋体"/>
          <w:color w:val="auto"/>
          <w:sz w:val="21"/>
          <w:szCs w:val="21"/>
          <w:highlight w:val="none"/>
        </w:rPr>
        <w:t>4.该产品的关键组件要求实施前，</w:t>
      </w:r>
      <w:r>
        <w:rPr>
          <w:rFonts w:hint="eastAsia" w:ascii="宋体" w:hAnsi="宋体" w:cs="宋体"/>
          <w:color w:val="auto"/>
          <w:sz w:val="21"/>
          <w:szCs w:val="21"/>
          <w:highlight w:val="none"/>
          <w:lang w:eastAsia="zh-CN"/>
        </w:rPr>
        <w:t>“</w:t>
      </w:r>
      <w:r>
        <w:rPr>
          <w:rFonts w:ascii="宋体" w:hAnsi="宋体" w:eastAsia="宋体" w:cs="宋体"/>
          <w:color w:val="auto"/>
          <w:sz w:val="21"/>
          <w:szCs w:val="21"/>
          <w:highlight w:val="none"/>
        </w:rPr>
        <w:t xml:space="preserve">关键组件 </w:t>
      </w:r>
      <w:r>
        <w:rPr>
          <w:rFonts w:hint="eastAsia" w:ascii="宋体" w:hAnsi="宋体" w:cs="宋体"/>
          <w:color w:val="auto"/>
          <w:sz w:val="21"/>
          <w:szCs w:val="21"/>
          <w:highlight w:val="none"/>
          <w:lang w:eastAsia="zh-CN"/>
        </w:rPr>
        <w:t>”</w:t>
      </w:r>
      <w:r>
        <w:rPr>
          <w:rFonts w:ascii="宋体" w:hAnsi="宋体" w:eastAsia="宋体" w:cs="宋体"/>
          <w:color w:val="auto"/>
          <w:sz w:val="21"/>
          <w:szCs w:val="21"/>
          <w:highlight w:val="none"/>
        </w:rPr>
        <w:t>栏可不填，下同。</w:t>
      </w:r>
    </w:p>
    <w:p w14:paraId="351CD172">
      <w:pPr>
        <w:spacing w:before="116" w:line="362" w:lineRule="auto"/>
        <w:ind w:left="8" w:right="60" w:firstLine="481"/>
        <w:rPr>
          <w:rFonts w:ascii="宋体" w:hAnsi="宋体" w:eastAsia="宋体" w:cs="宋体"/>
          <w:color w:val="auto"/>
          <w:sz w:val="21"/>
          <w:szCs w:val="21"/>
          <w:highlight w:val="none"/>
        </w:rPr>
      </w:pPr>
      <w:r>
        <w:rPr>
          <w:rFonts w:ascii="宋体" w:hAnsi="宋体" w:eastAsia="宋体" w:cs="宋体"/>
          <w:color w:val="auto"/>
          <w:sz w:val="21"/>
          <w:szCs w:val="21"/>
          <w:highlight w:val="none"/>
        </w:rPr>
        <w:t>5.该产品的关键工序要求实施前，</w:t>
      </w:r>
      <w:r>
        <w:rPr>
          <w:rFonts w:hint="eastAsia" w:ascii="宋体" w:hAnsi="宋体" w:cs="宋体"/>
          <w:color w:val="auto"/>
          <w:sz w:val="21"/>
          <w:szCs w:val="21"/>
          <w:highlight w:val="none"/>
          <w:lang w:eastAsia="zh-CN"/>
        </w:rPr>
        <w:t>“</w:t>
      </w:r>
      <w:r>
        <w:rPr>
          <w:rFonts w:ascii="宋体" w:hAnsi="宋体" w:eastAsia="宋体" w:cs="宋体"/>
          <w:color w:val="auto"/>
          <w:sz w:val="21"/>
          <w:szCs w:val="21"/>
          <w:highlight w:val="none"/>
        </w:rPr>
        <w:t xml:space="preserve">关键工序 </w:t>
      </w:r>
      <w:r>
        <w:rPr>
          <w:rFonts w:hint="eastAsia" w:ascii="宋体" w:hAnsi="宋体" w:cs="宋体"/>
          <w:color w:val="auto"/>
          <w:sz w:val="21"/>
          <w:szCs w:val="21"/>
          <w:highlight w:val="none"/>
          <w:lang w:eastAsia="zh-CN"/>
        </w:rPr>
        <w:t>”</w:t>
      </w:r>
      <w:r>
        <w:rPr>
          <w:rFonts w:ascii="宋体" w:hAnsi="宋体" w:eastAsia="宋体" w:cs="宋体"/>
          <w:color w:val="auto"/>
          <w:sz w:val="21"/>
          <w:szCs w:val="21"/>
          <w:highlight w:val="none"/>
        </w:rPr>
        <w:t>栏可不填，下同。</w:t>
      </w:r>
    </w:p>
    <w:p w14:paraId="681C17C3">
      <w:pPr>
        <w:rPr>
          <w:rFonts w:ascii="宋体" w:hAnsi="宋体" w:eastAsia="宋体" w:cs="宋体"/>
          <w:color w:val="auto"/>
          <w:sz w:val="21"/>
          <w:szCs w:val="21"/>
          <w:highlight w:val="none"/>
        </w:rPr>
      </w:pPr>
      <w:r>
        <w:rPr>
          <w:rFonts w:ascii="宋体" w:hAnsi="宋体" w:eastAsia="宋体" w:cs="宋体"/>
          <w:color w:val="auto"/>
          <w:sz w:val="21"/>
          <w:szCs w:val="21"/>
          <w:highlight w:val="none"/>
        </w:rPr>
        <w:br w:type="page"/>
      </w:r>
    </w:p>
    <w:p w14:paraId="2F0CA9FB">
      <w:pPr>
        <w:spacing w:line="360" w:lineRule="auto"/>
        <w:jc w:val="center"/>
        <w:rPr>
          <w:rFonts w:hint="eastAsia" w:ascii="宋体" w:hAnsi="宋体"/>
          <w:b/>
          <w:bCs/>
          <w:color w:val="auto"/>
          <w:sz w:val="32"/>
          <w:szCs w:val="32"/>
          <w:highlight w:val="none"/>
        </w:rPr>
      </w:pPr>
      <w:r>
        <w:rPr>
          <w:rFonts w:hint="eastAsia" w:ascii="方正小标宋简体" w:hAnsi="方正小标宋简体" w:eastAsia="方正小标宋简体" w:cs="方正小标宋简体"/>
          <w:color w:val="auto"/>
          <w:sz w:val="44"/>
          <w:szCs w:val="44"/>
          <w:highlight w:val="none"/>
        </w:rPr>
        <w:t>质疑函（格式）</w:t>
      </w:r>
    </w:p>
    <w:p w14:paraId="782A4193">
      <w:pPr>
        <w:pStyle w:val="20"/>
        <w:spacing w:line="360" w:lineRule="auto"/>
        <w:ind w:firstLine="482" w:firstLineChars="200"/>
        <w:contextualSpacing/>
        <w:rPr>
          <w:rFonts w:hAnsi="宋体"/>
          <w:b/>
          <w:bCs/>
          <w:color w:val="auto"/>
          <w:sz w:val="24"/>
          <w:szCs w:val="24"/>
          <w:highlight w:val="none"/>
        </w:rPr>
      </w:pPr>
      <w:r>
        <w:rPr>
          <w:rFonts w:hint="eastAsia" w:hAnsi="宋体"/>
          <w:b/>
          <w:bCs/>
          <w:color w:val="auto"/>
          <w:sz w:val="24"/>
          <w:szCs w:val="24"/>
          <w:highlight w:val="none"/>
        </w:rPr>
        <w:t>一、质疑供应商基本信息：</w:t>
      </w:r>
    </w:p>
    <w:p w14:paraId="4BA33295">
      <w:pPr>
        <w:pStyle w:val="20"/>
        <w:spacing w:line="360" w:lineRule="auto"/>
        <w:ind w:firstLine="480" w:firstLineChars="200"/>
        <w:contextualSpacing/>
        <w:rPr>
          <w:rFonts w:hint="eastAsia" w:hAnsi="宋体"/>
          <w:bCs/>
          <w:color w:val="auto"/>
          <w:sz w:val="24"/>
          <w:szCs w:val="24"/>
          <w:highlight w:val="none"/>
          <w:u w:val="single"/>
        </w:rPr>
      </w:pPr>
      <w:r>
        <w:rPr>
          <w:rFonts w:hint="eastAsia" w:hAnsi="宋体"/>
          <w:bCs/>
          <w:color w:val="auto"/>
          <w:sz w:val="24"/>
          <w:szCs w:val="24"/>
          <w:highlight w:val="none"/>
        </w:rPr>
        <w:t>质疑供应商：</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09B29DCD">
      <w:pPr>
        <w:pStyle w:val="20"/>
        <w:spacing w:line="360" w:lineRule="auto"/>
        <w:ind w:firstLine="480" w:firstLineChars="200"/>
        <w:contextualSpacing/>
        <w:rPr>
          <w:rFonts w:hint="eastAsia"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278B5CA5">
      <w:pPr>
        <w:pStyle w:val="20"/>
        <w:spacing w:line="360" w:lineRule="auto"/>
        <w:ind w:firstLine="480" w:firstLineChars="200"/>
        <w:contextualSpacing/>
        <w:rPr>
          <w:rFonts w:hint="eastAsia" w:hAnsi="宋体"/>
          <w:bCs/>
          <w:color w:val="auto"/>
          <w:sz w:val="24"/>
          <w:szCs w:val="24"/>
          <w:highlight w:val="none"/>
        </w:rPr>
      </w:pPr>
      <w:r>
        <w:rPr>
          <w:rFonts w:hAnsi="宋体"/>
          <w:bCs/>
          <w:color w:val="auto"/>
          <w:sz w:val="24"/>
          <w:szCs w:val="24"/>
          <w:highlight w:val="none"/>
        </w:rPr>
        <w:t>联系人</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联系电话</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6A295BE7">
      <w:pPr>
        <w:pStyle w:val="20"/>
        <w:spacing w:line="360" w:lineRule="auto"/>
        <w:ind w:firstLine="480" w:firstLineChars="200"/>
        <w:contextualSpacing/>
        <w:rPr>
          <w:rFonts w:hint="eastAsia" w:hAnsi="宋体"/>
          <w:bCs/>
          <w:color w:val="auto"/>
          <w:sz w:val="24"/>
          <w:szCs w:val="24"/>
          <w:highlight w:val="none"/>
        </w:rPr>
      </w:pPr>
      <w:r>
        <w:rPr>
          <w:rFonts w:hint="eastAsia" w:hAnsi="宋体"/>
          <w:bCs/>
          <w:color w:val="auto"/>
          <w:sz w:val="24"/>
          <w:szCs w:val="24"/>
          <w:highlight w:val="none"/>
        </w:rPr>
        <w:t>授权代表：</w:t>
      </w:r>
      <w:r>
        <w:rPr>
          <w:rFonts w:hint="eastAsia" w:hAnsi="宋体"/>
          <w:bCs/>
          <w:color w:val="auto"/>
          <w:sz w:val="24"/>
          <w:szCs w:val="24"/>
          <w:highlight w:val="none"/>
          <w:u w:val="single"/>
        </w:rPr>
        <w:t xml:space="preserve">                      </w:t>
      </w:r>
    </w:p>
    <w:p w14:paraId="46839972">
      <w:pPr>
        <w:pStyle w:val="20"/>
        <w:spacing w:line="360" w:lineRule="auto"/>
        <w:ind w:firstLine="480" w:firstLineChars="200"/>
        <w:contextualSpacing/>
        <w:rPr>
          <w:rFonts w:hint="eastAsia" w:hAnsi="宋体"/>
          <w:bCs/>
          <w:color w:val="auto"/>
          <w:sz w:val="24"/>
          <w:szCs w:val="24"/>
          <w:highlight w:val="none"/>
          <w:u w:val="single"/>
        </w:rPr>
      </w:pP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6B93003C">
      <w:pPr>
        <w:pStyle w:val="20"/>
        <w:spacing w:line="360" w:lineRule="auto"/>
        <w:ind w:firstLine="480" w:firstLineChars="200"/>
        <w:contextualSpacing/>
        <w:rPr>
          <w:rFonts w:hint="eastAsia"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35E55CE1">
      <w:pPr>
        <w:pStyle w:val="20"/>
        <w:spacing w:line="360" w:lineRule="auto"/>
        <w:ind w:firstLine="482" w:firstLineChars="200"/>
        <w:contextualSpacing/>
        <w:rPr>
          <w:rFonts w:hint="eastAsia" w:hAnsi="宋体"/>
          <w:b/>
          <w:bCs/>
          <w:color w:val="auto"/>
          <w:sz w:val="24"/>
          <w:szCs w:val="24"/>
          <w:highlight w:val="none"/>
        </w:rPr>
      </w:pPr>
      <w:r>
        <w:rPr>
          <w:rFonts w:hint="eastAsia" w:hAnsi="宋体"/>
          <w:b/>
          <w:bCs/>
          <w:color w:val="auto"/>
          <w:sz w:val="24"/>
          <w:szCs w:val="24"/>
          <w:highlight w:val="none"/>
        </w:rPr>
        <w:t>二、质疑项目基本情况：</w:t>
      </w:r>
    </w:p>
    <w:p w14:paraId="32F310CB">
      <w:pPr>
        <w:pStyle w:val="20"/>
        <w:spacing w:line="360" w:lineRule="auto"/>
        <w:ind w:left="25" w:leftChars="12" w:firstLine="472" w:firstLineChars="197"/>
        <w:contextualSpacing/>
        <w:rPr>
          <w:rFonts w:hint="eastAsia"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项目的名称：</w:t>
      </w:r>
      <w:r>
        <w:rPr>
          <w:rFonts w:hint="eastAsia" w:hAnsi="宋体"/>
          <w:bCs/>
          <w:color w:val="auto"/>
          <w:sz w:val="24"/>
          <w:szCs w:val="24"/>
          <w:highlight w:val="none"/>
          <w:u w:val="single"/>
        </w:rPr>
        <w:t xml:space="preserve">                                     </w:t>
      </w:r>
    </w:p>
    <w:p w14:paraId="5FA16673">
      <w:pPr>
        <w:pStyle w:val="20"/>
        <w:spacing w:line="360" w:lineRule="auto"/>
        <w:ind w:left="25" w:leftChars="12" w:firstLine="472" w:firstLineChars="197"/>
        <w:contextualSpacing/>
        <w:rPr>
          <w:rFonts w:hint="eastAsia"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项目的编号：</w:t>
      </w:r>
      <w:r>
        <w:rPr>
          <w:rFonts w:hint="eastAsia" w:hAnsi="宋体"/>
          <w:bCs/>
          <w:color w:val="auto"/>
          <w:sz w:val="24"/>
          <w:szCs w:val="24"/>
          <w:highlight w:val="none"/>
          <w:u w:val="single"/>
        </w:rPr>
        <w:t xml:space="preserve">                                     </w:t>
      </w:r>
    </w:p>
    <w:p w14:paraId="63CD24E2">
      <w:pPr>
        <w:pStyle w:val="20"/>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采购人名称：</w:t>
      </w:r>
      <w:r>
        <w:rPr>
          <w:rFonts w:hint="eastAsia" w:hAnsi="宋体"/>
          <w:bCs/>
          <w:color w:val="auto"/>
          <w:sz w:val="24"/>
          <w:szCs w:val="24"/>
          <w:highlight w:val="none"/>
          <w:u w:val="single"/>
        </w:rPr>
        <w:t xml:space="preserve">                                         </w:t>
      </w:r>
    </w:p>
    <w:p w14:paraId="26AC1CD9">
      <w:pPr>
        <w:pStyle w:val="20"/>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质疑事项：</w:t>
      </w:r>
    </w:p>
    <w:p w14:paraId="339CDB08">
      <w:pPr>
        <w:pStyle w:val="20"/>
        <w:spacing w:line="360" w:lineRule="auto"/>
        <w:ind w:left="25" w:leftChars="12" w:firstLine="352" w:firstLineChars="147"/>
        <w:contextualSpacing/>
        <w:rPr>
          <w:rFonts w:hint="eastAsia" w:hAnsi="宋体"/>
          <w:color w:val="auto"/>
          <w:sz w:val="24"/>
          <w:szCs w:val="24"/>
          <w:highlight w:val="none"/>
        </w:rPr>
      </w:pPr>
      <w:r>
        <w:rPr>
          <w:rFonts w:hint="eastAsia" w:hAnsi="宋体"/>
          <w:color w:val="auto"/>
          <w:sz w:val="24"/>
          <w:szCs w:val="24"/>
          <w:highlight w:val="none"/>
        </w:rPr>
        <w:t>□采购文件   采购文件获取日期：</w:t>
      </w:r>
      <w:r>
        <w:rPr>
          <w:rFonts w:hint="eastAsia" w:hAnsi="宋体"/>
          <w:bCs/>
          <w:color w:val="auto"/>
          <w:sz w:val="24"/>
          <w:szCs w:val="24"/>
          <w:highlight w:val="none"/>
          <w:u w:val="single"/>
        </w:rPr>
        <w:t xml:space="preserve">                                   </w:t>
      </w:r>
    </w:p>
    <w:p w14:paraId="02F76804">
      <w:pPr>
        <w:pStyle w:val="20"/>
        <w:spacing w:line="360" w:lineRule="auto"/>
        <w:ind w:left="25" w:leftChars="12" w:firstLine="352" w:firstLineChars="147"/>
        <w:contextualSpacing/>
        <w:rPr>
          <w:rFonts w:hint="eastAsia" w:hAnsi="宋体"/>
          <w:color w:val="auto"/>
          <w:sz w:val="24"/>
          <w:szCs w:val="24"/>
          <w:highlight w:val="none"/>
        </w:rPr>
      </w:pPr>
      <w:r>
        <w:rPr>
          <w:rFonts w:hint="eastAsia" w:hAnsi="宋体"/>
          <w:color w:val="auto"/>
          <w:sz w:val="24"/>
          <w:szCs w:val="24"/>
          <w:highlight w:val="none"/>
        </w:rPr>
        <w:t xml:space="preserve">□采购过程   </w:t>
      </w:r>
    </w:p>
    <w:p w14:paraId="091F2A61">
      <w:pPr>
        <w:pStyle w:val="20"/>
        <w:spacing w:line="360" w:lineRule="auto"/>
        <w:ind w:left="25" w:leftChars="12" w:firstLine="352" w:firstLineChars="147"/>
        <w:contextualSpacing/>
        <w:rPr>
          <w:rFonts w:hint="eastAsia" w:hAnsi="宋体"/>
          <w:bCs/>
          <w:color w:val="auto"/>
          <w:sz w:val="24"/>
          <w:szCs w:val="24"/>
          <w:highlight w:val="none"/>
          <w:u w:val="single"/>
        </w:rPr>
      </w:pPr>
      <w:r>
        <w:rPr>
          <w:rFonts w:hint="eastAsia" w:hAnsi="宋体"/>
          <w:color w:val="auto"/>
          <w:sz w:val="24"/>
          <w:szCs w:val="24"/>
          <w:highlight w:val="none"/>
        </w:rPr>
        <w:t xml:space="preserve">□成交结果   </w:t>
      </w:r>
    </w:p>
    <w:p w14:paraId="0B9125BC">
      <w:pPr>
        <w:pStyle w:val="20"/>
        <w:spacing w:line="360" w:lineRule="auto"/>
        <w:ind w:left="25" w:leftChars="12" w:firstLine="472" w:firstLineChars="196"/>
        <w:contextualSpacing/>
        <w:rPr>
          <w:rFonts w:hint="eastAsia" w:hAnsi="宋体"/>
          <w:b/>
          <w:color w:val="auto"/>
          <w:sz w:val="24"/>
          <w:szCs w:val="24"/>
          <w:highlight w:val="none"/>
        </w:rPr>
      </w:pPr>
      <w:r>
        <w:rPr>
          <w:rFonts w:hint="eastAsia" w:hAnsi="宋体"/>
          <w:b/>
          <w:color w:val="auto"/>
          <w:sz w:val="24"/>
          <w:szCs w:val="24"/>
          <w:highlight w:val="none"/>
        </w:rPr>
        <w:t>三、质疑事项具体内容</w:t>
      </w:r>
    </w:p>
    <w:p w14:paraId="6090E86B">
      <w:pPr>
        <w:pStyle w:val="20"/>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质疑事项1：</w:t>
      </w:r>
      <w:r>
        <w:rPr>
          <w:rFonts w:hint="eastAsia" w:hAnsi="宋体"/>
          <w:bCs/>
          <w:color w:val="auto"/>
          <w:sz w:val="24"/>
          <w:szCs w:val="24"/>
          <w:highlight w:val="none"/>
          <w:u w:val="single"/>
        </w:rPr>
        <w:t xml:space="preserve">                                                                    </w:t>
      </w:r>
    </w:p>
    <w:p w14:paraId="29F3D492">
      <w:pPr>
        <w:pStyle w:val="20"/>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事实依据：</w:t>
      </w:r>
      <w:r>
        <w:rPr>
          <w:rFonts w:hint="eastAsia" w:hAnsi="宋体"/>
          <w:bCs/>
          <w:color w:val="auto"/>
          <w:sz w:val="24"/>
          <w:szCs w:val="24"/>
          <w:highlight w:val="none"/>
          <w:u w:val="single"/>
        </w:rPr>
        <w:t xml:space="preserve">                                                                      </w:t>
      </w:r>
    </w:p>
    <w:p w14:paraId="6112CC85">
      <w:pPr>
        <w:pStyle w:val="20"/>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法律依据：</w:t>
      </w:r>
      <w:r>
        <w:rPr>
          <w:rFonts w:hint="eastAsia" w:hAnsi="宋体"/>
          <w:color w:val="auto"/>
          <w:sz w:val="24"/>
          <w:szCs w:val="24"/>
          <w:highlight w:val="none"/>
          <w:u w:val="single"/>
        </w:rPr>
        <w:t xml:space="preserve">                                                        </w:t>
      </w:r>
      <w:r>
        <w:rPr>
          <w:rFonts w:hint="eastAsia" w:hAnsi="宋体"/>
          <w:bCs/>
          <w:color w:val="auto"/>
          <w:sz w:val="24"/>
          <w:szCs w:val="24"/>
          <w:highlight w:val="none"/>
          <w:u w:val="single"/>
        </w:rPr>
        <w:t xml:space="preserve">               </w:t>
      </w:r>
    </w:p>
    <w:p w14:paraId="2C5A2606">
      <w:pPr>
        <w:pStyle w:val="20"/>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质疑事项2</w:t>
      </w:r>
    </w:p>
    <w:p w14:paraId="52C9BBBE">
      <w:pPr>
        <w:pStyle w:val="20"/>
        <w:spacing w:line="360" w:lineRule="auto"/>
        <w:ind w:left="25" w:leftChars="12" w:firstLine="472" w:firstLineChars="197"/>
        <w:contextualSpacing/>
        <w:rPr>
          <w:rFonts w:hint="eastAsia" w:hAnsi="宋体"/>
          <w:color w:val="auto"/>
          <w:sz w:val="24"/>
          <w:szCs w:val="24"/>
          <w:highlight w:val="none"/>
        </w:rPr>
      </w:pPr>
      <w:r>
        <w:rPr>
          <w:rFonts w:hAnsi="宋体"/>
          <w:color w:val="auto"/>
          <w:sz w:val="24"/>
          <w:szCs w:val="24"/>
          <w:highlight w:val="none"/>
        </w:rPr>
        <w:t>……</w:t>
      </w:r>
    </w:p>
    <w:p w14:paraId="13877D81">
      <w:pPr>
        <w:pStyle w:val="20"/>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四、与质疑事项相关的质疑请求：</w:t>
      </w:r>
    </w:p>
    <w:p w14:paraId="1012FE16">
      <w:pPr>
        <w:pStyle w:val="20"/>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请求：</w:t>
      </w:r>
      <w:r>
        <w:rPr>
          <w:rFonts w:hint="eastAsia" w:hAnsi="宋体"/>
          <w:bCs/>
          <w:color w:val="auto"/>
          <w:sz w:val="24"/>
          <w:szCs w:val="24"/>
          <w:highlight w:val="none"/>
          <w:u w:val="single"/>
        </w:rPr>
        <w:t xml:space="preserve">                                                                </w:t>
      </w:r>
    </w:p>
    <w:p w14:paraId="6EDC2232">
      <w:pPr>
        <w:pStyle w:val="20"/>
        <w:spacing w:line="360" w:lineRule="auto"/>
        <w:ind w:left="25" w:leftChars="12" w:firstLine="352" w:firstLineChars="147"/>
        <w:contextualSpacing/>
        <w:rPr>
          <w:rFonts w:hint="eastAsia" w:hAnsi="宋体"/>
          <w:color w:val="auto"/>
          <w:sz w:val="24"/>
          <w:szCs w:val="24"/>
          <w:highlight w:val="none"/>
        </w:rPr>
      </w:pPr>
    </w:p>
    <w:p w14:paraId="52A1EA0F">
      <w:pPr>
        <w:pStyle w:val="20"/>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签字（签章）：                                       公章：</w:t>
      </w:r>
    </w:p>
    <w:p w14:paraId="6712EBA3">
      <w:pPr>
        <w:pStyle w:val="20"/>
        <w:spacing w:line="360" w:lineRule="auto"/>
        <w:ind w:firstLine="480" w:firstLineChars="200"/>
        <w:contextualSpacing/>
        <w:rPr>
          <w:rFonts w:hint="eastAsia" w:hAnsi="宋体"/>
          <w:b/>
          <w:color w:val="auto"/>
          <w:sz w:val="24"/>
          <w:szCs w:val="24"/>
          <w:highlight w:val="none"/>
        </w:rPr>
      </w:pPr>
      <w:r>
        <w:rPr>
          <w:rFonts w:hint="eastAsia" w:hAnsi="宋体"/>
          <w:color w:val="auto"/>
          <w:sz w:val="24"/>
          <w:szCs w:val="24"/>
          <w:highlight w:val="none"/>
        </w:rPr>
        <w:t>日期：</w:t>
      </w:r>
    </w:p>
    <w:p w14:paraId="204620BD">
      <w:pPr>
        <w:pStyle w:val="20"/>
        <w:spacing w:line="360" w:lineRule="auto"/>
        <w:contextualSpacing/>
        <w:rPr>
          <w:rFonts w:hint="eastAsia" w:hAnsi="宋体"/>
          <w:b/>
          <w:color w:val="auto"/>
          <w:sz w:val="24"/>
          <w:szCs w:val="24"/>
          <w:highlight w:val="none"/>
        </w:rPr>
      </w:pPr>
      <w:r>
        <w:rPr>
          <w:rFonts w:hint="eastAsia" w:hAnsi="宋体"/>
          <w:b/>
          <w:color w:val="auto"/>
          <w:sz w:val="24"/>
          <w:szCs w:val="24"/>
          <w:highlight w:val="none"/>
        </w:rPr>
        <w:t>说明：</w:t>
      </w:r>
    </w:p>
    <w:p w14:paraId="5ACF3493">
      <w:pPr>
        <w:pStyle w:val="20"/>
        <w:spacing w:line="360" w:lineRule="auto"/>
        <w:ind w:left="25" w:leftChars="12" w:firstLine="354" w:firstLineChars="147"/>
        <w:contextualSpacing/>
        <w:rPr>
          <w:rFonts w:hint="eastAsia" w:hAnsi="宋体"/>
          <w:b/>
          <w:bCs/>
          <w:color w:val="auto"/>
          <w:sz w:val="24"/>
          <w:szCs w:val="24"/>
          <w:highlight w:val="none"/>
        </w:rPr>
      </w:pPr>
      <w:r>
        <w:rPr>
          <w:rFonts w:hint="eastAsia" w:hAnsi="宋体"/>
          <w:b/>
          <w:color w:val="auto"/>
          <w:sz w:val="24"/>
          <w:szCs w:val="24"/>
          <w:highlight w:val="none"/>
        </w:rPr>
        <w:t>1.供应商提出质疑时，应提交质疑函和必要的证明材料</w:t>
      </w:r>
      <w:r>
        <w:rPr>
          <w:rFonts w:hint="eastAsia" w:hAnsi="宋体"/>
          <w:b/>
          <w:bCs/>
          <w:color w:val="auto"/>
          <w:sz w:val="24"/>
          <w:szCs w:val="24"/>
          <w:highlight w:val="none"/>
        </w:rPr>
        <w:t>。</w:t>
      </w:r>
    </w:p>
    <w:p w14:paraId="4E2FD3DD">
      <w:pPr>
        <w:pStyle w:val="20"/>
        <w:spacing w:line="360" w:lineRule="auto"/>
        <w:ind w:left="25" w:leftChars="12" w:firstLine="354" w:firstLineChars="147"/>
        <w:contextualSpacing/>
        <w:rPr>
          <w:rFonts w:hint="eastAsia" w:hAnsi="宋体"/>
          <w:b/>
          <w:color w:val="auto"/>
          <w:sz w:val="24"/>
          <w:szCs w:val="24"/>
          <w:highlight w:val="none"/>
        </w:rPr>
      </w:pPr>
      <w:r>
        <w:rPr>
          <w:rFonts w:hint="eastAsia" w:hAnsi="宋体"/>
          <w:b/>
          <w:color w:val="auto"/>
          <w:sz w:val="24"/>
          <w:szCs w:val="24"/>
          <w:highlight w:val="none"/>
        </w:rPr>
        <w:t>2.质疑供应商若委托代理人进行质疑的，质疑函应按要求列明</w:t>
      </w:r>
      <w:r>
        <w:rPr>
          <w:rFonts w:hint="eastAsia" w:hAnsi="宋体"/>
          <w:b/>
          <w:color w:val="auto"/>
          <w:sz w:val="24"/>
          <w:szCs w:val="24"/>
          <w:highlight w:val="none"/>
          <w:lang w:eastAsia="zh-CN"/>
        </w:rPr>
        <w:t>“</w:t>
      </w:r>
      <w:r>
        <w:rPr>
          <w:rFonts w:hint="eastAsia" w:hAnsi="宋体"/>
          <w:b/>
          <w:color w:val="auto"/>
          <w:sz w:val="24"/>
          <w:szCs w:val="24"/>
          <w:highlight w:val="none"/>
        </w:rPr>
        <w:t>授权代表</w:t>
      </w:r>
      <w:r>
        <w:rPr>
          <w:rFonts w:hint="eastAsia" w:hAnsi="宋体"/>
          <w:b/>
          <w:color w:val="auto"/>
          <w:sz w:val="24"/>
          <w:szCs w:val="24"/>
          <w:highlight w:val="none"/>
          <w:lang w:eastAsia="zh-CN"/>
        </w:rPr>
        <w:t>”</w:t>
      </w:r>
      <w:r>
        <w:rPr>
          <w:rFonts w:hint="eastAsia" w:hAnsi="宋体"/>
          <w:b/>
          <w:color w:val="auto"/>
          <w:sz w:val="24"/>
          <w:szCs w:val="24"/>
          <w:highlight w:val="none"/>
        </w:rPr>
        <w:t>的有关内容，并在附件中提交由质疑供应商签署的授权委托书。授权委托书应载明代理人的姓名或者名称、代理事项、具体权限、期限和相关事项。</w:t>
      </w:r>
    </w:p>
    <w:p w14:paraId="350066EE">
      <w:pPr>
        <w:pStyle w:val="20"/>
        <w:spacing w:line="360" w:lineRule="auto"/>
        <w:ind w:left="25" w:leftChars="12" w:firstLine="354" w:firstLineChars="147"/>
        <w:contextualSpacing/>
        <w:rPr>
          <w:rFonts w:hint="eastAsia" w:hAnsi="宋体"/>
          <w:b/>
          <w:color w:val="auto"/>
          <w:sz w:val="24"/>
          <w:szCs w:val="24"/>
          <w:highlight w:val="none"/>
        </w:rPr>
      </w:pPr>
      <w:r>
        <w:rPr>
          <w:rFonts w:hint="eastAsia" w:hAnsi="宋体"/>
          <w:b/>
          <w:color w:val="auto"/>
          <w:sz w:val="24"/>
          <w:szCs w:val="24"/>
          <w:highlight w:val="none"/>
        </w:rPr>
        <w:t>3.质疑函的质疑事项应具体、明确，并有必要的事实依据和法律依据。</w:t>
      </w:r>
    </w:p>
    <w:p w14:paraId="36D94EBA">
      <w:pPr>
        <w:pStyle w:val="20"/>
        <w:spacing w:line="360" w:lineRule="auto"/>
        <w:ind w:left="25" w:leftChars="12" w:firstLine="354" w:firstLineChars="147"/>
        <w:contextualSpacing/>
        <w:rPr>
          <w:rFonts w:hint="eastAsia" w:hAnsi="宋体"/>
          <w:b/>
          <w:color w:val="auto"/>
          <w:sz w:val="24"/>
          <w:szCs w:val="24"/>
          <w:highlight w:val="none"/>
        </w:rPr>
      </w:pPr>
      <w:r>
        <w:rPr>
          <w:rFonts w:hint="eastAsia" w:hAnsi="宋体"/>
          <w:b/>
          <w:color w:val="auto"/>
          <w:sz w:val="24"/>
          <w:szCs w:val="24"/>
          <w:highlight w:val="none"/>
        </w:rPr>
        <w:t>4.质疑函的质疑请求应与质疑事项相关。</w:t>
      </w:r>
    </w:p>
    <w:p w14:paraId="6650AA35">
      <w:pPr>
        <w:pStyle w:val="20"/>
        <w:spacing w:line="360" w:lineRule="auto"/>
        <w:ind w:left="25" w:leftChars="12" w:firstLine="354" w:firstLineChars="147"/>
        <w:contextualSpacing/>
        <w:rPr>
          <w:rFonts w:hint="eastAsia" w:hAnsi="宋体"/>
          <w:b/>
          <w:color w:val="auto"/>
          <w:highlight w:val="none"/>
        </w:rPr>
      </w:pPr>
      <w:r>
        <w:rPr>
          <w:rFonts w:hint="eastAsia" w:hAnsi="宋体"/>
          <w:b/>
          <w:color w:val="auto"/>
          <w:sz w:val="24"/>
          <w:szCs w:val="24"/>
          <w:highlight w:val="none"/>
        </w:rPr>
        <w:t>5.质疑供应商为法人或者其他组织的，质疑函应由法定代表人、主要负责人，或者其授权代表签字或者盖章，并加盖公章。</w:t>
      </w:r>
    </w:p>
    <w:p w14:paraId="29091395">
      <w:pPr>
        <w:pStyle w:val="20"/>
        <w:snapToGrid w:val="0"/>
        <w:rPr>
          <w:rFonts w:hint="eastAsia"/>
          <w:b/>
          <w:color w:val="auto"/>
          <w:sz w:val="24"/>
          <w:szCs w:val="24"/>
          <w:highlight w:val="none"/>
        </w:rPr>
      </w:pPr>
    </w:p>
    <w:p w14:paraId="6D2BAA3F">
      <w:pPr>
        <w:rPr>
          <w:rFonts w:hint="eastAsia"/>
          <w:color w:val="auto"/>
          <w:sz w:val="32"/>
          <w:szCs w:val="40"/>
          <w:highlight w:val="none"/>
        </w:rPr>
      </w:pPr>
    </w:p>
    <w:p w14:paraId="5620BF16">
      <w:pPr>
        <w:rPr>
          <w:rFonts w:hint="eastAsia"/>
          <w:color w:val="auto"/>
          <w:sz w:val="32"/>
          <w:szCs w:val="40"/>
          <w:highlight w:val="none"/>
        </w:rPr>
      </w:pPr>
    </w:p>
    <w:p w14:paraId="5D0BAC7F">
      <w:pPr>
        <w:rPr>
          <w:rFonts w:hint="eastAsia"/>
          <w:color w:val="auto"/>
          <w:sz w:val="32"/>
          <w:szCs w:val="40"/>
          <w:highlight w:val="none"/>
        </w:rPr>
      </w:pPr>
    </w:p>
    <w:p w14:paraId="66110B66">
      <w:pPr>
        <w:rPr>
          <w:rFonts w:hint="eastAsia"/>
          <w:color w:val="auto"/>
          <w:sz w:val="32"/>
          <w:szCs w:val="40"/>
          <w:highlight w:val="none"/>
        </w:rPr>
      </w:pPr>
    </w:p>
    <w:p w14:paraId="2B505708">
      <w:pPr>
        <w:rPr>
          <w:rFonts w:hint="eastAsia"/>
          <w:color w:val="auto"/>
          <w:sz w:val="32"/>
          <w:szCs w:val="40"/>
          <w:highlight w:val="none"/>
        </w:rPr>
      </w:pPr>
    </w:p>
    <w:p w14:paraId="7D591206">
      <w:pPr>
        <w:rPr>
          <w:rFonts w:hint="eastAsia"/>
          <w:color w:val="auto"/>
          <w:sz w:val="32"/>
          <w:szCs w:val="40"/>
          <w:highlight w:val="none"/>
        </w:rPr>
      </w:pPr>
    </w:p>
    <w:p w14:paraId="6511142C">
      <w:pPr>
        <w:rPr>
          <w:rFonts w:hint="eastAsia"/>
          <w:color w:val="auto"/>
          <w:sz w:val="32"/>
          <w:szCs w:val="40"/>
          <w:highlight w:val="none"/>
        </w:rPr>
      </w:pPr>
    </w:p>
    <w:p w14:paraId="30C6E933">
      <w:pPr>
        <w:rPr>
          <w:rFonts w:hint="eastAsia"/>
          <w:color w:val="auto"/>
          <w:sz w:val="32"/>
          <w:szCs w:val="40"/>
          <w:highlight w:val="none"/>
        </w:rPr>
      </w:pPr>
    </w:p>
    <w:p w14:paraId="291B4C31">
      <w:pPr>
        <w:rPr>
          <w:rFonts w:hint="eastAsia"/>
          <w:color w:val="auto"/>
          <w:sz w:val="32"/>
          <w:szCs w:val="40"/>
          <w:highlight w:val="none"/>
        </w:rPr>
      </w:pPr>
    </w:p>
    <w:p w14:paraId="3E68C962">
      <w:pPr>
        <w:rPr>
          <w:rFonts w:hint="eastAsia"/>
          <w:color w:val="auto"/>
          <w:sz w:val="32"/>
          <w:szCs w:val="40"/>
          <w:highlight w:val="none"/>
        </w:rPr>
      </w:pPr>
    </w:p>
    <w:p w14:paraId="05E34B50">
      <w:pPr>
        <w:rPr>
          <w:rFonts w:hint="eastAsia"/>
          <w:color w:val="auto"/>
          <w:sz w:val="32"/>
          <w:szCs w:val="40"/>
          <w:highlight w:val="none"/>
        </w:rPr>
      </w:pPr>
    </w:p>
    <w:p w14:paraId="503264C8">
      <w:pPr>
        <w:rPr>
          <w:rFonts w:hint="eastAsia"/>
          <w:color w:val="auto"/>
          <w:sz w:val="32"/>
          <w:szCs w:val="40"/>
          <w:highlight w:val="none"/>
        </w:rPr>
      </w:pPr>
    </w:p>
    <w:p w14:paraId="1FCF24D5">
      <w:pPr>
        <w:rPr>
          <w:rFonts w:hint="eastAsia"/>
          <w:color w:val="auto"/>
          <w:sz w:val="32"/>
          <w:szCs w:val="40"/>
          <w:highlight w:val="none"/>
        </w:rPr>
      </w:pPr>
    </w:p>
    <w:p w14:paraId="54B9882F">
      <w:pPr>
        <w:rPr>
          <w:color w:val="auto"/>
          <w:sz w:val="32"/>
          <w:szCs w:val="40"/>
          <w:highlight w:val="none"/>
        </w:rPr>
      </w:pPr>
    </w:p>
    <w:p w14:paraId="5B905576">
      <w:pPr>
        <w:rPr>
          <w:color w:val="auto"/>
          <w:sz w:val="32"/>
          <w:szCs w:val="40"/>
          <w:highlight w:val="none"/>
        </w:rPr>
      </w:pPr>
    </w:p>
    <w:p w14:paraId="294DBA64">
      <w:pPr>
        <w:rPr>
          <w:color w:val="auto"/>
          <w:sz w:val="32"/>
          <w:szCs w:val="40"/>
          <w:highlight w:val="none"/>
        </w:rPr>
      </w:pPr>
    </w:p>
    <w:p w14:paraId="18660B21">
      <w:pPr>
        <w:rPr>
          <w:color w:val="auto"/>
          <w:sz w:val="32"/>
          <w:szCs w:val="40"/>
          <w:highlight w:val="none"/>
        </w:rPr>
      </w:pPr>
    </w:p>
    <w:p w14:paraId="5BAFC8C3">
      <w:pPr>
        <w:rPr>
          <w:color w:val="auto"/>
          <w:sz w:val="32"/>
          <w:szCs w:val="40"/>
          <w:highlight w:val="none"/>
        </w:rPr>
      </w:pPr>
    </w:p>
    <w:p w14:paraId="3232C9A2">
      <w:pPr>
        <w:spacing w:line="360" w:lineRule="auto"/>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投诉书（格式）</w:t>
      </w:r>
    </w:p>
    <w:p w14:paraId="1037D3D9">
      <w:pPr>
        <w:pStyle w:val="20"/>
        <w:snapToGrid w:val="0"/>
        <w:spacing w:line="360" w:lineRule="auto"/>
        <w:ind w:firstLine="482" w:firstLineChars="200"/>
        <w:rPr>
          <w:rFonts w:hAnsi="宋体"/>
          <w:b/>
          <w:bCs/>
          <w:color w:val="auto"/>
          <w:sz w:val="24"/>
          <w:szCs w:val="24"/>
          <w:highlight w:val="none"/>
        </w:rPr>
      </w:pPr>
      <w:r>
        <w:rPr>
          <w:rFonts w:hint="eastAsia" w:hAnsi="宋体"/>
          <w:b/>
          <w:bCs/>
          <w:color w:val="auto"/>
          <w:sz w:val="24"/>
          <w:szCs w:val="24"/>
          <w:highlight w:val="none"/>
        </w:rPr>
        <w:t>一、投诉相关主体基本情况：</w:t>
      </w:r>
    </w:p>
    <w:p w14:paraId="5ECF9C69">
      <w:pPr>
        <w:pStyle w:val="20"/>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供应商：</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65EC265A">
      <w:pPr>
        <w:pStyle w:val="20"/>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7A12E092">
      <w:pPr>
        <w:pStyle w:val="20"/>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法定代表人/主要负责人：</w:t>
      </w:r>
      <w:r>
        <w:rPr>
          <w:rFonts w:hint="eastAsia" w:hAnsi="宋体"/>
          <w:bCs/>
          <w:color w:val="auto"/>
          <w:sz w:val="24"/>
          <w:szCs w:val="24"/>
          <w:highlight w:val="none"/>
          <w:u w:val="single"/>
        </w:rPr>
        <w:t xml:space="preserve">                                                         </w:t>
      </w:r>
    </w:p>
    <w:p w14:paraId="571D1D08">
      <w:pPr>
        <w:pStyle w:val="20"/>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联系电话</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3D19199A">
      <w:pPr>
        <w:pStyle w:val="20"/>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授权代表：</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31C5C78C">
      <w:pPr>
        <w:pStyle w:val="20"/>
        <w:snapToGrid w:val="0"/>
        <w:spacing w:line="360" w:lineRule="auto"/>
        <w:ind w:firstLine="480" w:firstLineChars="200"/>
        <w:rPr>
          <w:rFonts w:hint="eastAsia"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7212A71E">
      <w:pPr>
        <w:pStyle w:val="20"/>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43144734">
      <w:pPr>
        <w:pStyle w:val="20"/>
        <w:snapToGrid w:val="0"/>
        <w:spacing w:line="360" w:lineRule="auto"/>
        <w:ind w:firstLine="480" w:firstLineChars="200"/>
        <w:rPr>
          <w:rFonts w:hint="eastAsia" w:hAnsi="宋体"/>
          <w:bCs/>
          <w:color w:val="auto"/>
          <w:sz w:val="24"/>
          <w:szCs w:val="24"/>
          <w:highlight w:val="none"/>
        </w:rPr>
      </w:pPr>
      <w:r>
        <w:rPr>
          <w:rFonts w:hint="eastAsia" w:hAnsi="宋体"/>
          <w:bCs/>
          <w:color w:val="auto"/>
          <w:sz w:val="24"/>
          <w:szCs w:val="24"/>
          <w:highlight w:val="none"/>
        </w:rPr>
        <w:t>被投诉人1：</w:t>
      </w:r>
    </w:p>
    <w:p w14:paraId="7FAA73B3">
      <w:pPr>
        <w:pStyle w:val="20"/>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地址：</w:t>
      </w:r>
      <w:r>
        <w:rPr>
          <w:rFonts w:hint="eastAsia" w:hAnsi="宋体"/>
          <w:bCs/>
          <w:color w:val="auto"/>
          <w:sz w:val="24"/>
          <w:szCs w:val="24"/>
          <w:highlight w:val="none"/>
          <w:u w:val="single"/>
        </w:rPr>
        <w:t xml:space="preserve">                                                            </w:t>
      </w:r>
    </w:p>
    <w:p w14:paraId="07F8A9A4">
      <w:pPr>
        <w:pStyle w:val="20"/>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129658A4">
      <w:pPr>
        <w:pStyle w:val="20"/>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联系人：</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61033EB5">
      <w:pPr>
        <w:pStyle w:val="20"/>
        <w:snapToGrid w:val="0"/>
        <w:spacing w:line="360" w:lineRule="auto"/>
        <w:ind w:firstLine="480" w:firstLineChars="200"/>
        <w:rPr>
          <w:rFonts w:hint="eastAsia" w:hAnsi="宋体"/>
          <w:bCs/>
          <w:color w:val="auto"/>
          <w:sz w:val="24"/>
          <w:szCs w:val="24"/>
          <w:highlight w:val="none"/>
        </w:rPr>
      </w:pPr>
      <w:r>
        <w:rPr>
          <w:rFonts w:hint="eastAsia" w:hAnsi="宋体"/>
          <w:bCs/>
          <w:color w:val="auto"/>
          <w:sz w:val="24"/>
          <w:szCs w:val="24"/>
          <w:highlight w:val="none"/>
        </w:rPr>
        <w:t>被投诉人2：</w:t>
      </w:r>
    </w:p>
    <w:p w14:paraId="633A80E3">
      <w:pPr>
        <w:pStyle w:val="20"/>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w:t>
      </w:r>
    </w:p>
    <w:p w14:paraId="1EF21F37">
      <w:pPr>
        <w:pStyle w:val="20"/>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相关供应商：</w:t>
      </w:r>
      <w:r>
        <w:rPr>
          <w:rFonts w:hint="eastAsia" w:hAnsi="宋体"/>
          <w:bCs/>
          <w:color w:val="auto"/>
          <w:sz w:val="24"/>
          <w:szCs w:val="24"/>
          <w:highlight w:val="none"/>
          <w:u w:val="single"/>
        </w:rPr>
        <w:t xml:space="preserve">                                                                       </w:t>
      </w:r>
    </w:p>
    <w:p w14:paraId="2753EE22">
      <w:pPr>
        <w:pStyle w:val="20"/>
        <w:snapToGrid w:val="0"/>
        <w:spacing w:line="360" w:lineRule="auto"/>
        <w:ind w:firstLine="480" w:firstLineChars="200"/>
        <w:rPr>
          <w:rFonts w:hint="eastAsia"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397936E4">
      <w:pPr>
        <w:pStyle w:val="20"/>
        <w:snapToGrid w:val="0"/>
        <w:spacing w:line="360" w:lineRule="auto"/>
        <w:ind w:firstLine="480" w:firstLineChars="200"/>
        <w:rPr>
          <w:rFonts w:hint="eastAsia" w:hAnsi="宋体"/>
          <w:bCs/>
          <w:color w:val="auto"/>
          <w:sz w:val="24"/>
          <w:szCs w:val="24"/>
          <w:highlight w:val="none"/>
        </w:rPr>
      </w:pPr>
      <w:r>
        <w:rPr>
          <w:rFonts w:hint="eastAsia" w:hAnsi="宋体"/>
          <w:bCs/>
          <w:color w:val="auto"/>
          <w:sz w:val="24"/>
          <w:szCs w:val="24"/>
          <w:highlight w:val="none"/>
        </w:rPr>
        <w:t>联系人：</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6C07A18A">
      <w:pPr>
        <w:pStyle w:val="20"/>
        <w:snapToGrid w:val="0"/>
        <w:spacing w:line="360" w:lineRule="auto"/>
        <w:ind w:firstLine="482" w:firstLineChars="200"/>
        <w:rPr>
          <w:rFonts w:hint="eastAsia" w:hAnsi="宋体"/>
          <w:b/>
          <w:bCs/>
          <w:color w:val="auto"/>
          <w:sz w:val="24"/>
          <w:szCs w:val="24"/>
          <w:highlight w:val="none"/>
        </w:rPr>
      </w:pPr>
      <w:r>
        <w:rPr>
          <w:rFonts w:hint="eastAsia" w:hAnsi="宋体"/>
          <w:b/>
          <w:bCs/>
          <w:color w:val="auto"/>
          <w:sz w:val="24"/>
          <w:szCs w:val="24"/>
          <w:highlight w:val="none"/>
        </w:rPr>
        <w:t>二、投诉项目基本情况：</w:t>
      </w:r>
    </w:p>
    <w:p w14:paraId="2CB8A42E">
      <w:pPr>
        <w:pStyle w:val="20"/>
        <w:spacing w:line="360" w:lineRule="auto"/>
        <w:ind w:left="25" w:leftChars="12" w:firstLine="472" w:firstLineChars="197"/>
        <w:rPr>
          <w:rFonts w:hint="eastAsia" w:hAnsi="宋体"/>
          <w:color w:val="auto"/>
          <w:sz w:val="24"/>
          <w:szCs w:val="24"/>
          <w:highlight w:val="none"/>
        </w:rPr>
      </w:pPr>
      <w:r>
        <w:rPr>
          <w:rFonts w:hint="eastAsia" w:hAnsi="宋体"/>
          <w:bCs/>
          <w:color w:val="auto"/>
          <w:sz w:val="24"/>
          <w:szCs w:val="24"/>
          <w:highlight w:val="none"/>
        </w:rPr>
        <w:t>采购</w:t>
      </w:r>
      <w:r>
        <w:rPr>
          <w:rFonts w:hint="eastAsia" w:hAnsi="宋体"/>
          <w:color w:val="auto"/>
          <w:sz w:val="24"/>
          <w:szCs w:val="24"/>
          <w:highlight w:val="none"/>
        </w:rPr>
        <w:t>项目的名称：</w:t>
      </w:r>
      <w:r>
        <w:rPr>
          <w:rFonts w:hint="eastAsia" w:hAnsi="宋体"/>
          <w:bCs/>
          <w:color w:val="auto"/>
          <w:sz w:val="24"/>
          <w:szCs w:val="24"/>
          <w:highlight w:val="none"/>
          <w:u w:val="single"/>
        </w:rPr>
        <w:t xml:space="preserve">                                                                   </w:t>
      </w:r>
    </w:p>
    <w:p w14:paraId="7242D0F8">
      <w:pPr>
        <w:pStyle w:val="20"/>
        <w:spacing w:line="360" w:lineRule="auto"/>
        <w:ind w:left="25" w:leftChars="12" w:firstLine="472" w:firstLineChars="197"/>
        <w:rPr>
          <w:rFonts w:hint="eastAsia" w:hAnsi="宋体"/>
          <w:color w:val="auto"/>
          <w:sz w:val="24"/>
          <w:szCs w:val="24"/>
          <w:highlight w:val="none"/>
        </w:rPr>
      </w:pPr>
      <w:r>
        <w:rPr>
          <w:rFonts w:hint="eastAsia" w:hAnsi="宋体"/>
          <w:bCs/>
          <w:color w:val="auto"/>
          <w:sz w:val="24"/>
          <w:szCs w:val="24"/>
          <w:highlight w:val="none"/>
        </w:rPr>
        <w:t>采购</w:t>
      </w:r>
      <w:r>
        <w:rPr>
          <w:rFonts w:hint="eastAsia" w:hAnsi="宋体"/>
          <w:color w:val="auto"/>
          <w:sz w:val="24"/>
          <w:szCs w:val="24"/>
          <w:highlight w:val="none"/>
        </w:rPr>
        <w:t>项目的编号：</w:t>
      </w:r>
      <w:r>
        <w:rPr>
          <w:rFonts w:hint="eastAsia" w:hAnsi="宋体"/>
          <w:bCs/>
          <w:color w:val="auto"/>
          <w:sz w:val="24"/>
          <w:szCs w:val="24"/>
          <w:highlight w:val="none"/>
          <w:u w:val="single"/>
        </w:rPr>
        <w:t xml:space="preserve">                                          </w:t>
      </w:r>
    </w:p>
    <w:p w14:paraId="2A3106F1">
      <w:pPr>
        <w:pStyle w:val="20"/>
        <w:spacing w:line="360" w:lineRule="auto"/>
        <w:ind w:left="25" w:leftChars="12" w:firstLine="472" w:firstLineChars="197"/>
        <w:rPr>
          <w:rFonts w:hint="eastAsia" w:hAnsi="宋体"/>
          <w:bCs/>
          <w:color w:val="auto"/>
          <w:sz w:val="24"/>
          <w:szCs w:val="24"/>
          <w:highlight w:val="none"/>
          <w:u w:val="single"/>
        </w:rPr>
      </w:pPr>
      <w:r>
        <w:rPr>
          <w:rFonts w:hint="eastAsia" w:hAnsi="宋体"/>
          <w:color w:val="auto"/>
          <w:sz w:val="24"/>
          <w:szCs w:val="24"/>
          <w:highlight w:val="none"/>
        </w:rPr>
        <w:t>采购人名称：</w:t>
      </w:r>
      <w:r>
        <w:rPr>
          <w:rFonts w:hint="eastAsia" w:hAnsi="宋体"/>
          <w:bCs/>
          <w:color w:val="auto"/>
          <w:sz w:val="24"/>
          <w:szCs w:val="24"/>
          <w:highlight w:val="none"/>
          <w:u w:val="single"/>
        </w:rPr>
        <w:t xml:space="preserve">                                                                        </w:t>
      </w:r>
    </w:p>
    <w:p w14:paraId="6F7FBAF9">
      <w:pPr>
        <w:pStyle w:val="20"/>
        <w:spacing w:line="360" w:lineRule="auto"/>
        <w:ind w:left="25" w:leftChars="12" w:firstLine="472" w:firstLineChars="197"/>
        <w:rPr>
          <w:rFonts w:hint="eastAsia" w:hAnsi="宋体"/>
          <w:bCs/>
          <w:color w:val="auto"/>
          <w:sz w:val="24"/>
          <w:szCs w:val="24"/>
          <w:highlight w:val="none"/>
          <w:u w:val="single"/>
        </w:rPr>
      </w:pPr>
      <w:r>
        <w:rPr>
          <w:rFonts w:hint="eastAsia" w:hAnsi="宋体"/>
          <w:color w:val="auto"/>
          <w:sz w:val="24"/>
          <w:szCs w:val="24"/>
          <w:highlight w:val="none"/>
        </w:rPr>
        <w:t>代理机构名称：</w:t>
      </w:r>
      <w:r>
        <w:rPr>
          <w:rFonts w:hint="eastAsia" w:hAnsi="宋体"/>
          <w:bCs/>
          <w:color w:val="auto"/>
          <w:sz w:val="24"/>
          <w:szCs w:val="24"/>
          <w:highlight w:val="none"/>
          <w:u w:val="single"/>
        </w:rPr>
        <w:t xml:space="preserve">                                                                      </w:t>
      </w:r>
    </w:p>
    <w:p w14:paraId="0A315808">
      <w:pPr>
        <w:pStyle w:val="20"/>
        <w:spacing w:line="360" w:lineRule="auto"/>
        <w:ind w:left="25" w:leftChars="12" w:firstLine="472" w:firstLineChars="197"/>
        <w:rPr>
          <w:rFonts w:hint="eastAsia" w:hAnsi="宋体"/>
          <w:bCs/>
          <w:color w:val="auto"/>
          <w:sz w:val="24"/>
          <w:szCs w:val="24"/>
          <w:highlight w:val="none"/>
          <w:u w:val="single"/>
        </w:rPr>
      </w:pPr>
      <w:r>
        <w:rPr>
          <w:rFonts w:hint="eastAsia" w:hAnsi="宋体"/>
          <w:bCs/>
          <w:color w:val="auto"/>
          <w:sz w:val="24"/>
          <w:szCs w:val="24"/>
          <w:highlight w:val="none"/>
        </w:rPr>
        <w:t>采购文件公告：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r>
        <w:rPr>
          <w:rFonts w:hint="eastAsia" w:hAnsi="宋体"/>
          <w:bCs/>
          <w:color w:val="auto"/>
          <w:sz w:val="24"/>
          <w:szCs w:val="24"/>
          <w:highlight w:val="none"/>
          <w:u w:val="single"/>
        </w:rPr>
        <w:t xml:space="preserve">                                                       </w:t>
      </w:r>
    </w:p>
    <w:p w14:paraId="1B3B5152">
      <w:pPr>
        <w:pStyle w:val="20"/>
        <w:spacing w:line="360" w:lineRule="auto"/>
        <w:ind w:left="25" w:leftChars="12" w:firstLine="472" w:firstLineChars="197"/>
        <w:rPr>
          <w:rFonts w:hint="eastAsia" w:hAnsi="宋体"/>
          <w:b/>
          <w:color w:val="auto"/>
          <w:sz w:val="24"/>
          <w:szCs w:val="24"/>
          <w:highlight w:val="none"/>
        </w:rPr>
      </w:pPr>
      <w:r>
        <w:rPr>
          <w:rFonts w:hint="eastAsia" w:hAnsi="宋体"/>
          <w:bCs/>
          <w:color w:val="auto"/>
          <w:sz w:val="24"/>
          <w:szCs w:val="24"/>
          <w:highlight w:val="none"/>
        </w:rPr>
        <w:t>采购结果公告：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r>
        <w:rPr>
          <w:rFonts w:hint="eastAsia" w:hAnsi="宋体"/>
          <w:bCs/>
          <w:color w:val="auto"/>
          <w:sz w:val="24"/>
          <w:szCs w:val="24"/>
          <w:highlight w:val="none"/>
          <w:u w:val="single"/>
        </w:rPr>
        <w:t xml:space="preserve">                                                       </w:t>
      </w:r>
    </w:p>
    <w:p w14:paraId="728F261D">
      <w:pPr>
        <w:pStyle w:val="20"/>
        <w:spacing w:line="360" w:lineRule="auto"/>
        <w:ind w:left="25" w:leftChars="12" w:firstLine="472" w:firstLineChars="196"/>
        <w:rPr>
          <w:rFonts w:hint="eastAsia" w:hAnsi="宋体"/>
          <w:b/>
          <w:color w:val="auto"/>
          <w:sz w:val="24"/>
          <w:szCs w:val="24"/>
          <w:highlight w:val="none"/>
        </w:rPr>
      </w:pPr>
      <w:r>
        <w:rPr>
          <w:rFonts w:hint="eastAsia" w:hAnsi="宋体"/>
          <w:b/>
          <w:color w:val="auto"/>
          <w:sz w:val="24"/>
          <w:szCs w:val="24"/>
          <w:highlight w:val="none"/>
        </w:rPr>
        <w:t>三、质疑基本情况</w:t>
      </w:r>
    </w:p>
    <w:p w14:paraId="50A880AA">
      <w:pPr>
        <w:pStyle w:val="20"/>
        <w:spacing w:line="360" w:lineRule="auto"/>
        <w:ind w:firstLine="480" w:firstLineChars="200"/>
        <w:rPr>
          <w:rFonts w:hint="eastAsia" w:hAnsi="宋体"/>
          <w:color w:val="auto"/>
          <w:sz w:val="24"/>
          <w:szCs w:val="24"/>
          <w:highlight w:val="none"/>
        </w:rPr>
      </w:pPr>
      <w:r>
        <w:rPr>
          <w:rFonts w:hint="eastAsia" w:hAnsi="宋体"/>
          <w:color w:val="auto"/>
          <w:sz w:val="24"/>
          <w:szCs w:val="24"/>
          <w:highlight w:val="none"/>
        </w:rPr>
        <w:t>投诉人于</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日，向</w:t>
      </w:r>
      <w:r>
        <w:rPr>
          <w:rFonts w:hint="eastAsia" w:hAnsi="宋体"/>
          <w:color w:val="auto"/>
          <w:sz w:val="24"/>
          <w:szCs w:val="24"/>
          <w:highlight w:val="none"/>
          <w:u w:val="single"/>
        </w:rPr>
        <w:t xml:space="preserve">                                </w:t>
      </w:r>
      <w:r>
        <w:rPr>
          <w:rFonts w:hint="eastAsia" w:hAnsi="宋体"/>
          <w:color w:val="auto"/>
          <w:sz w:val="24"/>
          <w:szCs w:val="24"/>
          <w:highlight w:val="none"/>
        </w:rPr>
        <w:t>提出质疑，质疑事项为：</w:t>
      </w:r>
    </w:p>
    <w:p w14:paraId="00C4576B">
      <w:pPr>
        <w:pStyle w:val="20"/>
        <w:spacing w:line="360" w:lineRule="auto"/>
        <w:ind w:firstLine="241"/>
        <w:rPr>
          <w:rFonts w:hint="eastAsia" w:hAnsi="宋体"/>
          <w:bCs/>
          <w:color w:val="auto"/>
          <w:sz w:val="24"/>
          <w:szCs w:val="24"/>
          <w:highlight w:val="none"/>
          <w:u w:val="single"/>
        </w:rPr>
      </w:pP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483FD976">
      <w:pPr>
        <w:pStyle w:val="20"/>
        <w:spacing w:line="360" w:lineRule="auto"/>
        <w:ind w:firstLine="241"/>
        <w:rPr>
          <w:rFonts w:hint="eastAsia" w:hAnsi="宋体"/>
          <w:bCs/>
          <w:color w:val="auto"/>
          <w:sz w:val="24"/>
          <w:szCs w:val="24"/>
          <w:highlight w:val="none"/>
          <w:u w:val="single"/>
        </w:rPr>
      </w:pPr>
      <w:r>
        <w:rPr>
          <w:rFonts w:hint="eastAsia" w:hAnsi="宋体"/>
          <w:bCs/>
          <w:color w:val="auto"/>
          <w:sz w:val="24"/>
          <w:szCs w:val="24"/>
          <w:highlight w:val="none"/>
        </w:rPr>
        <w:t xml:space="preserve">    </w:t>
      </w:r>
      <w:r>
        <w:rPr>
          <w:rFonts w:hint="eastAsia" w:hAnsi="宋体"/>
          <w:bCs/>
          <w:color w:val="auto"/>
          <w:sz w:val="24"/>
          <w:szCs w:val="24"/>
          <w:highlight w:val="none"/>
          <w:u w:val="single"/>
        </w:rPr>
        <w:t xml:space="preserve">                                                                                      </w:t>
      </w:r>
    </w:p>
    <w:p w14:paraId="016FC2AD">
      <w:pPr>
        <w:pStyle w:val="20"/>
        <w:spacing w:line="360" w:lineRule="auto"/>
        <w:ind w:firstLine="480" w:firstLineChars="200"/>
        <w:rPr>
          <w:rFonts w:hint="eastAsia" w:hAnsi="宋体"/>
          <w:color w:val="auto"/>
          <w:sz w:val="24"/>
          <w:szCs w:val="24"/>
          <w:highlight w:val="none"/>
        </w:rPr>
      </w:pPr>
      <w:r>
        <w:rPr>
          <w:rFonts w:hint="eastAsia" w:hAnsi="宋体"/>
          <w:bCs/>
          <w:color w:val="auto"/>
          <w:sz w:val="24"/>
          <w:szCs w:val="24"/>
          <w:highlight w:val="none"/>
          <w:u w:val="single"/>
        </w:rPr>
        <w:t>采购人/代理机构</w:t>
      </w:r>
      <w:r>
        <w:rPr>
          <w:rFonts w:hint="eastAsia" w:hAnsi="宋体"/>
          <w:bCs/>
          <w:color w:val="auto"/>
          <w:sz w:val="24"/>
          <w:szCs w:val="24"/>
          <w:highlight w:val="none"/>
        </w:rPr>
        <w:t>于</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w:t>
      </w:r>
      <w:r>
        <w:rPr>
          <w:rFonts w:hint="eastAsia" w:hAnsi="宋体"/>
          <w:bCs/>
          <w:color w:val="auto"/>
          <w:sz w:val="24"/>
          <w:szCs w:val="24"/>
          <w:highlight w:val="none"/>
        </w:rPr>
        <w:t xml:space="preserve">就质疑事项作出了答复/没有在法定期限内作出答复。                                                                                             </w:t>
      </w:r>
    </w:p>
    <w:p w14:paraId="687F7EDD">
      <w:pPr>
        <w:pStyle w:val="20"/>
        <w:spacing w:line="360" w:lineRule="auto"/>
        <w:ind w:left="25" w:leftChars="12" w:firstLine="472" w:firstLineChars="196"/>
        <w:rPr>
          <w:rFonts w:hint="eastAsia" w:hAnsi="宋体"/>
          <w:b/>
          <w:color w:val="auto"/>
          <w:sz w:val="24"/>
          <w:szCs w:val="24"/>
          <w:highlight w:val="none"/>
        </w:rPr>
      </w:pPr>
      <w:r>
        <w:rPr>
          <w:rFonts w:hint="eastAsia" w:hAnsi="宋体"/>
          <w:b/>
          <w:color w:val="auto"/>
          <w:sz w:val="24"/>
          <w:szCs w:val="24"/>
          <w:highlight w:val="none"/>
        </w:rPr>
        <w:t>四、投诉事项具体内容</w:t>
      </w:r>
    </w:p>
    <w:p w14:paraId="4D62AF46">
      <w:pPr>
        <w:pStyle w:val="20"/>
        <w:spacing w:line="360" w:lineRule="auto"/>
        <w:ind w:left="25" w:leftChars="12" w:firstLine="472" w:firstLineChars="197"/>
        <w:rPr>
          <w:rFonts w:hint="eastAsia" w:hAnsi="宋体"/>
          <w:bCs/>
          <w:color w:val="auto"/>
          <w:sz w:val="24"/>
          <w:szCs w:val="24"/>
          <w:highlight w:val="none"/>
          <w:u w:val="single"/>
        </w:rPr>
      </w:pPr>
      <w:r>
        <w:rPr>
          <w:rFonts w:hint="eastAsia" w:hAnsi="宋体"/>
          <w:color w:val="auto"/>
          <w:sz w:val="24"/>
          <w:szCs w:val="24"/>
          <w:highlight w:val="none"/>
        </w:rPr>
        <w:t>投诉事项1：</w:t>
      </w:r>
      <w:r>
        <w:rPr>
          <w:rFonts w:hint="eastAsia" w:hAnsi="宋体"/>
          <w:bCs/>
          <w:color w:val="auto"/>
          <w:sz w:val="24"/>
          <w:szCs w:val="24"/>
          <w:highlight w:val="none"/>
          <w:u w:val="single"/>
        </w:rPr>
        <w:t xml:space="preserve">                                                                           </w:t>
      </w:r>
    </w:p>
    <w:p w14:paraId="10D559CB">
      <w:pPr>
        <w:pStyle w:val="2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事实依据：</w:t>
      </w: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7C0D630B">
      <w:pPr>
        <w:pStyle w:val="20"/>
        <w:spacing w:line="360" w:lineRule="auto"/>
        <w:ind w:left="25" w:leftChars="12" w:firstLine="472" w:firstLineChars="197"/>
        <w:rPr>
          <w:rFonts w:hint="eastAsia" w:hAnsi="宋体"/>
          <w:color w:val="auto"/>
          <w:sz w:val="24"/>
          <w:szCs w:val="24"/>
          <w:highlight w:val="none"/>
        </w:rPr>
      </w:pPr>
      <w:r>
        <w:rPr>
          <w:rFonts w:hint="eastAsia" w:hAnsi="宋体"/>
          <w:bCs/>
          <w:color w:val="auto"/>
          <w:sz w:val="24"/>
          <w:szCs w:val="24"/>
          <w:highlight w:val="none"/>
          <w:u w:val="single"/>
        </w:rPr>
        <w:t xml:space="preserve">                                                                                        </w:t>
      </w:r>
    </w:p>
    <w:p w14:paraId="13E02B7A">
      <w:pPr>
        <w:pStyle w:val="2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法律依据：</w:t>
      </w: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7B7D6400">
      <w:pPr>
        <w:pStyle w:val="20"/>
        <w:spacing w:line="360" w:lineRule="auto"/>
        <w:ind w:left="25" w:leftChars="12" w:firstLine="352" w:firstLineChars="147"/>
        <w:rPr>
          <w:rFonts w:hint="eastAsia" w:hAnsi="宋体"/>
          <w:bCs/>
          <w:color w:val="auto"/>
          <w:sz w:val="24"/>
          <w:szCs w:val="24"/>
          <w:highlight w:val="none"/>
          <w:u w:val="single"/>
        </w:rPr>
      </w:pPr>
      <w:r>
        <w:rPr>
          <w:rFonts w:hint="eastAsia" w:hAnsi="宋体"/>
          <w:bCs/>
          <w:color w:val="auto"/>
          <w:sz w:val="24"/>
          <w:szCs w:val="24"/>
          <w:highlight w:val="none"/>
        </w:rPr>
        <w:t xml:space="preserve"> </w:t>
      </w:r>
      <w:r>
        <w:rPr>
          <w:rFonts w:hint="eastAsia" w:hAnsi="宋体"/>
          <w:bCs/>
          <w:color w:val="auto"/>
          <w:sz w:val="24"/>
          <w:szCs w:val="24"/>
          <w:highlight w:val="none"/>
          <w:u w:val="single"/>
        </w:rPr>
        <w:t xml:space="preserve">                                                                                        </w:t>
      </w:r>
    </w:p>
    <w:p w14:paraId="72B0C2EB">
      <w:pPr>
        <w:pStyle w:val="20"/>
        <w:spacing w:line="360" w:lineRule="auto"/>
        <w:ind w:left="25" w:leftChars="12" w:firstLine="472" w:firstLineChars="197"/>
        <w:rPr>
          <w:rFonts w:hint="eastAsia" w:hAnsi="宋体"/>
          <w:bCs/>
          <w:color w:val="auto"/>
          <w:sz w:val="24"/>
          <w:szCs w:val="24"/>
          <w:highlight w:val="none"/>
        </w:rPr>
      </w:pPr>
      <w:r>
        <w:rPr>
          <w:rFonts w:hint="eastAsia" w:hAnsi="宋体"/>
          <w:color w:val="auto"/>
          <w:sz w:val="24"/>
          <w:szCs w:val="24"/>
          <w:highlight w:val="none"/>
        </w:rPr>
        <w:t xml:space="preserve">投诉事项2  </w:t>
      </w:r>
      <w:r>
        <w:rPr>
          <w:rFonts w:hint="eastAsia" w:hAnsi="宋体"/>
          <w:bCs/>
          <w:color w:val="auto"/>
          <w:sz w:val="24"/>
          <w:szCs w:val="24"/>
          <w:highlight w:val="none"/>
        </w:rPr>
        <w:t xml:space="preserve">   </w:t>
      </w:r>
    </w:p>
    <w:p w14:paraId="09FF1CAD">
      <w:pPr>
        <w:pStyle w:val="20"/>
        <w:spacing w:line="360" w:lineRule="auto"/>
        <w:ind w:left="25" w:leftChars="12" w:firstLine="472" w:firstLineChars="197"/>
        <w:rPr>
          <w:rFonts w:hint="eastAsia" w:hAnsi="宋体"/>
          <w:bCs/>
          <w:color w:val="auto"/>
          <w:sz w:val="24"/>
          <w:szCs w:val="24"/>
          <w:highlight w:val="none"/>
        </w:rPr>
      </w:pPr>
      <w:r>
        <w:rPr>
          <w:rFonts w:hAnsi="宋体"/>
          <w:bCs/>
          <w:color w:val="auto"/>
          <w:sz w:val="24"/>
          <w:szCs w:val="24"/>
          <w:highlight w:val="none"/>
        </w:rPr>
        <w:t>……</w:t>
      </w:r>
    </w:p>
    <w:p w14:paraId="55778570">
      <w:pPr>
        <w:pStyle w:val="20"/>
        <w:spacing w:line="360" w:lineRule="auto"/>
        <w:ind w:left="25" w:leftChars="12" w:firstLine="472" w:firstLineChars="196"/>
        <w:rPr>
          <w:rFonts w:hint="eastAsia" w:hAnsi="宋体"/>
          <w:b/>
          <w:color w:val="auto"/>
          <w:sz w:val="24"/>
          <w:szCs w:val="24"/>
          <w:highlight w:val="none"/>
        </w:rPr>
      </w:pPr>
      <w:r>
        <w:rPr>
          <w:rFonts w:hint="eastAsia" w:hAnsi="宋体"/>
          <w:b/>
          <w:color w:val="auto"/>
          <w:sz w:val="24"/>
          <w:szCs w:val="24"/>
          <w:highlight w:val="none"/>
        </w:rPr>
        <w:t>五、与投诉事项相关的投诉请求：</w:t>
      </w:r>
    </w:p>
    <w:p w14:paraId="6A8FBDC3">
      <w:pPr>
        <w:pStyle w:val="20"/>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请求：</w:t>
      </w:r>
      <w:r>
        <w:rPr>
          <w:rFonts w:hint="eastAsia" w:hAnsi="宋体"/>
          <w:bCs/>
          <w:color w:val="auto"/>
          <w:sz w:val="24"/>
          <w:szCs w:val="24"/>
          <w:highlight w:val="none"/>
          <w:u w:val="single"/>
        </w:rPr>
        <w:t xml:space="preserve">                                                                                 </w:t>
      </w:r>
    </w:p>
    <w:p w14:paraId="17BF1439">
      <w:pPr>
        <w:pStyle w:val="20"/>
        <w:spacing w:line="360" w:lineRule="auto"/>
        <w:ind w:left="25" w:leftChars="12" w:firstLine="352" w:firstLineChars="147"/>
        <w:rPr>
          <w:rFonts w:hint="eastAsia" w:hAnsi="宋体"/>
          <w:color w:val="auto"/>
          <w:sz w:val="24"/>
          <w:szCs w:val="24"/>
          <w:highlight w:val="none"/>
        </w:rPr>
      </w:pPr>
    </w:p>
    <w:p w14:paraId="197FFE12">
      <w:pPr>
        <w:pStyle w:val="20"/>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签字（签章）：                                       公章：</w:t>
      </w:r>
    </w:p>
    <w:p w14:paraId="66DF9993">
      <w:pPr>
        <w:pStyle w:val="20"/>
        <w:spacing w:line="360" w:lineRule="auto"/>
        <w:ind w:left="25" w:leftChars="12" w:firstLine="352" w:firstLineChars="147"/>
        <w:rPr>
          <w:rFonts w:hint="eastAsia" w:hAnsi="宋体"/>
          <w:color w:val="auto"/>
          <w:sz w:val="24"/>
          <w:szCs w:val="24"/>
          <w:highlight w:val="none"/>
        </w:rPr>
      </w:pPr>
    </w:p>
    <w:p w14:paraId="7236C870">
      <w:pPr>
        <w:pStyle w:val="20"/>
        <w:spacing w:line="360" w:lineRule="auto"/>
        <w:ind w:left="25" w:leftChars="12" w:firstLine="472" w:firstLineChars="197"/>
        <w:rPr>
          <w:rFonts w:hint="eastAsia" w:hAnsi="宋体"/>
          <w:b/>
          <w:color w:val="auto"/>
          <w:sz w:val="24"/>
          <w:szCs w:val="24"/>
          <w:highlight w:val="none"/>
        </w:rPr>
      </w:pPr>
      <w:r>
        <w:rPr>
          <w:rFonts w:hint="eastAsia" w:hAnsi="宋体"/>
          <w:color w:val="auto"/>
          <w:sz w:val="24"/>
          <w:szCs w:val="24"/>
          <w:highlight w:val="none"/>
        </w:rPr>
        <w:t>日期：</w:t>
      </w:r>
      <w:r>
        <w:rPr>
          <w:rFonts w:hint="eastAsia" w:hAnsi="宋体"/>
          <w:bCs/>
          <w:color w:val="auto"/>
          <w:sz w:val="24"/>
          <w:szCs w:val="24"/>
          <w:highlight w:val="none"/>
        </w:rPr>
        <w:t xml:space="preserve">                                                                              </w:t>
      </w:r>
    </w:p>
    <w:p w14:paraId="1C126EBE">
      <w:pPr>
        <w:pStyle w:val="20"/>
        <w:snapToGrid w:val="0"/>
        <w:spacing w:line="360" w:lineRule="auto"/>
        <w:rPr>
          <w:rFonts w:hint="eastAsia" w:hAnsi="宋体"/>
          <w:b/>
          <w:color w:val="auto"/>
          <w:sz w:val="24"/>
          <w:szCs w:val="24"/>
          <w:highlight w:val="none"/>
        </w:rPr>
      </w:pPr>
      <w:r>
        <w:rPr>
          <w:rFonts w:hint="eastAsia" w:hAnsi="宋体"/>
          <w:b/>
          <w:color w:val="auto"/>
          <w:sz w:val="24"/>
          <w:szCs w:val="24"/>
          <w:highlight w:val="none"/>
        </w:rPr>
        <w:t>说明：</w:t>
      </w:r>
    </w:p>
    <w:p w14:paraId="56D1B1E3">
      <w:pPr>
        <w:pStyle w:val="20"/>
        <w:spacing w:line="360" w:lineRule="auto"/>
        <w:ind w:left="25" w:leftChars="12" w:firstLine="354" w:firstLineChars="147"/>
        <w:rPr>
          <w:rFonts w:hint="eastAsia" w:hAnsi="宋体"/>
          <w:b/>
          <w:bCs/>
          <w:color w:val="auto"/>
          <w:sz w:val="24"/>
          <w:szCs w:val="24"/>
          <w:highlight w:val="none"/>
        </w:rPr>
      </w:pPr>
      <w:r>
        <w:rPr>
          <w:rFonts w:hint="eastAsia" w:hAnsi="宋体"/>
          <w:b/>
          <w:color w:val="auto"/>
          <w:sz w:val="24"/>
          <w:szCs w:val="24"/>
          <w:highlight w:val="none"/>
        </w:rPr>
        <w:t>1.投诉人提起投诉时，应当提交投诉书和必要的证明材料，并按照被投诉人和与投诉事项有关的供应商数量提供投诉书副本</w:t>
      </w:r>
      <w:r>
        <w:rPr>
          <w:rFonts w:hint="eastAsia" w:hAnsi="宋体"/>
          <w:b/>
          <w:bCs/>
          <w:color w:val="auto"/>
          <w:sz w:val="24"/>
          <w:szCs w:val="24"/>
          <w:highlight w:val="none"/>
        </w:rPr>
        <w:t>。</w:t>
      </w:r>
    </w:p>
    <w:p w14:paraId="2881C2B9">
      <w:pPr>
        <w:pStyle w:val="20"/>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2.投诉人若委托代理人进行投诉的，投诉书应按要求列明</w:t>
      </w:r>
      <w:r>
        <w:rPr>
          <w:rFonts w:hint="eastAsia" w:hAnsi="宋体"/>
          <w:b/>
          <w:color w:val="auto"/>
          <w:sz w:val="24"/>
          <w:szCs w:val="24"/>
          <w:highlight w:val="none"/>
          <w:lang w:eastAsia="zh-CN"/>
        </w:rPr>
        <w:t>“</w:t>
      </w:r>
      <w:r>
        <w:rPr>
          <w:rFonts w:hint="eastAsia" w:hAnsi="宋体"/>
          <w:b/>
          <w:color w:val="auto"/>
          <w:sz w:val="24"/>
          <w:szCs w:val="24"/>
          <w:highlight w:val="none"/>
        </w:rPr>
        <w:t>授权代表</w:t>
      </w:r>
      <w:r>
        <w:rPr>
          <w:rFonts w:hint="eastAsia" w:hAnsi="宋体"/>
          <w:b/>
          <w:color w:val="auto"/>
          <w:sz w:val="24"/>
          <w:szCs w:val="24"/>
          <w:highlight w:val="none"/>
          <w:lang w:eastAsia="zh-CN"/>
        </w:rPr>
        <w:t>”</w:t>
      </w:r>
      <w:r>
        <w:rPr>
          <w:rFonts w:hint="eastAsia" w:hAnsi="宋体"/>
          <w:b/>
          <w:color w:val="auto"/>
          <w:sz w:val="24"/>
          <w:szCs w:val="24"/>
          <w:highlight w:val="none"/>
        </w:rPr>
        <w:t>的有关内容，并在附件中提交由投诉人签署的授权委托书。授权委托书应当载明代理人的姓名或者名称、代理事项、具体权限、期限和相关事项。</w:t>
      </w:r>
    </w:p>
    <w:p w14:paraId="7DBF8DED">
      <w:pPr>
        <w:pStyle w:val="20"/>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3.投诉书应简要列明质疑事项，质疑函、质疑答复等作为附件材料提供。</w:t>
      </w:r>
    </w:p>
    <w:p w14:paraId="4B583D24">
      <w:pPr>
        <w:pStyle w:val="20"/>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4.投诉书的投诉事项应具体、明确，并有必要的事实依据和法律依据。</w:t>
      </w:r>
    </w:p>
    <w:p w14:paraId="7595A2A0">
      <w:pPr>
        <w:pStyle w:val="20"/>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5.投诉书的投诉请求应与投诉事项相关。</w:t>
      </w:r>
    </w:p>
    <w:p w14:paraId="136BFA08">
      <w:pPr>
        <w:spacing w:before="116" w:line="362" w:lineRule="auto"/>
        <w:ind w:left="8" w:right="60" w:firstLine="481"/>
        <w:rPr>
          <w:rFonts w:ascii="宋体" w:hAnsi="宋体" w:eastAsia="宋体" w:cs="宋体"/>
          <w:color w:val="auto"/>
          <w:sz w:val="21"/>
          <w:szCs w:val="21"/>
          <w:highlight w:val="none"/>
        </w:rPr>
      </w:pPr>
      <w:r>
        <w:rPr>
          <w:rFonts w:hint="eastAsia" w:hAnsi="宋体"/>
          <w:b/>
          <w:color w:val="auto"/>
          <w:sz w:val="24"/>
          <w:szCs w:val="24"/>
          <w:highlight w:val="none"/>
        </w:rPr>
        <w:t>6.投诉人为法人或者其他组织的，投诉书应由法定代表人、主要负责人，或者其授权代表签字或者盖章，并加盖公章。</w:t>
      </w:r>
    </w:p>
    <w:p w14:paraId="6DB270F4">
      <w:pPr>
        <w:spacing w:before="79" w:line="360" w:lineRule="auto"/>
        <w:ind w:left="429" w:right="86" w:hanging="1"/>
        <w:jc w:val="both"/>
        <w:rPr>
          <w:rFonts w:ascii="宋体" w:hAnsi="宋体" w:eastAsia="宋体" w:cs="宋体"/>
          <w:color w:val="auto"/>
          <w:spacing w:val="-1"/>
          <w:sz w:val="24"/>
          <w:szCs w:val="24"/>
          <w:highlight w:val="none"/>
        </w:rPr>
      </w:pPr>
    </w:p>
    <w:p w14:paraId="300B920B">
      <w:pPr>
        <w:spacing w:before="78" w:line="219" w:lineRule="auto"/>
        <w:ind w:firstLine="4998" w:firstLineChars="2100"/>
        <w:rPr>
          <w:rFonts w:ascii="宋体" w:hAnsi="宋体" w:eastAsia="宋体" w:cs="宋体"/>
          <w:color w:val="auto"/>
          <w:spacing w:val="-1"/>
          <w:sz w:val="24"/>
          <w:szCs w:val="24"/>
          <w:highlight w:val="none"/>
        </w:rPr>
      </w:pPr>
    </w:p>
    <w:p w14:paraId="36F349C6">
      <w:pPr>
        <w:spacing w:before="180" w:line="219" w:lineRule="auto"/>
        <w:ind w:left="3002"/>
        <w:rPr>
          <w:rFonts w:ascii="宋体" w:hAnsi="宋体" w:eastAsia="宋体" w:cs="宋体"/>
          <w:color w:val="auto"/>
          <w:spacing w:val="-1"/>
          <w:sz w:val="24"/>
          <w:szCs w:val="24"/>
          <w:highlight w:val="none"/>
        </w:rPr>
      </w:pPr>
    </w:p>
    <w:p w14:paraId="558D916B">
      <w:pPr>
        <w:spacing w:line="500" w:lineRule="exact"/>
        <w:rPr>
          <w:color w:val="auto"/>
          <w:kern w:val="0"/>
          <w:highlight w:val="none"/>
        </w:rPr>
      </w:pPr>
    </w:p>
    <w:p w14:paraId="55B1247E">
      <w:pPr>
        <w:spacing w:line="500" w:lineRule="exact"/>
        <w:rPr>
          <w:color w:val="auto"/>
          <w:kern w:val="0"/>
          <w:highlight w:val="none"/>
        </w:rPr>
      </w:pPr>
    </w:p>
    <w:p w14:paraId="701CB0A6">
      <w:pPr>
        <w:spacing w:line="500" w:lineRule="exact"/>
        <w:rPr>
          <w:color w:val="auto"/>
          <w:kern w:val="0"/>
          <w:highlight w:val="none"/>
        </w:rPr>
      </w:pPr>
    </w:p>
    <w:p w14:paraId="643B20B0">
      <w:pPr>
        <w:spacing w:line="500" w:lineRule="exact"/>
        <w:rPr>
          <w:color w:val="auto"/>
          <w:kern w:val="0"/>
          <w:highlight w:val="none"/>
        </w:rPr>
      </w:pPr>
    </w:p>
    <w:p w14:paraId="085D00F7">
      <w:pPr>
        <w:spacing w:line="500" w:lineRule="exact"/>
        <w:rPr>
          <w:color w:val="auto"/>
          <w:kern w:val="0"/>
          <w:highlight w:val="none"/>
        </w:rPr>
      </w:pPr>
    </w:p>
    <w:p w14:paraId="61147638">
      <w:pPr>
        <w:spacing w:line="500" w:lineRule="exact"/>
        <w:rPr>
          <w:rFonts w:hint="eastAsia" w:ascii="宋体" w:hAnsi="宋体"/>
          <w:b/>
          <w:color w:val="auto"/>
          <w:kern w:val="0"/>
          <w:sz w:val="32"/>
          <w:szCs w:val="32"/>
          <w:highlight w:val="none"/>
        </w:rPr>
      </w:pPr>
    </w:p>
    <w:p w14:paraId="05144D10">
      <w:pPr>
        <w:spacing w:line="400" w:lineRule="exact"/>
        <w:ind w:left="420" w:hanging="420"/>
        <w:jc w:val="center"/>
        <w:rPr>
          <w:rFonts w:hint="eastAsia" w:ascii="宋体" w:hAnsi="宋体"/>
          <w:b/>
          <w:color w:val="auto"/>
          <w:kern w:val="0"/>
          <w:sz w:val="32"/>
          <w:szCs w:val="32"/>
          <w:highlight w:val="none"/>
        </w:rPr>
      </w:pPr>
    </w:p>
    <w:p w14:paraId="2DD30DC1">
      <w:pPr>
        <w:spacing w:line="400" w:lineRule="exact"/>
        <w:ind w:left="420" w:hanging="420"/>
        <w:jc w:val="center"/>
        <w:rPr>
          <w:rFonts w:hint="eastAsia" w:ascii="宋体" w:hAnsi="宋体"/>
          <w:b/>
          <w:color w:val="auto"/>
          <w:kern w:val="0"/>
          <w:sz w:val="32"/>
          <w:szCs w:val="32"/>
          <w:highlight w:val="none"/>
        </w:rPr>
      </w:pPr>
    </w:p>
    <w:p w14:paraId="446C8C9A">
      <w:pPr>
        <w:spacing w:line="400" w:lineRule="exact"/>
        <w:ind w:left="420" w:hanging="420"/>
        <w:jc w:val="center"/>
        <w:rPr>
          <w:rFonts w:hint="eastAsia" w:ascii="宋体" w:hAnsi="宋体"/>
          <w:b/>
          <w:color w:val="auto"/>
          <w:kern w:val="0"/>
          <w:sz w:val="32"/>
          <w:szCs w:val="32"/>
          <w:highlight w:val="none"/>
        </w:rPr>
      </w:pPr>
    </w:p>
    <w:p w14:paraId="1E89D5F2">
      <w:pPr>
        <w:spacing w:line="400" w:lineRule="exact"/>
        <w:ind w:left="420" w:hanging="420"/>
        <w:jc w:val="center"/>
        <w:rPr>
          <w:rFonts w:hint="eastAsia" w:ascii="宋体" w:hAnsi="宋体"/>
          <w:b/>
          <w:color w:val="auto"/>
          <w:kern w:val="0"/>
          <w:sz w:val="32"/>
          <w:szCs w:val="32"/>
          <w:highlight w:val="none"/>
        </w:rPr>
      </w:pPr>
    </w:p>
    <w:p w14:paraId="4C0E2A67">
      <w:pPr>
        <w:spacing w:line="400" w:lineRule="exact"/>
        <w:ind w:left="420" w:hanging="420"/>
        <w:jc w:val="center"/>
        <w:rPr>
          <w:rFonts w:hint="eastAsia" w:ascii="宋体" w:hAnsi="宋体"/>
          <w:b/>
          <w:color w:val="auto"/>
          <w:kern w:val="0"/>
          <w:sz w:val="32"/>
          <w:szCs w:val="32"/>
          <w:highlight w:val="none"/>
        </w:rPr>
      </w:pPr>
    </w:p>
    <w:p w14:paraId="4D51FF8F">
      <w:pPr>
        <w:pStyle w:val="33"/>
        <w:rPr>
          <w:rFonts w:hint="eastAsia"/>
          <w:color w:val="auto"/>
          <w:kern w:val="0"/>
          <w:sz w:val="44"/>
          <w:szCs w:val="44"/>
          <w:highlight w:val="none"/>
        </w:rPr>
      </w:pPr>
      <w:bookmarkStart w:id="42" w:name="_Toc476258672"/>
      <w:bookmarkStart w:id="43" w:name="_Toc2207"/>
      <w:r>
        <w:rPr>
          <w:rFonts w:hint="eastAsia"/>
          <w:color w:val="auto"/>
          <w:kern w:val="0"/>
          <w:sz w:val="44"/>
          <w:szCs w:val="44"/>
          <w:highlight w:val="none"/>
        </w:rPr>
        <w:t>第</w:t>
      </w:r>
      <w:r>
        <w:rPr>
          <w:rFonts w:hint="eastAsia"/>
          <w:color w:val="auto"/>
          <w:kern w:val="0"/>
          <w:sz w:val="44"/>
          <w:szCs w:val="44"/>
          <w:highlight w:val="none"/>
          <w:lang w:val="en-US" w:eastAsia="zh-CN"/>
        </w:rPr>
        <w:t>六</w:t>
      </w:r>
      <w:r>
        <w:rPr>
          <w:rFonts w:hint="eastAsia"/>
          <w:color w:val="auto"/>
          <w:kern w:val="0"/>
          <w:sz w:val="44"/>
          <w:szCs w:val="44"/>
          <w:highlight w:val="none"/>
        </w:rPr>
        <w:t>章  合同</w:t>
      </w:r>
      <w:bookmarkEnd w:id="42"/>
      <w:r>
        <w:rPr>
          <w:rFonts w:hint="eastAsia"/>
          <w:color w:val="auto"/>
          <w:kern w:val="0"/>
          <w:sz w:val="44"/>
          <w:szCs w:val="44"/>
          <w:highlight w:val="none"/>
        </w:rPr>
        <w:t>文本</w:t>
      </w:r>
      <w:bookmarkEnd w:id="43"/>
    </w:p>
    <w:p w14:paraId="42CF3650">
      <w:pPr>
        <w:spacing w:line="300" w:lineRule="auto"/>
        <w:ind w:left="420" w:hanging="420"/>
        <w:jc w:val="center"/>
        <w:rPr>
          <w:rFonts w:hint="eastAsia" w:ascii="黑体" w:hAnsi="宋体" w:eastAsia="黑体"/>
          <w:b/>
          <w:color w:val="auto"/>
          <w:kern w:val="0"/>
          <w:sz w:val="32"/>
          <w:szCs w:val="32"/>
          <w:highlight w:val="none"/>
        </w:rPr>
      </w:pPr>
    </w:p>
    <w:p w14:paraId="6ECAE452">
      <w:pPr>
        <w:spacing w:line="300" w:lineRule="auto"/>
        <w:ind w:left="420" w:hanging="420"/>
        <w:jc w:val="center"/>
        <w:rPr>
          <w:rFonts w:hint="eastAsia" w:ascii="黑体" w:hAnsi="宋体" w:eastAsia="黑体"/>
          <w:b/>
          <w:color w:val="auto"/>
          <w:kern w:val="0"/>
          <w:sz w:val="32"/>
          <w:szCs w:val="32"/>
          <w:highlight w:val="none"/>
        </w:rPr>
      </w:pPr>
    </w:p>
    <w:p w14:paraId="2EEF8D8A">
      <w:pPr>
        <w:spacing w:line="300" w:lineRule="auto"/>
        <w:ind w:left="420" w:hanging="420"/>
        <w:jc w:val="center"/>
        <w:rPr>
          <w:rFonts w:hint="eastAsia" w:ascii="黑体" w:hAnsi="宋体" w:eastAsia="黑体"/>
          <w:b/>
          <w:color w:val="auto"/>
          <w:kern w:val="0"/>
          <w:sz w:val="32"/>
          <w:szCs w:val="32"/>
          <w:highlight w:val="none"/>
        </w:rPr>
      </w:pPr>
    </w:p>
    <w:p w14:paraId="05D9FA37">
      <w:pPr>
        <w:spacing w:line="300" w:lineRule="auto"/>
        <w:ind w:left="420" w:hanging="420"/>
        <w:jc w:val="center"/>
        <w:rPr>
          <w:rFonts w:hint="eastAsia" w:ascii="黑体" w:hAnsi="宋体" w:eastAsia="黑体"/>
          <w:b/>
          <w:color w:val="auto"/>
          <w:kern w:val="0"/>
          <w:sz w:val="32"/>
          <w:szCs w:val="32"/>
          <w:highlight w:val="none"/>
        </w:rPr>
      </w:pPr>
    </w:p>
    <w:p w14:paraId="2822D327">
      <w:pPr>
        <w:spacing w:line="300" w:lineRule="auto"/>
        <w:ind w:left="420" w:hanging="420"/>
        <w:jc w:val="center"/>
        <w:rPr>
          <w:rFonts w:hint="eastAsia" w:ascii="黑体" w:hAnsi="宋体" w:eastAsia="黑体"/>
          <w:b/>
          <w:color w:val="auto"/>
          <w:kern w:val="0"/>
          <w:sz w:val="32"/>
          <w:szCs w:val="32"/>
          <w:highlight w:val="none"/>
        </w:rPr>
      </w:pPr>
    </w:p>
    <w:p w14:paraId="4FC06FFA">
      <w:pPr>
        <w:spacing w:line="300" w:lineRule="auto"/>
        <w:ind w:left="420" w:hanging="420"/>
        <w:jc w:val="center"/>
        <w:rPr>
          <w:rFonts w:hint="eastAsia" w:ascii="黑体" w:hAnsi="宋体" w:eastAsia="黑体"/>
          <w:b/>
          <w:color w:val="auto"/>
          <w:kern w:val="0"/>
          <w:sz w:val="32"/>
          <w:szCs w:val="32"/>
          <w:highlight w:val="none"/>
        </w:rPr>
      </w:pPr>
    </w:p>
    <w:p w14:paraId="24C5F18C">
      <w:pPr>
        <w:spacing w:line="300" w:lineRule="auto"/>
        <w:ind w:left="420" w:hanging="420"/>
        <w:jc w:val="center"/>
        <w:rPr>
          <w:rFonts w:hint="eastAsia" w:ascii="黑体" w:hAnsi="宋体" w:eastAsia="黑体"/>
          <w:b/>
          <w:color w:val="auto"/>
          <w:kern w:val="0"/>
          <w:sz w:val="32"/>
          <w:szCs w:val="32"/>
          <w:highlight w:val="none"/>
        </w:rPr>
      </w:pPr>
    </w:p>
    <w:p w14:paraId="6FC9FA5D">
      <w:pPr>
        <w:spacing w:line="300" w:lineRule="auto"/>
        <w:ind w:left="420" w:hanging="420"/>
        <w:jc w:val="center"/>
        <w:rPr>
          <w:rFonts w:hint="eastAsia" w:ascii="黑体" w:hAnsi="宋体" w:eastAsia="黑体"/>
          <w:b/>
          <w:color w:val="auto"/>
          <w:kern w:val="0"/>
          <w:sz w:val="32"/>
          <w:szCs w:val="32"/>
          <w:highlight w:val="none"/>
        </w:rPr>
      </w:pPr>
    </w:p>
    <w:p w14:paraId="0B04D392">
      <w:pPr>
        <w:spacing w:line="300" w:lineRule="auto"/>
        <w:ind w:left="420" w:hanging="420"/>
        <w:jc w:val="center"/>
        <w:rPr>
          <w:rFonts w:hint="eastAsia" w:ascii="黑体" w:hAnsi="宋体" w:eastAsia="黑体"/>
          <w:b/>
          <w:color w:val="auto"/>
          <w:kern w:val="0"/>
          <w:sz w:val="32"/>
          <w:szCs w:val="32"/>
          <w:highlight w:val="none"/>
        </w:rPr>
      </w:pPr>
    </w:p>
    <w:p w14:paraId="28542C4A">
      <w:pPr>
        <w:spacing w:line="300" w:lineRule="auto"/>
        <w:ind w:left="420" w:hanging="420"/>
        <w:jc w:val="center"/>
        <w:rPr>
          <w:rFonts w:hint="eastAsia" w:ascii="黑体" w:hAnsi="宋体" w:eastAsia="黑体"/>
          <w:b/>
          <w:color w:val="auto"/>
          <w:kern w:val="0"/>
          <w:sz w:val="32"/>
          <w:szCs w:val="32"/>
          <w:highlight w:val="none"/>
        </w:rPr>
      </w:pPr>
    </w:p>
    <w:p w14:paraId="70959FB2">
      <w:pPr>
        <w:spacing w:line="300" w:lineRule="auto"/>
        <w:ind w:left="420" w:hanging="420"/>
        <w:jc w:val="center"/>
        <w:rPr>
          <w:rFonts w:hint="eastAsia" w:ascii="黑体" w:hAnsi="宋体" w:eastAsia="黑体"/>
          <w:b/>
          <w:color w:val="auto"/>
          <w:kern w:val="0"/>
          <w:sz w:val="32"/>
          <w:szCs w:val="32"/>
          <w:highlight w:val="none"/>
        </w:rPr>
      </w:pPr>
    </w:p>
    <w:p w14:paraId="2A83FA04">
      <w:pPr>
        <w:spacing w:line="360" w:lineRule="auto"/>
        <w:rPr>
          <w:rFonts w:hint="eastAsia" w:ascii="宋体" w:hAnsi="宋体"/>
          <w:b/>
          <w:bCs/>
          <w:color w:val="auto"/>
          <w:highlight w:val="none"/>
        </w:rPr>
      </w:pPr>
      <w:r>
        <w:rPr>
          <w:color w:val="auto"/>
          <w:szCs w:val="21"/>
          <w:highlight w:val="none"/>
        </w:rPr>
        <w:br w:type="page"/>
      </w:r>
      <w:r>
        <w:rPr>
          <w:rFonts w:hint="eastAsia" w:ascii="宋体" w:hAnsi="宋体" w:eastAsia="宋体" w:cs="Times New Roman"/>
          <w:color w:val="auto"/>
          <w:szCs w:val="21"/>
          <w:highlight w:val="none"/>
        </w:rPr>
        <w:t>广西政府采购云平台合同编号</w:t>
      </w:r>
      <w:r>
        <w:rPr>
          <w:rFonts w:hint="eastAsia" w:ascii="仿宋_GB2312" w:hAnsi="楷体" w:eastAsia="仿宋_GB2312"/>
          <w:color w:val="auto"/>
          <w:sz w:val="24"/>
          <w:highlight w:val="none"/>
        </w:rPr>
        <w:t>：</w:t>
      </w:r>
    </w:p>
    <w:p w14:paraId="370B4511">
      <w:pPr>
        <w:spacing w:line="360" w:lineRule="auto"/>
        <w:jc w:val="center"/>
        <w:rPr>
          <w:rFonts w:hint="eastAsia" w:ascii="宋体"/>
          <w:b/>
          <w:bCs/>
          <w:color w:val="auto"/>
          <w:sz w:val="52"/>
          <w:highlight w:val="none"/>
        </w:rPr>
      </w:pPr>
    </w:p>
    <w:p w14:paraId="0B04C9B4">
      <w:pPr>
        <w:spacing w:line="360" w:lineRule="auto"/>
        <w:jc w:val="center"/>
        <w:rPr>
          <w:rFonts w:hint="eastAsia" w:ascii="宋体"/>
          <w:b/>
          <w:bCs/>
          <w:color w:val="auto"/>
          <w:sz w:val="52"/>
          <w:highlight w:val="none"/>
        </w:rPr>
      </w:pPr>
      <w:r>
        <w:rPr>
          <w:rFonts w:hint="eastAsia" w:ascii="宋体"/>
          <w:b/>
          <w:bCs/>
          <w:color w:val="auto"/>
          <w:sz w:val="52"/>
          <w:highlight w:val="none"/>
        </w:rPr>
        <w:t>政 府 采 购</w:t>
      </w:r>
    </w:p>
    <w:p w14:paraId="7D0E5E5C">
      <w:pPr>
        <w:spacing w:line="360" w:lineRule="auto"/>
        <w:ind w:firstLine="420" w:firstLineChars="200"/>
        <w:rPr>
          <w:rFonts w:hint="eastAsia" w:ascii="宋体"/>
          <w:color w:val="auto"/>
          <w:highlight w:val="none"/>
        </w:rPr>
      </w:pPr>
    </w:p>
    <w:p w14:paraId="0183A94E">
      <w:pPr>
        <w:spacing w:line="360" w:lineRule="auto"/>
        <w:ind w:firstLine="420" w:firstLineChars="200"/>
        <w:rPr>
          <w:rFonts w:hint="eastAsia" w:ascii="宋体"/>
          <w:color w:val="auto"/>
          <w:highlight w:val="none"/>
        </w:rPr>
      </w:pPr>
    </w:p>
    <w:p w14:paraId="7C8F7CBA">
      <w:pPr>
        <w:spacing w:line="360" w:lineRule="auto"/>
        <w:jc w:val="center"/>
        <w:rPr>
          <w:rFonts w:hint="eastAsia" w:ascii="宋体"/>
          <w:b/>
          <w:bCs/>
          <w:color w:val="auto"/>
          <w:sz w:val="44"/>
          <w:highlight w:val="none"/>
        </w:rPr>
      </w:pPr>
      <w:r>
        <w:rPr>
          <w:rFonts w:hint="eastAsia" w:ascii="宋体"/>
          <w:b/>
          <w:bCs/>
          <w:color w:val="auto"/>
          <w:sz w:val="44"/>
          <w:highlight w:val="none"/>
          <w:u w:val="single"/>
          <w:lang w:val="en-US" w:eastAsia="zh-CN"/>
        </w:rPr>
        <w:t xml:space="preserve">       （项目名称） </w:t>
      </w:r>
      <w:r>
        <w:rPr>
          <w:rFonts w:hint="eastAsia" w:ascii="宋体"/>
          <w:b/>
          <w:bCs/>
          <w:color w:val="auto"/>
          <w:sz w:val="44"/>
          <w:highlight w:val="none"/>
        </w:rPr>
        <w:t>合同</w:t>
      </w:r>
    </w:p>
    <w:p w14:paraId="33035281">
      <w:pPr>
        <w:spacing w:line="360" w:lineRule="auto"/>
        <w:jc w:val="center"/>
        <w:rPr>
          <w:rFonts w:hint="eastAsia" w:ascii="宋体"/>
          <w:b/>
          <w:bCs/>
          <w:color w:val="auto"/>
          <w:sz w:val="44"/>
          <w:highlight w:val="none"/>
        </w:rPr>
      </w:pPr>
    </w:p>
    <w:p w14:paraId="114356BA">
      <w:pPr>
        <w:spacing w:line="360" w:lineRule="auto"/>
        <w:ind w:firstLine="3507" w:firstLineChars="794"/>
        <w:rPr>
          <w:rFonts w:hint="eastAsia" w:ascii="宋体"/>
          <w:b/>
          <w:bCs/>
          <w:color w:val="auto"/>
          <w:sz w:val="44"/>
          <w:highlight w:val="none"/>
        </w:rPr>
      </w:pPr>
    </w:p>
    <w:p w14:paraId="039A958B">
      <w:pPr>
        <w:spacing w:line="360" w:lineRule="auto"/>
        <w:ind w:firstLine="3507" w:firstLineChars="794"/>
        <w:rPr>
          <w:rFonts w:hint="eastAsia" w:ascii="宋体"/>
          <w:b/>
          <w:bCs/>
          <w:color w:val="auto"/>
          <w:sz w:val="44"/>
          <w:highlight w:val="none"/>
        </w:rPr>
      </w:pPr>
    </w:p>
    <w:p w14:paraId="4B1C3E3B">
      <w:pPr>
        <w:ind w:firstLine="1995" w:firstLineChars="552"/>
        <w:rPr>
          <w:rFonts w:hint="default" w:ascii="宋体" w:hAnsi="宋体" w:eastAsia="宋体"/>
          <w:b/>
          <w:color w:val="auto"/>
          <w:sz w:val="36"/>
          <w:szCs w:val="36"/>
          <w:highlight w:val="none"/>
          <w:lang w:val="en-US" w:eastAsia="zh-CN"/>
        </w:rPr>
      </w:pPr>
      <w:r>
        <w:rPr>
          <w:rFonts w:hint="eastAsia" w:ascii="宋体" w:hAnsi="宋体"/>
          <w:b/>
          <w:color w:val="auto"/>
          <w:sz w:val="36"/>
          <w:szCs w:val="36"/>
          <w:highlight w:val="none"/>
        </w:rPr>
        <w:t>采购项目编号：</w:t>
      </w:r>
      <w:r>
        <w:rPr>
          <w:rFonts w:hint="eastAsia" w:ascii="宋体" w:hAnsi="宋体"/>
          <w:b/>
          <w:color w:val="auto"/>
          <w:sz w:val="36"/>
          <w:szCs w:val="36"/>
          <w:highlight w:val="none"/>
          <w:u w:val="single"/>
          <w:lang w:val="en-US" w:eastAsia="zh-CN"/>
        </w:rPr>
        <w:t xml:space="preserve">           </w:t>
      </w:r>
    </w:p>
    <w:p w14:paraId="43F7C208">
      <w:pPr>
        <w:ind w:firstLine="1995" w:firstLineChars="552"/>
        <w:rPr>
          <w:rFonts w:hint="default" w:ascii="宋体" w:hAnsi="宋体" w:eastAsia="宋体"/>
          <w:b/>
          <w:color w:val="auto"/>
          <w:sz w:val="36"/>
          <w:szCs w:val="36"/>
          <w:highlight w:val="none"/>
          <w:lang w:val="en-US" w:eastAsia="zh-CN"/>
        </w:rPr>
      </w:pPr>
      <w:r>
        <w:rPr>
          <w:rFonts w:hint="eastAsia" w:ascii="宋体" w:hAnsi="宋体"/>
          <w:b/>
          <w:color w:val="auto"/>
          <w:sz w:val="36"/>
          <w:szCs w:val="36"/>
          <w:highlight w:val="none"/>
        </w:rPr>
        <w:t>采购计划编号：</w:t>
      </w:r>
      <w:r>
        <w:rPr>
          <w:rFonts w:hint="eastAsia" w:ascii="宋体" w:hAnsi="宋体"/>
          <w:b/>
          <w:color w:val="auto"/>
          <w:sz w:val="36"/>
          <w:szCs w:val="36"/>
          <w:highlight w:val="none"/>
          <w:u w:val="single"/>
          <w:lang w:val="en-US" w:eastAsia="zh-CN"/>
        </w:rPr>
        <w:t xml:space="preserve">           </w:t>
      </w:r>
    </w:p>
    <w:p w14:paraId="6F344C28">
      <w:pPr>
        <w:ind w:firstLine="1308" w:firstLineChars="545"/>
        <w:rPr>
          <w:rFonts w:hint="eastAsia" w:ascii="宋体" w:hAnsi="宋体" w:cs="宋体"/>
          <w:color w:val="auto"/>
          <w:sz w:val="24"/>
          <w:highlight w:val="none"/>
        </w:rPr>
      </w:pPr>
    </w:p>
    <w:p w14:paraId="45B890AC">
      <w:pPr>
        <w:ind w:firstLine="1995" w:firstLineChars="552"/>
        <w:rPr>
          <w:rFonts w:hint="eastAsia" w:ascii="宋体" w:hAnsi="宋体"/>
          <w:b/>
          <w:color w:val="auto"/>
          <w:sz w:val="36"/>
          <w:szCs w:val="36"/>
          <w:highlight w:val="none"/>
          <w:u w:val="single"/>
        </w:rPr>
      </w:pPr>
    </w:p>
    <w:p w14:paraId="2E1743A6">
      <w:pPr>
        <w:pStyle w:val="24"/>
        <w:rPr>
          <w:rFonts w:hint="eastAsia" w:ascii="宋体" w:hAnsi="宋体"/>
          <w:b/>
          <w:color w:val="auto"/>
          <w:sz w:val="36"/>
          <w:szCs w:val="36"/>
          <w:highlight w:val="none"/>
          <w:u w:val="single"/>
        </w:rPr>
      </w:pPr>
    </w:p>
    <w:p w14:paraId="0320597D">
      <w:pPr>
        <w:rPr>
          <w:rFonts w:hint="eastAsia" w:ascii="宋体" w:hAnsi="宋体"/>
          <w:b/>
          <w:color w:val="auto"/>
          <w:sz w:val="36"/>
          <w:szCs w:val="36"/>
          <w:highlight w:val="none"/>
          <w:u w:val="single"/>
        </w:rPr>
      </w:pPr>
    </w:p>
    <w:p w14:paraId="2D658753">
      <w:pPr>
        <w:ind w:firstLine="1995" w:firstLineChars="552"/>
        <w:rPr>
          <w:rFonts w:hint="eastAsia" w:ascii="宋体" w:hAnsi="宋体"/>
          <w:b/>
          <w:color w:val="auto"/>
          <w:sz w:val="36"/>
          <w:szCs w:val="36"/>
          <w:highlight w:val="none"/>
          <w:u w:val="single"/>
        </w:rPr>
      </w:pPr>
    </w:p>
    <w:p w14:paraId="2871D8CB">
      <w:pPr>
        <w:tabs>
          <w:tab w:val="left" w:pos="7200"/>
        </w:tabs>
        <w:spacing w:line="360" w:lineRule="auto"/>
        <w:ind w:firstLine="1995" w:firstLineChars="552"/>
        <w:rPr>
          <w:rFonts w:hint="default" w:ascii="宋体" w:hAnsi="宋体" w:eastAsia="宋体"/>
          <w:b/>
          <w:color w:val="auto"/>
          <w:sz w:val="36"/>
          <w:szCs w:val="36"/>
          <w:highlight w:val="none"/>
          <w:u w:val="single"/>
          <w:lang w:val="en-US" w:eastAsia="zh-CN"/>
        </w:rPr>
      </w:pPr>
      <w:r>
        <w:rPr>
          <w:rFonts w:hint="eastAsia" w:ascii="宋体" w:hAnsi="宋体"/>
          <w:b/>
          <w:color w:val="auto"/>
          <w:sz w:val="36"/>
          <w:szCs w:val="36"/>
          <w:highlight w:val="none"/>
        </w:rPr>
        <w:t>采购人：</w:t>
      </w:r>
      <w:r>
        <w:rPr>
          <w:rFonts w:hint="eastAsia" w:ascii="宋体" w:hAnsi="宋体"/>
          <w:b/>
          <w:color w:val="auto"/>
          <w:sz w:val="36"/>
          <w:szCs w:val="36"/>
          <w:highlight w:val="none"/>
          <w:u w:val="single"/>
          <w:lang w:val="en-US" w:eastAsia="zh-CN"/>
        </w:rPr>
        <w:t xml:space="preserve">                </w:t>
      </w:r>
    </w:p>
    <w:p w14:paraId="4BFAB395">
      <w:pPr>
        <w:tabs>
          <w:tab w:val="left" w:pos="7380"/>
        </w:tabs>
        <w:spacing w:line="360" w:lineRule="auto"/>
        <w:ind w:firstLine="1995" w:firstLineChars="552"/>
        <w:rPr>
          <w:rFonts w:hint="default" w:ascii="宋体" w:eastAsia="宋体"/>
          <w:b/>
          <w:bCs/>
          <w:color w:val="auto"/>
          <w:sz w:val="44"/>
          <w:highlight w:val="none"/>
          <w:u w:val="single"/>
          <w:lang w:val="en-US" w:eastAsia="zh-CN"/>
        </w:rPr>
      </w:pPr>
      <w:r>
        <w:rPr>
          <w:rFonts w:hint="eastAsia" w:ascii="宋体" w:hAnsi="宋体"/>
          <w:b/>
          <w:color w:val="auto"/>
          <w:sz w:val="36"/>
          <w:szCs w:val="36"/>
          <w:highlight w:val="none"/>
          <w:lang w:val="en-US" w:eastAsia="zh-CN"/>
        </w:rPr>
        <w:t>成交</w:t>
      </w:r>
      <w:r>
        <w:rPr>
          <w:rFonts w:hint="eastAsia" w:ascii="宋体" w:hAnsi="宋体"/>
          <w:b/>
          <w:color w:val="auto"/>
          <w:sz w:val="36"/>
          <w:szCs w:val="36"/>
          <w:highlight w:val="none"/>
        </w:rPr>
        <w:t>供应商：</w:t>
      </w:r>
      <w:r>
        <w:rPr>
          <w:rFonts w:hint="eastAsia" w:ascii="宋体" w:hAnsi="宋体"/>
          <w:b/>
          <w:color w:val="auto"/>
          <w:sz w:val="36"/>
          <w:szCs w:val="36"/>
          <w:highlight w:val="none"/>
          <w:u w:val="single"/>
          <w:lang w:val="en-US" w:eastAsia="zh-CN"/>
        </w:rPr>
        <w:t xml:space="preserve">             </w:t>
      </w:r>
    </w:p>
    <w:p w14:paraId="2D9BC11E">
      <w:pPr>
        <w:tabs>
          <w:tab w:val="left" w:pos="7380"/>
        </w:tabs>
        <w:spacing w:line="360" w:lineRule="auto"/>
        <w:rPr>
          <w:rFonts w:hint="eastAsia" w:ascii="宋体"/>
          <w:b/>
          <w:bCs/>
          <w:color w:val="auto"/>
          <w:sz w:val="44"/>
          <w:highlight w:val="none"/>
        </w:rPr>
      </w:pPr>
    </w:p>
    <w:p w14:paraId="50DBCA87">
      <w:pPr>
        <w:tabs>
          <w:tab w:val="left" w:pos="7380"/>
        </w:tabs>
        <w:spacing w:line="360" w:lineRule="auto"/>
        <w:ind w:firstLine="2800" w:firstLineChars="1000"/>
        <w:rPr>
          <w:rFonts w:hint="eastAsia" w:ascii="仿宋_GB2312" w:hAnsi="楷体" w:eastAsia="仿宋_GB2312"/>
          <w:color w:val="auto"/>
          <w:sz w:val="24"/>
          <w:highlight w:val="none"/>
          <w:lang w:val="zh-CN"/>
        </w:rPr>
      </w:pPr>
      <w:r>
        <w:rPr>
          <w:rFonts w:hint="eastAsia" w:ascii="仿宋_GB2312" w:hAnsi="楷体" w:eastAsia="仿宋_GB2312"/>
          <w:color w:val="auto"/>
          <w:sz w:val="28"/>
          <w:szCs w:val="28"/>
          <w:highlight w:val="none"/>
          <w:lang w:val="zh-CN"/>
        </w:rPr>
        <w:t>签订时间：</w:t>
      </w:r>
      <w:r>
        <w:rPr>
          <w:rFonts w:hint="eastAsia" w:ascii="仿宋_GB2312" w:hAnsi="楷体" w:eastAsia="仿宋_GB2312"/>
          <w:color w:val="auto"/>
          <w:sz w:val="28"/>
          <w:szCs w:val="28"/>
          <w:highlight w:val="none"/>
          <w:lang w:val="en-US" w:eastAsia="zh-CN"/>
        </w:rPr>
        <w:t xml:space="preserve">  </w:t>
      </w:r>
      <w:r>
        <w:rPr>
          <w:rFonts w:hint="eastAsia" w:ascii="仿宋_GB2312" w:hAnsi="楷体" w:eastAsia="仿宋_GB2312"/>
          <w:color w:val="auto"/>
          <w:sz w:val="28"/>
          <w:szCs w:val="28"/>
          <w:highlight w:val="none"/>
          <w:lang w:val="zh-CN"/>
        </w:rPr>
        <w:t>年</w:t>
      </w:r>
      <w:r>
        <w:rPr>
          <w:rFonts w:hint="eastAsia" w:ascii="仿宋_GB2312" w:hAnsi="楷体" w:eastAsia="仿宋_GB2312"/>
          <w:color w:val="auto"/>
          <w:sz w:val="28"/>
          <w:szCs w:val="28"/>
          <w:highlight w:val="none"/>
          <w:lang w:val="en-US" w:eastAsia="zh-CN"/>
        </w:rPr>
        <w:t xml:space="preserve">  </w:t>
      </w:r>
      <w:r>
        <w:rPr>
          <w:rFonts w:hint="eastAsia" w:ascii="仿宋_GB2312" w:hAnsi="楷体" w:eastAsia="仿宋_GB2312"/>
          <w:color w:val="auto"/>
          <w:sz w:val="28"/>
          <w:szCs w:val="28"/>
          <w:highlight w:val="none"/>
          <w:lang w:val="zh-CN"/>
        </w:rPr>
        <w:t>月</w:t>
      </w:r>
      <w:r>
        <w:rPr>
          <w:rFonts w:hint="eastAsia" w:ascii="仿宋_GB2312" w:hAnsi="楷体" w:eastAsia="仿宋_GB2312"/>
          <w:color w:val="auto"/>
          <w:sz w:val="28"/>
          <w:szCs w:val="28"/>
          <w:highlight w:val="none"/>
          <w:lang w:val="en-US" w:eastAsia="zh-CN"/>
        </w:rPr>
        <w:t xml:space="preserve">  </w:t>
      </w:r>
      <w:r>
        <w:rPr>
          <w:rFonts w:hint="eastAsia" w:ascii="仿宋_GB2312" w:hAnsi="楷体" w:eastAsia="仿宋_GB2312"/>
          <w:color w:val="auto"/>
          <w:sz w:val="28"/>
          <w:szCs w:val="28"/>
          <w:highlight w:val="none"/>
          <w:lang w:val="zh-CN"/>
        </w:rPr>
        <w:t>日</w:t>
      </w:r>
    </w:p>
    <w:p w14:paraId="644759FB">
      <w:pPr>
        <w:snapToGrid w:val="0"/>
        <w:spacing w:line="360" w:lineRule="exact"/>
        <w:ind w:right="480" w:firstLine="5985" w:firstLineChars="2850"/>
        <w:rPr>
          <w:rFonts w:hint="eastAsia" w:ascii="宋体" w:hAnsi="宋体" w:eastAsia="宋体" w:cs="宋体"/>
          <w:bCs/>
          <w:color w:val="auto"/>
          <w:sz w:val="21"/>
          <w:szCs w:val="21"/>
          <w:highlight w:val="none"/>
        </w:rPr>
      </w:pPr>
    </w:p>
    <w:p w14:paraId="2E88C642">
      <w:pPr>
        <w:rPr>
          <w:rFonts w:hint="eastAsia" w:ascii="宋体" w:hAnsi="宋体" w:eastAsia="宋体" w:cs="宋体"/>
          <w:b/>
          <w:bCs w:val="0"/>
          <w:color w:val="auto"/>
          <w:sz w:val="32"/>
          <w:szCs w:val="32"/>
          <w:highlight w:val="none"/>
          <w:lang w:val="en-US" w:eastAsia="zh-CN"/>
        </w:rPr>
      </w:pPr>
      <w:r>
        <w:rPr>
          <w:rFonts w:hint="eastAsia" w:ascii="宋体" w:hAnsi="宋体" w:eastAsia="宋体" w:cs="宋体"/>
          <w:b/>
          <w:bCs w:val="0"/>
          <w:color w:val="auto"/>
          <w:sz w:val="32"/>
          <w:szCs w:val="32"/>
          <w:highlight w:val="none"/>
          <w:lang w:val="en-US" w:eastAsia="zh-CN"/>
        </w:rPr>
        <w:br w:type="page"/>
      </w:r>
    </w:p>
    <w:p w14:paraId="0930B5E5">
      <w:pPr>
        <w:snapToGrid w:val="0"/>
        <w:spacing w:line="360" w:lineRule="auto"/>
        <w:ind w:right="480"/>
        <w:jc w:val="center"/>
        <w:rPr>
          <w:rFonts w:hint="default" w:ascii="宋体" w:hAnsi="宋体" w:eastAsia="宋体" w:cs="宋体"/>
          <w:b/>
          <w:bCs w:val="0"/>
          <w:color w:val="auto"/>
          <w:sz w:val="32"/>
          <w:szCs w:val="32"/>
          <w:highlight w:val="none"/>
          <w:lang w:val="en-US" w:eastAsia="zh-CN"/>
        </w:rPr>
      </w:pPr>
      <w:r>
        <w:rPr>
          <w:rFonts w:hint="eastAsia" w:ascii="宋体" w:hAnsi="宋体" w:eastAsia="宋体" w:cs="宋体"/>
          <w:b/>
          <w:bCs w:val="0"/>
          <w:color w:val="auto"/>
          <w:sz w:val="32"/>
          <w:szCs w:val="32"/>
          <w:highlight w:val="none"/>
          <w:lang w:val="en-US" w:eastAsia="zh-CN"/>
        </w:rPr>
        <w:t>合同文本</w:t>
      </w:r>
    </w:p>
    <w:p w14:paraId="799F8641">
      <w:pPr>
        <w:snapToGrid w:val="0"/>
        <w:spacing w:line="360" w:lineRule="exact"/>
        <w:ind w:right="480" w:firstLine="5985" w:firstLineChars="2850"/>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 xml:space="preserve"> 合同编号：</w:t>
      </w:r>
    </w:p>
    <w:p w14:paraId="4F80E73F">
      <w:pPr>
        <w:snapToGrid w:val="0"/>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采购人（甲方）：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广西生态工程职业技术学院</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76AEAFF8">
      <w:pPr>
        <w:snapToGrid w:val="0"/>
        <w:spacing w:line="380" w:lineRule="exac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供应商（乙方）：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采购项目名称和</w:t>
      </w:r>
      <w:r>
        <w:rPr>
          <w:rFonts w:hint="eastAsia" w:ascii="宋体" w:hAnsi="宋体" w:eastAsia="宋体" w:cs="宋体"/>
          <w:color w:val="auto"/>
          <w:spacing w:val="-20"/>
          <w:sz w:val="21"/>
          <w:szCs w:val="21"/>
          <w:highlight w:val="none"/>
        </w:rPr>
        <w:t>编号：</w:t>
      </w:r>
      <w:r>
        <w:rPr>
          <w:rFonts w:hint="eastAsia" w:ascii="宋体" w:hAnsi="宋体" w:eastAsia="宋体" w:cs="宋体"/>
          <w:color w:val="auto"/>
          <w:sz w:val="21"/>
          <w:szCs w:val="21"/>
          <w:highlight w:val="none"/>
          <w:u w:val="single"/>
        </w:rPr>
        <w:t xml:space="preserve">           </w:t>
      </w:r>
    </w:p>
    <w:p w14:paraId="25F8D9C6">
      <w:pPr>
        <w:snapToGrid w:val="0"/>
        <w:spacing w:line="380" w:lineRule="exac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签  订  地  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广西柳州市</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签 订 时 间：</w:t>
      </w:r>
      <w:r>
        <w:rPr>
          <w:rFonts w:hint="eastAsia" w:ascii="宋体" w:hAnsi="宋体" w:eastAsia="宋体" w:cs="宋体"/>
          <w:color w:val="auto"/>
          <w:sz w:val="21"/>
          <w:szCs w:val="21"/>
          <w:highlight w:val="none"/>
          <w:u w:val="single"/>
          <w:lang w:val="en-US" w:eastAsia="zh-CN"/>
        </w:rPr>
        <w:t>2026年  月   日</w:t>
      </w:r>
    </w:p>
    <w:p w14:paraId="7E3050BF">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参照</w:t>
      </w:r>
      <w:r>
        <w:rPr>
          <w:rFonts w:hint="eastAsia" w:ascii="宋体" w:hAnsi="宋体" w:eastAsia="宋体" w:cs="宋体"/>
          <w:color w:val="auto"/>
          <w:sz w:val="21"/>
          <w:szCs w:val="21"/>
          <w:highlight w:val="none"/>
        </w:rPr>
        <w:t>《中华人民共和国政府采购法》《中华人民共和国民法典》等法律、法规规定，按照竞争性</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文件(采购文件)规定条款和和成交供应商承诺，甲乙双方签订本合同。</w:t>
      </w:r>
    </w:p>
    <w:p w14:paraId="19DC3BD9">
      <w:pPr>
        <w:spacing w:line="380" w:lineRule="exact"/>
        <w:rPr>
          <w:rFonts w:hint="eastAsia" w:ascii="宋体" w:hAnsi="宋体" w:eastAsia="宋体" w:cs="宋体"/>
          <w:b/>
          <w:bCs w:val="0"/>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b/>
          <w:color w:val="auto"/>
          <w:sz w:val="21"/>
          <w:szCs w:val="21"/>
          <w:highlight w:val="none"/>
        </w:rPr>
        <w:t xml:space="preserve"> </w:t>
      </w:r>
      <w:r>
        <w:rPr>
          <w:rFonts w:hint="eastAsia" w:ascii="宋体" w:hAnsi="宋体" w:eastAsia="宋体" w:cs="宋体"/>
          <w:b/>
          <w:bCs w:val="0"/>
          <w:color w:val="auto"/>
          <w:sz w:val="21"/>
          <w:szCs w:val="21"/>
          <w:highlight w:val="none"/>
        </w:rPr>
        <w:t>第一条 合同标的</w:t>
      </w:r>
    </w:p>
    <w:p w14:paraId="5B8DAE28">
      <w:pPr>
        <w:spacing w:line="380" w:lineRule="exact"/>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1.</w:t>
      </w:r>
      <w:r>
        <w:rPr>
          <w:rFonts w:hint="eastAsia" w:ascii="宋体" w:hAnsi="宋体" w:eastAsia="宋体" w:cs="宋体"/>
          <w:b w:val="0"/>
          <w:bCs/>
          <w:color w:val="auto"/>
          <w:sz w:val="21"/>
          <w:szCs w:val="21"/>
          <w:highlight w:val="none"/>
        </w:rPr>
        <w:t>供货一览表</w:t>
      </w:r>
    </w:p>
    <w:tbl>
      <w:tblPr>
        <w:tblStyle w:val="37"/>
        <w:tblW w:w="96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3"/>
        <w:gridCol w:w="1323"/>
        <w:gridCol w:w="1096"/>
        <w:gridCol w:w="1211"/>
        <w:gridCol w:w="1210"/>
        <w:gridCol w:w="681"/>
        <w:gridCol w:w="1095"/>
        <w:gridCol w:w="1095"/>
        <w:gridCol w:w="1461"/>
      </w:tblGrid>
      <w:tr w14:paraId="0D7D5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jc w:val="center"/>
        </w:trPr>
        <w:tc>
          <w:tcPr>
            <w:tcW w:w="503" w:type="dxa"/>
            <w:tcBorders>
              <w:top w:val="single" w:color="auto" w:sz="4" w:space="0"/>
              <w:left w:val="single" w:color="auto" w:sz="4" w:space="0"/>
              <w:bottom w:val="single" w:color="auto" w:sz="4" w:space="0"/>
              <w:right w:val="single" w:color="auto" w:sz="4" w:space="0"/>
            </w:tcBorders>
            <w:noWrap w:val="0"/>
            <w:vAlign w:val="center"/>
          </w:tcPr>
          <w:p w14:paraId="7626786E">
            <w:pPr>
              <w:keepNext w:val="0"/>
              <w:keepLines w:val="0"/>
              <w:suppressLineNumbers w:val="0"/>
              <w:snapToGrid w:val="0"/>
              <w:spacing w:before="0" w:beforeAutospacing="0" w:after="0" w:afterAutospacing="0" w:line="38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323" w:type="dxa"/>
            <w:tcBorders>
              <w:top w:val="single" w:color="auto" w:sz="4" w:space="0"/>
              <w:left w:val="single" w:color="auto" w:sz="4" w:space="0"/>
              <w:bottom w:val="single" w:color="auto" w:sz="4" w:space="0"/>
              <w:right w:val="single" w:color="auto" w:sz="4" w:space="0"/>
            </w:tcBorders>
            <w:noWrap w:val="0"/>
            <w:vAlign w:val="center"/>
          </w:tcPr>
          <w:p w14:paraId="741ADD1C">
            <w:pPr>
              <w:keepNext w:val="0"/>
              <w:keepLines w:val="0"/>
              <w:suppressLineNumbers w:val="0"/>
              <w:snapToGrid w:val="0"/>
              <w:spacing w:before="0" w:beforeAutospacing="0" w:after="0" w:afterAutospacing="0" w:line="38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产品</w:t>
            </w:r>
          </w:p>
          <w:p w14:paraId="52B2AAEC">
            <w:pPr>
              <w:keepNext w:val="0"/>
              <w:keepLines w:val="0"/>
              <w:suppressLineNumbers w:val="0"/>
              <w:snapToGrid w:val="0"/>
              <w:spacing w:before="0" w:beforeAutospacing="0" w:after="0" w:afterAutospacing="0" w:line="38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名称</w:t>
            </w:r>
          </w:p>
        </w:tc>
        <w:tc>
          <w:tcPr>
            <w:tcW w:w="1096" w:type="dxa"/>
            <w:tcBorders>
              <w:top w:val="single" w:color="auto" w:sz="4" w:space="0"/>
              <w:left w:val="single" w:color="auto" w:sz="4" w:space="0"/>
              <w:bottom w:val="single" w:color="auto" w:sz="4" w:space="0"/>
              <w:right w:val="single" w:color="auto" w:sz="4" w:space="0"/>
            </w:tcBorders>
            <w:noWrap w:val="0"/>
            <w:vAlign w:val="center"/>
          </w:tcPr>
          <w:p w14:paraId="4AFCD06F">
            <w:pPr>
              <w:keepNext w:val="0"/>
              <w:keepLines w:val="0"/>
              <w:suppressLineNumbers w:val="0"/>
              <w:snapToGrid w:val="0"/>
              <w:spacing w:before="0" w:beforeAutospacing="0" w:after="0" w:afterAutospacing="0" w:line="38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商标</w:t>
            </w:r>
          </w:p>
          <w:p w14:paraId="61A266D1">
            <w:pPr>
              <w:keepNext w:val="0"/>
              <w:keepLines w:val="0"/>
              <w:suppressLineNumbers w:val="0"/>
              <w:snapToGrid w:val="0"/>
              <w:spacing w:before="0" w:beforeAutospacing="0" w:after="0" w:afterAutospacing="0" w:line="38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品牌</w:t>
            </w:r>
          </w:p>
        </w:tc>
        <w:tc>
          <w:tcPr>
            <w:tcW w:w="1211" w:type="dxa"/>
            <w:tcBorders>
              <w:top w:val="single" w:color="auto" w:sz="4" w:space="0"/>
              <w:left w:val="single" w:color="auto" w:sz="4" w:space="0"/>
              <w:bottom w:val="single" w:color="auto" w:sz="4" w:space="0"/>
              <w:right w:val="single" w:color="auto" w:sz="4" w:space="0"/>
            </w:tcBorders>
            <w:noWrap w:val="0"/>
            <w:vAlign w:val="center"/>
          </w:tcPr>
          <w:p w14:paraId="1BFDB1C1">
            <w:pPr>
              <w:keepNext w:val="0"/>
              <w:keepLines w:val="0"/>
              <w:suppressLineNumbers w:val="0"/>
              <w:snapToGrid w:val="0"/>
              <w:spacing w:before="0" w:beforeAutospacing="0" w:after="0" w:afterAutospacing="0" w:line="38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规格</w:t>
            </w:r>
          </w:p>
          <w:p w14:paraId="61715231">
            <w:pPr>
              <w:keepNext w:val="0"/>
              <w:keepLines w:val="0"/>
              <w:suppressLineNumbers w:val="0"/>
              <w:snapToGrid w:val="0"/>
              <w:spacing w:before="0" w:beforeAutospacing="0" w:after="0" w:afterAutospacing="0" w:line="38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型号</w:t>
            </w:r>
          </w:p>
        </w:tc>
        <w:tc>
          <w:tcPr>
            <w:tcW w:w="1210" w:type="dxa"/>
            <w:tcBorders>
              <w:top w:val="single" w:color="auto" w:sz="4" w:space="0"/>
              <w:left w:val="single" w:color="auto" w:sz="4" w:space="0"/>
              <w:bottom w:val="single" w:color="auto" w:sz="4" w:space="0"/>
              <w:right w:val="single" w:color="auto" w:sz="4" w:space="0"/>
            </w:tcBorders>
            <w:noWrap w:val="0"/>
            <w:vAlign w:val="center"/>
          </w:tcPr>
          <w:p w14:paraId="3A2D18B5">
            <w:pPr>
              <w:keepNext w:val="0"/>
              <w:keepLines w:val="0"/>
              <w:suppressLineNumbers w:val="0"/>
              <w:snapToGrid w:val="0"/>
              <w:spacing w:before="0" w:beforeAutospacing="0" w:after="0" w:afterAutospacing="0" w:line="38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生产</w:t>
            </w:r>
          </w:p>
          <w:p w14:paraId="78BF260A">
            <w:pPr>
              <w:keepNext w:val="0"/>
              <w:keepLines w:val="0"/>
              <w:suppressLineNumbers w:val="0"/>
              <w:snapToGrid w:val="0"/>
              <w:spacing w:before="0" w:beforeAutospacing="0" w:after="0" w:afterAutospacing="0" w:line="38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厂家</w:t>
            </w:r>
          </w:p>
        </w:tc>
        <w:tc>
          <w:tcPr>
            <w:tcW w:w="681" w:type="dxa"/>
            <w:tcBorders>
              <w:top w:val="single" w:color="auto" w:sz="4" w:space="0"/>
              <w:left w:val="single" w:color="auto" w:sz="4" w:space="0"/>
              <w:bottom w:val="single" w:color="auto" w:sz="4" w:space="0"/>
              <w:right w:val="single" w:color="auto" w:sz="4" w:space="0"/>
            </w:tcBorders>
            <w:noWrap w:val="0"/>
            <w:vAlign w:val="center"/>
          </w:tcPr>
          <w:p w14:paraId="28C6295E">
            <w:pPr>
              <w:keepNext w:val="0"/>
              <w:keepLines w:val="0"/>
              <w:suppressLineNumbers w:val="0"/>
              <w:snapToGrid w:val="0"/>
              <w:spacing w:before="0" w:beforeAutospacing="0" w:after="0" w:afterAutospacing="0" w:line="38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  量</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30CDC7EA">
            <w:pPr>
              <w:keepNext w:val="0"/>
              <w:keepLines w:val="0"/>
              <w:suppressLineNumbers w:val="0"/>
              <w:snapToGrid w:val="0"/>
              <w:spacing w:before="0" w:beforeAutospacing="0" w:after="0" w:afterAutospacing="0" w:line="38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5A48EEB2">
            <w:pPr>
              <w:keepNext w:val="0"/>
              <w:keepLines w:val="0"/>
              <w:suppressLineNumbers w:val="0"/>
              <w:snapToGrid w:val="0"/>
              <w:spacing w:before="0" w:beforeAutospacing="0" w:after="0" w:afterAutospacing="0" w:line="38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  价</w:t>
            </w:r>
          </w:p>
          <w:p w14:paraId="5AD27678">
            <w:pPr>
              <w:keepNext w:val="0"/>
              <w:keepLines w:val="0"/>
              <w:suppressLineNumbers w:val="0"/>
              <w:snapToGrid w:val="0"/>
              <w:spacing w:before="0" w:beforeAutospacing="0" w:after="0" w:afterAutospacing="0" w:line="38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（元）</w:t>
            </w:r>
          </w:p>
        </w:tc>
        <w:tc>
          <w:tcPr>
            <w:tcW w:w="1461" w:type="dxa"/>
            <w:tcBorders>
              <w:top w:val="single" w:color="auto" w:sz="4" w:space="0"/>
              <w:left w:val="single" w:color="auto" w:sz="4" w:space="0"/>
              <w:bottom w:val="single" w:color="auto" w:sz="4" w:space="0"/>
              <w:right w:val="single" w:color="auto" w:sz="4" w:space="0"/>
            </w:tcBorders>
            <w:noWrap w:val="0"/>
            <w:vAlign w:val="center"/>
          </w:tcPr>
          <w:p w14:paraId="762ABBED">
            <w:pPr>
              <w:keepNext w:val="0"/>
              <w:keepLines w:val="0"/>
              <w:suppressLineNumbers w:val="0"/>
              <w:snapToGrid w:val="0"/>
              <w:spacing w:before="0" w:beforeAutospacing="0" w:after="0" w:afterAutospacing="0" w:line="38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金  额</w:t>
            </w:r>
          </w:p>
          <w:p w14:paraId="49FF6974">
            <w:pPr>
              <w:keepNext w:val="0"/>
              <w:keepLines w:val="0"/>
              <w:suppressLineNumbers w:val="0"/>
              <w:snapToGrid w:val="0"/>
              <w:spacing w:before="0" w:beforeAutospacing="0" w:after="0" w:afterAutospacing="0" w:line="38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（元）</w:t>
            </w:r>
          </w:p>
        </w:tc>
      </w:tr>
      <w:tr w14:paraId="4D3C5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503" w:type="dxa"/>
            <w:tcBorders>
              <w:top w:val="single" w:color="auto" w:sz="4" w:space="0"/>
              <w:left w:val="single" w:color="auto" w:sz="4" w:space="0"/>
              <w:bottom w:val="single" w:color="auto" w:sz="4" w:space="0"/>
              <w:right w:val="single" w:color="auto" w:sz="4" w:space="0"/>
            </w:tcBorders>
            <w:noWrap w:val="0"/>
            <w:vAlign w:val="center"/>
          </w:tcPr>
          <w:p w14:paraId="22DF9AE3">
            <w:pPr>
              <w:keepNext w:val="0"/>
              <w:keepLines w:val="0"/>
              <w:suppressLineNumbers w:val="0"/>
              <w:snapToGrid w:val="0"/>
              <w:spacing w:before="0" w:beforeAutospacing="0" w:after="0" w:afterAutospacing="0" w:line="38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323" w:type="dxa"/>
            <w:tcBorders>
              <w:top w:val="single" w:color="auto" w:sz="4" w:space="0"/>
              <w:left w:val="single" w:color="auto" w:sz="4" w:space="0"/>
              <w:bottom w:val="single" w:color="auto" w:sz="4" w:space="0"/>
              <w:right w:val="single" w:color="auto" w:sz="4" w:space="0"/>
            </w:tcBorders>
            <w:noWrap w:val="0"/>
            <w:vAlign w:val="center"/>
          </w:tcPr>
          <w:p w14:paraId="05D1B5B4">
            <w:pPr>
              <w:keepNext w:val="0"/>
              <w:keepLines w:val="0"/>
              <w:suppressLineNumbers w:val="0"/>
              <w:snapToGrid w:val="0"/>
              <w:spacing w:before="0" w:beforeAutospacing="0" w:after="0" w:afterAutospacing="0" w:line="380" w:lineRule="exact"/>
              <w:ind w:left="0" w:right="0"/>
              <w:jc w:val="center"/>
              <w:rPr>
                <w:rFonts w:hint="eastAsia" w:ascii="宋体" w:hAnsi="宋体" w:eastAsia="宋体" w:cs="宋体"/>
                <w:color w:val="auto"/>
                <w:sz w:val="21"/>
                <w:szCs w:val="21"/>
                <w:highlight w:val="none"/>
              </w:rPr>
            </w:pPr>
          </w:p>
        </w:tc>
        <w:tc>
          <w:tcPr>
            <w:tcW w:w="1096" w:type="dxa"/>
            <w:tcBorders>
              <w:top w:val="single" w:color="auto" w:sz="4" w:space="0"/>
              <w:left w:val="single" w:color="auto" w:sz="4" w:space="0"/>
              <w:bottom w:val="single" w:color="auto" w:sz="4" w:space="0"/>
              <w:right w:val="single" w:color="auto" w:sz="4" w:space="0"/>
            </w:tcBorders>
            <w:noWrap w:val="0"/>
            <w:vAlign w:val="center"/>
          </w:tcPr>
          <w:p w14:paraId="2613E5FA">
            <w:pPr>
              <w:keepNext w:val="0"/>
              <w:keepLines w:val="0"/>
              <w:suppressLineNumbers w:val="0"/>
              <w:snapToGrid w:val="0"/>
              <w:spacing w:before="0" w:beforeAutospacing="0" w:after="0" w:afterAutospacing="0" w:line="380" w:lineRule="exact"/>
              <w:ind w:left="0" w:right="0"/>
              <w:jc w:val="center"/>
              <w:rPr>
                <w:rFonts w:hint="eastAsia" w:ascii="宋体" w:hAnsi="宋体" w:eastAsia="宋体" w:cs="宋体"/>
                <w:color w:val="auto"/>
                <w:sz w:val="21"/>
                <w:szCs w:val="21"/>
                <w:highlight w:val="none"/>
              </w:rPr>
            </w:pPr>
          </w:p>
        </w:tc>
        <w:tc>
          <w:tcPr>
            <w:tcW w:w="1211" w:type="dxa"/>
            <w:tcBorders>
              <w:top w:val="single" w:color="auto" w:sz="4" w:space="0"/>
              <w:left w:val="single" w:color="auto" w:sz="4" w:space="0"/>
              <w:bottom w:val="single" w:color="auto" w:sz="4" w:space="0"/>
              <w:right w:val="single" w:color="auto" w:sz="4" w:space="0"/>
            </w:tcBorders>
            <w:noWrap w:val="0"/>
            <w:vAlign w:val="center"/>
          </w:tcPr>
          <w:p w14:paraId="64664A14">
            <w:pPr>
              <w:keepNext w:val="0"/>
              <w:keepLines w:val="0"/>
              <w:suppressLineNumbers w:val="0"/>
              <w:snapToGrid w:val="0"/>
              <w:spacing w:before="0" w:beforeAutospacing="0" w:after="0" w:afterAutospacing="0" w:line="380" w:lineRule="exact"/>
              <w:ind w:left="0" w:right="0"/>
              <w:jc w:val="center"/>
              <w:rPr>
                <w:rFonts w:hint="eastAsia" w:ascii="宋体" w:hAnsi="宋体" w:eastAsia="宋体" w:cs="宋体"/>
                <w:color w:val="auto"/>
                <w:sz w:val="21"/>
                <w:szCs w:val="21"/>
                <w:highlight w:val="none"/>
              </w:rPr>
            </w:pPr>
          </w:p>
        </w:tc>
        <w:tc>
          <w:tcPr>
            <w:tcW w:w="1210" w:type="dxa"/>
            <w:tcBorders>
              <w:top w:val="single" w:color="auto" w:sz="4" w:space="0"/>
              <w:left w:val="single" w:color="auto" w:sz="4" w:space="0"/>
              <w:bottom w:val="single" w:color="auto" w:sz="4" w:space="0"/>
              <w:right w:val="single" w:color="auto" w:sz="4" w:space="0"/>
            </w:tcBorders>
            <w:noWrap w:val="0"/>
            <w:vAlign w:val="top"/>
          </w:tcPr>
          <w:p w14:paraId="02ABE10E">
            <w:pPr>
              <w:keepNext w:val="0"/>
              <w:keepLines w:val="0"/>
              <w:suppressLineNumbers w:val="0"/>
              <w:snapToGrid w:val="0"/>
              <w:spacing w:before="0" w:beforeAutospacing="0" w:after="0" w:afterAutospacing="0" w:line="380" w:lineRule="exact"/>
              <w:ind w:left="0" w:right="0"/>
              <w:jc w:val="center"/>
              <w:rPr>
                <w:rFonts w:hint="eastAsia" w:ascii="宋体" w:hAnsi="宋体" w:eastAsia="宋体" w:cs="宋体"/>
                <w:color w:val="auto"/>
                <w:sz w:val="21"/>
                <w:szCs w:val="21"/>
                <w:highlight w:val="none"/>
              </w:rPr>
            </w:pPr>
          </w:p>
        </w:tc>
        <w:tc>
          <w:tcPr>
            <w:tcW w:w="681" w:type="dxa"/>
            <w:tcBorders>
              <w:top w:val="single" w:color="auto" w:sz="4" w:space="0"/>
              <w:left w:val="single" w:color="auto" w:sz="4" w:space="0"/>
              <w:bottom w:val="single" w:color="auto" w:sz="4" w:space="0"/>
              <w:right w:val="single" w:color="auto" w:sz="4" w:space="0"/>
            </w:tcBorders>
            <w:noWrap w:val="0"/>
            <w:vAlign w:val="top"/>
          </w:tcPr>
          <w:p w14:paraId="55474B58">
            <w:pPr>
              <w:keepNext w:val="0"/>
              <w:keepLines w:val="0"/>
              <w:suppressLineNumbers w:val="0"/>
              <w:snapToGrid w:val="0"/>
              <w:spacing w:before="0" w:beforeAutospacing="0" w:after="0" w:afterAutospacing="0" w:line="380" w:lineRule="exact"/>
              <w:ind w:left="0" w:right="0"/>
              <w:jc w:val="center"/>
              <w:rPr>
                <w:rFonts w:hint="eastAsia" w:ascii="宋体" w:hAnsi="宋体" w:eastAsia="宋体" w:cs="宋体"/>
                <w:color w:val="auto"/>
                <w:sz w:val="21"/>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41726831">
            <w:pPr>
              <w:keepNext w:val="0"/>
              <w:keepLines w:val="0"/>
              <w:suppressLineNumbers w:val="0"/>
              <w:snapToGrid w:val="0"/>
              <w:spacing w:before="0" w:beforeAutospacing="0" w:after="0" w:afterAutospacing="0" w:line="380" w:lineRule="exact"/>
              <w:ind w:left="0" w:right="0"/>
              <w:jc w:val="center"/>
              <w:rPr>
                <w:rFonts w:hint="eastAsia" w:ascii="宋体" w:hAnsi="宋体" w:eastAsia="宋体" w:cs="宋体"/>
                <w:color w:val="auto"/>
                <w:sz w:val="21"/>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48123E6D">
            <w:pPr>
              <w:keepNext w:val="0"/>
              <w:keepLines w:val="0"/>
              <w:suppressLineNumbers w:val="0"/>
              <w:snapToGrid w:val="0"/>
              <w:spacing w:before="0" w:beforeAutospacing="0" w:after="0" w:afterAutospacing="0" w:line="380" w:lineRule="exact"/>
              <w:ind w:left="0" w:right="0"/>
              <w:jc w:val="center"/>
              <w:rPr>
                <w:rFonts w:hint="eastAsia" w:ascii="宋体" w:hAnsi="宋体" w:eastAsia="宋体" w:cs="宋体"/>
                <w:color w:val="auto"/>
                <w:sz w:val="21"/>
                <w:szCs w:val="21"/>
                <w:highlight w:val="none"/>
              </w:rPr>
            </w:pPr>
          </w:p>
        </w:tc>
        <w:tc>
          <w:tcPr>
            <w:tcW w:w="1461" w:type="dxa"/>
            <w:tcBorders>
              <w:top w:val="single" w:color="auto" w:sz="4" w:space="0"/>
              <w:left w:val="single" w:color="auto" w:sz="4" w:space="0"/>
              <w:bottom w:val="single" w:color="auto" w:sz="4" w:space="0"/>
              <w:right w:val="single" w:color="auto" w:sz="4" w:space="0"/>
            </w:tcBorders>
            <w:noWrap w:val="0"/>
            <w:vAlign w:val="center"/>
          </w:tcPr>
          <w:p w14:paraId="03F764F0">
            <w:pPr>
              <w:keepNext w:val="0"/>
              <w:keepLines w:val="0"/>
              <w:suppressLineNumbers w:val="0"/>
              <w:snapToGrid w:val="0"/>
              <w:spacing w:before="0" w:beforeAutospacing="0" w:after="0" w:afterAutospacing="0" w:line="380" w:lineRule="exact"/>
              <w:ind w:left="0" w:right="0"/>
              <w:jc w:val="center"/>
              <w:rPr>
                <w:rFonts w:hint="eastAsia" w:ascii="宋体" w:hAnsi="宋体" w:eastAsia="宋体" w:cs="宋体"/>
                <w:color w:val="auto"/>
                <w:sz w:val="21"/>
                <w:szCs w:val="21"/>
                <w:highlight w:val="none"/>
              </w:rPr>
            </w:pPr>
          </w:p>
        </w:tc>
      </w:tr>
      <w:tr w14:paraId="56A7A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503" w:type="dxa"/>
            <w:tcBorders>
              <w:top w:val="single" w:color="auto" w:sz="4" w:space="0"/>
              <w:left w:val="single" w:color="auto" w:sz="4" w:space="0"/>
              <w:bottom w:val="single" w:color="auto" w:sz="4" w:space="0"/>
              <w:right w:val="single" w:color="auto" w:sz="4" w:space="0"/>
            </w:tcBorders>
            <w:noWrap w:val="0"/>
            <w:vAlign w:val="center"/>
          </w:tcPr>
          <w:p w14:paraId="10A79DA6">
            <w:pPr>
              <w:keepNext w:val="0"/>
              <w:keepLines w:val="0"/>
              <w:suppressLineNumbers w:val="0"/>
              <w:snapToGrid w:val="0"/>
              <w:spacing w:before="0" w:beforeAutospacing="0" w:after="0" w:afterAutospacing="0" w:line="38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323" w:type="dxa"/>
            <w:tcBorders>
              <w:top w:val="single" w:color="auto" w:sz="4" w:space="0"/>
              <w:left w:val="single" w:color="auto" w:sz="4" w:space="0"/>
              <w:bottom w:val="single" w:color="auto" w:sz="4" w:space="0"/>
              <w:right w:val="single" w:color="auto" w:sz="4" w:space="0"/>
            </w:tcBorders>
            <w:noWrap w:val="0"/>
            <w:vAlign w:val="center"/>
          </w:tcPr>
          <w:p w14:paraId="58E98AFD">
            <w:pPr>
              <w:keepNext w:val="0"/>
              <w:keepLines w:val="0"/>
              <w:suppressLineNumbers w:val="0"/>
              <w:snapToGrid w:val="0"/>
              <w:spacing w:before="0" w:beforeAutospacing="0" w:after="0" w:afterAutospacing="0" w:line="380" w:lineRule="exact"/>
              <w:ind w:left="0" w:right="0"/>
              <w:jc w:val="center"/>
              <w:rPr>
                <w:rFonts w:hint="eastAsia" w:ascii="宋体" w:hAnsi="宋体" w:eastAsia="宋体" w:cs="宋体"/>
                <w:color w:val="auto"/>
                <w:sz w:val="21"/>
                <w:szCs w:val="21"/>
                <w:highlight w:val="none"/>
              </w:rPr>
            </w:pPr>
          </w:p>
        </w:tc>
        <w:tc>
          <w:tcPr>
            <w:tcW w:w="1096" w:type="dxa"/>
            <w:tcBorders>
              <w:top w:val="single" w:color="auto" w:sz="4" w:space="0"/>
              <w:left w:val="single" w:color="auto" w:sz="4" w:space="0"/>
              <w:bottom w:val="single" w:color="auto" w:sz="4" w:space="0"/>
              <w:right w:val="single" w:color="auto" w:sz="4" w:space="0"/>
            </w:tcBorders>
            <w:noWrap w:val="0"/>
            <w:vAlign w:val="center"/>
          </w:tcPr>
          <w:p w14:paraId="7689C3D0">
            <w:pPr>
              <w:keepNext w:val="0"/>
              <w:keepLines w:val="0"/>
              <w:suppressLineNumbers w:val="0"/>
              <w:snapToGrid w:val="0"/>
              <w:spacing w:before="0" w:beforeAutospacing="0" w:after="0" w:afterAutospacing="0" w:line="380" w:lineRule="exact"/>
              <w:ind w:left="0" w:right="0"/>
              <w:jc w:val="center"/>
              <w:rPr>
                <w:rFonts w:hint="eastAsia" w:ascii="宋体" w:hAnsi="宋体" w:eastAsia="宋体" w:cs="宋体"/>
                <w:color w:val="auto"/>
                <w:sz w:val="21"/>
                <w:szCs w:val="21"/>
                <w:highlight w:val="none"/>
              </w:rPr>
            </w:pPr>
          </w:p>
        </w:tc>
        <w:tc>
          <w:tcPr>
            <w:tcW w:w="1211" w:type="dxa"/>
            <w:tcBorders>
              <w:top w:val="single" w:color="auto" w:sz="4" w:space="0"/>
              <w:left w:val="single" w:color="auto" w:sz="4" w:space="0"/>
              <w:bottom w:val="single" w:color="auto" w:sz="4" w:space="0"/>
              <w:right w:val="single" w:color="auto" w:sz="4" w:space="0"/>
            </w:tcBorders>
            <w:noWrap w:val="0"/>
            <w:vAlign w:val="center"/>
          </w:tcPr>
          <w:p w14:paraId="1F573C92">
            <w:pPr>
              <w:keepNext w:val="0"/>
              <w:keepLines w:val="0"/>
              <w:suppressLineNumbers w:val="0"/>
              <w:snapToGrid w:val="0"/>
              <w:spacing w:before="0" w:beforeAutospacing="0" w:after="0" w:afterAutospacing="0" w:line="380" w:lineRule="exact"/>
              <w:ind w:left="0" w:right="0"/>
              <w:jc w:val="center"/>
              <w:rPr>
                <w:rFonts w:hint="eastAsia" w:ascii="宋体" w:hAnsi="宋体" w:eastAsia="宋体" w:cs="宋体"/>
                <w:color w:val="auto"/>
                <w:sz w:val="21"/>
                <w:szCs w:val="21"/>
                <w:highlight w:val="none"/>
              </w:rPr>
            </w:pPr>
          </w:p>
        </w:tc>
        <w:tc>
          <w:tcPr>
            <w:tcW w:w="1210" w:type="dxa"/>
            <w:tcBorders>
              <w:top w:val="single" w:color="auto" w:sz="4" w:space="0"/>
              <w:left w:val="single" w:color="auto" w:sz="4" w:space="0"/>
              <w:bottom w:val="single" w:color="auto" w:sz="4" w:space="0"/>
              <w:right w:val="single" w:color="auto" w:sz="4" w:space="0"/>
            </w:tcBorders>
            <w:noWrap w:val="0"/>
            <w:vAlign w:val="top"/>
          </w:tcPr>
          <w:p w14:paraId="10074700">
            <w:pPr>
              <w:keepNext w:val="0"/>
              <w:keepLines w:val="0"/>
              <w:suppressLineNumbers w:val="0"/>
              <w:snapToGrid w:val="0"/>
              <w:spacing w:before="0" w:beforeAutospacing="0" w:after="0" w:afterAutospacing="0" w:line="380" w:lineRule="exact"/>
              <w:ind w:left="0" w:right="0"/>
              <w:jc w:val="center"/>
              <w:rPr>
                <w:rFonts w:hint="eastAsia" w:ascii="宋体" w:hAnsi="宋体" w:eastAsia="宋体" w:cs="宋体"/>
                <w:color w:val="auto"/>
                <w:sz w:val="21"/>
                <w:szCs w:val="21"/>
                <w:highlight w:val="none"/>
              </w:rPr>
            </w:pPr>
          </w:p>
        </w:tc>
        <w:tc>
          <w:tcPr>
            <w:tcW w:w="681" w:type="dxa"/>
            <w:tcBorders>
              <w:top w:val="single" w:color="auto" w:sz="4" w:space="0"/>
              <w:left w:val="single" w:color="auto" w:sz="4" w:space="0"/>
              <w:bottom w:val="single" w:color="auto" w:sz="4" w:space="0"/>
              <w:right w:val="single" w:color="auto" w:sz="4" w:space="0"/>
            </w:tcBorders>
            <w:noWrap w:val="0"/>
            <w:vAlign w:val="top"/>
          </w:tcPr>
          <w:p w14:paraId="0839D35F">
            <w:pPr>
              <w:keepNext w:val="0"/>
              <w:keepLines w:val="0"/>
              <w:suppressLineNumbers w:val="0"/>
              <w:snapToGrid w:val="0"/>
              <w:spacing w:before="0" w:beforeAutospacing="0" w:after="0" w:afterAutospacing="0" w:line="380" w:lineRule="exact"/>
              <w:ind w:left="0" w:right="0"/>
              <w:jc w:val="center"/>
              <w:rPr>
                <w:rFonts w:hint="eastAsia" w:ascii="宋体" w:hAnsi="宋体" w:eastAsia="宋体" w:cs="宋体"/>
                <w:color w:val="auto"/>
                <w:sz w:val="21"/>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5152D855">
            <w:pPr>
              <w:keepNext w:val="0"/>
              <w:keepLines w:val="0"/>
              <w:suppressLineNumbers w:val="0"/>
              <w:snapToGrid w:val="0"/>
              <w:spacing w:before="0" w:beforeAutospacing="0" w:after="0" w:afterAutospacing="0" w:line="380" w:lineRule="exact"/>
              <w:ind w:left="0" w:right="0"/>
              <w:jc w:val="center"/>
              <w:rPr>
                <w:rFonts w:hint="eastAsia" w:ascii="宋体" w:hAnsi="宋体" w:eastAsia="宋体" w:cs="宋体"/>
                <w:color w:val="auto"/>
                <w:sz w:val="21"/>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06D3C377">
            <w:pPr>
              <w:keepNext w:val="0"/>
              <w:keepLines w:val="0"/>
              <w:suppressLineNumbers w:val="0"/>
              <w:snapToGrid w:val="0"/>
              <w:spacing w:before="0" w:beforeAutospacing="0" w:after="0" w:afterAutospacing="0" w:line="380" w:lineRule="exact"/>
              <w:ind w:left="0" w:right="0"/>
              <w:jc w:val="center"/>
              <w:rPr>
                <w:rFonts w:hint="eastAsia" w:ascii="宋体" w:hAnsi="宋体" w:eastAsia="宋体" w:cs="宋体"/>
                <w:color w:val="auto"/>
                <w:sz w:val="21"/>
                <w:szCs w:val="21"/>
                <w:highlight w:val="none"/>
              </w:rPr>
            </w:pPr>
          </w:p>
        </w:tc>
        <w:tc>
          <w:tcPr>
            <w:tcW w:w="1461" w:type="dxa"/>
            <w:tcBorders>
              <w:top w:val="single" w:color="auto" w:sz="4" w:space="0"/>
              <w:left w:val="single" w:color="auto" w:sz="4" w:space="0"/>
              <w:bottom w:val="single" w:color="auto" w:sz="4" w:space="0"/>
              <w:right w:val="single" w:color="auto" w:sz="4" w:space="0"/>
            </w:tcBorders>
            <w:noWrap w:val="0"/>
            <w:vAlign w:val="center"/>
          </w:tcPr>
          <w:p w14:paraId="6864A2AA">
            <w:pPr>
              <w:keepNext w:val="0"/>
              <w:keepLines w:val="0"/>
              <w:suppressLineNumbers w:val="0"/>
              <w:snapToGrid w:val="0"/>
              <w:spacing w:before="0" w:beforeAutospacing="0" w:after="0" w:afterAutospacing="0" w:line="380" w:lineRule="exact"/>
              <w:ind w:left="0" w:right="0"/>
              <w:jc w:val="center"/>
              <w:rPr>
                <w:rFonts w:hint="eastAsia" w:ascii="宋体" w:hAnsi="宋体" w:eastAsia="宋体" w:cs="宋体"/>
                <w:color w:val="auto"/>
                <w:sz w:val="21"/>
                <w:szCs w:val="21"/>
                <w:highlight w:val="none"/>
              </w:rPr>
            </w:pPr>
          </w:p>
        </w:tc>
      </w:tr>
      <w:tr w14:paraId="1F2B4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503" w:type="dxa"/>
            <w:tcBorders>
              <w:top w:val="single" w:color="auto" w:sz="4" w:space="0"/>
              <w:left w:val="single" w:color="auto" w:sz="4" w:space="0"/>
              <w:bottom w:val="single" w:color="auto" w:sz="4" w:space="0"/>
              <w:right w:val="single" w:color="auto" w:sz="4" w:space="0"/>
            </w:tcBorders>
            <w:noWrap w:val="0"/>
            <w:vAlign w:val="center"/>
          </w:tcPr>
          <w:p w14:paraId="4576E08E">
            <w:pPr>
              <w:keepNext w:val="0"/>
              <w:keepLines w:val="0"/>
              <w:suppressLineNumbers w:val="0"/>
              <w:snapToGrid w:val="0"/>
              <w:spacing w:before="0" w:beforeAutospacing="0" w:after="0" w:afterAutospacing="0" w:line="38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323" w:type="dxa"/>
            <w:tcBorders>
              <w:top w:val="single" w:color="auto" w:sz="4" w:space="0"/>
              <w:left w:val="single" w:color="auto" w:sz="4" w:space="0"/>
              <w:bottom w:val="single" w:color="auto" w:sz="4" w:space="0"/>
              <w:right w:val="single" w:color="auto" w:sz="4" w:space="0"/>
            </w:tcBorders>
            <w:noWrap w:val="0"/>
            <w:vAlign w:val="center"/>
          </w:tcPr>
          <w:p w14:paraId="2EEA9967">
            <w:pPr>
              <w:keepNext w:val="0"/>
              <w:keepLines w:val="0"/>
              <w:suppressLineNumbers w:val="0"/>
              <w:snapToGrid w:val="0"/>
              <w:spacing w:before="0" w:beforeAutospacing="0" w:after="0" w:afterAutospacing="0" w:line="380" w:lineRule="exact"/>
              <w:ind w:left="0" w:right="0"/>
              <w:jc w:val="center"/>
              <w:rPr>
                <w:rFonts w:hint="eastAsia" w:ascii="宋体" w:hAnsi="宋体" w:eastAsia="宋体" w:cs="宋体"/>
                <w:color w:val="auto"/>
                <w:sz w:val="21"/>
                <w:szCs w:val="21"/>
                <w:highlight w:val="none"/>
              </w:rPr>
            </w:pPr>
          </w:p>
        </w:tc>
        <w:tc>
          <w:tcPr>
            <w:tcW w:w="1096" w:type="dxa"/>
            <w:tcBorders>
              <w:top w:val="single" w:color="auto" w:sz="4" w:space="0"/>
              <w:left w:val="single" w:color="auto" w:sz="4" w:space="0"/>
              <w:bottom w:val="single" w:color="auto" w:sz="4" w:space="0"/>
              <w:right w:val="single" w:color="auto" w:sz="4" w:space="0"/>
            </w:tcBorders>
            <w:noWrap w:val="0"/>
            <w:vAlign w:val="center"/>
          </w:tcPr>
          <w:p w14:paraId="0230F1CF">
            <w:pPr>
              <w:keepNext w:val="0"/>
              <w:keepLines w:val="0"/>
              <w:suppressLineNumbers w:val="0"/>
              <w:snapToGrid w:val="0"/>
              <w:spacing w:before="0" w:beforeAutospacing="0" w:after="0" w:afterAutospacing="0" w:line="380" w:lineRule="exact"/>
              <w:ind w:left="0" w:right="0"/>
              <w:jc w:val="center"/>
              <w:rPr>
                <w:rFonts w:hint="eastAsia" w:ascii="宋体" w:hAnsi="宋体" w:eastAsia="宋体" w:cs="宋体"/>
                <w:color w:val="auto"/>
                <w:sz w:val="21"/>
                <w:szCs w:val="21"/>
                <w:highlight w:val="none"/>
              </w:rPr>
            </w:pPr>
          </w:p>
        </w:tc>
        <w:tc>
          <w:tcPr>
            <w:tcW w:w="1211" w:type="dxa"/>
            <w:tcBorders>
              <w:top w:val="single" w:color="auto" w:sz="4" w:space="0"/>
              <w:left w:val="single" w:color="auto" w:sz="4" w:space="0"/>
              <w:bottom w:val="single" w:color="auto" w:sz="4" w:space="0"/>
              <w:right w:val="single" w:color="auto" w:sz="4" w:space="0"/>
            </w:tcBorders>
            <w:noWrap w:val="0"/>
            <w:vAlign w:val="center"/>
          </w:tcPr>
          <w:p w14:paraId="1389C4F6">
            <w:pPr>
              <w:keepNext w:val="0"/>
              <w:keepLines w:val="0"/>
              <w:suppressLineNumbers w:val="0"/>
              <w:snapToGrid w:val="0"/>
              <w:spacing w:before="0" w:beforeAutospacing="0" w:after="0" w:afterAutospacing="0" w:line="380" w:lineRule="exact"/>
              <w:ind w:left="0" w:right="0"/>
              <w:jc w:val="center"/>
              <w:rPr>
                <w:rFonts w:hint="eastAsia" w:ascii="宋体" w:hAnsi="宋体" w:eastAsia="宋体" w:cs="宋体"/>
                <w:color w:val="auto"/>
                <w:sz w:val="21"/>
                <w:szCs w:val="21"/>
                <w:highlight w:val="none"/>
              </w:rPr>
            </w:pPr>
          </w:p>
        </w:tc>
        <w:tc>
          <w:tcPr>
            <w:tcW w:w="1210" w:type="dxa"/>
            <w:tcBorders>
              <w:top w:val="single" w:color="auto" w:sz="4" w:space="0"/>
              <w:left w:val="single" w:color="auto" w:sz="4" w:space="0"/>
              <w:bottom w:val="single" w:color="auto" w:sz="4" w:space="0"/>
              <w:right w:val="single" w:color="auto" w:sz="4" w:space="0"/>
            </w:tcBorders>
            <w:noWrap w:val="0"/>
            <w:vAlign w:val="top"/>
          </w:tcPr>
          <w:p w14:paraId="0EB31DD7">
            <w:pPr>
              <w:keepNext w:val="0"/>
              <w:keepLines w:val="0"/>
              <w:suppressLineNumbers w:val="0"/>
              <w:snapToGrid w:val="0"/>
              <w:spacing w:before="0" w:beforeAutospacing="0" w:after="0" w:afterAutospacing="0" w:line="380" w:lineRule="exact"/>
              <w:ind w:left="0" w:right="0"/>
              <w:jc w:val="center"/>
              <w:rPr>
                <w:rFonts w:hint="eastAsia" w:ascii="宋体" w:hAnsi="宋体" w:eastAsia="宋体" w:cs="宋体"/>
                <w:color w:val="auto"/>
                <w:sz w:val="21"/>
                <w:szCs w:val="21"/>
                <w:highlight w:val="none"/>
              </w:rPr>
            </w:pPr>
          </w:p>
        </w:tc>
        <w:tc>
          <w:tcPr>
            <w:tcW w:w="681" w:type="dxa"/>
            <w:tcBorders>
              <w:top w:val="single" w:color="auto" w:sz="4" w:space="0"/>
              <w:left w:val="single" w:color="auto" w:sz="4" w:space="0"/>
              <w:bottom w:val="single" w:color="auto" w:sz="4" w:space="0"/>
              <w:right w:val="single" w:color="auto" w:sz="4" w:space="0"/>
            </w:tcBorders>
            <w:noWrap w:val="0"/>
            <w:vAlign w:val="top"/>
          </w:tcPr>
          <w:p w14:paraId="06E98DBF">
            <w:pPr>
              <w:keepNext w:val="0"/>
              <w:keepLines w:val="0"/>
              <w:suppressLineNumbers w:val="0"/>
              <w:snapToGrid w:val="0"/>
              <w:spacing w:before="0" w:beforeAutospacing="0" w:after="0" w:afterAutospacing="0" w:line="380" w:lineRule="exact"/>
              <w:ind w:left="0" w:right="0"/>
              <w:jc w:val="center"/>
              <w:rPr>
                <w:rFonts w:hint="eastAsia" w:ascii="宋体" w:hAnsi="宋体" w:eastAsia="宋体" w:cs="宋体"/>
                <w:color w:val="auto"/>
                <w:sz w:val="21"/>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1DA4A37E">
            <w:pPr>
              <w:keepNext w:val="0"/>
              <w:keepLines w:val="0"/>
              <w:suppressLineNumbers w:val="0"/>
              <w:snapToGrid w:val="0"/>
              <w:spacing w:before="0" w:beforeAutospacing="0" w:after="0" w:afterAutospacing="0" w:line="380" w:lineRule="exact"/>
              <w:ind w:left="0" w:right="0"/>
              <w:jc w:val="center"/>
              <w:rPr>
                <w:rFonts w:hint="eastAsia" w:ascii="宋体" w:hAnsi="宋体" w:eastAsia="宋体" w:cs="宋体"/>
                <w:color w:val="auto"/>
                <w:sz w:val="21"/>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36AD6AF2">
            <w:pPr>
              <w:keepNext w:val="0"/>
              <w:keepLines w:val="0"/>
              <w:suppressLineNumbers w:val="0"/>
              <w:snapToGrid w:val="0"/>
              <w:spacing w:before="0" w:beforeAutospacing="0" w:after="0" w:afterAutospacing="0" w:line="380" w:lineRule="exact"/>
              <w:ind w:left="0" w:right="0"/>
              <w:jc w:val="center"/>
              <w:rPr>
                <w:rFonts w:hint="eastAsia" w:ascii="宋体" w:hAnsi="宋体" w:eastAsia="宋体" w:cs="宋体"/>
                <w:color w:val="auto"/>
                <w:sz w:val="21"/>
                <w:szCs w:val="21"/>
                <w:highlight w:val="none"/>
              </w:rPr>
            </w:pPr>
          </w:p>
        </w:tc>
        <w:tc>
          <w:tcPr>
            <w:tcW w:w="1461" w:type="dxa"/>
            <w:tcBorders>
              <w:top w:val="single" w:color="auto" w:sz="4" w:space="0"/>
              <w:left w:val="single" w:color="auto" w:sz="4" w:space="0"/>
              <w:bottom w:val="single" w:color="auto" w:sz="4" w:space="0"/>
              <w:right w:val="single" w:color="auto" w:sz="4" w:space="0"/>
            </w:tcBorders>
            <w:noWrap w:val="0"/>
            <w:vAlign w:val="center"/>
          </w:tcPr>
          <w:p w14:paraId="028B7AB2">
            <w:pPr>
              <w:keepNext w:val="0"/>
              <w:keepLines w:val="0"/>
              <w:suppressLineNumbers w:val="0"/>
              <w:snapToGrid w:val="0"/>
              <w:spacing w:before="0" w:beforeAutospacing="0" w:after="0" w:afterAutospacing="0" w:line="380" w:lineRule="exact"/>
              <w:ind w:left="0" w:right="0"/>
              <w:jc w:val="center"/>
              <w:rPr>
                <w:rFonts w:hint="eastAsia" w:ascii="宋体" w:hAnsi="宋体" w:eastAsia="宋体" w:cs="宋体"/>
                <w:color w:val="auto"/>
                <w:sz w:val="21"/>
                <w:szCs w:val="21"/>
                <w:highlight w:val="none"/>
              </w:rPr>
            </w:pPr>
          </w:p>
        </w:tc>
      </w:tr>
      <w:tr w14:paraId="55A8E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1826" w:type="dxa"/>
            <w:gridSpan w:val="2"/>
            <w:tcBorders>
              <w:top w:val="single" w:color="auto" w:sz="4" w:space="0"/>
              <w:left w:val="single" w:color="auto" w:sz="4" w:space="0"/>
              <w:bottom w:val="single" w:color="auto" w:sz="4" w:space="0"/>
              <w:right w:val="single" w:color="auto" w:sz="4" w:space="0"/>
            </w:tcBorders>
            <w:noWrap w:val="0"/>
            <w:vAlign w:val="center"/>
          </w:tcPr>
          <w:p w14:paraId="4933B9AB">
            <w:pPr>
              <w:pStyle w:val="6"/>
              <w:keepNext w:val="0"/>
              <w:keepLines w:val="0"/>
              <w:suppressLineNumbers w:val="0"/>
              <w:spacing w:before="0" w:beforeAutospacing="0" w:after="0" w:afterAutospacing="0" w:line="400" w:lineRule="exact"/>
              <w:ind w:left="0" w:righ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质保期</w:t>
            </w:r>
          </w:p>
        </w:tc>
        <w:tc>
          <w:tcPr>
            <w:tcW w:w="7849" w:type="dxa"/>
            <w:gridSpan w:val="7"/>
            <w:tcBorders>
              <w:top w:val="single" w:color="auto" w:sz="4" w:space="0"/>
              <w:left w:val="single" w:color="auto" w:sz="4" w:space="0"/>
              <w:bottom w:val="single" w:color="auto" w:sz="4" w:space="0"/>
              <w:right w:val="single" w:color="auto" w:sz="4" w:space="0"/>
            </w:tcBorders>
            <w:noWrap w:val="0"/>
            <w:vAlign w:val="center"/>
          </w:tcPr>
          <w:p w14:paraId="0D6EAED5">
            <w:pPr>
              <w:pStyle w:val="6"/>
              <w:keepNext w:val="0"/>
              <w:keepLines w:val="0"/>
              <w:suppressLineNumbers w:val="0"/>
              <w:spacing w:before="0" w:beforeAutospacing="0" w:after="0" w:afterAutospacing="0" w:line="400" w:lineRule="exact"/>
              <w:ind w:left="0" w:leftChars="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年（自最终验收合格之日算），分项货物有要求按分项要求。在质保期内设备运行发生故障，成交人必须免费提供维修服务。供应商投标时必须承诺对本项目设备提供终身服务，保修期外的服务费用由采购人和成交人另行商议。</w:t>
            </w:r>
          </w:p>
        </w:tc>
      </w:tr>
      <w:tr w14:paraId="1FC79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1826" w:type="dxa"/>
            <w:gridSpan w:val="2"/>
            <w:tcBorders>
              <w:top w:val="single" w:color="auto" w:sz="4" w:space="0"/>
              <w:left w:val="single" w:color="auto" w:sz="4" w:space="0"/>
              <w:bottom w:val="single" w:color="auto" w:sz="4" w:space="0"/>
              <w:right w:val="single" w:color="auto" w:sz="4" w:space="0"/>
            </w:tcBorders>
            <w:noWrap w:val="0"/>
            <w:vAlign w:val="center"/>
          </w:tcPr>
          <w:p w14:paraId="73286681">
            <w:pPr>
              <w:pStyle w:val="6"/>
              <w:keepNext w:val="0"/>
              <w:keepLines w:val="0"/>
              <w:suppressLineNumbers w:val="0"/>
              <w:spacing w:before="0" w:beforeAutospacing="0" w:after="0" w:afterAutospacing="0" w:line="400" w:lineRule="exact"/>
              <w:ind w:left="0" w:righ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交付期</w:t>
            </w:r>
          </w:p>
        </w:tc>
        <w:tc>
          <w:tcPr>
            <w:tcW w:w="7849" w:type="dxa"/>
            <w:gridSpan w:val="7"/>
            <w:tcBorders>
              <w:top w:val="single" w:color="auto" w:sz="4" w:space="0"/>
              <w:left w:val="single" w:color="auto" w:sz="4" w:space="0"/>
              <w:bottom w:val="single" w:color="auto" w:sz="4" w:space="0"/>
              <w:right w:val="single" w:color="auto" w:sz="4" w:space="0"/>
            </w:tcBorders>
            <w:noWrap w:val="0"/>
            <w:vAlign w:val="center"/>
          </w:tcPr>
          <w:p w14:paraId="03488576">
            <w:pPr>
              <w:pStyle w:val="6"/>
              <w:keepNext w:val="0"/>
              <w:keepLines w:val="0"/>
              <w:suppressLineNumbers w:val="0"/>
              <w:spacing w:before="0" w:beforeAutospacing="0" w:after="0" w:afterAutospacing="0" w:line="400" w:lineRule="exact"/>
              <w:ind w:left="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w:t>
            </w:r>
          </w:p>
        </w:tc>
      </w:tr>
      <w:tr w14:paraId="7D31A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9675" w:type="dxa"/>
            <w:gridSpan w:val="9"/>
            <w:tcBorders>
              <w:top w:val="single" w:color="auto" w:sz="4" w:space="0"/>
              <w:left w:val="single" w:color="auto" w:sz="4" w:space="0"/>
              <w:bottom w:val="single" w:color="auto" w:sz="4" w:space="0"/>
              <w:right w:val="single" w:color="auto" w:sz="4" w:space="0"/>
            </w:tcBorders>
            <w:noWrap w:val="0"/>
            <w:vAlign w:val="center"/>
          </w:tcPr>
          <w:p w14:paraId="505AB573">
            <w:pPr>
              <w:pStyle w:val="6"/>
              <w:keepNext w:val="0"/>
              <w:keepLines w:val="0"/>
              <w:suppressLineNumbers w:val="0"/>
              <w:spacing w:before="0" w:beforeAutospacing="0" w:after="0" w:afterAutospacing="0" w:line="400" w:lineRule="exact"/>
              <w:ind w:left="0" w:right="0" w:firstLine="0" w:firstLineChars="0"/>
              <w:rPr>
                <w:rFonts w:hint="eastAsia" w:ascii="宋体" w:hAnsi="宋体" w:eastAsia="宋体" w:cs="宋体"/>
                <w:color w:val="auto"/>
                <w:sz w:val="21"/>
                <w:szCs w:val="21"/>
                <w:highlight w:val="none"/>
              </w:rPr>
            </w:pPr>
            <w:r>
              <w:rPr>
                <w:rFonts w:hint="eastAsia" w:ascii="宋体" w:hAnsi="宋体" w:eastAsia="宋体" w:cs="宋体"/>
                <w:b/>
                <w:color w:val="auto"/>
                <w:kern w:val="0"/>
                <w:sz w:val="21"/>
                <w:szCs w:val="21"/>
                <w:highlight w:val="none"/>
              </w:rPr>
              <w:t>人民币合计金额（大写）：</w:t>
            </w:r>
            <w:r>
              <w:rPr>
                <w:rFonts w:hint="eastAsia" w:ascii="宋体" w:hAnsi="宋体" w:eastAsia="宋体" w:cs="宋体"/>
                <w:b/>
                <w:color w:val="auto"/>
                <w:kern w:val="0"/>
                <w:sz w:val="21"/>
                <w:szCs w:val="21"/>
                <w:highlight w:val="none"/>
                <w:lang w:val="en-US" w:eastAsia="zh-CN"/>
              </w:rPr>
              <w:t xml:space="preserve">      </w:t>
            </w:r>
            <w:r>
              <w:rPr>
                <w:rFonts w:hint="eastAsia" w:ascii="宋体" w:hAnsi="宋体" w:eastAsia="宋体" w:cs="宋体"/>
                <w:b/>
                <w:color w:val="auto"/>
                <w:kern w:val="0"/>
                <w:sz w:val="21"/>
                <w:szCs w:val="21"/>
                <w:highlight w:val="none"/>
              </w:rPr>
              <w:t>（¥</w:t>
            </w:r>
            <w:r>
              <w:rPr>
                <w:rFonts w:hint="eastAsia" w:ascii="宋体" w:hAnsi="宋体" w:eastAsia="宋体" w:cs="宋体"/>
                <w:b/>
                <w:color w:val="auto"/>
                <w:kern w:val="0"/>
                <w:sz w:val="21"/>
                <w:szCs w:val="21"/>
                <w:highlight w:val="none"/>
              </w:rPr>
              <w:tab/>
            </w:r>
            <w:r>
              <w:rPr>
                <w:rFonts w:hint="eastAsia" w:ascii="宋体" w:hAnsi="宋体" w:eastAsia="宋体" w:cs="宋体"/>
                <w:b/>
                <w:color w:val="auto"/>
                <w:kern w:val="0"/>
                <w:sz w:val="21"/>
                <w:szCs w:val="21"/>
                <w:highlight w:val="none"/>
                <w:lang w:val="en-US" w:eastAsia="zh-CN"/>
              </w:rPr>
              <w:t xml:space="preserve"> </w:t>
            </w:r>
            <w:r>
              <w:rPr>
                <w:rFonts w:hint="eastAsia" w:ascii="宋体" w:hAnsi="宋体" w:eastAsia="宋体" w:cs="宋体"/>
                <w:b/>
                <w:color w:val="auto"/>
                <w:kern w:val="0"/>
                <w:sz w:val="21"/>
                <w:szCs w:val="21"/>
                <w:highlight w:val="none"/>
              </w:rPr>
              <w:t>元）</w:t>
            </w:r>
          </w:p>
        </w:tc>
      </w:tr>
    </w:tbl>
    <w:p w14:paraId="1A734ECB">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合同合计金额包括货物价款，备件、专用工具、安装、调试、检验、技术培训及技术资料和包装、运输等全部费用。如招投标文件对其另有规定的，从其规定。</w:t>
      </w:r>
    </w:p>
    <w:p w14:paraId="7913288E">
      <w:pPr>
        <w:keepNext w:val="0"/>
        <w:keepLines w:val="0"/>
        <w:pageBreakBefore w:val="0"/>
        <w:widowControl/>
        <w:kinsoku/>
        <w:wordWrap/>
        <w:overflowPunct/>
        <w:topLinePunct w:val="0"/>
        <w:autoSpaceDE/>
        <w:autoSpaceDN/>
        <w:bidi w:val="0"/>
        <w:adjustRightInd/>
        <w:snapToGrid/>
        <w:spacing w:line="380" w:lineRule="exact"/>
        <w:ind w:firstLine="0" w:firstLineChars="0"/>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color w:val="auto"/>
          <w:sz w:val="21"/>
          <w:szCs w:val="21"/>
          <w:highlight w:val="none"/>
        </w:rPr>
        <w:t xml:space="preserve">    </w:t>
      </w:r>
      <w:r>
        <w:rPr>
          <w:rFonts w:hint="eastAsia" w:ascii="宋体" w:hAnsi="宋体" w:eastAsia="宋体" w:cs="宋体"/>
          <w:b/>
          <w:color w:val="auto"/>
          <w:sz w:val="21"/>
          <w:szCs w:val="21"/>
          <w:highlight w:val="none"/>
        </w:rPr>
        <w:t>第二条 质量保证</w:t>
      </w:r>
    </w:p>
    <w:p w14:paraId="5C2801C1">
      <w:pPr>
        <w:keepNext w:val="0"/>
        <w:keepLines w:val="0"/>
        <w:pageBreakBefore w:val="0"/>
        <w:widowControl w:val="0"/>
        <w:kinsoku/>
        <w:wordWrap/>
        <w:overflowPunct/>
        <w:topLinePunct w:val="0"/>
        <w:autoSpaceDE/>
        <w:autoSpaceDN/>
        <w:bidi w:val="0"/>
        <w:adjustRightInd/>
        <w:snapToGrid/>
        <w:spacing w:line="380" w:lineRule="exact"/>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 xml:space="preserve"> </w:t>
      </w:r>
      <w:r>
        <w:rPr>
          <w:rFonts w:hint="eastAsia" w:ascii="宋体" w:hAnsi="宋体" w:eastAsia="宋体" w:cs="宋体"/>
          <w:b w:val="0"/>
          <w:bCs/>
          <w:color w:val="auto"/>
          <w:sz w:val="21"/>
          <w:szCs w:val="21"/>
          <w:highlight w:val="none"/>
          <w:lang w:val="en-US" w:eastAsia="zh-CN"/>
        </w:rPr>
        <w:t>1.</w:t>
      </w:r>
      <w:r>
        <w:rPr>
          <w:rFonts w:hint="eastAsia" w:ascii="宋体" w:hAnsi="宋体" w:eastAsia="宋体" w:cs="宋体"/>
          <w:b w:val="0"/>
          <w:bCs/>
          <w:color w:val="auto"/>
          <w:sz w:val="21"/>
          <w:szCs w:val="21"/>
          <w:highlight w:val="none"/>
        </w:rPr>
        <w:t>乙</w:t>
      </w:r>
      <w:r>
        <w:rPr>
          <w:rFonts w:hint="eastAsia" w:ascii="宋体" w:hAnsi="宋体" w:eastAsia="宋体" w:cs="宋体"/>
          <w:color w:val="auto"/>
          <w:sz w:val="21"/>
          <w:szCs w:val="21"/>
          <w:highlight w:val="none"/>
        </w:rPr>
        <w:t>方所提供的货物型号、技术规格、技术参数等质量必须与竞争性</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采购文件及响应文件承诺相一致。乙方提供的节能和环保产品必须是列入政府采购清单的产品。</w:t>
      </w:r>
    </w:p>
    <w:p w14:paraId="6F5CADC5">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乙方所提供的货物必须是全新、未使用的原装产品，且在正常安装、使用和保养条件下，其使用寿命期内各项指标均达到质量要求。</w:t>
      </w:r>
    </w:p>
    <w:p w14:paraId="441F4DA0">
      <w:pPr>
        <w:spacing w:line="3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乙方提供货物的质量保证期按交货验收合格之日起计（期限见《项目需求》要求）。在保证期内因货物本身的质量问题发生故障，乙方应负责免费修理、更换零部件或者更换新的货物。对达不到技术要求者，根据实际情况，经双方协商，可按以下办法处理：</w:t>
      </w:r>
    </w:p>
    <w:p w14:paraId="22AD4446">
      <w:pPr>
        <w:spacing w:line="3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⑴更换：由乙方承担所发生的全部费用。</w:t>
      </w:r>
    </w:p>
    <w:p w14:paraId="5E98CBF6">
      <w:pPr>
        <w:spacing w:line="3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⑵贬值处理：由甲乙双方合议定价。</w:t>
      </w:r>
    </w:p>
    <w:p w14:paraId="2522AE00">
      <w:pPr>
        <w:spacing w:line="3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⑶退货处理：乙方应退还甲方支付的货物款，同时应承担该货物的直接费用(运输、保险、检验、货款利息及银行手续费等)。</w:t>
      </w:r>
    </w:p>
    <w:p w14:paraId="01F71BE5">
      <w:pPr>
        <w:spacing w:line="3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如在使用过程中发生质量问题，乙方在接到甲方通知后</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小时内到达甲方现场（项目需求另有规定的按项目需求的规定执行）。</w:t>
      </w:r>
    </w:p>
    <w:p w14:paraId="7967174E">
      <w:pPr>
        <w:spacing w:line="3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在质保期内，乙方应对货物出现的质量及安全问题负责处理解决，所发生的一切费用由乙方承担。</w:t>
      </w:r>
    </w:p>
    <w:p w14:paraId="7EA9F5BD">
      <w:pPr>
        <w:spacing w:line="380" w:lineRule="exact"/>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b/>
          <w:color w:val="auto"/>
          <w:sz w:val="21"/>
          <w:szCs w:val="21"/>
          <w:highlight w:val="none"/>
        </w:rPr>
        <w:t>第三条 权利保证</w:t>
      </w:r>
    </w:p>
    <w:p w14:paraId="0830FEB1">
      <w:pPr>
        <w:spacing w:line="380" w:lineRule="exact"/>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 xml:space="preserve">    </w:t>
      </w:r>
      <w:r>
        <w:rPr>
          <w:rFonts w:hint="eastAsia" w:ascii="宋体" w:hAnsi="宋体" w:eastAsia="宋体" w:cs="宋体"/>
          <w:bCs/>
          <w:color w:val="auto"/>
          <w:sz w:val="21"/>
          <w:szCs w:val="21"/>
          <w:highlight w:val="none"/>
        </w:rPr>
        <w:t>1</w:t>
      </w:r>
      <w:r>
        <w:rPr>
          <w:rFonts w:hint="eastAsia" w:ascii="宋体" w:hAnsi="宋体" w:eastAsia="宋体" w:cs="宋体"/>
          <w:bCs/>
          <w:color w:val="auto"/>
          <w:sz w:val="21"/>
          <w:szCs w:val="21"/>
          <w:highlight w:val="none"/>
          <w:lang w:val="en-US" w:eastAsia="zh-CN"/>
        </w:rPr>
        <w:t>.</w:t>
      </w:r>
      <w:r>
        <w:rPr>
          <w:rFonts w:hint="eastAsia" w:ascii="宋体" w:hAnsi="宋体" w:eastAsia="宋体" w:cs="宋体"/>
          <w:color w:val="auto"/>
          <w:sz w:val="21"/>
          <w:szCs w:val="21"/>
          <w:highlight w:val="none"/>
        </w:rPr>
        <w:t>乙方应保证所提供货物在使用时不会侵犯任何第三方的专利权、商标权、工业设计权或其他权利。</w:t>
      </w:r>
    </w:p>
    <w:p w14:paraId="7DCFC03C">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乙方应按招标文件规定的时间向甲方提供使用货物的有关技术资料。</w:t>
      </w:r>
    </w:p>
    <w:p w14:paraId="2CF70E55">
      <w:pPr>
        <w:spacing w:line="3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43200E4D">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4</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乙方保证所交付的货物的所有权完全属于乙方且无任何抵押、质押、查封等产权瑕疵。</w:t>
      </w:r>
    </w:p>
    <w:p w14:paraId="269BC075">
      <w:pPr>
        <w:spacing w:line="380" w:lineRule="exact"/>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b/>
          <w:color w:val="auto"/>
          <w:sz w:val="21"/>
          <w:szCs w:val="21"/>
          <w:highlight w:val="none"/>
        </w:rPr>
        <w:t>第四条 包装和运输</w:t>
      </w:r>
    </w:p>
    <w:p w14:paraId="0816699B">
      <w:pPr>
        <w:spacing w:line="3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乙方提供的货物均应按竞争性</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采购文件及响应文件要求的包装材料、包装标准、包装方式进行包装，每一包装单元内应附详细的装箱清单和质量合格证，使用说明书、质量检验证明书、随配附件和工具以及清单一并附于货物内。</w:t>
      </w:r>
    </w:p>
    <w:p w14:paraId="648928AB">
      <w:pPr>
        <w:spacing w:line="3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乙方应在货物发运前对其进行满足运输距离、防潮、防震、防锈和防破损装卸等要求包装，以保证货物安全运达甲方指定地点。</w:t>
      </w:r>
    </w:p>
    <w:p w14:paraId="647CEC13">
      <w:pPr>
        <w:spacing w:line="3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乙方在货物发运手续办理完毕后二十四小时内或货到甲方四十八小时前通知甲方，以准备接货。</w:t>
      </w:r>
    </w:p>
    <w:p w14:paraId="751C7309">
      <w:pPr>
        <w:spacing w:line="3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乙方负责将货物安全运送到甲方指定地点，不另收任何费用。</w:t>
      </w:r>
    </w:p>
    <w:p w14:paraId="4428C795">
      <w:pPr>
        <w:spacing w:line="3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货物在交付甲方前发生的风险均由乙方负责。</w:t>
      </w:r>
    </w:p>
    <w:p w14:paraId="632798B0">
      <w:pPr>
        <w:spacing w:line="380" w:lineRule="exact"/>
        <w:ind w:firstLine="420" w:firstLineChars="200"/>
        <w:jc w:val="left"/>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货物在规定的交付期限内由乙方送达甲方指定的地点视为交付，乙方同时需通知甲方货物已送达。</w:t>
      </w:r>
    </w:p>
    <w:p w14:paraId="0801B1B4">
      <w:pPr>
        <w:spacing w:line="380" w:lineRule="exact"/>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b/>
          <w:color w:val="auto"/>
          <w:sz w:val="21"/>
          <w:szCs w:val="21"/>
          <w:highlight w:val="none"/>
        </w:rPr>
        <w:t>第五条 交付和验收</w:t>
      </w:r>
    </w:p>
    <w:p w14:paraId="2862D2A1">
      <w:pPr>
        <w:spacing w:line="3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交付时间：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自签订合同之日起</w:t>
      </w:r>
      <w:r>
        <w:rPr>
          <w:rFonts w:hint="default"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US" w:eastAsia="zh-CN"/>
        </w:rPr>
        <w:t xml:space="preserve">个日历日内  </w:t>
      </w:r>
      <w:r>
        <w:rPr>
          <w:rFonts w:hint="eastAsia" w:ascii="宋体" w:hAnsi="宋体" w:eastAsia="宋体" w:cs="宋体"/>
          <w:color w:val="auto"/>
          <w:sz w:val="21"/>
          <w:szCs w:val="21"/>
          <w:highlight w:val="none"/>
        </w:rPr>
        <w:t>；交付地点：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广西生态工程职业技术学院  </w:t>
      </w:r>
      <w:r>
        <w:rPr>
          <w:rFonts w:hint="eastAsia" w:ascii="宋体" w:hAnsi="宋体" w:eastAsia="宋体" w:cs="宋体"/>
          <w:color w:val="auto"/>
          <w:sz w:val="21"/>
          <w:szCs w:val="21"/>
          <w:highlight w:val="none"/>
        </w:rPr>
        <w:t>。</w:t>
      </w:r>
    </w:p>
    <w:p w14:paraId="508593C7">
      <w:pPr>
        <w:spacing w:line="3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乙方提供不符合竞争性</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采购文件及响应文件和本合同规定的货物，甲方有权拒绝接受。</w:t>
      </w:r>
    </w:p>
    <w:p w14:paraId="620DE3F6">
      <w:pPr>
        <w:spacing w:line="3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乙方应将所提供货物的装箱清单、用户手册、原厂保修卡、随机资料、工具和备品、备件等交付给甲方，如有缺失应及时补齐，否则视为逾期交货。</w:t>
      </w:r>
    </w:p>
    <w:p w14:paraId="3CE5CBCF">
      <w:pPr>
        <w:spacing w:line="3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乙方交货前应对产品作出全面检查和对验收文件进行整理，并列出清单，作为甲方收货验收和使用的技术条件依据，检验的结果应随货物交甲方。乙方不能完整交付货物及本款规定的单证和工具的，必须负责补齐，否则视为未按合同约定交货。</w:t>
      </w:r>
    </w:p>
    <w:p w14:paraId="6CA12BBC">
      <w:pPr>
        <w:spacing w:line="3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甲方对乙方提供的货物在使用前进行调试时，乙方需负责安装并培训甲方的使用操作人员。并协助甲方一起调试，直到符合技术要求，甲方才做最终验收。</w:t>
      </w:r>
    </w:p>
    <w:p w14:paraId="7EA7E181">
      <w:pPr>
        <w:spacing w:line="3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验收由甲方组织，乙方配合进行。对技术复杂的货物，甲方应请国家认可的专业检测机构参与初步验收及最终验收，并由其出具质量检测报告。</w:t>
      </w:r>
    </w:p>
    <w:p w14:paraId="0C39801F">
      <w:pPr>
        <w:spacing w:line="3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（1）货物在乙方通知安装调试完毕后七个工作日内初步验收。外观、说明书符合竞争性</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采购文件技术要求的，给予签收，初步验收不合格的不予签收。初步验收合格后，进入试用期（试用期时长由甲乙双方另行商定）；试用期间发生重大质量问题，修复后试用期相应顺延；试用期结束后七个工作日内完成最终验收；</w:t>
      </w:r>
    </w:p>
    <w:p w14:paraId="4663AA68">
      <w:pPr>
        <w:spacing w:line="3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验收标准：按国家有关规定以及甲方招标文件的质量要求和技术指标、乙方的响应文件及承诺与本合同约定标准进行验收；甲乙双方如对质量要求和技术指标的约定标准有相互抵触或异议的事项，由甲方在招标文件与响应文件中按质量要求和技术指标比较优胜的原则确定该项的约定标准进行验收；</w:t>
      </w:r>
    </w:p>
    <w:p w14:paraId="1568A813">
      <w:pPr>
        <w:spacing w:line="3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14:paraId="1910AA46">
      <w:pPr>
        <w:spacing w:line="3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（4）如货物经乙方 3 次维修仍不能达到合同约定的质量标准，甲方有权退货，并视作乙方不能交付货物而须支付违约赔偿金给甲方，甲方还可依法追究乙方的违约责任。</w:t>
      </w:r>
    </w:p>
    <w:p w14:paraId="7389796C">
      <w:pPr>
        <w:spacing w:line="3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（5）验收结束后，应当出具验收书，列明各项标准的验收情况及项目总体评价，由验收双方共同签署。</w:t>
      </w:r>
    </w:p>
    <w:p w14:paraId="5CFEE90E">
      <w:pPr>
        <w:spacing w:line="3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货物安装完成后七个工作日内，甲方无故不进行验收工作并已使用货物的，视同已安装调试完成并验收合格。验收不合格的项目，将按本合同第十一条违约责任处理，未作约定的，按照《民法典》规定处理。</w:t>
      </w:r>
    </w:p>
    <w:p w14:paraId="1CEF77C3">
      <w:pPr>
        <w:spacing w:line="3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验收时乙方必须在现场，验收完毕后作出验收结果报告（验收书）；验收费用由乙方负责。费用标准参照国家或自治区有关规定执行。</w:t>
      </w:r>
    </w:p>
    <w:p w14:paraId="6BFFC76A">
      <w:pPr>
        <w:spacing w:line="3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其他未尽事宜应严格按照《关于印发广西壮族自治区政府采购项目履约验收管理办法的通知》[桂财采〔2015〕22 号]以及《财政部关于进一步加强政府采购需求和履约验收管理的指导意见》[财库〔2016〕205号]规定执行。</w:t>
      </w:r>
    </w:p>
    <w:p w14:paraId="33335E1E">
      <w:pPr>
        <w:spacing w:line="380" w:lineRule="exact"/>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b/>
          <w:color w:val="auto"/>
          <w:sz w:val="21"/>
          <w:szCs w:val="21"/>
          <w:highlight w:val="none"/>
        </w:rPr>
        <w:t>第六条 安装和培训</w:t>
      </w:r>
    </w:p>
    <w:p w14:paraId="18485344">
      <w:pPr>
        <w:spacing w:line="380" w:lineRule="exact"/>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 xml:space="preserve">    </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甲方应提供必要安装条件（如场地、电源、水源等）。</w:t>
      </w:r>
    </w:p>
    <w:p w14:paraId="302F6AB4">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乙方负责甲方有关人员的培训。培训时间、地点：</w:t>
      </w:r>
      <w:r>
        <w:rPr>
          <w:rFonts w:hint="eastAsia" w:ascii="宋体" w:hAnsi="宋体" w:eastAsia="宋体" w:cs="宋体"/>
          <w:color w:val="auto"/>
          <w:sz w:val="21"/>
          <w:szCs w:val="21"/>
          <w:highlight w:val="none"/>
          <w:u w:val="single"/>
        </w:rPr>
        <w:t xml:space="preserve">  甲方</w:t>
      </w:r>
      <w:r>
        <w:rPr>
          <w:rFonts w:hint="eastAsia" w:ascii="宋体" w:hAnsi="宋体" w:eastAsia="宋体" w:cs="宋体"/>
          <w:color w:val="auto"/>
          <w:sz w:val="21"/>
          <w:szCs w:val="21"/>
          <w:highlight w:val="none"/>
          <w:u w:val="single"/>
          <w:lang w:val="en-US" w:eastAsia="zh-CN"/>
        </w:rPr>
        <w:t>指定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E3475BC">
      <w:pPr>
        <w:spacing w:line="380" w:lineRule="exact"/>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b/>
          <w:color w:val="auto"/>
          <w:sz w:val="21"/>
          <w:szCs w:val="21"/>
          <w:highlight w:val="none"/>
        </w:rPr>
        <w:t>第七条 售后服务、保修期</w:t>
      </w:r>
    </w:p>
    <w:p w14:paraId="6880F785">
      <w:pPr>
        <w:spacing w:line="380" w:lineRule="exact"/>
        <w:jc w:val="left"/>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 xml:space="preserve">    </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乙方应按照国家有关法律法规和“三包”规定以及竞争性</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采购文件及响应文件和本合同所附的《服务承诺》为甲方提供售后服务。</w:t>
      </w:r>
    </w:p>
    <w:p w14:paraId="5A8D0F9E">
      <w:pPr>
        <w:spacing w:line="3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如在使用过程中发生质量问题，乙方在接到甲方通知后在</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小时内到达甲方现场处理。</w:t>
      </w:r>
    </w:p>
    <w:p w14:paraId="23EA95D6">
      <w:pPr>
        <w:spacing w:line="3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在质保期内，乙方应对货物出现的质量及安全问题负责处理解决并承担一切费用。</w:t>
      </w:r>
    </w:p>
    <w:p w14:paraId="6C31E1EF">
      <w:pPr>
        <w:spacing w:line="3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上述的货物免费保修期为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年，因人为因素出现的故障不在免费保修范围内。超过保修期的机器设备，终生维修，维修时只收部件成本费。</w:t>
      </w:r>
    </w:p>
    <w:p w14:paraId="0C81975B">
      <w:pPr>
        <w:spacing w:line="3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乙方提供的服务承诺和售后服务及保修期责任等其它具体约定事项。(见合同附件)</w:t>
      </w:r>
    </w:p>
    <w:p w14:paraId="5E98313E">
      <w:pPr>
        <w:spacing w:line="380" w:lineRule="exact"/>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b/>
          <w:color w:val="auto"/>
          <w:sz w:val="21"/>
          <w:szCs w:val="21"/>
          <w:highlight w:val="none"/>
        </w:rPr>
        <w:t>第八条 付款方式</w:t>
      </w:r>
    </w:p>
    <w:p w14:paraId="61AC9570">
      <w:pPr>
        <w:spacing w:line="380" w:lineRule="exact"/>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 xml:space="preserve">    </w:t>
      </w:r>
      <w:r>
        <w:rPr>
          <w:rFonts w:hint="eastAsia" w:ascii="宋体" w:hAnsi="宋体" w:eastAsia="宋体" w:cs="宋体"/>
          <w:bCs/>
          <w:color w:val="auto"/>
          <w:sz w:val="21"/>
          <w:szCs w:val="21"/>
          <w:highlight w:val="none"/>
        </w:rPr>
        <w:t>1</w:t>
      </w:r>
      <w:r>
        <w:rPr>
          <w:rFonts w:hint="eastAsia" w:ascii="宋体" w:hAnsi="宋体" w:eastAsia="宋体" w:cs="宋体"/>
          <w:bCs/>
          <w:color w:val="auto"/>
          <w:sz w:val="21"/>
          <w:szCs w:val="21"/>
          <w:highlight w:val="none"/>
          <w:lang w:val="en-US" w:eastAsia="zh-CN"/>
        </w:rPr>
        <w:t>.</w:t>
      </w:r>
      <w:r>
        <w:rPr>
          <w:rFonts w:hint="eastAsia" w:ascii="宋体" w:hAnsi="宋体" w:eastAsia="宋体" w:cs="宋体"/>
          <w:color w:val="auto"/>
          <w:sz w:val="21"/>
          <w:szCs w:val="21"/>
          <w:highlight w:val="none"/>
        </w:rPr>
        <w:t>当采购数量与实际使用数量不一致时，乙方应根据实际使用量供货，合同的最终结算金额按实际使用量乘以</w:t>
      </w:r>
      <w:r>
        <w:rPr>
          <w:rFonts w:hint="default" w:ascii="宋体" w:hAnsi="宋体" w:eastAsia="宋体" w:cs="宋体"/>
          <w:color w:val="auto"/>
          <w:sz w:val="21"/>
          <w:szCs w:val="21"/>
          <w:highlight w:val="none"/>
          <w:lang w:val="en-US"/>
        </w:rPr>
        <w:t>中标</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单价进行计算。</w:t>
      </w:r>
    </w:p>
    <w:p w14:paraId="0205864B">
      <w:pPr>
        <w:spacing w:line="380" w:lineRule="exact"/>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 xml:space="preserve">    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资金性质：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财政资金</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w:t>
      </w:r>
    </w:p>
    <w:p w14:paraId="782F128D">
      <w:pPr>
        <w:spacing w:line="380" w:lineRule="exact"/>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 xml:space="preserve">   </w:t>
      </w:r>
      <w:r>
        <w:rPr>
          <w:rFonts w:hint="eastAsia" w:ascii="宋体" w:hAnsi="宋体" w:eastAsia="宋体" w:cs="宋体"/>
          <w:color w:val="auto"/>
          <w:sz w:val="21"/>
          <w:szCs w:val="21"/>
          <w:highlight w:val="none"/>
        </w:rPr>
        <w:t xml:space="preserve"> 3</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付款方式：</w:t>
      </w:r>
      <w:r>
        <w:rPr>
          <w:rFonts w:hint="eastAsia" w:ascii="新宋体" w:hAnsi="新宋体" w:eastAsia="新宋体" w:cs="新宋体"/>
          <w:color w:val="auto"/>
          <w:highlight w:val="none"/>
          <w:lang w:eastAsia="zh-CN"/>
        </w:rPr>
        <w:t>本项目无预付款，乙方在安装完毕并通过验收合格后三个工作日内将增值税专用发票开具给甲方，甲方在收到增值税专用发票后三十个工作日内一次性付清乙方的全部货款</w:t>
      </w:r>
      <w:r>
        <w:rPr>
          <w:rFonts w:hint="eastAsia" w:ascii="宋体" w:hAnsi="宋体" w:eastAsia="宋体" w:cs="宋体"/>
          <w:color w:val="auto"/>
          <w:sz w:val="21"/>
          <w:szCs w:val="21"/>
          <w:highlight w:val="none"/>
        </w:rPr>
        <w:t>。</w:t>
      </w:r>
    </w:p>
    <w:p w14:paraId="0DE9480B">
      <w:pPr>
        <w:snapToGrid w:val="0"/>
        <w:spacing w:line="380" w:lineRule="exact"/>
        <w:ind w:left="-61" w:leftChars="-29" w:firstLine="517" w:firstLineChars="245"/>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第九条 履约保证金</w:t>
      </w:r>
    </w:p>
    <w:p w14:paraId="515FC2C8">
      <w:pPr>
        <w:snapToGrid w:val="0"/>
        <w:spacing w:line="380" w:lineRule="exact"/>
        <w:ind w:left="-61" w:leftChars="-29" w:firstLine="514" w:firstLineChars="245"/>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本项目收取履约保证金，具体规定如下：</w:t>
      </w:r>
    </w:p>
    <w:p w14:paraId="45915A91">
      <w:pPr>
        <w:spacing w:line="400" w:lineRule="exact"/>
        <w:ind w:right="-178" w:rightChars="-85" w:firstLine="405"/>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合同签订之前，乙方按合同金额的</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%以转账方式向甲方交纳履约保证金，履约保证金在验收合格且履行完毕合同全部义务后五个工作日内无息返还。</w:t>
      </w:r>
    </w:p>
    <w:p w14:paraId="48E299D9">
      <w:pPr>
        <w:snapToGrid w:val="0"/>
        <w:spacing w:line="380" w:lineRule="exact"/>
        <w:ind w:left="-61" w:leftChars="-29" w:firstLine="514" w:firstLineChars="245"/>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履约保证金指定账户：</w:t>
      </w:r>
    </w:p>
    <w:p w14:paraId="212C5E5A">
      <w:pPr>
        <w:snapToGrid w:val="0"/>
        <w:spacing w:line="380" w:lineRule="exact"/>
        <w:ind w:left="-61" w:leftChars="-29" w:firstLine="514" w:firstLineChars="245"/>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全 称：广西生态工程职业技术学院</w:t>
      </w:r>
    </w:p>
    <w:p w14:paraId="79587031">
      <w:pPr>
        <w:snapToGrid w:val="0"/>
        <w:spacing w:line="380" w:lineRule="exact"/>
        <w:ind w:left="-61" w:leftChars="-29" w:firstLine="514" w:firstLineChars="245"/>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 号：45001625059050702021</w:t>
      </w:r>
    </w:p>
    <w:p w14:paraId="7FE6714E">
      <w:pPr>
        <w:snapToGrid w:val="0"/>
        <w:spacing w:line="380" w:lineRule="exact"/>
        <w:ind w:left="-61" w:leftChars="-29" w:firstLine="514" w:firstLineChars="245"/>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开户银行：建行柳州柳南支行</w:t>
      </w:r>
    </w:p>
    <w:p w14:paraId="6642D059">
      <w:pPr>
        <w:snapToGrid w:val="0"/>
        <w:spacing w:line="380" w:lineRule="exact"/>
        <w:ind w:left="-61" w:leftChars="-29" w:firstLine="514" w:firstLineChars="245"/>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转帐时注明：××××项目，项目编号××××履约保证金</w:t>
      </w:r>
    </w:p>
    <w:p w14:paraId="059149F8">
      <w:pPr>
        <w:snapToGrid w:val="0"/>
        <w:spacing w:line="380" w:lineRule="exact"/>
        <w:ind w:left="-61" w:leftChars="-29" w:firstLine="514" w:firstLineChars="245"/>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乙方有下列情况之一的，甲方向乙方出具书面通知，乙方未能及时解决的，甲方可没收其全部履约保证金，并视具体情况按合同第二条、第十一条处理：</w:t>
      </w:r>
    </w:p>
    <w:p w14:paraId="76EC568E">
      <w:pPr>
        <w:snapToGrid w:val="0"/>
        <w:spacing w:line="380" w:lineRule="exact"/>
        <w:ind w:left="-61" w:leftChars="-29" w:firstLine="514" w:firstLineChars="245"/>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⑴乙方提供的货物规格、技术标准、材料未达到其响应文件所承诺的，导致无法通过验收交付使用的；</w:t>
      </w:r>
    </w:p>
    <w:p w14:paraId="0B5DFD9D">
      <w:pPr>
        <w:snapToGrid w:val="0"/>
        <w:spacing w:line="380" w:lineRule="exact"/>
        <w:ind w:left="-61" w:leftChars="-29" w:firstLine="514" w:firstLineChars="245"/>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⑵乙方提供的货物经查证无法得到生产厂家正规售后服务的；</w:t>
      </w:r>
    </w:p>
    <w:p w14:paraId="6B3BAE63">
      <w:pPr>
        <w:snapToGrid w:val="0"/>
        <w:spacing w:line="380" w:lineRule="exact"/>
        <w:ind w:left="-61" w:leftChars="-29" w:firstLine="514" w:firstLineChars="245"/>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⑶乙方提供的货物未经正规合法经销渠道的；</w:t>
      </w:r>
    </w:p>
    <w:p w14:paraId="1549E792">
      <w:pPr>
        <w:snapToGrid w:val="0"/>
        <w:spacing w:line="380" w:lineRule="exact"/>
        <w:ind w:left="-61" w:leftChars="-29" w:firstLine="514" w:firstLineChars="245"/>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⑷乙方提供的货物侵犯了第三方合法权益而引发了纠纷或诉讼，导致无法按期交付使用的；</w:t>
      </w:r>
    </w:p>
    <w:p w14:paraId="4E378580">
      <w:pPr>
        <w:snapToGrid w:val="0"/>
        <w:spacing w:line="380" w:lineRule="exact"/>
        <w:ind w:left="-61" w:leftChars="-29" w:firstLine="514" w:firstLineChars="245"/>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⑸在货物试运行期间，故障率在10%及以上的。</w:t>
      </w:r>
    </w:p>
    <w:p w14:paraId="68F599D3">
      <w:pPr>
        <w:snapToGrid w:val="0"/>
        <w:spacing w:line="380" w:lineRule="exact"/>
        <w:ind w:left="-61" w:leftChars="-29" w:firstLine="517" w:firstLineChars="245"/>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第十条 税费</w:t>
      </w:r>
    </w:p>
    <w:p w14:paraId="22B8D791">
      <w:pPr>
        <w:snapToGrid w:val="0"/>
        <w:spacing w:line="380" w:lineRule="exact"/>
        <w:ind w:left="-61" w:leftChars="-29" w:firstLine="514" w:firstLineChars="24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本合同执行中相关的一切税费均由乙方负担，合同另有约定的除外。</w:t>
      </w:r>
    </w:p>
    <w:p w14:paraId="26D75638">
      <w:pPr>
        <w:spacing w:line="38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    第十一条 违约责任</w:t>
      </w:r>
    </w:p>
    <w:p w14:paraId="65C5F214">
      <w:pPr>
        <w:spacing w:line="38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乙方所提供的货物规格、技术标准、材料等质量不合格的，应及时更换，更换不及时的按逾期交货处罚；因质量问题甲方不同意接收的或特殊情况甲方不同意接收的，乙方应向甲方支付违约货款额20％违约金并赔偿甲方经济损失。</w:t>
      </w:r>
    </w:p>
    <w:p w14:paraId="50A0A124">
      <w:pPr>
        <w:spacing w:line="3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乙方提供的货物如侵犯了第三方合法权益而引发的任何纠纷或诉讼，均由乙方负责交涉并承担全部责任。</w:t>
      </w:r>
    </w:p>
    <w:p w14:paraId="0E28F31D">
      <w:pPr>
        <w:spacing w:line="3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因包装、运输引起的货物损坏，按质量不合格处理。</w:t>
      </w:r>
    </w:p>
    <w:p w14:paraId="505B9125">
      <w:pPr>
        <w:spacing w:line="3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甲方无故延期接收货物、乙方逾期交货的，每天向对方偿付合同</w:t>
      </w:r>
      <w:r>
        <w:rPr>
          <w:rFonts w:hint="eastAsia" w:ascii="宋体" w:hAnsi="宋体" w:eastAsia="宋体" w:cs="宋体"/>
          <w:color w:val="auto"/>
          <w:sz w:val="21"/>
          <w:szCs w:val="21"/>
          <w:highlight w:val="none"/>
          <w:lang w:val="en-US" w:eastAsia="zh-CN"/>
        </w:rPr>
        <w:t>合计金额</w:t>
      </w:r>
      <w:r>
        <w:rPr>
          <w:rFonts w:hint="eastAsia" w:ascii="宋体" w:hAnsi="宋体" w:eastAsia="宋体" w:cs="宋体"/>
          <w:color w:val="auto"/>
          <w:sz w:val="21"/>
          <w:szCs w:val="21"/>
          <w:highlight w:val="none"/>
        </w:rPr>
        <w:t>3%违约金，违约金不设上限，直至扣完合同价款为止，超过15天对方有权解除合同，违约方承担因此给对方造成的经济损失；甲方延期付货款的，每天向乙方偿付合同</w:t>
      </w:r>
      <w:r>
        <w:rPr>
          <w:rFonts w:hint="eastAsia" w:ascii="宋体" w:hAnsi="宋体" w:eastAsia="宋体" w:cs="宋体"/>
          <w:color w:val="auto"/>
          <w:sz w:val="21"/>
          <w:szCs w:val="21"/>
          <w:highlight w:val="none"/>
          <w:lang w:val="en-US" w:eastAsia="zh-CN"/>
        </w:rPr>
        <w:t>合计金额</w:t>
      </w:r>
      <w:r>
        <w:rPr>
          <w:rFonts w:hint="eastAsia" w:ascii="宋体" w:hAnsi="宋体" w:eastAsia="宋体" w:cs="宋体"/>
          <w:color w:val="auto"/>
          <w:sz w:val="21"/>
          <w:szCs w:val="21"/>
          <w:highlight w:val="none"/>
        </w:rPr>
        <w:t>3%滞纳金，但滞纳金累计不得超过合同</w:t>
      </w:r>
      <w:r>
        <w:rPr>
          <w:rFonts w:hint="eastAsia" w:ascii="宋体" w:hAnsi="宋体" w:eastAsia="宋体" w:cs="宋体"/>
          <w:color w:val="auto"/>
          <w:sz w:val="21"/>
          <w:szCs w:val="21"/>
          <w:highlight w:val="none"/>
          <w:lang w:val="en-US" w:eastAsia="zh-CN"/>
        </w:rPr>
        <w:t>合计金额</w:t>
      </w:r>
      <w:r>
        <w:rPr>
          <w:rFonts w:hint="eastAsia" w:ascii="宋体" w:hAnsi="宋体" w:eastAsia="宋体" w:cs="宋体"/>
          <w:color w:val="auto"/>
          <w:sz w:val="21"/>
          <w:szCs w:val="21"/>
          <w:highlight w:val="none"/>
        </w:rPr>
        <w:t>30%。</w:t>
      </w:r>
    </w:p>
    <w:p w14:paraId="394DE554">
      <w:pPr>
        <w:spacing w:line="3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乙方未按本合同和响应文件中规定的服务承诺提供售后服务的，每出现一次，乙方应向甲方支付 2000 元违约金，违约金由甲方从乙方缴纳的履约保证金中扣除。</w:t>
      </w:r>
    </w:p>
    <w:p w14:paraId="54B56928">
      <w:pPr>
        <w:spacing w:line="3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乙方提供的货物在质量保证期内，因设计、工艺或材料的缺陷和其它质量原因造成的问题，由乙方负责，费用从质量保证金中扣除，履约保证金不足以支付的，由乙方另行支付。</w:t>
      </w:r>
    </w:p>
    <w:p w14:paraId="2D076ED8">
      <w:pPr>
        <w:spacing w:line="3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其它违约行为按违约款</w:t>
      </w:r>
      <w:r>
        <w:rPr>
          <w:rFonts w:hint="eastAsia" w:ascii="宋体" w:hAnsi="宋体" w:eastAsia="宋体" w:cs="宋体"/>
          <w:color w:val="auto"/>
          <w:sz w:val="21"/>
          <w:szCs w:val="21"/>
          <w:highlight w:val="none"/>
          <w:lang w:val="en-US" w:eastAsia="zh-CN"/>
        </w:rPr>
        <w:t>金</w:t>
      </w:r>
      <w:r>
        <w:rPr>
          <w:rFonts w:hint="eastAsia" w:ascii="宋体" w:hAnsi="宋体" w:eastAsia="宋体" w:cs="宋体"/>
          <w:color w:val="auto"/>
          <w:sz w:val="21"/>
          <w:szCs w:val="21"/>
          <w:highlight w:val="none"/>
        </w:rPr>
        <w:t>额 5％收取违约金并赔偿经济损失。</w:t>
      </w:r>
    </w:p>
    <w:p w14:paraId="3648ABC9">
      <w:pPr>
        <w:spacing w:line="38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    第十二条 不可抗力事件处理</w:t>
      </w:r>
    </w:p>
    <w:p w14:paraId="2B5CE7DF">
      <w:pPr>
        <w:spacing w:line="38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在合同有效期内，任何一方因不可抗力事件导致不能履行合同，则合同履行期可延长，其延长期与不可抗力影响期相同。</w:t>
      </w:r>
    </w:p>
    <w:p w14:paraId="10A4875A">
      <w:pPr>
        <w:spacing w:line="3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不可抗力事件发生后，应立即通知对方，并寄送有关权威机构出具的证明。</w:t>
      </w:r>
    </w:p>
    <w:p w14:paraId="4E712831">
      <w:pPr>
        <w:spacing w:line="38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不可抗力事件延续一百二十天以上，双方应通过友好协商，确定是否继续履行合同。</w:t>
      </w:r>
    </w:p>
    <w:p w14:paraId="7C50897C">
      <w:pPr>
        <w:spacing w:line="38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    第十三条 合同争议解决</w:t>
      </w:r>
    </w:p>
    <w:p w14:paraId="2B367047">
      <w:pPr>
        <w:snapToGrid w:val="0"/>
        <w:spacing w:line="3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因货物质量问题发生争议的，应邀请国家认可的质量检测机构对货物质量进行鉴定。货物符合标准的，鉴定费由甲方承担；货物不符合标准的，鉴定费由乙方承担。</w:t>
      </w:r>
    </w:p>
    <w:p w14:paraId="2575753A">
      <w:pPr>
        <w:snapToGrid w:val="0"/>
        <w:spacing w:line="3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因履行本合同引起的或与本合同有关的争议，甲乙双方应首先通过友好协商解决，如果协商不能解决，向甲方所在地人民法院提起诉讼。</w:t>
      </w:r>
    </w:p>
    <w:p w14:paraId="4E590572">
      <w:pPr>
        <w:snapToGrid w:val="0"/>
        <w:spacing w:line="3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诉讼期间，本合同继续履行。</w:t>
      </w:r>
    </w:p>
    <w:p w14:paraId="7D3BD770">
      <w:pPr>
        <w:snapToGrid w:val="0"/>
        <w:spacing w:line="38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第十四条 合同生效及其它</w:t>
      </w:r>
    </w:p>
    <w:p w14:paraId="553B6F83">
      <w:pPr>
        <w:snapToGrid w:val="0"/>
        <w:spacing w:line="380" w:lineRule="exact"/>
        <w:ind w:firstLine="420" w:firstLineChars="200"/>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w:t>
      </w:r>
      <w:r>
        <w:rPr>
          <w:rFonts w:hint="eastAsia" w:ascii="宋体" w:hAnsi="宋体" w:eastAsia="宋体" w:cs="宋体"/>
          <w:b w:val="0"/>
          <w:bCs/>
          <w:color w:val="auto"/>
          <w:sz w:val="21"/>
          <w:szCs w:val="21"/>
          <w:highlight w:val="none"/>
          <w:lang w:val="en-US" w:eastAsia="zh-CN"/>
        </w:rPr>
        <w:t>.</w:t>
      </w:r>
      <w:r>
        <w:rPr>
          <w:rFonts w:hint="eastAsia" w:ascii="宋体" w:hAnsi="宋体" w:eastAsia="宋体" w:cs="宋体"/>
          <w:b w:val="0"/>
          <w:bCs/>
          <w:color w:val="auto"/>
          <w:sz w:val="21"/>
          <w:szCs w:val="21"/>
          <w:highlight w:val="none"/>
        </w:rPr>
        <w:t>合同经双方法定代表人或委托代理人签字并加盖单位公章后生效（委托代理人签字的需后附授权委托书，格式自拟）。</w:t>
      </w:r>
    </w:p>
    <w:p w14:paraId="4008FD87">
      <w:pPr>
        <w:snapToGrid w:val="0"/>
        <w:spacing w:line="380" w:lineRule="exact"/>
        <w:ind w:firstLine="420" w:firstLineChars="200"/>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w:t>
      </w:r>
      <w:r>
        <w:rPr>
          <w:rFonts w:hint="eastAsia" w:ascii="宋体" w:hAnsi="宋体" w:eastAsia="宋体" w:cs="宋体"/>
          <w:b w:val="0"/>
          <w:bCs/>
          <w:color w:val="auto"/>
          <w:sz w:val="21"/>
          <w:szCs w:val="21"/>
          <w:highlight w:val="none"/>
          <w:lang w:val="en-US" w:eastAsia="zh-CN"/>
        </w:rPr>
        <w:t>.</w:t>
      </w:r>
      <w:r>
        <w:rPr>
          <w:rFonts w:hint="eastAsia" w:ascii="宋体" w:hAnsi="宋体" w:eastAsia="宋体" w:cs="宋体"/>
          <w:b w:val="0"/>
          <w:bCs/>
          <w:color w:val="auto"/>
          <w:sz w:val="21"/>
          <w:szCs w:val="21"/>
          <w:highlight w:val="none"/>
        </w:rPr>
        <w:t>合同执行中涉及采购资金和采购内容修改或补充的，须经财政部门审批，并签书面补充协议报财政部门备案，方可作为主合同不可分割的一部分。</w:t>
      </w:r>
    </w:p>
    <w:p w14:paraId="4F76EEF3">
      <w:pPr>
        <w:snapToGrid w:val="0"/>
        <w:spacing w:line="380" w:lineRule="exact"/>
        <w:ind w:firstLine="420" w:firstLineChars="200"/>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w:t>
      </w:r>
      <w:r>
        <w:rPr>
          <w:rFonts w:hint="eastAsia" w:ascii="宋体" w:hAnsi="宋体" w:eastAsia="宋体" w:cs="宋体"/>
          <w:b w:val="0"/>
          <w:bCs/>
          <w:color w:val="auto"/>
          <w:sz w:val="21"/>
          <w:szCs w:val="21"/>
          <w:highlight w:val="none"/>
          <w:lang w:val="en-US" w:eastAsia="zh-CN"/>
        </w:rPr>
        <w:t>.</w:t>
      </w:r>
      <w:r>
        <w:rPr>
          <w:rFonts w:hint="eastAsia" w:ascii="宋体" w:hAnsi="宋体" w:eastAsia="宋体" w:cs="宋体"/>
          <w:b w:val="0"/>
          <w:bCs/>
          <w:color w:val="auto"/>
          <w:sz w:val="21"/>
          <w:szCs w:val="21"/>
          <w:highlight w:val="none"/>
        </w:rPr>
        <w:t>本合同未尽事宜，遵照《中华人民共和国民法典》有关条文执行。</w:t>
      </w:r>
    </w:p>
    <w:p w14:paraId="7720264E">
      <w:pPr>
        <w:snapToGrid w:val="0"/>
        <w:spacing w:line="380" w:lineRule="exact"/>
        <w:ind w:firstLine="420" w:firstLineChars="200"/>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4</w:t>
      </w:r>
      <w:r>
        <w:rPr>
          <w:rFonts w:hint="eastAsia" w:ascii="宋体" w:hAnsi="宋体" w:eastAsia="宋体" w:cs="宋体"/>
          <w:b w:val="0"/>
          <w:bCs/>
          <w:color w:val="auto"/>
          <w:sz w:val="21"/>
          <w:szCs w:val="21"/>
          <w:highlight w:val="none"/>
          <w:lang w:val="en-US" w:eastAsia="zh-CN"/>
        </w:rPr>
        <w:t>.</w:t>
      </w:r>
      <w:r>
        <w:rPr>
          <w:rFonts w:hint="eastAsia" w:ascii="宋体" w:hAnsi="宋体" w:eastAsia="宋体" w:cs="宋体"/>
          <w:b w:val="0"/>
          <w:bCs/>
          <w:color w:val="auto"/>
          <w:sz w:val="21"/>
          <w:szCs w:val="21"/>
          <w:highlight w:val="none"/>
        </w:rPr>
        <w:t>双方确认本合同落款通讯地址作为文书送达地址，该通讯地址适用于包括双方合同履行过程中的各类通知、协议等文件以及就合同发生争议进入民事诉讼程序后的一审、二审、再审和执行程序等阶段法律文书的送达。通讯地址需要变更时应当提前15个工作日书面通知对方。因提供或者确认的通讯地址不准确、通讯地址变更后未及时依程序告知对方或受送达方拒绝签收等原因，导致文书未能被实际接收的，邮寄送达的，以文书退回之日视为送达之日。</w:t>
      </w:r>
    </w:p>
    <w:p w14:paraId="70581BAE">
      <w:pPr>
        <w:snapToGrid w:val="0"/>
        <w:spacing w:line="38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第十五条 合同的变更、终止与转让</w:t>
      </w:r>
    </w:p>
    <w:p w14:paraId="47AA7147">
      <w:pPr>
        <w:snapToGrid w:val="0"/>
        <w:spacing w:line="3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除《中华人民共和国政府采购法》第五十条规定的情形外，本合同一经签订，甲乙双方不得擅自变更、中止或终止。</w:t>
      </w:r>
    </w:p>
    <w:p w14:paraId="17294F6C">
      <w:pPr>
        <w:snapToGrid w:val="0"/>
        <w:spacing w:line="3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乙方不得擅自转让（无进口资格的供应商委托进口货物除外）其应履行的合同义务。</w:t>
      </w:r>
    </w:p>
    <w:p w14:paraId="6DCBC4EB">
      <w:pPr>
        <w:snapToGrid w:val="0"/>
        <w:spacing w:line="38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第十六条 签订本合同依据</w:t>
      </w:r>
    </w:p>
    <w:p w14:paraId="5AF6FDEC">
      <w:pPr>
        <w:snapToGrid w:val="0"/>
        <w:spacing w:line="3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合同文件组成及与本合同相互不一致，其优先解释权顺序为：</w:t>
      </w:r>
    </w:p>
    <w:p w14:paraId="5BD2F9E8">
      <w:pPr>
        <w:snapToGrid w:val="0"/>
        <w:spacing w:line="3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.竞争性谈判</w:t>
      </w:r>
      <w:r>
        <w:rPr>
          <w:rFonts w:hint="eastAsia" w:ascii="宋体" w:hAnsi="宋体" w:eastAsia="宋体" w:cs="宋体"/>
          <w:color w:val="auto"/>
          <w:sz w:val="21"/>
          <w:szCs w:val="21"/>
          <w:highlight w:val="none"/>
        </w:rPr>
        <w:t>（采购）文件；</w:t>
      </w:r>
    </w:p>
    <w:p w14:paraId="466B787E">
      <w:pPr>
        <w:snapToGrid w:val="0"/>
        <w:spacing w:line="3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乙方提供的响应文件；</w:t>
      </w:r>
    </w:p>
    <w:p w14:paraId="0A6A75FC">
      <w:pPr>
        <w:snapToGrid w:val="0"/>
        <w:spacing w:line="3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乙方提供的竞标承诺书；</w:t>
      </w:r>
    </w:p>
    <w:p w14:paraId="3D32DC1E">
      <w:pPr>
        <w:snapToGrid w:val="0"/>
        <w:spacing w:line="3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成交通知书；</w:t>
      </w:r>
    </w:p>
    <w:p w14:paraId="458CCCCB">
      <w:pPr>
        <w:snapToGrid w:val="0"/>
        <w:spacing w:line="3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合同协议书；</w:t>
      </w:r>
    </w:p>
    <w:p w14:paraId="0BD73D63">
      <w:pPr>
        <w:snapToGrid w:val="0"/>
        <w:spacing w:line="3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其他合同文件。</w:t>
      </w:r>
    </w:p>
    <w:p w14:paraId="6F1DCD4C">
      <w:pPr>
        <w:snapToGrid w:val="0"/>
        <w:spacing w:line="380" w:lineRule="exact"/>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 xml:space="preserve">第十七条 </w:t>
      </w:r>
      <w:r>
        <w:rPr>
          <w:rFonts w:hint="eastAsia" w:ascii="宋体" w:hAnsi="宋体" w:eastAsia="宋体" w:cs="宋体"/>
          <w:color w:val="auto"/>
          <w:sz w:val="21"/>
          <w:szCs w:val="21"/>
          <w:highlight w:val="none"/>
        </w:rPr>
        <w:t>本合同一式</w:t>
      </w:r>
      <w:r>
        <w:rPr>
          <w:rFonts w:hint="eastAsia" w:ascii="宋体" w:hAnsi="宋体" w:eastAsia="宋体" w:cs="宋体"/>
          <w:color w:val="auto"/>
          <w:sz w:val="21"/>
          <w:szCs w:val="21"/>
          <w:highlight w:val="none"/>
          <w:lang w:val="en-US" w:eastAsia="zh-CN"/>
        </w:rPr>
        <w:t>六</w:t>
      </w:r>
      <w:r>
        <w:rPr>
          <w:rFonts w:hint="eastAsia" w:ascii="宋体" w:hAnsi="宋体" w:eastAsia="宋体" w:cs="宋体"/>
          <w:color w:val="auto"/>
          <w:sz w:val="21"/>
          <w:szCs w:val="21"/>
          <w:highlight w:val="none"/>
        </w:rPr>
        <w:t>份，具有同等法律效力，甲方</w:t>
      </w:r>
      <w:r>
        <w:rPr>
          <w:rFonts w:hint="eastAsia" w:ascii="宋体" w:hAnsi="宋体" w:eastAsia="宋体" w:cs="宋体"/>
          <w:color w:val="auto"/>
          <w:sz w:val="21"/>
          <w:szCs w:val="21"/>
          <w:highlight w:val="none"/>
          <w:lang w:val="en-US" w:eastAsia="zh-CN"/>
        </w:rPr>
        <w:t>四</w:t>
      </w:r>
      <w:r>
        <w:rPr>
          <w:rFonts w:hint="eastAsia" w:ascii="宋体" w:hAnsi="宋体" w:eastAsia="宋体" w:cs="宋体"/>
          <w:color w:val="auto"/>
          <w:sz w:val="21"/>
          <w:szCs w:val="21"/>
          <w:highlight w:val="none"/>
        </w:rPr>
        <w:t>份，乙方</w:t>
      </w:r>
      <w:r>
        <w:rPr>
          <w:rFonts w:hint="eastAsia" w:ascii="宋体" w:hAnsi="宋体" w:eastAsia="宋体" w:cs="宋体"/>
          <w:color w:val="auto"/>
          <w:sz w:val="21"/>
          <w:szCs w:val="21"/>
          <w:highlight w:val="none"/>
          <w:lang w:val="en-US" w:eastAsia="zh-CN"/>
        </w:rPr>
        <w:t>二</w:t>
      </w:r>
      <w:r>
        <w:rPr>
          <w:rFonts w:hint="eastAsia" w:ascii="宋体" w:hAnsi="宋体" w:eastAsia="宋体" w:cs="宋体"/>
          <w:color w:val="auto"/>
          <w:sz w:val="21"/>
          <w:szCs w:val="21"/>
          <w:highlight w:val="none"/>
        </w:rPr>
        <w:t>份（可根据需要另增加）。</w:t>
      </w:r>
    </w:p>
    <w:p w14:paraId="54A135D6">
      <w:pPr>
        <w:snapToGrid w:val="0"/>
        <w:spacing w:line="3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本合同甲乙双方签字盖章后生效。合同生效后，甲乙双方不得因姓名、名称的变更或者法定代表人、负责人、承办人的变动而不履行合同义务。</w:t>
      </w:r>
    </w:p>
    <w:tbl>
      <w:tblPr>
        <w:tblStyle w:val="37"/>
        <w:tblW w:w="94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2"/>
        <w:gridCol w:w="4842"/>
      </w:tblGrid>
      <w:tr w14:paraId="09B94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6" w:hRule="atLeast"/>
          <w:jc w:val="center"/>
        </w:trPr>
        <w:tc>
          <w:tcPr>
            <w:tcW w:w="4582" w:type="dxa"/>
            <w:tcBorders>
              <w:top w:val="single" w:color="auto" w:sz="4" w:space="0"/>
              <w:left w:val="single" w:color="auto" w:sz="4" w:space="0"/>
              <w:bottom w:val="single" w:color="auto" w:sz="4" w:space="0"/>
              <w:right w:val="single" w:color="auto" w:sz="4" w:space="0"/>
            </w:tcBorders>
            <w:noWrap w:val="0"/>
            <w:vAlign w:val="top"/>
          </w:tcPr>
          <w:p w14:paraId="721F7FB6">
            <w:pPr>
              <w:keepNext w:val="0"/>
              <w:keepLines w:val="0"/>
              <w:suppressLineNumbers w:val="0"/>
              <w:snapToGrid w:val="0"/>
              <w:spacing w:before="0" w:beforeAutospacing="0" w:after="0" w:afterAutospacing="0" w:line="38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甲方（章）   </w:t>
            </w:r>
          </w:p>
          <w:p w14:paraId="17CBE3F4">
            <w:pPr>
              <w:keepNext w:val="0"/>
              <w:keepLines w:val="0"/>
              <w:suppressLineNumbers w:val="0"/>
              <w:snapToGrid w:val="0"/>
              <w:spacing w:before="0" w:beforeAutospacing="0" w:after="0" w:afterAutospacing="0" w:line="38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广西生态工程职业技术学院</w:t>
            </w:r>
          </w:p>
          <w:p w14:paraId="6C2CADDD">
            <w:pPr>
              <w:keepNext w:val="0"/>
              <w:keepLines w:val="0"/>
              <w:suppressLineNumbers w:val="0"/>
              <w:snapToGrid w:val="0"/>
              <w:spacing w:before="0" w:beforeAutospacing="0" w:after="0" w:afterAutospacing="0" w:line="38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15C39BD4">
            <w:pPr>
              <w:keepNext w:val="0"/>
              <w:keepLines w:val="0"/>
              <w:suppressLineNumbers w:val="0"/>
              <w:snapToGrid w:val="0"/>
              <w:spacing w:before="0" w:beforeAutospacing="0" w:after="0" w:afterAutospacing="0" w:line="380" w:lineRule="exact"/>
              <w:ind w:left="0" w:right="0" w:firstLine="420" w:firstLineChars="200"/>
              <w:rPr>
                <w:rFonts w:hint="eastAsia" w:ascii="宋体" w:hAnsi="宋体" w:eastAsia="宋体" w:cs="宋体"/>
                <w:color w:val="auto"/>
                <w:sz w:val="21"/>
                <w:szCs w:val="21"/>
                <w:highlight w:val="none"/>
              </w:rPr>
            </w:pPr>
          </w:p>
          <w:p w14:paraId="165578BD">
            <w:pPr>
              <w:keepNext w:val="0"/>
              <w:keepLines w:val="0"/>
              <w:suppressLineNumbers w:val="0"/>
              <w:snapToGrid w:val="0"/>
              <w:spacing w:before="0" w:beforeAutospacing="0" w:after="0" w:afterAutospacing="0" w:line="380" w:lineRule="exact"/>
              <w:ind w:left="0" w:right="0"/>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2026</w:t>
            </w:r>
            <w:r>
              <w:rPr>
                <w:rFonts w:hint="eastAsia" w:ascii="宋体" w:hAnsi="宋体" w:eastAsia="宋体" w:cs="宋体"/>
                <w:color w:val="auto"/>
                <w:sz w:val="21"/>
                <w:szCs w:val="21"/>
                <w:highlight w:val="none"/>
              </w:rPr>
              <w:t>年   月   日</w:t>
            </w:r>
          </w:p>
        </w:tc>
        <w:tc>
          <w:tcPr>
            <w:tcW w:w="4842" w:type="dxa"/>
            <w:tcBorders>
              <w:top w:val="single" w:color="auto" w:sz="4" w:space="0"/>
              <w:left w:val="single" w:color="auto" w:sz="4" w:space="0"/>
              <w:bottom w:val="single" w:color="auto" w:sz="4" w:space="0"/>
              <w:right w:val="single" w:color="auto" w:sz="4" w:space="0"/>
            </w:tcBorders>
            <w:noWrap w:val="0"/>
            <w:vAlign w:val="top"/>
          </w:tcPr>
          <w:p w14:paraId="5E15C973">
            <w:pPr>
              <w:keepNext w:val="0"/>
              <w:keepLines w:val="0"/>
              <w:suppressLineNumbers w:val="0"/>
              <w:snapToGrid w:val="0"/>
              <w:spacing w:before="0" w:beforeAutospacing="0" w:after="0" w:afterAutospacing="0" w:line="380" w:lineRule="exact"/>
              <w:ind w:left="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乙方（章）              </w:t>
            </w:r>
          </w:p>
          <w:p w14:paraId="3EDE874E">
            <w:pPr>
              <w:keepNext w:val="0"/>
              <w:keepLines w:val="0"/>
              <w:suppressLineNumbers w:val="0"/>
              <w:snapToGrid w:val="0"/>
              <w:spacing w:before="0" w:beforeAutospacing="0" w:after="0" w:afterAutospacing="0" w:line="380" w:lineRule="exact"/>
              <w:ind w:left="0" w:right="0" w:firstLine="420" w:firstLineChars="200"/>
              <w:rPr>
                <w:rFonts w:hint="eastAsia" w:ascii="宋体" w:hAnsi="宋体" w:eastAsia="宋体" w:cs="宋体"/>
                <w:color w:val="auto"/>
                <w:sz w:val="21"/>
                <w:szCs w:val="21"/>
                <w:highlight w:val="none"/>
              </w:rPr>
            </w:pPr>
          </w:p>
          <w:p w14:paraId="4231BAD7">
            <w:pPr>
              <w:keepNext w:val="0"/>
              <w:keepLines w:val="0"/>
              <w:suppressLineNumbers w:val="0"/>
              <w:snapToGrid w:val="0"/>
              <w:spacing w:before="0" w:beforeAutospacing="0" w:after="0" w:afterAutospacing="0" w:line="380" w:lineRule="exact"/>
              <w:ind w:left="0" w:right="0"/>
              <w:rPr>
                <w:rFonts w:hint="eastAsia" w:ascii="宋体" w:hAnsi="宋体" w:eastAsia="宋体" w:cs="宋体"/>
                <w:color w:val="auto"/>
                <w:sz w:val="21"/>
                <w:szCs w:val="21"/>
                <w:highlight w:val="none"/>
              </w:rPr>
            </w:pPr>
          </w:p>
          <w:p w14:paraId="6F43E72F">
            <w:pPr>
              <w:keepNext w:val="0"/>
              <w:keepLines w:val="0"/>
              <w:suppressLineNumbers w:val="0"/>
              <w:snapToGrid w:val="0"/>
              <w:spacing w:before="0" w:beforeAutospacing="0" w:after="0" w:afterAutospacing="0" w:line="380" w:lineRule="exact"/>
              <w:ind w:left="0" w:right="0" w:firstLine="420" w:firstLineChars="200"/>
              <w:rPr>
                <w:rFonts w:hint="eastAsia" w:ascii="宋体" w:hAnsi="宋体" w:eastAsia="宋体" w:cs="宋体"/>
                <w:color w:val="auto"/>
                <w:sz w:val="21"/>
                <w:szCs w:val="21"/>
                <w:highlight w:val="none"/>
              </w:rPr>
            </w:pPr>
          </w:p>
          <w:p w14:paraId="5A472989">
            <w:pPr>
              <w:keepNext w:val="0"/>
              <w:keepLines w:val="0"/>
              <w:suppressLineNumbers w:val="0"/>
              <w:snapToGrid w:val="0"/>
              <w:spacing w:before="0" w:beforeAutospacing="0" w:after="0" w:afterAutospacing="0" w:line="380" w:lineRule="exact"/>
              <w:ind w:left="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2026</w:t>
            </w:r>
            <w:r>
              <w:rPr>
                <w:rFonts w:hint="eastAsia" w:ascii="宋体" w:hAnsi="宋体" w:eastAsia="宋体" w:cs="宋体"/>
                <w:color w:val="auto"/>
                <w:sz w:val="21"/>
                <w:szCs w:val="21"/>
                <w:highlight w:val="none"/>
              </w:rPr>
              <w:t>年   月   日</w:t>
            </w:r>
          </w:p>
        </w:tc>
      </w:tr>
      <w:tr w14:paraId="157E4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jc w:val="center"/>
        </w:trPr>
        <w:tc>
          <w:tcPr>
            <w:tcW w:w="4582" w:type="dxa"/>
            <w:tcBorders>
              <w:top w:val="single" w:color="auto" w:sz="4" w:space="0"/>
              <w:left w:val="single" w:color="auto" w:sz="4" w:space="0"/>
              <w:bottom w:val="single" w:color="auto" w:sz="4" w:space="0"/>
              <w:right w:val="single" w:color="auto" w:sz="4" w:space="0"/>
            </w:tcBorders>
            <w:noWrap w:val="0"/>
            <w:vAlign w:val="center"/>
          </w:tcPr>
          <w:p w14:paraId="1BF79321">
            <w:pPr>
              <w:keepNext w:val="0"/>
              <w:keepLines w:val="0"/>
              <w:suppressLineNumbers w:val="0"/>
              <w:snapToGrid w:val="0"/>
              <w:spacing w:before="0" w:beforeAutospacing="0" w:after="0" w:afterAutospacing="0" w:line="360" w:lineRule="exact"/>
              <w:ind w:left="0" w:right="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单位地址：</w:t>
            </w:r>
            <w:r>
              <w:rPr>
                <w:rFonts w:hint="eastAsia" w:ascii="宋体" w:hAnsi="宋体" w:eastAsia="宋体" w:cs="宋体"/>
                <w:color w:val="auto"/>
                <w:sz w:val="21"/>
                <w:szCs w:val="21"/>
                <w:highlight w:val="none"/>
                <w:lang w:val="en-US" w:eastAsia="zh-CN"/>
              </w:rPr>
              <w:t>柳州市柳北区君武路168号</w:t>
            </w:r>
          </w:p>
        </w:tc>
        <w:tc>
          <w:tcPr>
            <w:tcW w:w="4842" w:type="dxa"/>
            <w:tcBorders>
              <w:top w:val="single" w:color="auto" w:sz="4" w:space="0"/>
              <w:left w:val="single" w:color="auto" w:sz="4" w:space="0"/>
              <w:bottom w:val="single" w:color="auto" w:sz="4" w:space="0"/>
              <w:right w:val="single" w:color="auto" w:sz="4" w:space="0"/>
            </w:tcBorders>
            <w:noWrap w:val="0"/>
            <w:vAlign w:val="center"/>
          </w:tcPr>
          <w:p w14:paraId="3D30A0C4">
            <w:pPr>
              <w:keepNext w:val="0"/>
              <w:keepLines w:val="0"/>
              <w:suppressLineNumbers w:val="0"/>
              <w:snapToGrid w:val="0"/>
              <w:spacing w:before="0" w:beforeAutospacing="0" w:after="0" w:afterAutospacing="0" w:line="360" w:lineRule="exact"/>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单位地址：</w:t>
            </w:r>
          </w:p>
        </w:tc>
      </w:tr>
      <w:tr w14:paraId="737E2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4582" w:type="dxa"/>
            <w:tcBorders>
              <w:top w:val="single" w:color="auto" w:sz="4" w:space="0"/>
              <w:left w:val="single" w:color="auto" w:sz="4" w:space="0"/>
              <w:bottom w:val="single" w:color="auto" w:sz="4" w:space="0"/>
              <w:right w:val="single" w:color="auto" w:sz="4" w:space="0"/>
            </w:tcBorders>
            <w:noWrap w:val="0"/>
            <w:vAlign w:val="center"/>
          </w:tcPr>
          <w:p w14:paraId="6A20C969">
            <w:pPr>
              <w:keepNext w:val="0"/>
              <w:keepLines w:val="0"/>
              <w:suppressLineNumbers w:val="0"/>
              <w:snapToGrid w:val="0"/>
              <w:spacing w:before="0" w:beforeAutospacing="0" w:after="0" w:afterAutospacing="0" w:line="360" w:lineRule="exact"/>
              <w:ind w:left="0"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法定代表人(负责人)：</w:t>
            </w:r>
          </w:p>
        </w:tc>
        <w:tc>
          <w:tcPr>
            <w:tcW w:w="4842" w:type="dxa"/>
            <w:tcBorders>
              <w:top w:val="single" w:color="auto" w:sz="4" w:space="0"/>
              <w:left w:val="single" w:color="auto" w:sz="4" w:space="0"/>
              <w:bottom w:val="single" w:color="auto" w:sz="4" w:space="0"/>
              <w:right w:val="single" w:color="auto" w:sz="4" w:space="0"/>
            </w:tcBorders>
            <w:noWrap w:val="0"/>
            <w:vAlign w:val="center"/>
          </w:tcPr>
          <w:p w14:paraId="32AF85FC">
            <w:pPr>
              <w:keepNext w:val="0"/>
              <w:keepLines w:val="0"/>
              <w:suppressLineNumbers w:val="0"/>
              <w:snapToGrid w:val="0"/>
              <w:spacing w:before="0" w:beforeAutospacing="0" w:after="0" w:afterAutospacing="0" w:line="360" w:lineRule="exact"/>
              <w:ind w:left="0"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法定代表人(负责人)：</w:t>
            </w:r>
          </w:p>
        </w:tc>
      </w:tr>
      <w:tr w14:paraId="731CB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4582" w:type="dxa"/>
            <w:tcBorders>
              <w:top w:val="single" w:color="auto" w:sz="4" w:space="0"/>
              <w:left w:val="single" w:color="auto" w:sz="4" w:space="0"/>
              <w:bottom w:val="single" w:color="auto" w:sz="4" w:space="0"/>
              <w:right w:val="single" w:color="auto" w:sz="4" w:space="0"/>
            </w:tcBorders>
            <w:noWrap w:val="0"/>
            <w:vAlign w:val="center"/>
          </w:tcPr>
          <w:p w14:paraId="7DE2678C">
            <w:pPr>
              <w:keepNext w:val="0"/>
              <w:keepLines w:val="0"/>
              <w:suppressLineNumbers w:val="0"/>
              <w:snapToGrid w:val="0"/>
              <w:spacing w:before="0" w:beforeAutospacing="0" w:after="0" w:afterAutospacing="0" w:line="360" w:lineRule="exact"/>
              <w:ind w:left="0"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w:t>
            </w:r>
          </w:p>
        </w:tc>
        <w:tc>
          <w:tcPr>
            <w:tcW w:w="4842" w:type="dxa"/>
            <w:tcBorders>
              <w:top w:val="single" w:color="auto" w:sz="4" w:space="0"/>
              <w:left w:val="single" w:color="auto" w:sz="4" w:space="0"/>
              <w:bottom w:val="single" w:color="auto" w:sz="4" w:space="0"/>
              <w:right w:val="single" w:color="auto" w:sz="4" w:space="0"/>
            </w:tcBorders>
            <w:noWrap w:val="0"/>
            <w:vAlign w:val="center"/>
          </w:tcPr>
          <w:p w14:paraId="1258D07D">
            <w:pPr>
              <w:keepNext w:val="0"/>
              <w:keepLines w:val="0"/>
              <w:suppressLineNumbers w:val="0"/>
              <w:snapToGrid w:val="0"/>
              <w:spacing w:before="0" w:beforeAutospacing="0" w:after="0" w:afterAutospacing="0" w:line="360" w:lineRule="exact"/>
              <w:ind w:left="0"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w:t>
            </w:r>
          </w:p>
        </w:tc>
      </w:tr>
      <w:tr w14:paraId="49773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4" w:hRule="atLeast"/>
          <w:jc w:val="center"/>
        </w:trPr>
        <w:tc>
          <w:tcPr>
            <w:tcW w:w="4582" w:type="dxa"/>
            <w:tcBorders>
              <w:top w:val="single" w:color="auto" w:sz="4" w:space="0"/>
              <w:left w:val="single" w:color="auto" w:sz="4" w:space="0"/>
              <w:bottom w:val="single" w:color="auto" w:sz="4" w:space="0"/>
              <w:right w:val="single" w:color="auto" w:sz="4" w:space="0"/>
            </w:tcBorders>
            <w:noWrap w:val="0"/>
            <w:vAlign w:val="center"/>
          </w:tcPr>
          <w:p w14:paraId="3A932907">
            <w:pPr>
              <w:keepNext w:val="0"/>
              <w:keepLines w:val="0"/>
              <w:suppressLineNumbers w:val="0"/>
              <w:snapToGrid w:val="0"/>
              <w:spacing w:before="0" w:beforeAutospacing="0" w:after="0" w:afterAutospacing="0" w:line="360" w:lineRule="exact"/>
              <w:ind w:left="0"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电话：0772-2726285</w:t>
            </w:r>
          </w:p>
        </w:tc>
        <w:tc>
          <w:tcPr>
            <w:tcW w:w="4842" w:type="dxa"/>
            <w:tcBorders>
              <w:top w:val="single" w:color="auto" w:sz="4" w:space="0"/>
              <w:left w:val="single" w:color="auto" w:sz="4" w:space="0"/>
              <w:bottom w:val="single" w:color="auto" w:sz="4" w:space="0"/>
              <w:right w:val="single" w:color="auto" w:sz="4" w:space="0"/>
            </w:tcBorders>
            <w:noWrap w:val="0"/>
            <w:vAlign w:val="center"/>
          </w:tcPr>
          <w:p w14:paraId="41581546">
            <w:pPr>
              <w:keepNext w:val="0"/>
              <w:keepLines w:val="0"/>
              <w:suppressLineNumbers w:val="0"/>
              <w:snapToGrid w:val="0"/>
              <w:spacing w:before="0" w:beforeAutospacing="0" w:after="0" w:afterAutospacing="0" w:line="360" w:lineRule="exact"/>
              <w:ind w:left="0"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p>
        </w:tc>
      </w:tr>
      <w:tr w14:paraId="40505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jc w:val="center"/>
        </w:trPr>
        <w:tc>
          <w:tcPr>
            <w:tcW w:w="4582" w:type="dxa"/>
            <w:tcBorders>
              <w:top w:val="single" w:color="auto" w:sz="4" w:space="0"/>
              <w:left w:val="single" w:color="auto" w:sz="4" w:space="0"/>
              <w:bottom w:val="single" w:color="auto" w:sz="4" w:space="0"/>
              <w:right w:val="single" w:color="auto" w:sz="4" w:space="0"/>
            </w:tcBorders>
            <w:noWrap w:val="0"/>
            <w:vAlign w:val="center"/>
          </w:tcPr>
          <w:p w14:paraId="72A6B1C5">
            <w:pPr>
              <w:keepNext w:val="0"/>
              <w:keepLines w:val="0"/>
              <w:suppressLineNumbers w:val="0"/>
              <w:snapToGrid w:val="0"/>
              <w:spacing w:before="0" w:beforeAutospacing="0" w:after="0" w:afterAutospacing="0" w:line="360" w:lineRule="exact"/>
              <w:ind w:left="0"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电子邮箱：</w:t>
            </w:r>
          </w:p>
        </w:tc>
        <w:tc>
          <w:tcPr>
            <w:tcW w:w="4842" w:type="dxa"/>
            <w:tcBorders>
              <w:top w:val="single" w:color="auto" w:sz="4" w:space="0"/>
              <w:left w:val="single" w:color="auto" w:sz="4" w:space="0"/>
              <w:bottom w:val="single" w:color="auto" w:sz="4" w:space="0"/>
              <w:right w:val="single" w:color="auto" w:sz="4" w:space="0"/>
            </w:tcBorders>
            <w:noWrap w:val="0"/>
            <w:vAlign w:val="center"/>
          </w:tcPr>
          <w:p w14:paraId="4C7E6913">
            <w:pPr>
              <w:keepNext w:val="0"/>
              <w:keepLines w:val="0"/>
              <w:suppressLineNumbers w:val="0"/>
              <w:snapToGrid w:val="0"/>
              <w:spacing w:before="0" w:beforeAutospacing="0" w:after="0" w:afterAutospacing="0" w:line="360" w:lineRule="exact"/>
              <w:ind w:left="0"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电子邮箱：</w:t>
            </w:r>
          </w:p>
        </w:tc>
      </w:tr>
      <w:tr w14:paraId="206CC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4582" w:type="dxa"/>
            <w:tcBorders>
              <w:top w:val="single" w:color="auto" w:sz="4" w:space="0"/>
              <w:left w:val="single" w:color="auto" w:sz="4" w:space="0"/>
              <w:bottom w:val="single" w:color="auto" w:sz="4" w:space="0"/>
              <w:right w:val="single" w:color="auto" w:sz="4" w:space="0"/>
            </w:tcBorders>
            <w:noWrap w:val="0"/>
            <w:vAlign w:val="center"/>
          </w:tcPr>
          <w:p w14:paraId="04C8E00C">
            <w:pPr>
              <w:keepNext w:val="0"/>
              <w:keepLines w:val="0"/>
              <w:suppressLineNumbers w:val="0"/>
              <w:snapToGrid w:val="0"/>
              <w:spacing w:before="0" w:beforeAutospacing="0" w:after="0" w:afterAutospacing="0" w:line="360" w:lineRule="exact"/>
              <w:ind w:left="0"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开户银行：建行柳州柳南支行</w:t>
            </w:r>
          </w:p>
        </w:tc>
        <w:tc>
          <w:tcPr>
            <w:tcW w:w="4842" w:type="dxa"/>
            <w:tcBorders>
              <w:top w:val="single" w:color="auto" w:sz="4" w:space="0"/>
              <w:left w:val="single" w:color="auto" w:sz="4" w:space="0"/>
              <w:bottom w:val="single" w:color="auto" w:sz="4" w:space="0"/>
              <w:right w:val="single" w:color="auto" w:sz="4" w:space="0"/>
            </w:tcBorders>
            <w:noWrap w:val="0"/>
            <w:vAlign w:val="center"/>
          </w:tcPr>
          <w:p w14:paraId="25FED3B3">
            <w:pPr>
              <w:keepNext w:val="0"/>
              <w:keepLines w:val="0"/>
              <w:suppressLineNumbers w:val="0"/>
              <w:snapToGrid w:val="0"/>
              <w:spacing w:before="0" w:beforeAutospacing="0" w:after="0" w:afterAutospacing="0" w:line="360" w:lineRule="exact"/>
              <w:ind w:left="0"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p>
        </w:tc>
      </w:tr>
      <w:tr w14:paraId="35C84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jc w:val="center"/>
        </w:trPr>
        <w:tc>
          <w:tcPr>
            <w:tcW w:w="4582" w:type="dxa"/>
            <w:tcBorders>
              <w:top w:val="single" w:color="auto" w:sz="4" w:space="0"/>
              <w:left w:val="single" w:color="auto" w:sz="4" w:space="0"/>
              <w:bottom w:val="single" w:color="auto" w:sz="4" w:space="0"/>
              <w:right w:val="single" w:color="auto" w:sz="4" w:space="0"/>
            </w:tcBorders>
            <w:noWrap w:val="0"/>
            <w:vAlign w:val="center"/>
          </w:tcPr>
          <w:p w14:paraId="4EED7600">
            <w:pPr>
              <w:keepNext w:val="0"/>
              <w:keepLines w:val="0"/>
              <w:suppressLineNumbers w:val="0"/>
              <w:snapToGrid w:val="0"/>
              <w:spacing w:before="0" w:beforeAutospacing="0" w:after="0" w:afterAutospacing="0" w:line="360" w:lineRule="exact"/>
              <w:ind w:left="0"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账号：45001625059050702021</w:t>
            </w:r>
          </w:p>
        </w:tc>
        <w:tc>
          <w:tcPr>
            <w:tcW w:w="4842" w:type="dxa"/>
            <w:tcBorders>
              <w:top w:val="single" w:color="auto" w:sz="4" w:space="0"/>
              <w:left w:val="single" w:color="auto" w:sz="4" w:space="0"/>
              <w:bottom w:val="single" w:color="auto" w:sz="4" w:space="0"/>
              <w:right w:val="single" w:color="auto" w:sz="4" w:space="0"/>
            </w:tcBorders>
            <w:noWrap w:val="0"/>
            <w:vAlign w:val="center"/>
          </w:tcPr>
          <w:p w14:paraId="34FA453B">
            <w:pPr>
              <w:keepNext w:val="0"/>
              <w:keepLines w:val="0"/>
              <w:suppressLineNumbers w:val="0"/>
              <w:snapToGrid w:val="0"/>
              <w:spacing w:before="0" w:beforeAutospacing="0" w:after="0" w:afterAutospacing="0" w:line="360" w:lineRule="exact"/>
              <w:ind w:left="0"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账号：</w:t>
            </w:r>
          </w:p>
        </w:tc>
      </w:tr>
      <w:tr w14:paraId="18506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8" w:hRule="atLeast"/>
          <w:jc w:val="center"/>
        </w:trPr>
        <w:tc>
          <w:tcPr>
            <w:tcW w:w="4582" w:type="dxa"/>
            <w:tcBorders>
              <w:top w:val="single" w:color="auto" w:sz="4" w:space="0"/>
              <w:left w:val="single" w:color="auto" w:sz="4" w:space="0"/>
              <w:bottom w:val="single" w:color="auto" w:sz="4" w:space="0"/>
              <w:right w:val="single" w:color="auto" w:sz="4" w:space="0"/>
            </w:tcBorders>
            <w:noWrap w:val="0"/>
            <w:vAlign w:val="center"/>
          </w:tcPr>
          <w:p w14:paraId="5190CB0B">
            <w:pPr>
              <w:keepNext w:val="0"/>
              <w:keepLines w:val="0"/>
              <w:suppressLineNumbers w:val="0"/>
              <w:snapToGrid w:val="0"/>
              <w:spacing w:before="0" w:beforeAutospacing="0" w:after="0" w:afterAutospacing="0" w:line="360" w:lineRule="exact"/>
              <w:ind w:left="0" w:right="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lang w:val="en-US" w:eastAsia="zh-CN"/>
              </w:rPr>
              <w:t>505004</w:t>
            </w:r>
          </w:p>
        </w:tc>
        <w:tc>
          <w:tcPr>
            <w:tcW w:w="4842" w:type="dxa"/>
            <w:tcBorders>
              <w:top w:val="single" w:color="auto" w:sz="4" w:space="0"/>
              <w:left w:val="single" w:color="auto" w:sz="4" w:space="0"/>
              <w:bottom w:val="single" w:color="auto" w:sz="4" w:space="0"/>
              <w:right w:val="single" w:color="auto" w:sz="4" w:space="0"/>
            </w:tcBorders>
            <w:noWrap w:val="0"/>
            <w:vAlign w:val="center"/>
          </w:tcPr>
          <w:p w14:paraId="6E6FF9DB">
            <w:pPr>
              <w:keepNext w:val="0"/>
              <w:keepLines w:val="0"/>
              <w:suppressLineNumbers w:val="0"/>
              <w:snapToGrid w:val="0"/>
              <w:spacing w:before="0" w:beforeAutospacing="0" w:after="0" w:afterAutospacing="0" w:line="360" w:lineRule="exact"/>
              <w:ind w:left="0"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p>
        </w:tc>
      </w:tr>
      <w:tr w14:paraId="45DB1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4582" w:type="dxa"/>
            <w:tcBorders>
              <w:top w:val="single" w:color="auto" w:sz="4" w:space="0"/>
              <w:left w:val="single" w:color="auto" w:sz="4" w:space="0"/>
              <w:bottom w:val="single" w:color="auto" w:sz="4" w:space="0"/>
              <w:right w:val="single" w:color="auto" w:sz="4" w:space="0"/>
            </w:tcBorders>
            <w:noWrap w:val="0"/>
            <w:vAlign w:val="top"/>
          </w:tcPr>
          <w:p w14:paraId="24F135E6">
            <w:pPr>
              <w:keepNext w:val="0"/>
              <w:keepLines w:val="0"/>
              <w:suppressLineNumbers w:val="0"/>
              <w:snapToGrid w:val="0"/>
              <w:spacing w:before="0" w:beforeAutospacing="0" w:after="0" w:afterAutospacing="0" w:line="36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经办人：</w:t>
            </w:r>
          </w:p>
        </w:tc>
        <w:tc>
          <w:tcPr>
            <w:tcW w:w="4842" w:type="dxa"/>
            <w:tcBorders>
              <w:top w:val="single" w:color="auto" w:sz="4" w:space="0"/>
              <w:left w:val="single" w:color="auto" w:sz="4" w:space="0"/>
              <w:bottom w:val="single" w:color="auto" w:sz="4" w:space="0"/>
              <w:right w:val="single" w:color="auto" w:sz="4" w:space="0"/>
            </w:tcBorders>
            <w:noWrap w:val="0"/>
            <w:vAlign w:val="top"/>
          </w:tcPr>
          <w:p w14:paraId="1DC6FF08">
            <w:pPr>
              <w:keepNext w:val="0"/>
              <w:keepLines w:val="0"/>
              <w:suppressLineNumbers w:val="0"/>
              <w:snapToGrid w:val="0"/>
              <w:spacing w:before="0" w:beforeAutospacing="0" w:after="0" w:afterAutospacing="0" w:line="36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经办人：</w:t>
            </w:r>
          </w:p>
          <w:p w14:paraId="69742EEE">
            <w:pPr>
              <w:keepNext w:val="0"/>
              <w:keepLines w:val="0"/>
              <w:suppressLineNumbers w:val="0"/>
              <w:snapToGrid w:val="0"/>
              <w:spacing w:before="0" w:beforeAutospacing="0" w:after="0" w:afterAutospacing="0" w:line="360" w:lineRule="exact"/>
              <w:ind w:left="0" w:right="0"/>
              <w:jc w:val="both"/>
              <w:rPr>
                <w:rFonts w:hint="eastAsia" w:ascii="宋体" w:hAnsi="宋体" w:eastAsia="宋体" w:cs="宋体"/>
                <w:color w:val="auto"/>
                <w:sz w:val="21"/>
                <w:szCs w:val="21"/>
                <w:highlight w:val="none"/>
              </w:rPr>
            </w:pPr>
          </w:p>
        </w:tc>
      </w:tr>
    </w:tbl>
    <w:p w14:paraId="1B8ACBF4">
      <w:pPr>
        <w:snapToGrid w:val="0"/>
        <w:spacing w:line="360" w:lineRule="auto"/>
        <w:jc w:val="center"/>
        <w:rPr>
          <w:rFonts w:hint="eastAsia"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4"/>
          <w:highlight w:val="none"/>
        </w:rPr>
        <w:t>合 同 附 件</w:t>
      </w:r>
    </w:p>
    <w:p w14:paraId="2B2B3C92">
      <w:pPr>
        <w:snapToGrid w:val="0"/>
        <w:spacing w:line="360" w:lineRule="auto"/>
        <w:rPr>
          <w:rFonts w:hint="eastAsia" w:ascii="宋体" w:hAnsi="宋体"/>
          <w:color w:val="auto"/>
          <w:sz w:val="24"/>
          <w:highlight w:val="none"/>
        </w:rPr>
      </w:pPr>
      <w:r>
        <w:rPr>
          <w:rFonts w:hint="eastAsia" w:ascii="宋体" w:hAnsi="宋体"/>
          <w:color w:val="auto"/>
          <w:sz w:val="24"/>
          <w:highlight w:val="none"/>
        </w:rPr>
        <w:t>一般货物类</w:t>
      </w:r>
    </w:p>
    <w:tbl>
      <w:tblPr>
        <w:tblStyle w:val="37"/>
        <w:tblW w:w="0" w:type="auto"/>
        <w:jc w:val="center"/>
        <w:tblLayout w:type="fixed"/>
        <w:tblCellMar>
          <w:top w:w="0" w:type="dxa"/>
          <w:left w:w="108" w:type="dxa"/>
          <w:bottom w:w="0" w:type="dxa"/>
          <w:right w:w="108" w:type="dxa"/>
        </w:tblCellMar>
      </w:tblPr>
      <w:tblGrid>
        <w:gridCol w:w="4772"/>
        <w:gridCol w:w="4768"/>
      </w:tblGrid>
      <w:tr w14:paraId="792DF135">
        <w:tblPrEx>
          <w:tblCellMar>
            <w:top w:w="0" w:type="dxa"/>
            <w:left w:w="108" w:type="dxa"/>
            <w:bottom w:w="0" w:type="dxa"/>
            <w:right w:w="108" w:type="dxa"/>
          </w:tblCellMar>
        </w:tblPrEx>
        <w:trPr>
          <w:trHeight w:val="1263" w:hRule="atLeast"/>
          <w:jc w:val="center"/>
        </w:trPr>
        <w:tc>
          <w:tcPr>
            <w:tcW w:w="9540" w:type="dxa"/>
            <w:gridSpan w:val="2"/>
            <w:tcBorders>
              <w:top w:val="single" w:color="auto" w:sz="4" w:space="0"/>
              <w:left w:val="single" w:color="auto" w:sz="4" w:space="0"/>
              <w:right w:val="single" w:color="auto" w:sz="4" w:space="0"/>
            </w:tcBorders>
            <w:noWrap w:val="0"/>
            <w:vAlign w:val="top"/>
          </w:tcPr>
          <w:p w14:paraId="25716AE2">
            <w:pPr>
              <w:keepNext w:val="0"/>
              <w:keepLines w:val="0"/>
              <w:suppressLineNumbers w:val="0"/>
              <w:snapToGrid w:val="0"/>
              <w:spacing w:before="0" w:beforeAutospacing="0" w:after="0" w:afterAutospacing="0" w:line="360" w:lineRule="auto"/>
              <w:ind w:left="0" w:right="0"/>
              <w:rPr>
                <w:rFonts w:hint="eastAsia" w:ascii="宋体" w:hAnsi="宋体"/>
                <w:b/>
                <w:color w:val="auto"/>
                <w:sz w:val="24"/>
                <w:highlight w:val="none"/>
              </w:rPr>
            </w:pPr>
            <w:r>
              <w:rPr>
                <w:rFonts w:hint="eastAsia" w:ascii="宋体" w:hAnsi="宋体"/>
                <w:b/>
                <w:color w:val="auto"/>
                <w:sz w:val="24"/>
                <w:highlight w:val="none"/>
              </w:rPr>
              <w:t>1. 供应商承诺具体事项：</w:t>
            </w:r>
          </w:p>
        </w:tc>
      </w:tr>
      <w:tr w14:paraId="12FBD37A">
        <w:tblPrEx>
          <w:tblCellMar>
            <w:top w:w="0" w:type="dxa"/>
            <w:left w:w="108" w:type="dxa"/>
            <w:bottom w:w="0" w:type="dxa"/>
            <w:right w:w="108" w:type="dxa"/>
          </w:tblCellMar>
        </w:tblPrEx>
        <w:trPr>
          <w:trHeight w:val="1265" w:hRule="atLeast"/>
          <w:jc w:val="center"/>
        </w:trPr>
        <w:tc>
          <w:tcPr>
            <w:tcW w:w="9540" w:type="dxa"/>
            <w:gridSpan w:val="2"/>
            <w:tcBorders>
              <w:top w:val="single" w:color="auto" w:sz="4" w:space="0"/>
              <w:left w:val="single" w:color="auto" w:sz="4" w:space="0"/>
              <w:right w:val="single" w:color="auto" w:sz="4" w:space="0"/>
            </w:tcBorders>
            <w:noWrap w:val="0"/>
            <w:vAlign w:val="top"/>
          </w:tcPr>
          <w:p w14:paraId="54CCC2C1">
            <w:pPr>
              <w:keepNext w:val="0"/>
              <w:keepLines w:val="0"/>
              <w:suppressLineNumbers w:val="0"/>
              <w:snapToGrid w:val="0"/>
              <w:spacing w:before="0" w:beforeAutospacing="0" w:after="0" w:afterAutospacing="0" w:line="360" w:lineRule="auto"/>
              <w:ind w:left="0" w:right="0"/>
              <w:rPr>
                <w:rFonts w:hint="eastAsia" w:ascii="宋体" w:hAnsi="宋体"/>
                <w:b/>
                <w:color w:val="auto"/>
                <w:sz w:val="24"/>
                <w:highlight w:val="none"/>
              </w:rPr>
            </w:pPr>
            <w:r>
              <w:rPr>
                <w:rFonts w:hint="eastAsia" w:ascii="宋体" w:hAnsi="宋体"/>
                <w:b/>
                <w:color w:val="auto"/>
                <w:sz w:val="24"/>
                <w:highlight w:val="none"/>
              </w:rPr>
              <w:t>2. 售后服务具体事项：</w:t>
            </w:r>
          </w:p>
        </w:tc>
      </w:tr>
      <w:tr w14:paraId="5305622F">
        <w:tblPrEx>
          <w:tblCellMar>
            <w:top w:w="0" w:type="dxa"/>
            <w:left w:w="108" w:type="dxa"/>
            <w:bottom w:w="0" w:type="dxa"/>
            <w:right w:w="108" w:type="dxa"/>
          </w:tblCellMar>
        </w:tblPrEx>
        <w:trPr>
          <w:trHeight w:val="1122" w:hRule="atLeast"/>
          <w:jc w:val="center"/>
        </w:trPr>
        <w:tc>
          <w:tcPr>
            <w:tcW w:w="9540" w:type="dxa"/>
            <w:gridSpan w:val="2"/>
            <w:tcBorders>
              <w:top w:val="single" w:color="auto" w:sz="4" w:space="0"/>
              <w:left w:val="single" w:color="auto" w:sz="4" w:space="0"/>
              <w:right w:val="single" w:color="auto" w:sz="4" w:space="0"/>
            </w:tcBorders>
            <w:noWrap w:val="0"/>
            <w:vAlign w:val="top"/>
          </w:tcPr>
          <w:p w14:paraId="2AEE5A5F">
            <w:pPr>
              <w:keepNext w:val="0"/>
              <w:keepLines w:val="0"/>
              <w:suppressLineNumbers w:val="0"/>
              <w:snapToGrid w:val="0"/>
              <w:spacing w:before="0" w:beforeAutospacing="0" w:after="0" w:afterAutospacing="0" w:line="360" w:lineRule="auto"/>
              <w:ind w:left="0" w:right="0"/>
              <w:rPr>
                <w:rFonts w:hint="eastAsia" w:ascii="宋体" w:hAnsi="宋体"/>
                <w:b/>
                <w:color w:val="auto"/>
                <w:sz w:val="24"/>
                <w:highlight w:val="none"/>
              </w:rPr>
            </w:pPr>
            <w:r>
              <w:rPr>
                <w:rFonts w:hint="eastAsia" w:ascii="宋体" w:hAnsi="宋体"/>
                <w:b/>
                <w:color w:val="auto"/>
                <w:sz w:val="24"/>
                <w:highlight w:val="none"/>
              </w:rPr>
              <w:t>3. 保修期责任：</w:t>
            </w:r>
          </w:p>
        </w:tc>
      </w:tr>
      <w:tr w14:paraId="7443BBF0">
        <w:tblPrEx>
          <w:tblCellMar>
            <w:top w:w="0" w:type="dxa"/>
            <w:left w:w="108" w:type="dxa"/>
            <w:bottom w:w="0" w:type="dxa"/>
            <w:right w:w="108" w:type="dxa"/>
          </w:tblCellMar>
        </w:tblPrEx>
        <w:trPr>
          <w:trHeight w:val="1400" w:hRule="atLeast"/>
          <w:jc w:val="center"/>
        </w:trPr>
        <w:tc>
          <w:tcPr>
            <w:tcW w:w="9540" w:type="dxa"/>
            <w:gridSpan w:val="2"/>
            <w:tcBorders>
              <w:top w:val="single" w:color="auto" w:sz="4" w:space="0"/>
              <w:left w:val="single" w:color="auto" w:sz="4" w:space="0"/>
              <w:right w:val="single" w:color="auto" w:sz="4" w:space="0"/>
            </w:tcBorders>
            <w:noWrap w:val="0"/>
            <w:vAlign w:val="top"/>
          </w:tcPr>
          <w:p w14:paraId="5EBD5646">
            <w:pPr>
              <w:keepNext w:val="0"/>
              <w:keepLines w:val="0"/>
              <w:suppressLineNumbers w:val="0"/>
              <w:snapToGrid w:val="0"/>
              <w:spacing w:before="0" w:beforeAutospacing="0" w:after="0" w:afterAutospacing="0" w:line="360" w:lineRule="auto"/>
              <w:ind w:left="0" w:right="0"/>
              <w:rPr>
                <w:rFonts w:hint="eastAsia" w:ascii="宋体" w:hAnsi="宋体"/>
                <w:b/>
                <w:color w:val="auto"/>
                <w:sz w:val="24"/>
                <w:highlight w:val="none"/>
              </w:rPr>
            </w:pPr>
            <w:r>
              <w:rPr>
                <w:rFonts w:hint="eastAsia" w:ascii="宋体" w:hAnsi="宋体"/>
                <w:b/>
                <w:color w:val="auto"/>
                <w:sz w:val="24"/>
                <w:highlight w:val="none"/>
              </w:rPr>
              <w:t>4. 其他具体事项：</w:t>
            </w:r>
          </w:p>
        </w:tc>
      </w:tr>
      <w:tr w14:paraId="488733CF">
        <w:tblPrEx>
          <w:tblCellMar>
            <w:top w:w="0" w:type="dxa"/>
            <w:left w:w="108" w:type="dxa"/>
            <w:bottom w:w="0" w:type="dxa"/>
            <w:right w:w="108" w:type="dxa"/>
          </w:tblCellMar>
        </w:tblPrEx>
        <w:trPr>
          <w:trHeight w:val="1928" w:hRule="atLeast"/>
          <w:jc w:val="center"/>
        </w:trPr>
        <w:tc>
          <w:tcPr>
            <w:tcW w:w="4772" w:type="dxa"/>
            <w:tcBorders>
              <w:top w:val="single" w:color="auto" w:sz="4" w:space="0"/>
              <w:left w:val="single" w:color="auto" w:sz="4" w:space="0"/>
              <w:bottom w:val="single" w:color="auto" w:sz="4" w:space="0"/>
              <w:right w:val="single" w:color="auto" w:sz="4" w:space="0"/>
            </w:tcBorders>
            <w:noWrap w:val="0"/>
            <w:vAlign w:val="center"/>
          </w:tcPr>
          <w:p w14:paraId="0D7A9586">
            <w:pPr>
              <w:keepNext w:val="0"/>
              <w:keepLines w:val="0"/>
              <w:suppressLineNumbers w:val="0"/>
              <w:snapToGrid w:val="0"/>
              <w:spacing w:before="0" w:beforeAutospacing="0" w:after="0" w:afterAutospacing="0" w:line="360" w:lineRule="auto"/>
              <w:ind w:left="0" w:right="0"/>
              <w:rPr>
                <w:rFonts w:hint="eastAsia" w:ascii="宋体" w:hAnsi="宋体"/>
                <w:b/>
                <w:color w:val="auto"/>
                <w:sz w:val="24"/>
                <w:highlight w:val="none"/>
              </w:rPr>
            </w:pPr>
            <w:r>
              <w:rPr>
                <w:rFonts w:hint="eastAsia" w:ascii="宋体" w:hAnsi="宋体"/>
                <w:b/>
                <w:color w:val="auto"/>
                <w:sz w:val="24"/>
                <w:highlight w:val="none"/>
              </w:rPr>
              <w:t>甲方（章）</w:t>
            </w:r>
          </w:p>
          <w:p w14:paraId="091B6829">
            <w:pPr>
              <w:keepNext w:val="0"/>
              <w:keepLines w:val="0"/>
              <w:suppressLineNumbers w:val="0"/>
              <w:snapToGrid w:val="0"/>
              <w:spacing w:before="0" w:beforeAutospacing="0" w:after="0" w:afterAutospacing="0" w:line="360" w:lineRule="auto"/>
              <w:ind w:left="0" w:right="0" w:firstLine="482" w:firstLineChars="200"/>
              <w:rPr>
                <w:rFonts w:hint="eastAsia" w:ascii="宋体" w:hAnsi="宋体"/>
                <w:b/>
                <w:color w:val="auto"/>
                <w:sz w:val="24"/>
                <w:highlight w:val="none"/>
              </w:rPr>
            </w:pPr>
          </w:p>
          <w:p w14:paraId="5C407031">
            <w:pPr>
              <w:keepNext w:val="0"/>
              <w:keepLines w:val="0"/>
              <w:suppressLineNumbers w:val="0"/>
              <w:snapToGrid w:val="0"/>
              <w:spacing w:before="0" w:beforeAutospacing="0" w:after="0" w:afterAutospacing="0" w:line="360" w:lineRule="auto"/>
              <w:ind w:left="0" w:right="0"/>
              <w:rPr>
                <w:rFonts w:hint="eastAsia" w:ascii="宋体" w:hAnsi="宋体"/>
                <w:b/>
                <w:color w:val="auto"/>
                <w:sz w:val="24"/>
                <w:highlight w:val="none"/>
              </w:rPr>
            </w:pPr>
          </w:p>
          <w:p w14:paraId="140F71F8">
            <w:pPr>
              <w:keepNext w:val="0"/>
              <w:keepLines w:val="0"/>
              <w:suppressLineNumbers w:val="0"/>
              <w:snapToGrid w:val="0"/>
              <w:spacing w:before="0" w:beforeAutospacing="0" w:after="0" w:afterAutospacing="0" w:line="360" w:lineRule="auto"/>
              <w:ind w:left="0" w:right="0" w:firstLine="482" w:firstLineChars="200"/>
              <w:rPr>
                <w:rFonts w:hint="eastAsia" w:ascii="宋体" w:hAnsi="宋体"/>
                <w:b/>
                <w:color w:val="auto"/>
                <w:sz w:val="24"/>
                <w:highlight w:val="none"/>
              </w:rPr>
            </w:pPr>
            <w:r>
              <w:rPr>
                <w:rFonts w:hint="eastAsia" w:ascii="宋体" w:hAnsi="宋体"/>
                <w:b/>
                <w:color w:val="auto"/>
                <w:sz w:val="24"/>
                <w:highlight w:val="none"/>
              </w:rPr>
              <w:t xml:space="preserve">                 年   月   日 </w:t>
            </w:r>
          </w:p>
        </w:tc>
        <w:tc>
          <w:tcPr>
            <w:tcW w:w="4768" w:type="dxa"/>
            <w:tcBorders>
              <w:top w:val="single" w:color="auto" w:sz="4" w:space="0"/>
              <w:left w:val="single" w:color="auto" w:sz="4" w:space="0"/>
              <w:bottom w:val="single" w:color="auto" w:sz="4" w:space="0"/>
              <w:right w:val="single" w:color="auto" w:sz="4" w:space="0"/>
            </w:tcBorders>
            <w:noWrap w:val="0"/>
            <w:vAlign w:val="center"/>
          </w:tcPr>
          <w:p w14:paraId="6B22B3CD">
            <w:pPr>
              <w:keepNext w:val="0"/>
              <w:keepLines w:val="0"/>
              <w:suppressLineNumbers w:val="0"/>
              <w:snapToGrid w:val="0"/>
              <w:spacing w:before="0" w:beforeAutospacing="0" w:after="0" w:afterAutospacing="0" w:line="360" w:lineRule="auto"/>
              <w:ind w:left="0" w:right="0"/>
              <w:rPr>
                <w:rFonts w:hint="eastAsia" w:ascii="宋体" w:hAnsi="宋体"/>
                <w:b/>
                <w:color w:val="auto"/>
                <w:sz w:val="24"/>
                <w:highlight w:val="none"/>
              </w:rPr>
            </w:pPr>
            <w:r>
              <w:rPr>
                <w:rFonts w:hint="eastAsia" w:ascii="宋体" w:hAnsi="宋体"/>
                <w:b/>
                <w:color w:val="auto"/>
                <w:sz w:val="24"/>
                <w:highlight w:val="none"/>
              </w:rPr>
              <w:t>乙方（章）</w:t>
            </w:r>
          </w:p>
          <w:p w14:paraId="02CB22E1">
            <w:pPr>
              <w:keepNext w:val="0"/>
              <w:keepLines w:val="0"/>
              <w:suppressLineNumbers w:val="0"/>
              <w:snapToGrid w:val="0"/>
              <w:spacing w:before="0" w:beforeAutospacing="0" w:after="0" w:afterAutospacing="0" w:line="360" w:lineRule="auto"/>
              <w:ind w:left="0" w:right="0" w:firstLine="482" w:firstLineChars="200"/>
              <w:rPr>
                <w:rFonts w:hint="eastAsia" w:ascii="宋体" w:hAnsi="宋体"/>
                <w:b/>
                <w:color w:val="auto"/>
                <w:sz w:val="24"/>
                <w:highlight w:val="none"/>
              </w:rPr>
            </w:pPr>
          </w:p>
          <w:p w14:paraId="73D6D87E">
            <w:pPr>
              <w:keepNext w:val="0"/>
              <w:keepLines w:val="0"/>
              <w:suppressLineNumbers w:val="0"/>
              <w:snapToGrid w:val="0"/>
              <w:spacing w:before="0" w:beforeAutospacing="0" w:after="0" w:afterAutospacing="0" w:line="360" w:lineRule="auto"/>
              <w:ind w:left="0" w:right="0"/>
              <w:rPr>
                <w:rFonts w:hint="eastAsia" w:ascii="宋体" w:hAnsi="宋体"/>
                <w:b/>
                <w:color w:val="auto"/>
                <w:sz w:val="24"/>
                <w:highlight w:val="none"/>
              </w:rPr>
            </w:pPr>
          </w:p>
          <w:p w14:paraId="3CF55BE0">
            <w:pPr>
              <w:keepNext w:val="0"/>
              <w:keepLines w:val="0"/>
              <w:suppressLineNumbers w:val="0"/>
              <w:snapToGrid w:val="0"/>
              <w:spacing w:before="0" w:beforeAutospacing="0" w:after="0" w:afterAutospacing="0" w:line="360" w:lineRule="auto"/>
              <w:ind w:left="0" w:right="0" w:firstLine="482" w:firstLineChars="200"/>
              <w:rPr>
                <w:rFonts w:hint="eastAsia" w:ascii="宋体" w:hAnsi="宋体"/>
                <w:b/>
                <w:color w:val="auto"/>
                <w:sz w:val="24"/>
                <w:highlight w:val="none"/>
              </w:rPr>
            </w:pPr>
            <w:r>
              <w:rPr>
                <w:rFonts w:hint="eastAsia" w:ascii="宋体" w:hAnsi="宋体"/>
                <w:b/>
                <w:color w:val="auto"/>
                <w:sz w:val="24"/>
                <w:highlight w:val="none"/>
              </w:rPr>
              <w:t xml:space="preserve">                 年   月   日</w:t>
            </w:r>
          </w:p>
        </w:tc>
      </w:tr>
    </w:tbl>
    <w:p w14:paraId="5C3ED888">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 xml:space="preserve">   注：售后服务事项填不下时可另加附页</w:t>
      </w:r>
    </w:p>
    <w:p w14:paraId="3E3EC6EC">
      <w:pPr>
        <w:pStyle w:val="20"/>
        <w:spacing w:line="380" w:lineRule="exact"/>
        <w:ind w:firstLine="420" w:firstLineChars="200"/>
        <w:rPr>
          <w:rFonts w:hint="eastAsia"/>
          <w:color w:val="auto"/>
          <w:highlight w:val="none"/>
        </w:rPr>
      </w:pPr>
    </w:p>
    <w:sectPr>
      <w:headerReference r:id="rId12" w:type="first"/>
      <w:footerReference r:id="rId14" w:type="first"/>
      <w:headerReference r:id="rId11" w:type="default"/>
      <w:footerReference r:id="rId13" w:type="default"/>
      <w:pgSz w:w="11906" w:h="16838"/>
      <w:pgMar w:top="1134" w:right="1134" w:bottom="1134" w:left="1134"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85A4A5CB-A1D6-48A0-8B99-066EFB337030}"/>
  </w:font>
  <w:font w:name="黑体">
    <w:panose1 w:val="02010609060101010101"/>
    <w:charset w:val="86"/>
    <w:family w:val="auto"/>
    <w:pitch w:val="default"/>
    <w:sig w:usb0="800002BF" w:usb1="38CF7CFA" w:usb2="00000016" w:usb3="00000000" w:csb0="00040001" w:csb1="00000000"/>
    <w:embedRegular r:id="rId2" w:fontKey="{E984EE51-01E4-479F-847C-AD9530D7A4A3}"/>
  </w:font>
  <w:font w:name="Courier New">
    <w:panose1 w:val="02070309020205020404"/>
    <w:charset w:val="01"/>
    <w:family w:val="modern"/>
    <w:pitch w:val="default"/>
    <w:sig w:usb0="E0002EFF" w:usb1="C0007843" w:usb2="00000009" w:usb3="00000000" w:csb0="400001FF" w:csb1="FFFF0000"/>
    <w:embedRegular r:id="rId3" w:fontKey="{ED7F0A0C-3A5E-4A2E-BD42-0E3217FDE9D7}"/>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embedRegular r:id="rId4" w:fontKey="{118FFD87-3648-4EF9-80DE-43A18053DB49}"/>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embedRegular r:id="rId5" w:fontKey="{27BE9B80-246F-4A09-BF1B-5ABEEC30CECE}"/>
  </w:font>
  <w:font w:name="华文新魏">
    <w:panose1 w:val="02010800040101010101"/>
    <w:charset w:val="86"/>
    <w:family w:val="auto"/>
    <w:pitch w:val="default"/>
    <w:sig w:usb0="00000001" w:usb1="080F0000" w:usb2="00000000" w:usb3="00000000" w:csb0="00040000" w:csb1="00000000"/>
    <w:embedRegular r:id="rId6" w:fontKey="{974A5FA6-3516-422A-93AC-479EB3205F5B}"/>
  </w:font>
  <w:font w:name="方正美黑简体">
    <w:altName w:val="宋体"/>
    <w:panose1 w:val="00000000000000000000"/>
    <w:charset w:val="86"/>
    <w:family w:val="auto"/>
    <w:pitch w:val="default"/>
    <w:sig w:usb0="00000000" w:usb1="00000000" w:usb2="00000010" w:usb3="00000000" w:csb0="00040000" w:csb1="00000000"/>
    <w:embedRegular r:id="rId7" w:fontKey="{79987EDF-C04C-45C7-9BAD-FE5B160447EC}"/>
  </w:font>
  <w:font w:name="楷体">
    <w:panose1 w:val="02010609060101010101"/>
    <w:charset w:val="86"/>
    <w:family w:val="modern"/>
    <w:pitch w:val="default"/>
    <w:sig w:usb0="800002BF" w:usb1="38CF7CFA" w:usb2="00000016" w:usb3="00000000" w:csb0="00040001" w:csb1="00000000"/>
    <w:embedRegular r:id="rId8" w:fontKey="{C7238CBB-0708-45B3-8019-D67D7DBFA81A}"/>
  </w:font>
  <w:font w:name="方正小标宋简体">
    <w:panose1 w:val="03000509000000000000"/>
    <w:charset w:val="86"/>
    <w:family w:val="script"/>
    <w:pitch w:val="default"/>
    <w:sig w:usb0="00000001" w:usb1="080E0000" w:usb2="00000000" w:usb3="00000000" w:csb0="00040000" w:csb1="00000000"/>
    <w:embedRegular r:id="rId9" w:fontKey="{452180BC-C218-4F8D-966F-D57265EC969C}"/>
  </w:font>
  <w:font w:name="新宋体">
    <w:panose1 w:val="02010609030101010101"/>
    <w:charset w:val="86"/>
    <w:family w:val="auto"/>
    <w:pitch w:val="default"/>
    <w:sig w:usb0="00000203" w:usb1="288F0000" w:usb2="00000006" w:usb3="00000000" w:csb0="00040001" w:csb1="00000000"/>
    <w:embedRegular r:id="rId10" w:fontKey="{20E4EFC7-CDC0-45D0-B0ED-01D87A0BACC1}"/>
  </w:font>
  <w:font w:name="WPSEMBED2">
    <w:panose1 w:val="02010800040101010101"/>
    <w:charset w:val="86"/>
    <w:family w:val="auto"/>
    <w:pitch w:val="default"/>
    <w:sig w:usb0="00000001" w:usb1="080F0000" w:usb2="00000000" w:usb3="00000000" w:csb0="00040000" w:csb1="00000000"/>
  </w:font>
  <w:font w:name="WPSEMBED1">
    <w:panose1 w:val="02010609030101010101"/>
    <w:charset w:val="86"/>
    <w:family w:val="auto"/>
    <w:pitch w:val="default"/>
    <w:sig w:usb0="00000001" w:usb1="080E0000" w:usb2="00000000" w:usb3="00000000" w:csb0="00040000" w:csb1="00000000"/>
  </w:font>
  <w:font w:name="WPSEMBED3">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63E5AC">
    <w:pPr>
      <w:pStyle w:val="24"/>
      <w:framePr w:wrap="around" w:vAnchor="text" w:hAnchor="margin" w:xAlign="center" w:y="1"/>
      <w:rPr>
        <w:rStyle w:val="41"/>
      </w:rPr>
    </w:pPr>
    <w:r>
      <w:fldChar w:fldCharType="begin"/>
    </w:r>
    <w:r>
      <w:rPr>
        <w:rStyle w:val="41"/>
      </w:rPr>
      <w:instrText xml:space="preserve">PAGE  </w:instrText>
    </w:r>
    <w:r>
      <w:fldChar w:fldCharType="end"/>
    </w:r>
  </w:p>
  <w:p w14:paraId="2EDCEE5E">
    <w:pPr>
      <w:pStyle w:val="2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6BC3B1">
    <w:pPr>
      <w:pStyle w:val="24"/>
      <w:ind w:right="360"/>
      <w:jc w:val="both"/>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E6FD6F">
    <w:pPr>
      <w:spacing w:line="176" w:lineRule="auto"/>
      <w:ind w:left="427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D8D409">
                          <w:pPr>
                            <w:pStyle w:val="2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17D8D409">
                    <w:pPr>
                      <w:pStyle w:val="2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728579">
    <w:pPr>
      <w:spacing w:line="176" w:lineRule="auto"/>
      <w:ind w:left="427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0B198E">
                          <w:pPr>
                            <w:pStyle w:val="2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170B198E">
                    <w:pPr>
                      <w:pStyle w:val="2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70A5F3">
    <w:pPr>
      <w:spacing w:line="176" w:lineRule="auto"/>
      <w:ind w:left="4273"/>
      <w:rPr>
        <w:rFonts w:hint="eastAsia" w:ascii="Times New Roman" w:hAnsi="Times New Roman" w:eastAsia="宋体" w:cs="Times New Roman"/>
        <w:sz w:val="18"/>
        <w:szCs w:val="18"/>
        <w:lang w:val="en-US" w:eastAsia="zh-CN"/>
      </w:rPr>
    </w:pPr>
    <w:r>
      <w:rPr>
        <w:rFonts w:hint="default"/>
        <w:sz w:val="18"/>
        <w:lang w:val="en-US"/>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88AFE9">
                          <w:pPr>
                            <w:pStyle w:val="24"/>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1E88AFE9">
                    <w:pPr>
                      <w:pStyle w:val="24"/>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0A51A5">
    <w:pPr>
      <w:spacing w:line="173" w:lineRule="auto"/>
      <w:ind w:left="439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26FD93">
                          <w:pPr>
                            <w:pStyle w:val="24"/>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B26FD93">
                    <w:pPr>
                      <w:pStyle w:val="24"/>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96BF78">
    <w:pPr>
      <w:pStyle w:val="24"/>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34DD5A">
                          <w:pPr>
                            <w:pStyle w:val="24"/>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1E34DD5A">
                    <w:pPr>
                      <w:pStyle w:val="24"/>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3CDFAD">
    <w:pPr>
      <w:pStyle w:val="24"/>
      <w:ind w:right="360"/>
      <w:jc w:val="both"/>
      <w:rPr>
        <w:rFonts w:hint="eastAsia"/>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843493">
                          <w:pPr>
                            <w:pStyle w:val="24"/>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7D843493">
                    <w:pPr>
                      <w:pStyle w:val="24"/>
                    </w:pPr>
                    <w:r>
                      <w:fldChar w:fldCharType="begin"/>
                    </w:r>
                    <w:r>
                      <w:instrText xml:space="preserve"> PAGE  \* MERGEFORMAT </w:instrText>
                    </w:r>
                    <w:r>
                      <w:fldChar w:fldCharType="separate"/>
                    </w:r>
                    <w:r>
                      <w:t>34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C190BB">
    <w:pPr>
      <w:pStyle w:val="25"/>
      <w:pBdr>
        <w:bottom w:val="none" w:color="auto" w:sz="0" w:space="1"/>
      </w:pBd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EE6A60">
    <w:pPr>
      <w:pStyle w:val="25"/>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B55945">
    <w:pPr>
      <w:pStyle w:val="25"/>
      <w:pBdr>
        <w:bottom w:val="none" w:color="auto" w:sz="0" w:space="1"/>
      </w:pBdr>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9CBD9C">
    <w:pPr>
      <w:pStyle w:val="25"/>
      <w:pBdr>
        <w:bottom w:val="none" w:color="auto" w:sz="0" w:space="1"/>
      </w:pBdr>
      <w:wordWrap w:val="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E0B00D"/>
    <w:multiLevelType w:val="singleLevel"/>
    <w:tmpl w:val="D9E0B00D"/>
    <w:lvl w:ilvl="0" w:tentative="0">
      <w:start w:val="3"/>
      <w:numFmt w:val="decimal"/>
      <w:suff w:val="space"/>
      <w:lvlText w:val="%1."/>
      <w:lvlJc w:val="left"/>
    </w:lvl>
  </w:abstractNum>
  <w:abstractNum w:abstractNumId="1">
    <w:nsid w:val="FFFFFF7E"/>
    <w:multiLevelType w:val="singleLevel"/>
    <w:tmpl w:val="FFFFFF7E"/>
    <w:lvl w:ilvl="0" w:tentative="0">
      <w:start w:val="1"/>
      <w:numFmt w:val="decimal"/>
      <w:pStyle w:val="18"/>
      <w:lvlText w:val="%1."/>
      <w:lvlJc w:val="left"/>
      <w:pPr>
        <w:tabs>
          <w:tab w:val="left" w:pos="1200"/>
        </w:tabs>
        <w:ind w:left="1200" w:hanging="360"/>
      </w:pPr>
    </w:lvl>
  </w:abstractNum>
  <w:abstractNum w:abstractNumId="2">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5"/>
      <w:suff w:val="nothing"/>
      <w:lvlText w:val=""/>
      <w:lvlJc w:val="left"/>
      <w:pPr>
        <w:ind w:left="0" w:firstLine="0"/>
      </w:pPr>
      <w:rPr>
        <w:rFonts w:hint="eastAsia"/>
      </w:rPr>
    </w:lvl>
    <w:lvl w:ilvl="5" w:tentative="0">
      <w:start w:val="1"/>
      <w:numFmt w:val="none"/>
      <w:pStyle w:val="7"/>
      <w:suff w:val="nothing"/>
      <w:lvlText w:val=""/>
      <w:lvlJc w:val="left"/>
      <w:pPr>
        <w:ind w:left="0" w:firstLine="0"/>
      </w:pPr>
      <w:rPr>
        <w:rFonts w:hint="eastAsia"/>
      </w:rPr>
    </w:lvl>
    <w:lvl w:ilvl="6" w:tentative="0">
      <w:start w:val="1"/>
      <w:numFmt w:val="none"/>
      <w:pStyle w:val="8"/>
      <w:suff w:val="nothing"/>
      <w:lvlText w:val=""/>
      <w:lvlJc w:val="left"/>
      <w:pPr>
        <w:ind w:left="0" w:firstLine="0"/>
      </w:pPr>
      <w:rPr>
        <w:rFonts w:hint="eastAsia"/>
      </w:rPr>
    </w:lvl>
    <w:lvl w:ilvl="7" w:tentative="0">
      <w:start w:val="1"/>
      <w:numFmt w:val="none"/>
      <w:pStyle w:val="9"/>
      <w:suff w:val="nothing"/>
      <w:lvlText w:val=""/>
      <w:lvlJc w:val="left"/>
      <w:pPr>
        <w:ind w:left="0" w:firstLine="0"/>
      </w:pPr>
      <w:rPr>
        <w:rFonts w:hint="eastAsia"/>
      </w:rPr>
    </w:lvl>
    <w:lvl w:ilvl="8" w:tentative="0">
      <w:start w:val="1"/>
      <w:numFmt w:val="none"/>
      <w:pStyle w:val="10"/>
      <w:suff w:val="nothing"/>
      <w:lvlText w:val=""/>
      <w:lvlJc w:val="left"/>
      <w:pPr>
        <w:ind w:left="0" w:firstLine="0"/>
      </w:pPr>
      <w:rPr>
        <w:rFonts w:hint="eastAsia"/>
      </w:rPr>
    </w:lvl>
  </w:abstractNum>
  <w:abstractNum w:abstractNumId="3">
    <w:nsid w:val="47BC2B1E"/>
    <w:multiLevelType w:val="singleLevel"/>
    <w:tmpl w:val="47BC2B1E"/>
    <w:lvl w:ilvl="0" w:tentative="0">
      <w:start w:val="4"/>
      <w:numFmt w:val="decimal"/>
      <w:suff w:val="space"/>
      <w:lvlText w:val="%1."/>
      <w:lvlJc w:val="left"/>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5ZjlhM2MyMWI2NzRjZDUzYTEwNGUwMWNhY2M5OTcifQ=="/>
  </w:docVars>
  <w:rsids>
    <w:rsidRoot w:val="000A0224"/>
    <w:rsid w:val="000001E7"/>
    <w:rsid w:val="00000366"/>
    <w:rsid w:val="0000048D"/>
    <w:rsid w:val="00000FE5"/>
    <w:rsid w:val="00001842"/>
    <w:rsid w:val="00001E8C"/>
    <w:rsid w:val="00002027"/>
    <w:rsid w:val="000027A3"/>
    <w:rsid w:val="00002A66"/>
    <w:rsid w:val="00002DD8"/>
    <w:rsid w:val="00003301"/>
    <w:rsid w:val="000033B4"/>
    <w:rsid w:val="00003DEE"/>
    <w:rsid w:val="00003FB9"/>
    <w:rsid w:val="0000402D"/>
    <w:rsid w:val="000043B1"/>
    <w:rsid w:val="0000443C"/>
    <w:rsid w:val="00004632"/>
    <w:rsid w:val="0000468F"/>
    <w:rsid w:val="00005D0A"/>
    <w:rsid w:val="000060BC"/>
    <w:rsid w:val="000075CD"/>
    <w:rsid w:val="00007683"/>
    <w:rsid w:val="000076DF"/>
    <w:rsid w:val="00007A85"/>
    <w:rsid w:val="00007E7D"/>
    <w:rsid w:val="00007EEE"/>
    <w:rsid w:val="0001113C"/>
    <w:rsid w:val="0001127D"/>
    <w:rsid w:val="000122D4"/>
    <w:rsid w:val="0001385B"/>
    <w:rsid w:val="00014856"/>
    <w:rsid w:val="00014FEF"/>
    <w:rsid w:val="00015746"/>
    <w:rsid w:val="00015A4E"/>
    <w:rsid w:val="000160FF"/>
    <w:rsid w:val="00016893"/>
    <w:rsid w:val="00017BF6"/>
    <w:rsid w:val="000200BD"/>
    <w:rsid w:val="000205AA"/>
    <w:rsid w:val="00020873"/>
    <w:rsid w:val="00020E60"/>
    <w:rsid w:val="00021435"/>
    <w:rsid w:val="0002159D"/>
    <w:rsid w:val="00021888"/>
    <w:rsid w:val="00021947"/>
    <w:rsid w:val="00022BE4"/>
    <w:rsid w:val="000245C3"/>
    <w:rsid w:val="00024695"/>
    <w:rsid w:val="00024AB6"/>
    <w:rsid w:val="00024F28"/>
    <w:rsid w:val="00025792"/>
    <w:rsid w:val="000257F2"/>
    <w:rsid w:val="00025A10"/>
    <w:rsid w:val="00025AF3"/>
    <w:rsid w:val="000267AE"/>
    <w:rsid w:val="00026927"/>
    <w:rsid w:val="00026F49"/>
    <w:rsid w:val="00027096"/>
    <w:rsid w:val="000300D4"/>
    <w:rsid w:val="00030269"/>
    <w:rsid w:val="00030A2C"/>
    <w:rsid w:val="000310B4"/>
    <w:rsid w:val="00031624"/>
    <w:rsid w:val="00031694"/>
    <w:rsid w:val="00031FD2"/>
    <w:rsid w:val="000322F2"/>
    <w:rsid w:val="000328F5"/>
    <w:rsid w:val="00032B4C"/>
    <w:rsid w:val="000330F1"/>
    <w:rsid w:val="0003315B"/>
    <w:rsid w:val="000341A1"/>
    <w:rsid w:val="000347B4"/>
    <w:rsid w:val="0003497D"/>
    <w:rsid w:val="000349A8"/>
    <w:rsid w:val="00034CB6"/>
    <w:rsid w:val="000353C5"/>
    <w:rsid w:val="00035A87"/>
    <w:rsid w:val="00035D1E"/>
    <w:rsid w:val="00036003"/>
    <w:rsid w:val="00036163"/>
    <w:rsid w:val="00036189"/>
    <w:rsid w:val="0003658A"/>
    <w:rsid w:val="00036D2F"/>
    <w:rsid w:val="00036EB3"/>
    <w:rsid w:val="000372F0"/>
    <w:rsid w:val="000378CE"/>
    <w:rsid w:val="00037C85"/>
    <w:rsid w:val="000401B0"/>
    <w:rsid w:val="00040633"/>
    <w:rsid w:val="000412A8"/>
    <w:rsid w:val="00041AB2"/>
    <w:rsid w:val="00041FE8"/>
    <w:rsid w:val="00042064"/>
    <w:rsid w:val="00042D01"/>
    <w:rsid w:val="000437BB"/>
    <w:rsid w:val="000443B7"/>
    <w:rsid w:val="000446BD"/>
    <w:rsid w:val="00044FE9"/>
    <w:rsid w:val="00045D7F"/>
    <w:rsid w:val="00046963"/>
    <w:rsid w:val="00046F5C"/>
    <w:rsid w:val="00047550"/>
    <w:rsid w:val="000501C6"/>
    <w:rsid w:val="00051025"/>
    <w:rsid w:val="00051028"/>
    <w:rsid w:val="000515BE"/>
    <w:rsid w:val="00051873"/>
    <w:rsid w:val="00051875"/>
    <w:rsid w:val="00051BF8"/>
    <w:rsid w:val="00052E8B"/>
    <w:rsid w:val="00053906"/>
    <w:rsid w:val="00053947"/>
    <w:rsid w:val="00053C58"/>
    <w:rsid w:val="00054F12"/>
    <w:rsid w:val="00055508"/>
    <w:rsid w:val="00056055"/>
    <w:rsid w:val="00056178"/>
    <w:rsid w:val="000565D0"/>
    <w:rsid w:val="00056641"/>
    <w:rsid w:val="00056DD2"/>
    <w:rsid w:val="0005780E"/>
    <w:rsid w:val="00057E84"/>
    <w:rsid w:val="000608DA"/>
    <w:rsid w:val="00060DD3"/>
    <w:rsid w:val="00060EDC"/>
    <w:rsid w:val="00061482"/>
    <w:rsid w:val="00061489"/>
    <w:rsid w:val="00061B13"/>
    <w:rsid w:val="0006240E"/>
    <w:rsid w:val="00062F3A"/>
    <w:rsid w:val="00062FE7"/>
    <w:rsid w:val="00063349"/>
    <w:rsid w:val="000638D4"/>
    <w:rsid w:val="00063F74"/>
    <w:rsid w:val="0006479D"/>
    <w:rsid w:val="00065247"/>
    <w:rsid w:val="00065383"/>
    <w:rsid w:val="000657DF"/>
    <w:rsid w:val="000666F4"/>
    <w:rsid w:val="00066C48"/>
    <w:rsid w:val="00066D1C"/>
    <w:rsid w:val="00066FD9"/>
    <w:rsid w:val="00067654"/>
    <w:rsid w:val="000678DC"/>
    <w:rsid w:val="00067F3D"/>
    <w:rsid w:val="00070214"/>
    <w:rsid w:val="000707B4"/>
    <w:rsid w:val="000712AE"/>
    <w:rsid w:val="00071709"/>
    <w:rsid w:val="00071863"/>
    <w:rsid w:val="00072539"/>
    <w:rsid w:val="00072B56"/>
    <w:rsid w:val="00073509"/>
    <w:rsid w:val="000738C8"/>
    <w:rsid w:val="00073D1C"/>
    <w:rsid w:val="000746C2"/>
    <w:rsid w:val="00074988"/>
    <w:rsid w:val="00074A43"/>
    <w:rsid w:val="0007588B"/>
    <w:rsid w:val="00075C9F"/>
    <w:rsid w:val="00076629"/>
    <w:rsid w:val="00076A0A"/>
    <w:rsid w:val="00076B77"/>
    <w:rsid w:val="00080075"/>
    <w:rsid w:val="00080194"/>
    <w:rsid w:val="00080517"/>
    <w:rsid w:val="00080AF6"/>
    <w:rsid w:val="00080F8E"/>
    <w:rsid w:val="00081D56"/>
    <w:rsid w:val="00082B45"/>
    <w:rsid w:val="00082F1C"/>
    <w:rsid w:val="000830AC"/>
    <w:rsid w:val="000830C5"/>
    <w:rsid w:val="0008312B"/>
    <w:rsid w:val="0008345A"/>
    <w:rsid w:val="000839E1"/>
    <w:rsid w:val="00083C68"/>
    <w:rsid w:val="000846C0"/>
    <w:rsid w:val="000847C5"/>
    <w:rsid w:val="00084EB7"/>
    <w:rsid w:val="00085DF6"/>
    <w:rsid w:val="00085E3B"/>
    <w:rsid w:val="00086D1C"/>
    <w:rsid w:val="00086DC0"/>
    <w:rsid w:val="00087061"/>
    <w:rsid w:val="00087117"/>
    <w:rsid w:val="000908E8"/>
    <w:rsid w:val="00090E81"/>
    <w:rsid w:val="00090EA9"/>
    <w:rsid w:val="0009114B"/>
    <w:rsid w:val="000917FA"/>
    <w:rsid w:val="00091A6B"/>
    <w:rsid w:val="00091B32"/>
    <w:rsid w:val="00091F18"/>
    <w:rsid w:val="00092065"/>
    <w:rsid w:val="00092235"/>
    <w:rsid w:val="0009254B"/>
    <w:rsid w:val="000926BC"/>
    <w:rsid w:val="0009299B"/>
    <w:rsid w:val="000930CC"/>
    <w:rsid w:val="0009362D"/>
    <w:rsid w:val="00093DEB"/>
    <w:rsid w:val="00093F68"/>
    <w:rsid w:val="00094000"/>
    <w:rsid w:val="0009404A"/>
    <w:rsid w:val="000945FD"/>
    <w:rsid w:val="00095AC7"/>
    <w:rsid w:val="00095C3B"/>
    <w:rsid w:val="000960CD"/>
    <w:rsid w:val="00096306"/>
    <w:rsid w:val="000965CA"/>
    <w:rsid w:val="000967D6"/>
    <w:rsid w:val="00097105"/>
    <w:rsid w:val="00097277"/>
    <w:rsid w:val="00097534"/>
    <w:rsid w:val="00097ACA"/>
    <w:rsid w:val="00097B61"/>
    <w:rsid w:val="00097E7D"/>
    <w:rsid w:val="000A0224"/>
    <w:rsid w:val="000A02BC"/>
    <w:rsid w:val="000A04C1"/>
    <w:rsid w:val="000A0726"/>
    <w:rsid w:val="000A0AA4"/>
    <w:rsid w:val="000A0B6E"/>
    <w:rsid w:val="000A0C21"/>
    <w:rsid w:val="000A15A5"/>
    <w:rsid w:val="000A1A01"/>
    <w:rsid w:val="000A2108"/>
    <w:rsid w:val="000A24E9"/>
    <w:rsid w:val="000A3230"/>
    <w:rsid w:val="000A3234"/>
    <w:rsid w:val="000A5AC3"/>
    <w:rsid w:val="000A64AB"/>
    <w:rsid w:val="000A7BDC"/>
    <w:rsid w:val="000B050F"/>
    <w:rsid w:val="000B0964"/>
    <w:rsid w:val="000B0ACE"/>
    <w:rsid w:val="000B11E4"/>
    <w:rsid w:val="000B15DE"/>
    <w:rsid w:val="000B17C6"/>
    <w:rsid w:val="000B1A5F"/>
    <w:rsid w:val="000B2278"/>
    <w:rsid w:val="000B29C4"/>
    <w:rsid w:val="000B3AF9"/>
    <w:rsid w:val="000B3CDE"/>
    <w:rsid w:val="000B43AC"/>
    <w:rsid w:val="000B5B5A"/>
    <w:rsid w:val="000B5F3E"/>
    <w:rsid w:val="000B6A2C"/>
    <w:rsid w:val="000B6F8A"/>
    <w:rsid w:val="000B78B2"/>
    <w:rsid w:val="000B79A9"/>
    <w:rsid w:val="000C02BE"/>
    <w:rsid w:val="000C09E5"/>
    <w:rsid w:val="000C0CD5"/>
    <w:rsid w:val="000C0D5F"/>
    <w:rsid w:val="000C0D87"/>
    <w:rsid w:val="000C15D6"/>
    <w:rsid w:val="000C19AE"/>
    <w:rsid w:val="000C19B4"/>
    <w:rsid w:val="000C1FA9"/>
    <w:rsid w:val="000C21E8"/>
    <w:rsid w:val="000C3373"/>
    <w:rsid w:val="000C3478"/>
    <w:rsid w:val="000C34F8"/>
    <w:rsid w:val="000C4455"/>
    <w:rsid w:val="000C4561"/>
    <w:rsid w:val="000C4571"/>
    <w:rsid w:val="000C6841"/>
    <w:rsid w:val="000C6906"/>
    <w:rsid w:val="000C6B70"/>
    <w:rsid w:val="000C7A56"/>
    <w:rsid w:val="000C7B5B"/>
    <w:rsid w:val="000C7B87"/>
    <w:rsid w:val="000D05B5"/>
    <w:rsid w:val="000D08B3"/>
    <w:rsid w:val="000D1211"/>
    <w:rsid w:val="000D158F"/>
    <w:rsid w:val="000D1A97"/>
    <w:rsid w:val="000D1D68"/>
    <w:rsid w:val="000D1F4C"/>
    <w:rsid w:val="000D2385"/>
    <w:rsid w:val="000D2B57"/>
    <w:rsid w:val="000D2F62"/>
    <w:rsid w:val="000D3012"/>
    <w:rsid w:val="000D35E0"/>
    <w:rsid w:val="000D416B"/>
    <w:rsid w:val="000D4524"/>
    <w:rsid w:val="000D50F9"/>
    <w:rsid w:val="000D52E9"/>
    <w:rsid w:val="000D5A92"/>
    <w:rsid w:val="000D5CDF"/>
    <w:rsid w:val="000D6544"/>
    <w:rsid w:val="000D6561"/>
    <w:rsid w:val="000D6610"/>
    <w:rsid w:val="000D6891"/>
    <w:rsid w:val="000D6ED6"/>
    <w:rsid w:val="000D74E3"/>
    <w:rsid w:val="000D7716"/>
    <w:rsid w:val="000D79F7"/>
    <w:rsid w:val="000D7D1C"/>
    <w:rsid w:val="000E0910"/>
    <w:rsid w:val="000E0D4C"/>
    <w:rsid w:val="000E138A"/>
    <w:rsid w:val="000E14C3"/>
    <w:rsid w:val="000E1DE2"/>
    <w:rsid w:val="000E20BB"/>
    <w:rsid w:val="000E4182"/>
    <w:rsid w:val="000E454A"/>
    <w:rsid w:val="000E4773"/>
    <w:rsid w:val="000E5630"/>
    <w:rsid w:val="000E591B"/>
    <w:rsid w:val="000E5C71"/>
    <w:rsid w:val="000E61C3"/>
    <w:rsid w:val="000E66B9"/>
    <w:rsid w:val="000E6808"/>
    <w:rsid w:val="000E7CAD"/>
    <w:rsid w:val="000F01CC"/>
    <w:rsid w:val="000F01D6"/>
    <w:rsid w:val="000F0D8A"/>
    <w:rsid w:val="000F1440"/>
    <w:rsid w:val="000F171A"/>
    <w:rsid w:val="000F1B49"/>
    <w:rsid w:val="000F21E3"/>
    <w:rsid w:val="000F26EA"/>
    <w:rsid w:val="000F2743"/>
    <w:rsid w:val="000F28AF"/>
    <w:rsid w:val="000F2D96"/>
    <w:rsid w:val="000F2DB6"/>
    <w:rsid w:val="000F3689"/>
    <w:rsid w:val="000F3CFF"/>
    <w:rsid w:val="000F4668"/>
    <w:rsid w:val="000F4927"/>
    <w:rsid w:val="000F495B"/>
    <w:rsid w:val="000F4B54"/>
    <w:rsid w:val="000F55DE"/>
    <w:rsid w:val="000F5780"/>
    <w:rsid w:val="000F63A1"/>
    <w:rsid w:val="000F6C79"/>
    <w:rsid w:val="000F7842"/>
    <w:rsid w:val="000F7927"/>
    <w:rsid w:val="000F7AA5"/>
    <w:rsid w:val="0010019B"/>
    <w:rsid w:val="0010031E"/>
    <w:rsid w:val="00100956"/>
    <w:rsid w:val="001009A7"/>
    <w:rsid w:val="00101354"/>
    <w:rsid w:val="00101411"/>
    <w:rsid w:val="001017C0"/>
    <w:rsid w:val="0010186E"/>
    <w:rsid w:val="0010247F"/>
    <w:rsid w:val="00102B99"/>
    <w:rsid w:val="00102C4A"/>
    <w:rsid w:val="0010335E"/>
    <w:rsid w:val="0010395B"/>
    <w:rsid w:val="00103AB2"/>
    <w:rsid w:val="00104014"/>
    <w:rsid w:val="00104116"/>
    <w:rsid w:val="00104362"/>
    <w:rsid w:val="00104906"/>
    <w:rsid w:val="001049F6"/>
    <w:rsid w:val="00104E0E"/>
    <w:rsid w:val="00104F01"/>
    <w:rsid w:val="0010712D"/>
    <w:rsid w:val="00107A38"/>
    <w:rsid w:val="00107ADD"/>
    <w:rsid w:val="00107B80"/>
    <w:rsid w:val="00107E04"/>
    <w:rsid w:val="00110414"/>
    <w:rsid w:val="001112FB"/>
    <w:rsid w:val="001122BF"/>
    <w:rsid w:val="00112346"/>
    <w:rsid w:val="001128BC"/>
    <w:rsid w:val="001135CF"/>
    <w:rsid w:val="00113889"/>
    <w:rsid w:val="00113DDA"/>
    <w:rsid w:val="00114812"/>
    <w:rsid w:val="00114CA2"/>
    <w:rsid w:val="001150E0"/>
    <w:rsid w:val="00115A80"/>
    <w:rsid w:val="00115DC9"/>
    <w:rsid w:val="0011643A"/>
    <w:rsid w:val="00116A16"/>
    <w:rsid w:val="00116E65"/>
    <w:rsid w:val="00117898"/>
    <w:rsid w:val="0011796E"/>
    <w:rsid w:val="00120B3E"/>
    <w:rsid w:val="00120C16"/>
    <w:rsid w:val="00120F73"/>
    <w:rsid w:val="001211FC"/>
    <w:rsid w:val="00121251"/>
    <w:rsid w:val="001212A6"/>
    <w:rsid w:val="001212CE"/>
    <w:rsid w:val="00121DCE"/>
    <w:rsid w:val="00121F1A"/>
    <w:rsid w:val="001230C7"/>
    <w:rsid w:val="00123733"/>
    <w:rsid w:val="0012389A"/>
    <w:rsid w:val="001242A7"/>
    <w:rsid w:val="00124508"/>
    <w:rsid w:val="001247FF"/>
    <w:rsid w:val="001248CE"/>
    <w:rsid w:val="00124A76"/>
    <w:rsid w:val="00125742"/>
    <w:rsid w:val="00125D14"/>
    <w:rsid w:val="00125E17"/>
    <w:rsid w:val="0012631D"/>
    <w:rsid w:val="001264DD"/>
    <w:rsid w:val="00126799"/>
    <w:rsid w:val="00126BE4"/>
    <w:rsid w:val="00130AAD"/>
    <w:rsid w:val="001312D0"/>
    <w:rsid w:val="00131893"/>
    <w:rsid w:val="001318A4"/>
    <w:rsid w:val="001319AD"/>
    <w:rsid w:val="0013266E"/>
    <w:rsid w:val="001326D6"/>
    <w:rsid w:val="0013299B"/>
    <w:rsid w:val="001337A8"/>
    <w:rsid w:val="00133AE4"/>
    <w:rsid w:val="00134265"/>
    <w:rsid w:val="0013446A"/>
    <w:rsid w:val="00134601"/>
    <w:rsid w:val="00134B87"/>
    <w:rsid w:val="00134D71"/>
    <w:rsid w:val="0013634C"/>
    <w:rsid w:val="001364E7"/>
    <w:rsid w:val="00136B4B"/>
    <w:rsid w:val="00136F32"/>
    <w:rsid w:val="001373F4"/>
    <w:rsid w:val="00137ABA"/>
    <w:rsid w:val="0014059C"/>
    <w:rsid w:val="00140770"/>
    <w:rsid w:val="00141225"/>
    <w:rsid w:val="00141721"/>
    <w:rsid w:val="00141F7B"/>
    <w:rsid w:val="0014209C"/>
    <w:rsid w:val="001427B6"/>
    <w:rsid w:val="001433B7"/>
    <w:rsid w:val="00143798"/>
    <w:rsid w:val="00143EB3"/>
    <w:rsid w:val="001440F1"/>
    <w:rsid w:val="00144121"/>
    <w:rsid w:val="0014414C"/>
    <w:rsid w:val="0014421E"/>
    <w:rsid w:val="0014490D"/>
    <w:rsid w:val="00144E27"/>
    <w:rsid w:val="001453EA"/>
    <w:rsid w:val="0014545B"/>
    <w:rsid w:val="00145BB1"/>
    <w:rsid w:val="00146811"/>
    <w:rsid w:val="00146AB4"/>
    <w:rsid w:val="0014708F"/>
    <w:rsid w:val="001471F7"/>
    <w:rsid w:val="00147490"/>
    <w:rsid w:val="00147EE9"/>
    <w:rsid w:val="00150218"/>
    <w:rsid w:val="001509EB"/>
    <w:rsid w:val="001510D1"/>
    <w:rsid w:val="00151F80"/>
    <w:rsid w:val="001523B4"/>
    <w:rsid w:val="00152778"/>
    <w:rsid w:val="00152DE8"/>
    <w:rsid w:val="00153197"/>
    <w:rsid w:val="00153DBF"/>
    <w:rsid w:val="00154D83"/>
    <w:rsid w:val="0015549A"/>
    <w:rsid w:val="00155EDD"/>
    <w:rsid w:val="00155FE6"/>
    <w:rsid w:val="00156DAB"/>
    <w:rsid w:val="001570EB"/>
    <w:rsid w:val="001572CC"/>
    <w:rsid w:val="00160198"/>
    <w:rsid w:val="001603FD"/>
    <w:rsid w:val="001604B4"/>
    <w:rsid w:val="00160776"/>
    <w:rsid w:val="001615E0"/>
    <w:rsid w:val="00161CB3"/>
    <w:rsid w:val="00162434"/>
    <w:rsid w:val="00162689"/>
    <w:rsid w:val="00162955"/>
    <w:rsid w:val="00162A34"/>
    <w:rsid w:val="00163161"/>
    <w:rsid w:val="001635F9"/>
    <w:rsid w:val="00163795"/>
    <w:rsid w:val="00163AA6"/>
    <w:rsid w:val="00163F7D"/>
    <w:rsid w:val="001644CB"/>
    <w:rsid w:val="00165378"/>
    <w:rsid w:val="00166168"/>
    <w:rsid w:val="00166196"/>
    <w:rsid w:val="00166419"/>
    <w:rsid w:val="001674B1"/>
    <w:rsid w:val="00167B37"/>
    <w:rsid w:val="00170A24"/>
    <w:rsid w:val="00170FB5"/>
    <w:rsid w:val="00171713"/>
    <w:rsid w:val="00171B37"/>
    <w:rsid w:val="00171DE1"/>
    <w:rsid w:val="00172212"/>
    <w:rsid w:val="00172726"/>
    <w:rsid w:val="00172928"/>
    <w:rsid w:val="00173540"/>
    <w:rsid w:val="00173A6A"/>
    <w:rsid w:val="001742B5"/>
    <w:rsid w:val="00174FF5"/>
    <w:rsid w:val="00175258"/>
    <w:rsid w:val="001752C8"/>
    <w:rsid w:val="00175D9E"/>
    <w:rsid w:val="001764BD"/>
    <w:rsid w:val="00176943"/>
    <w:rsid w:val="00176FD9"/>
    <w:rsid w:val="00177738"/>
    <w:rsid w:val="0018034E"/>
    <w:rsid w:val="00182640"/>
    <w:rsid w:val="00182F4F"/>
    <w:rsid w:val="0018302A"/>
    <w:rsid w:val="00183287"/>
    <w:rsid w:val="00183288"/>
    <w:rsid w:val="00183588"/>
    <w:rsid w:val="00183F96"/>
    <w:rsid w:val="00184282"/>
    <w:rsid w:val="00185AD1"/>
    <w:rsid w:val="00185B61"/>
    <w:rsid w:val="00185E52"/>
    <w:rsid w:val="00185F2E"/>
    <w:rsid w:val="00186514"/>
    <w:rsid w:val="00186566"/>
    <w:rsid w:val="00186852"/>
    <w:rsid w:val="00186987"/>
    <w:rsid w:val="00186B06"/>
    <w:rsid w:val="00186E97"/>
    <w:rsid w:val="00186F2B"/>
    <w:rsid w:val="001873E3"/>
    <w:rsid w:val="00187C59"/>
    <w:rsid w:val="00187DCD"/>
    <w:rsid w:val="00187F0B"/>
    <w:rsid w:val="0019095C"/>
    <w:rsid w:val="00191849"/>
    <w:rsid w:val="00191EE2"/>
    <w:rsid w:val="00193339"/>
    <w:rsid w:val="001935F1"/>
    <w:rsid w:val="00193ACE"/>
    <w:rsid w:val="00194399"/>
    <w:rsid w:val="00194497"/>
    <w:rsid w:val="001945FA"/>
    <w:rsid w:val="00194CEE"/>
    <w:rsid w:val="00195064"/>
    <w:rsid w:val="00195547"/>
    <w:rsid w:val="00195AE4"/>
    <w:rsid w:val="00195CAF"/>
    <w:rsid w:val="00195E05"/>
    <w:rsid w:val="0019608F"/>
    <w:rsid w:val="00196A25"/>
    <w:rsid w:val="0019740F"/>
    <w:rsid w:val="00197614"/>
    <w:rsid w:val="001A02FB"/>
    <w:rsid w:val="001A0865"/>
    <w:rsid w:val="001A08CE"/>
    <w:rsid w:val="001A090E"/>
    <w:rsid w:val="001A0BDD"/>
    <w:rsid w:val="001A0DCD"/>
    <w:rsid w:val="001A17B5"/>
    <w:rsid w:val="001A19C2"/>
    <w:rsid w:val="001A1C5C"/>
    <w:rsid w:val="001A2017"/>
    <w:rsid w:val="001A2170"/>
    <w:rsid w:val="001A2246"/>
    <w:rsid w:val="001A2976"/>
    <w:rsid w:val="001A2B8C"/>
    <w:rsid w:val="001A3267"/>
    <w:rsid w:val="001A3486"/>
    <w:rsid w:val="001A3B5A"/>
    <w:rsid w:val="001A3DD7"/>
    <w:rsid w:val="001A49A2"/>
    <w:rsid w:val="001A5631"/>
    <w:rsid w:val="001A5765"/>
    <w:rsid w:val="001A5DEA"/>
    <w:rsid w:val="001A5F9E"/>
    <w:rsid w:val="001A60A1"/>
    <w:rsid w:val="001A6233"/>
    <w:rsid w:val="001A6A14"/>
    <w:rsid w:val="001A790B"/>
    <w:rsid w:val="001A7949"/>
    <w:rsid w:val="001A7A2D"/>
    <w:rsid w:val="001A7B8F"/>
    <w:rsid w:val="001B0508"/>
    <w:rsid w:val="001B080F"/>
    <w:rsid w:val="001B145C"/>
    <w:rsid w:val="001B198C"/>
    <w:rsid w:val="001B1CD2"/>
    <w:rsid w:val="001B2FE2"/>
    <w:rsid w:val="001B3B89"/>
    <w:rsid w:val="001B42FF"/>
    <w:rsid w:val="001B4A4F"/>
    <w:rsid w:val="001B4BCC"/>
    <w:rsid w:val="001B5E64"/>
    <w:rsid w:val="001B66D5"/>
    <w:rsid w:val="001B68A7"/>
    <w:rsid w:val="001B7ADE"/>
    <w:rsid w:val="001B7FD1"/>
    <w:rsid w:val="001C00F2"/>
    <w:rsid w:val="001C0186"/>
    <w:rsid w:val="001C1DBF"/>
    <w:rsid w:val="001C203B"/>
    <w:rsid w:val="001C23D3"/>
    <w:rsid w:val="001C294A"/>
    <w:rsid w:val="001C2AAA"/>
    <w:rsid w:val="001C32D4"/>
    <w:rsid w:val="001C3305"/>
    <w:rsid w:val="001C3451"/>
    <w:rsid w:val="001C3CCF"/>
    <w:rsid w:val="001C42C1"/>
    <w:rsid w:val="001C4785"/>
    <w:rsid w:val="001C489E"/>
    <w:rsid w:val="001C51F2"/>
    <w:rsid w:val="001C52D0"/>
    <w:rsid w:val="001C55BB"/>
    <w:rsid w:val="001C58BE"/>
    <w:rsid w:val="001C5C57"/>
    <w:rsid w:val="001C68A9"/>
    <w:rsid w:val="001C7158"/>
    <w:rsid w:val="001D055D"/>
    <w:rsid w:val="001D0D67"/>
    <w:rsid w:val="001D18F7"/>
    <w:rsid w:val="001D1AC7"/>
    <w:rsid w:val="001D1B65"/>
    <w:rsid w:val="001D1C59"/>
    <w:rsid w:val="001D1EE4"/>
    <w:rsid w:val="001D2055"/>
    <w:rsid w:val="001D3198"/>
    <w:rsid w:val="001D3B0A"/>
    <w:rsid w:val="001D467F"/>
    <w:rsid w:val="001D5F05"/>
    <w:rsid w:val="001D6124"/>
    <w:rsid w:val="001D6328"/>
    <w:rsid w:val="001D6444"/>
    <w:rsid w:val="001D65F1"/>
    <w:rsid w:val="001D6E9C"/>
    <w:rsid w:val="001E093D"/>
    <w:rsid w:val="001E1140"/>
    <w:rsid w:val="001E16C4"/>
    <w:rsid w:val="001E1884"/>
    <w:rsid w:val="001E20CC"/>
    <w:rsid w:val="001E26E8"/>
    <w:rsid w:val="001E2CF5"/>
    <w:rsid w:val="001E2FE6"/>
    <w:rsid w:val="001E4887"/>
    <w:rsid w:val="001E4A29"/>
    <w:rsid w:val="001E50BF"/>
    <w:rsid w:val="001E5932"/>
    <w:rsid w:val="001E5B73"/>
    <w:rsid w:val="001E64E4"/>
    <w:rsid w:val="001E6905"/>
    <w:rsid w:val="001E6F56"/>
    <w:rsid w:val="001E78AA"/>
    <w:rsid w:val="001F05F9"/>
    <w:rsid w:val="001F09C4"/>
    <w:rsid w:val="001F0D9A"/>
    <w:rsid w:val="001F124C"/>
    <w:rsid w:val="001F17C5"/>
    <w:rsid w:val="001F2A99"/>
    <w:rsid w:val="001F2D5B"/>
    <w:rsid w:val="001F316D"/>
    <w:rsid w:val="001F3DAE"/>
    <w:rsid w:val="001F4695"/>
    <w:rsid w:val="001F46A6"/>
    <w:rsid w:val="001F556E"/>
    <w:rsid w:val="001F5A2E"/>
    <w:rsid w:val="001F6542"/>
    <w:rsid w:val="001F66B7"/>
    <w:rsid w:val="001F67F4"/>
    <w:rsid w:val="001F6894"/>
    <w:rsid w:val="001F6927"/>
    <w:rsid w:val="001F7113"/>
    <w:rsid w:val="001F7435"/>
    <w:rsid w:val="001F7993"/>
    <w:rsid w:val="001F7C3F"/>
    <w:rsid w:val="002012B3"/>
    <w:rsid w:val="002017D7"/>
    <w:rsid w:val="002018D0"/>
    <w:rsid w:val="00203715"/>
    <w:rsid w:val="0020396D"/>
    <w:rsid w:val="00203A07"/>
    <w:rsid w:val="00203F79"/>
    <w:rsid w:val="0020434F"/>
    <w:rsid w:val="00204C58"/>
    <w:rsid w:val="00204EBB"/>
    <w:rsid w:val="00204FF5"/>
    <w:rsid w:val="0020551C"/>
    <w:rsid w:val="00205CC8"/>
    <w:rsid w:val="002069D4"/>
    <w:rsid w:val="00206B35"/>
    <w:rsid w:val="002070A1"/>
    <w:rsid w:val="00207113"/>
    <w:rsid w:val="00207A83"/>
    <w:rsid w:val="00207DBE"/>
    <w:rsid w:val="00210477"/>
    <w:rsid w:val="00210B7D"/>
    <w:rsid w:val="002110E4"/>
    <w:rsid w:val="0021167A"/>
    <w:rsid w:val="002120CA"/>
    <w:rsid w:val="002121A4"/>
    <w:rsid w:val="0021238F"/>
    <w:rsid w:val="00214A5D"/>
    <w:rsid w:val="002158D2"/>
    <w:rsid w:val="00215DF0"/>
    <w:rsid w:val="00215F4D"/>
    <w:rsid w:val="00216477"/>
    <w:rsid w:val="00216CDE"/>
    <w:rsid w:val="002176DC"/>
    <w:rsid w:val="0022020F"/>
    <w:rsid w:val="0022081A"/>
    <w:rsid w:val="002215C5"/>
    <w:rsid w:val="00221F12"/>
    <w:rsid w:val="002224E1"/>
    <w:rsid w:val="0022256E"/>
    <w:rsid w:val="00223430"/>
    <w:rsid w:val="002235F9"/>
    <w:rsid w:val="002237C1"/>
    <w:rsid w:val="00224699"/>
    <w:rsid w:val="002248E7"/>
    <w:rsid w:val="00224DA3"/>
    <w:rsid w:val="002251CA"/>
    <w:rsid w:val="0022571B"/>
    <w:rsid w:val="002259B6"/>
    <w:rsid w:val="00225F7F"/>
    <w:rsid w:val="00226942"/>
    <w:rsid w:val="00226DDF"/>
    <w:rsid w:val="00226FCB"/>
    <w:rsid w:val="00227343"/>
    <w:rsid w:val="00227881"/>
    <w:rsid w:val="00227D01"/>
    <w:rsid w:val="00230395"/>
    <w:rsid w:val="002312B0"/>
    <w:rsid w:val="00231BB7"/>
    <w:rsid w:val="002320BF"/>
    <w:rsid w:val="00232190"/>
    <w:rsid w:val="00232298"/>
    <w:rsid w:val="00232501"/>
    <w:rsid w:val="002329C0"/>
    <w:rsid w:val="002329E2"/>
    <w:rsid w:val="00233D32"/>
    <w:rsid w:val="00234961"/>
    <w:rsid w:val="00234997"/>
    <w:rsid w:val="00234CCD"/>
    <w:rsid w:val="00234D51"/>
    <w:rsid w:val="002359D6"/>
    <w:rsid w:val="00236C44"/>
    <w:rsid w:val="00236EC2"/>
    <w:rsid w:val="00237357"/>
    <w:rsid w:val="0023739F"/>
    <w:rsid w:val="00237663"/>
    <w:rsid w:val="00237953"/>
    <w:rsid w:val="00237F29"/>
    <w:rsid w:val="0024050B"/>
    <w:rsid w:val="002409AD"/>
    <w:rsid w:val="00240BD4"/>
    <w:rsid w:val="00241A1C"/>
    <w:rsid w:val="00241A8F"/>
    <w:rsid w:val="00241B97"/>
    <w:rsid w:val="00241EFC"/>
    <w:rsid w:val="002424F8"/>
    <w:rsid w:val="002427B4"/>
    <w:rsid w:val="00244014"/>
    <w:rsid w:val="00244260"/>
    <w:rsid w:val="0024453E"/>
    <w:rsid w:val="0024483F"/>
    <w:rsid w:val="00244E49"/>
    <w:rsid w:val="002456CF"/>
    <w:rsid w:val="0024596F"/>
    <w:rsid w:val="00245981"/>
    <w:rsid w:val="00245DB9"/>
    <w:rsid w:val="00245FA9"/>
    <w:rsid w:val="00246193"/>
    <w:rsid w:val="002468E6"/>
    <w:rsid w:val="00246906"/>
    <w:rsid w:val="00246F2F"/>
    <w:rsid w:val="00246FBB"/>
    <w:rsid w:val="0024707A"/>
    <w:rsid w:val="002470C7"/>
    <w:rsid w:val="0024721D"/>
    <w:rsid w:val="0024772C"/>
    <w:rsid w:val="00247CBA"/>
    <w:rsid w:val="00247FA7"/>
    <w:rsid w:val="0025008E"/>
    <w:rsid w:val="00250397"/>
    <w:rsid w:val="002511F1"/>
    <w:rsid w:val="002514C2"/>
    <w:rsid w:val="0025161D"/>
    <w:rsid w:val="00251AB8"/>
    <w:rsid w:val="002521D4"/>
    <w:rsid w:val="002524F8"/>
    <w:rsid w:val="00252632"/>
    <w:rsid w:val="00252C29"/>
    <w:rsid w:val="002532FF"/>
    <w:rsid w:val="002547C6"/>
    <w:rsid w:val="0025532F"/>
    <w:rsid w:val="00255699"/>
    <w:rsid w:val="002559BB"/>
    <w:rsid w:val="00255CDE"/>
    <w:rsid w:val="00256597"/>
    <w:rsid w:val="0025681A"/>
    <w:rsid w:val="00256908"/>
    <w:rsid w:val="00256E7E"/>
    <w:rsid w:val="00256EE0"/>
    <w:rsid w:val="00257D43"/>
    <w:rsid w:val="00260278"/>
    <w:rsid w:val="00260B05"/>
    <w:rsid w:val="00260E29"/>
    <w:rsid w:val="0026111F"/>
    <w:rsid w:val="0026178F"/>
    <w:rsid w:val="00261D59"/>
    <w:rsid w:val="00261EE6"/>
    <w:rsid w:val="002620BB"/>
    <w:rsid w:val="002625A4"/>
    <w:rsid w:val="00262A9F"/>
    <w:rsid w:val="00262D32"/>
    <w:rsid w:val="00262FAA"/>
    <w:rsid w:val="0026346A"/>
    <w:rsid w:val="00263832"/>
    <w:rsid w:val="00263EDF"/>
    <w:rsid w:val="002647D4"/>
    <w:rsid w:val="00264AD4"/>
    <w:rsid w:val="0026541D"/>
    <w:rsid w:val="00265B2D"/>
    <w:rsid w:val="00266A8D"/>
    <w:rsid w:val="00266B65"/>
    <w:rsid w:val="00266B96"/>
    <w:rsid w:val="00267345"/>
    <w:rsid w:val="00270638"/>
    <w:rsid w:val="00270AB8"/>
    <w:rsid w:val="0027122A"/>
    <w:rsid w:val="00271386"/>
    <w:rsid w:val="00271861"/>
    <w:rsid w:val="00271AC0"/>
    <w:rsid w:val="002725CB"/>
    <w:rsid w:val="00272AD9"/>
    <w:rsid w:val="00273221"/>
    <w:rsid w:val="00273415"/>
    <w:rsid w:val="002739F2"/>
    <w:rsid w:val="00274B42"/>
    <w:rsid w:val="00274C88"/>
    <w:rsid w:val="0027510C"/>
    <w:rsid w:val="002766F1"/>
    <w:rsid w:val="00276B6B"/>
    <w:rsid w:val="0027723D"/>
    <w:rsid w:val="00277C97"/>
    <w:rsid w:val="00280022"/>
    <w:rsid w:val="00281303"/>
    <w:rsid w:val="00282946"/>
    <w:rsid w:val="00282D9F"/>
    <w:rsid w:val="00283A53"/>
    <w:rsid w:val="00283C52"/>
    <w:rsid w:val="00283CEA"/>
    <w:rsid w:val="00284703"/>
    <w:rsid w:val="00284C5D"/>
    <w:rsid w:val="00284EC1"/>
    <w:rsid w:val="00284FB9"/>
    <w:rsid w:val="002851CE"/>
    <w:rsid w:val="00285437"/>
    <w:rsid w:val="00285600"/>
    <w:rsid w:val="0028572E"/>
    <w:rsid w:val="00285D23"/>
    <w:rsid w:val="002865DA"/>
    <w:rsid w:val="00286814"/>
    <w:rsid w:val="00286C74"/>
    <w:rsid w:val="0028710A"/>
    <w:rsid w:val="002879AD"/>
    <w:rsid w:val="002900B8"/>
    <w:rsid w:val="00290D63"/>
    <w:rsid w:val="002916C2"/>
    <w:rsid w:val="0029191D"/>
    <w:rsid w:val="0029200F"/>
    <w:rsid w:val="00292D66"/>
    <w:rsid w:val="00292EEE"/>
    <w:rsid w:val="00293247"/>
    <w:rsid w:val="002939F5"/>
    <w:rsid w:val="0029426E"/>
    <w:rsid w:val="002943EB"/>
    <w:rsid w:val="00294625"/>
    <w:rsid w:val="00294A28"/>
    <w:rsid w:val="00295DDB"/>
    <w:rsid w:val="00296163"/>
    <w:rsid w:val="00296340"/>
    <w:rsid w:val="00296378"/>
    <w:rsid w:val="00296958"/>
    <w:rsid w:val="0029698C"/>
    <w:rsid w:val="00296BD3"/>
    <w:rsid w:val="00296E8C"/>
    <w:rsid w:val="00297586"/>
    <w:rsid w:val="00297A8D"/>
    <w:rsid w:val="00297B8F"/>
    <w:rsid w:val="00297EA5"/>
    <w:rsid w:val="002A0063"/>
    <w:rsid w:val="002A0F67"/>
    <w:rsid w:val="002A1778"/>
    <w:rsid w:val="002A1F1C"/>
    <w:rsid w:val="002A1FC0"/>
    <w:rsid w:val="002A298F"/>
    <w:rsid w:val="002A29AB"/>
    <w:rsid w:val="002A38D0"/>
    <w:rsid w:val="002A3A3C"/>
    <w:rsid w:val="002A473C"/>
    <w:rsid w:val="002A4914"/>
    <w:rsid w:val="002A4B58"/>
    <w:rsid w:val="002A508B"/>
    <w:rsid w:val="002A5E7F"/>
    <w:rsid w:val="002A611C"/>
    <w:rsid w:val="002A6C4B"/>
    <w:rsid w:val="002A730A"/>
    <w:rsid w:val="002B025D"/>
    <w:rsid w:val="002B0837"/>
    <w:rsid w:val="002B0BA4"/>
    <w:rsid w:val="002B0BBB"/>
    <w:rsid w:val="002B0E53"/>
    <w:rsid w:val="002B0F45"/>
    <w:rsid w:val="002B1204"/>
    <w:rsid w:val="002B1567"/>
    <w:rsid w:val="002B259B"/>
    <w:rsid w:val="002B268B"/>
    <w:rsid w:val="002B2873"/>
    <w:rsid w:val="002B2CAF"/>
    <w:rsid w:val="002B2E2A"/>
    <w:rsid w:val="002B2F5B"/>
    <w:rsid w:val="002B30CC"/>
    <w:rsid w:val="002B32C4"/>
    <w:rsid w:val="002B34D9"/>
    <w:rsid w:val="002B3751"/>
    <w:rsid w:val="002B4661"/>
    <w:rsid w:val="002B4CE0"/>
    <w:rsid w:val="002B4D33"/>
    <w:rsid w:val="002B4E1B"/>
    <w:rsid w:val="002B64D8"/>
    <w:rsid w:val="002B67C3"/>
    <w:rsid w:val="002B6995"/>
    <w:rsid w:val="002B733B"/>
    <w:rsid w:val="002C005B"/>
    <w:rsid w:val="002C02FD"/>
    <w:rsid w:val="002C0EE6"/>
    <w:rsid w:val="002C0FA5"/>
    <w:rsid w:val="002C1053"/>
    <w:rsid w:val="002C1B4E"/>
    <w:rsid w:val="002C22BA"/>
    <w:rsid w:val="002C23EC"/>
    <w:rsid w:val="002C2BBB"/>
    <w:rsid w:val="002C30E3"/>
    <w:rsid w:val="002C325E"/>
    <w:rsid w:val="002C3C77"/>
    <w:rsid w:val="002C3D37"/>
    <w:rsid w:val="002C43BC"/>
    <w:rsid w:val="002C4410"/>
    <w:rsid w:val="002C488A"/>
    <w:rsid w:val="002C4E17"/>
    <w:rsid w:val="002C52C2"/>
    <w:rsid w:val="002C5654"/>
    <w:rsid w:val="002C58D6"/>
    <w:rsid w:val="002C5924"/>
    <w:rsid w:val="002C5952"/>
    <w:rsid w:val="002C5C94"/>
    <w:rsid w:val="002C5DC1"/>
    <w:rsid w:val="002C6200"/>
    <w:rsid w:val="002C6327"/>
    <w:rsid w:val="002C6864"/>
    <w:rsid w:val="002C6BF3"/>
    <w:rsid w:val="002C6D31"/>
    <w:rsid w:val="002C71F7"/>
    <w:rsid w:val="002C76B0"/>
    <w:rsid w:val="002C7A4F"/>
    <w:rsid w:val="002C7A99"/>
    <w:rsid w:val="002C7B9D"/>
    <w:rsid w:val="002C7C74"/>
    <w:rsid w:val="002D01DF"/>
    <w:rsid w:val="002D0454"/>
    <w:rsid w:val="002D04B5"/>
    <w:rsid w:val="002D13D1"/>
    <w:rsid w:val="002D209C"/>
    <w:rsid w:val="002D2582"/>
    <w:rsid w:val="002D2B58"/>
    <w:rsid w:val="002D2F24"/>
    <w:rsid w:val="002D347F"/>
    <w:rsid w:val="002D3913"/>
    <w:rsid w:val="002D3B87"/>
    <w:rsid w:val="002D4FAC"/>
    <w:rsid w:val="002D504B"/>
    <w:rsid w:val="002D596C"/>
    <w:rsid w:val="002D66F6"/>
    <w:rsid w:val="002D6DDA"/>
    <w:rsid w:val="002D747A"/>
    <w:rsid w:val="002D76FC"/>
    <w:rsid w:val="002E131E"/>
    <w:rsid w:val="002E1623"/>
    <w:rsid w:val="002E179F"/>
    <w:rsid w:val="002E1A47"/>
    <w:rsid w:val="002E1FEF"/>
    <w:rsid w:val="002E2F9C"/>
    <w:rsid w:val="002E34AA"/>
    <w:rsid w:val="002E3974"/>
    <w:rsid w:val="002E4029"/>
    <w:rsid w:val="002E5C1E"/>
    <w:rsid w:val="002E5E0C"/>
    <w:rsid w:val="002E6166"/>
    <w:rsid w:val="002E6F9C"/>
    <w:rsid w:val="002E70BC"/>
    <w:rsid w:val="002E7122"/>
    <w:rsid w:val="002E730D"/>
    <w:rsid w:val="002E7A29"/>
    <w:rsid w:val="002E7A5F"/>
    <w:rsid w:val="002E7BFC"/>
    <w:rsid w:val="002E7F8C"/>
    <w:rsid w:val="002F040F"/>
    <w:rsid w:val="002F06FC"/>
    <w:rsid w:val="002F091C"/>
    <w:rsid w:val="002F0A29"/>
    <w:rsid w:val="002F0C47"/>
    <w:rsid w:val="002F237B"/>
    <w:rsid w:val="002F26FE"/>
    <w:rsid w:val="002F299B"/>
    <w:rsid w:val="002F2B24"/>
    <w:rsid w:val="002F2E3A"/>
    <w:rsid w:val="002F2F61"/>
    <w:rsid w:val="002F3D8D"/>
    <w:rsid w:val="002F408C"/>
    <w:rsid w:val="002F41D9"/>
    <w:rsid w:val="002F46B1"/>
    <w:rsid w:val="002F48F5"/>
    <w:rsid w:val="002F5508"/>
    <w:rsid w:val="002F5AE7"/>
    <w:rsid w:val="002F63EE"/>
    <w:rsid w:val="002F6E83"/>
    <w:rsid w:val="002F7122"/>
    <w:rsid w:val="002F73CE"/>
    <w:rsid w:val="002F7A53"/>
    <w:rsid w:val="002F7B3B"/>
    <w:rsid w:val="002F7C4B"/>
    <w:rsid w:val="00300348"/>
    <w:rsid w:val="003006EB"/>
    <w:rsid w:val="003012F0"/>
    <w:rsid w:val="00301407"/>
    <w:rsid w:val="0030142A"/>
    <w:rsid w:val="00301725"/>
    <w:rsid w:val="0030176D"/>
    <w:rsid w:val="00301E6E"/>
    <w:rsid w:val="0030222D"/>
    <w:rsid w:val="00302EB6"/>
    <w:rsid w:val="0030312E"/>
    <w:rsid w:val="003033ED"/>
    <w:rsid w:val="00303C54"/>
    <w:rsid w:val="003048B2"/>
    <w:rsid w:val="00305006"/>
    <w:rsid w:val="0030569F"/>
    <w:rsid w:val="003056DF"/>
    <w:rsid w:val="0030592C"/>
    <w:rsid w:val="00305B47"/>
    <w:rsid w:val="00305E73"/>
    <w:rsid w:val="00306234"/>
    <w:rsid w:val="0030625C"/>
    <w:rsid w:val="00306978"/>
    <w:rsid w:val="00306F18"/>
    <w:rsid w:val="003113F1"/>
    <w:rsid w:val="0031173E"/>
    <w:rsid w:val="00311E6C"/>
    <w:rsid w:val="00312484"/>
    <w:rsid w:val="00312744"/>
    <w:rsid w:val="00312D22"/>
    <w:rsid w:val="00313133"/>
    <w:rsid w:val="003133D0"/>
    <w:rsid w:val="00313559"/>
    <w:rsid w:val="00313F95"/>
    <w:rsid w:val="003145EC"/>
    <w:rsid w:val="00314B74"/>
    <w:rsid w:val="00314B87"/>
    <w:rsid w:val="00314BDD"/>
    <w:rsid w:val="00314D67"/>
    <w:rsid w:val="0031583B"/>
    <w:rsid w:val="00315A20"/>
    <w:rsid w:val="00315BFD"/>
    <w:rsid w:val="00315EC8"/>
    <w:rsid w:val="003166FC"/>
    <w:rsid w:val="00316AC0"/>
    <w:rsid w:val="00316CCE"/>
    <w:rsid w:val="003171EB"/>
    <w:rsid w:val="00320BD7"/>
    <w:rsid w:val="00320DA6"/>
    <w:rsid w:val="0032130F"/>
    <w:rsid w:val="00321C2C"/>
    <w:rsid w:val="003228AA"/>
    <w:rsid w:val="00322AB8"/>
    <w:rsid w:val="00323892"/>
    <w:rsid w:val="00324012"/>
    <w:rsid w:val="00324A05"/>
    <w:rsid w:val="00325B99"/>
    <w:rsid w:val="00326AB4"/>
    <w:rsid w:val="00326EDE"/>
    <w:rsid w:val="00327163"/>
    <w:rsid w:val="00327199"/>
    <w:rsid w:val="00330466"/>
    <w:rsid w:val="0033053E"/>
    <w:rsid w:val="00330691"/>
    <w:rsid w:val="00330D0E"/>
    <w:rsid w:val="00330DA6"/>
    <w:rsid w:val="00330E44"/>
    <w:rsid w:val="00331240"/>
    <w:rsid w:val="003319D1"/>
    <w:rsid w:val="00331DEE"/>
    <w:rsid w:val="00332D27"/>
    <w:rsid w:val="00333959"/>
    <w:rsid w:val="00333988"/>
    <w:rsid w:val="003339ED"/>
    <w:rsid w:val="00333E50"/>
    <w:rsid w:val="00334C73"/>
    <w:rsid w:val="00334D5D"/>
    <w:rsid w:val="00336079"/>
    <w:rsid w:val="003366C3"/>
    <w:rsid w:val="00336815"/>
    <w:rsid w:val="00336DA8"/>
    <w:rsid w:val="00336F7B"/>
    <w:rsid w:val="00337764"/>
    <w:rsid w:val="00340054"/>
    <w:rsid w:val="00340701"/>
    <w:rsid w:val="00340AFD"/>
    <w:rsid w:val="00341522"/>
    <w:rsid w:val="003415DF"/>
    <w:rsid w:val="0034185C"/>
    <w:rsid w:val="00341DF8"/>
    <w:rsid w:val="0034278F"/>
    <w:rsid w:val="003428FF"/>
    <w:rsid w:val="00343243"/>
    <w:rsid w:val="003435C5"/>
    <w:rsid w:val="0034376D"/>
    <w:rsid w:val="00344064"/>
    <w:rsid w:val="00344B8D"/>
    <w:rsid w:val="003452D3"/>
    <w:rsid w:val="003453DE"/>
    <w:rsid w:val="003459EC"/>
    <w:rsid w:val="00345D4F"/>
    <w:rsid w:val="0034660A"/>
    <w:rsid w:val="00347799"/>
    <w:rsid w:val="00350099"/>
    <w:rsid w:val="00350B7D"/>
    <w:rsid w:val="0035297E"/>
    <w:rsid w:val="003529F3"/>
    <w:rsid w:val="00352BA4"/>
    <w:rsid w:val="0035302E"/>
    <w:rsid w:val="0035318C"/>
    <w:rsid w:val="0035342D"/>
    <w:rsid w:val="0035375F"/>
    <w:rsid w:val="00353F51"/>
    <w:rsid w:val="003544E8"/>
    <w:rsid w:val="0035454D"/>
    <w:rsid w:val="003547DA"/>
    <w:rsid w:val="0035485A"/>
    <w:rsid w:val="00354E15"/>
    <w:rsid w:val="0035527F"/>
    <w:rsid w:val="00355972"/>
    <w:rsid w:val="003564E3"/>
    <w:rsid w:val="003564FE"/>
    <w:rsid w:val="0035684E"/>
    <w:rsid w:val="00356DAA"/>
    <w:rsid w:val="00357010"/>
    <w:rsid w:val="0035753B"/>
    <w:rsid w:val="00357C6C"/>
    <w:rsid w:val="00360453"/>
    <w:rsid w:val="003606BC"/>
    <w:rsid w:val="00360BC8"/>
    <w:rsid w:val="00361403"/>
    <w:rsid w:val="003626A2"/>
    <w:rsid w:val="00362C62"/>
    <w:rsid w:val="003633C3"/>
    <w:rsid w:val="0036397E"/>
    <w:rsid w:val="00364291"/>
    <w:rsid w:val="00364505"/>
    <w:rsid w:val="00365CA4"/>
    <w:rsid w:val="00365E55"/>
    <w:rsid w:val="00366037"/>
    <w:rsid w:val="0036636A"/>
    <w:rsid w:val="003665E0"/>
    <w:rsid w:val="0036739B"/>
    <w:rsid w:val="003674A6"/>
    <w:rsid w:val="003674D0"/>
    <w:rsid w:val="00367C30"/>
    <w:rsid w:val="003700B9"/>
    <w:rsid w:val="00370456"/>
    <w:rsid w:val="00370605"/>
    <w:rsid w:val="00370E01"/>
    <w:rsid w:val="00370FD9"/>
    <w:rsid w:val="00371161"/>
    <w:rsid w:val="003711CD"/>
    <w:rsid w:val="003713EB"/>
    <w:rsid w:val="00371676"/>
    <w:rsid w:val="00371808"/>
    <w:rsid w:val="0037182D"/>
    <w:rsid w:val="00371F93"/>
    <w:rsid w:val="0037204A"/>
    <w:rsid w:val="003728A8"/>
    <w:rsid w:val="003728A9"/>
    <w:rsid w:val="00373755"/>
    <w:rsid w:val="00373957"/>
    <w:rsid w:val="003739A4"/>
    <w:rsid w:val="0037425A"/>
    <w:rsid w:val="00374988"/>
    <w:rsid w:val="00375735"/>
    <w:rsid w:val="00375F4B"/>
    <w:rsid w:val="00376B3C"/>
    <w:rsid w:val="003770EB"/>
    <w:rsid w:val="003775B2"/>
    <w:rsid w:val="00380142"/>
    <w:rsid w:val="0038185D"/>
    <w:rsid w:val="00381FEA"/>
    <w:rsid w:val="00382013"/>
    <w:rsid w:val="0038209C"/>
    <w:rsid w:val="00382EBA"/>
    <w:rsid w:val="003833E7"/>
    <w:rsid w:val="00383520"/>
    <w:rsid w:val="003838AD"/>
    <w:rsid w:val="00383BB7"/>
    <w:rsid w:val="00384628"/>
    <w:rsid w:val="00384ED1"/>
    <w:rsid w:val="003851C4"/>
    <w:rsid w:val="00385884"/>
    <w:rsid w:val="00385A65"/>
    <w:rsid w:val="003865E9"/>
    <w:rsid w:val="003866DF"/>
    <w:rsid w:val="00386DF0"/>
    <w:rsid w:val="0038704A"/>
    <w:rsid w:val="00387FAB"/>
    <w:rsid w:val="00387FB9"/>
    <w:rsid w:val="00390236"/>
    <w:rsid w:val="0039196C"/>
    <w:rsid w:val="00391C92"/>
    <w:rsid w:val="00392186"/>
    <w:rsid w:val="003922E5"/>
    <w:rsid w:val="00392436"/>
    <w:rsid w:val="0039352B"/>
    <w:rsid w:val="00393580"/>
    <w:rsid w:val="00394224"/>
    <w:rsid w:val="0039435E"/>
    <w:rsid w:val="00394D34"/>
    <w:rsid w:val="003954AB"/>
    <w:rsid w:val="00395687"/>
    <w:rsid w:val="00396755"/>
    <w:rsid w:val="003967D2"/>
    <w:rsid w:val="00396E57"/>
    <w:rsid w:val="003A00DC"/>
    <w:rsid w:val="003A03EA"/>
    <w:rsid w:val="003A05FC"/>
    <w:rsid w:val="003A0DC4"/>
    <w:rsid w:val="003A10B9"/>
    <w:rsid w:val="003A14C6"/>
    <w:rsid w:val="003A16A8"/>
    <w:rsid w:val="003A23F1"/>
    <w:rsid w:val="003A258C"/>
    <w:rsid w:val="003A260E"/>
    <w:rsid w:val="003A3905"/>
    <w:rsid w:val="003A3B7F"/>
    <w:rsid w:val="003A4073"/>
    <w:rsid w:val="003A4D28"/>
    <w:rsid w:val="003A501B"/>
    <w:rsid w:val="003A51B6"/>
    <w:rsid w:val="003A5D3B"/>
    <w:rsid w:val="003A5DC5"/>
    <w:rsid w:val="003A63E4"/>
    <w:rsid w:val="003A6520"/>
    <w:rsid w:val="003A65A0"/>
    <w:rsid w:val="003A6804"/>
    <w:rsid w:val="003A6B3E"/>
    <w:rsid w:val="003A6D17"/>
    <w:rsid w:val="003A7B72"/>
    <w:rsid w:val="003B0B17"/>
    <w:rsid w:val="003B0CE7"/>
    <w:rsid w:val="003B192E"/>
    <w:rsid w:val="003B1A8B"/>
    <w:rsid w:val="003B2071"/>
    <w:rsid w:val="003B21E8"/>
    <w:rsid w:val="003B2322"/>
    <w:rsid w:val="003B241C"/>
    <w:rsid w:val="003B25DD"/>
    <w:rsid w:val="003B2BEA"/>
    <w:rsid w:val="003B2D95"/>
    <w:rsid w:val="003B3033"/>
    <w:rsid w:val="003B30C1"/>
    <w:rsid w:val="003B3277"/>
    <w:rsid w:val="003B48AA"/>
    <w:rsid w:val="003B4A15"/>
    <w:rsid w:val="003B4E7D"/>
    <w:rsid w:val="003B4F34"/>
    <w:rsid w:val="003B4F3D"/>
    <w:rsid w:val="003B55EE"/>
    <w:rsid w:val="003B5801"/>
    <w:rsid w:val="003B59C2"/>
    <w:rsid w:val="003B5BED"/>
    <w:rsid w:val="003B5EAD"/>
    <w:rsid w:val="003B60C0"/>
    <w:rsid w:val="003B6164"/>
    <w:rsid w:val="003B61CA"/>
    <w:rsid w:val="003B6752"/>
    <w:rsid w:val="003B6BB8"/>
    <w:rsid w:val="003B6F42"/>
    <w:rsid w:val="003B74DD"/>
    <w:rsid w:val="003C12BC"/>
    <w:rsid w:val="003C1314"/>
    <w:rsid w:val="003C163F"/>
    <w:rsid w:val="003C2B62"/>
    <w:rsid w:val="003C2BFD"/>
    <w:rsid w:val="003C2FE5"/>
    <w:rsid w:val="003C3B51"/>
    <w:rsid w:val="003C3C7B"/>
    <w:rsid w:val="003C3E21"/>
    <w:rsid w:val="003C473D"/>
    <w:rsid w:val="003C49C0"/>
    <w:rsid w:val="003C5262"/>
    <w:rsid w:val="003C5466"/>
    <w:rsid w:val="003C54AA"/>
    <w:rsid w:val="003C60DF"/>
    <w:rsid w:val="003C60FD"/>
    <w:rsid w:val="003C620A"/>
    <w:rsid w:val="003C68CB"/>
    <w:rsid w:val="003C69EA"/>
    <w:rsid w:val="003C7282"/>
    <w:rsid w:val="003C73E5"/>
    <w:rsid w:val="003C7824"/>
    <w:rsid w:val="003D0178"/>
    <w:rsid w:val="003D017C"/>
    <w:rsid w:val="003D04E2"/>
    <w:rsid w:val="003D0A0F"/>
    <w:rsid w:val="003D10D0"/>
    <w:rsid w:val="003D11C9"/>
    <w:rsid w:val="003D28B7"/>
    <w:rsid w:val="003D2A9B"/>
    <w:rsid w:val="003D2CE7"/>
    <w:rsid w:val="003D357B"/>
    <w:rsid w:val="003D3788"/>
    <w:rsid w:val="003D3F13"/>
    <w:rsid w:val="003D4521"/>
    <w:rsid w:val="003D4EFC"/>
    <w:rsid w:val="003D5B2E"/>
    <w:rsid w:val="003D67F2"/>
    <w:rsid w:val="003D6BA9"/>
    <w:rsid w:val="003D6DE8"/>
    <w:rsid w:val="003D7724"/>
    <w:rsid w:val="003D773E"/>
    <w:rsid w:val="003D7B46"/>
    <w:rsid w:val="003E005B"/>
    <w:rsid w:val="003E006C"/>
    <w:rsid w:val="003E055F"/>
    <w:rsid w:val="003E0887"/>
    <w:rsid w:val="003E1C22"/>
    <w:rsid w:val="003E1E4A"/>
    <w:rsid w:val="003E21E3"/>
    <w:rsid w:val="003E21F2"/>
    <w:rsid w:val="003E2B9E"/>
    <w:rsid w:val="003E3298"/>
    <w:rsid w:val="003E32AC"/>
    <w:rsid w:val="003E335E"/>
    <w:rsid w:val="003E33F0"/>
    <w:rsid w:val="003E4AED"/>
    <w:rsid w:val="003E4BF7"/>
    <w:rsid w:val="003E51AA"/>
    <w:rsid w:val="003E5A5A"/>
    <w:rsid w:val="003E689A"/>
    <w:rsid w:val="003E6B42"/>
    <w:rsid w:val="003E7594"/>
    <w:rsid w:val="003E766C"/>
    <w:rsid w:val="003E7BB1"/>
    <w:rsid w:val="003F0684"/>
    <w:rsid w:val="003F0EB5"/>
    <w:rsid w:val="003F1BCE"/>
    <w:rsid w:val="003F1C7B"/>
    <w:rsid w:val="003F1D26"/>
    <w:rsid w:val="003F1DFB"/>
    <w:rsid w:val="003F2104"/>
    <w:rsid w:val="003F21A2"/>
    <w:rsid w:val="003F23A7"/>
    <w:rsid w:val="003F34B6"/>
    <w:rsid w:val="003F3B11"/>
    <w:rsid w:val="003F41D2"/>
    <w:rsid w:val="003F42D8"/>
    <w:rsid w:val="003F4DF2"/>
    <w:rsid w:val="003F60B6"/>
    <w:rsid w:val="003F658D"/>
    <w:rsid w:val="003F688A"/>
    <w:rsid w:val="003F70EA"/>
    <w:rsid w:val="003F7166"/>
    <w:rsid w:val="003F742F"/>
    <w:rsid w:val="003F7838"/>
    <w:rsid w:val="003F7934"/>
    <w:rsid w:val="003F7A10"/>
    <w:rsid w:val="003F7BB2"/>
    <w:rsid w:val="00400179"/>
    <w:rsid w:val="00400DD4"/>
    <w:rsid w:val="0040122F"/>
    <w:rsid w:val="004013FB"/>
    <w:rsid w:val="0040162C"/>
    <w:rsid w:val="00401697"/>
    <w:rsid w:val="00401BB1"/>
    <w:rsid w:val="00401DB8"/>
    <w:rsid w:val="00401FDB"/>
    <w:rsid w:val="00402066"/>
    <w:rsid w:val="0040222D"/>
    <w:rsid w:val="004022CC"/>
    <w:rsid w:val="004027A4"/>
    <w:rsid w:val="0040290E"/>
    <w:rsid w:val="00402F75"/>
    <w:rsid w:val="004036F3"/>
    <w:rsid w:val="00403F08"/>
    <w:rsid w:val="004045C1"/>
    <w:rsid w:val="004054F0"/>
    <w:rsid w:val="00405654"/>
    <w:rsid w:val="00405890"/>
    <w:rsid w:val="00406634"/>
    <w:rsid w:val="00407666"/>
    <w:rsid w:val="004076BD"/>
    <w:rsid w:val="004077C8"/>
    <w:rsid w:val="00407B9F"/>
    <w:rsid w:val="0041017D"/>
    <w:rsid w:val="00410D4F"/>
    <w:rsid w:val="004117D3"/>
    <w:rsid w:val="0041186A"/>
    <w:rsid w:val="00412318"/>
    <w:rsid w:val="0041292E"/>
    <w:rsid w:val="0041294C"/>
    <w:rsid w:val="004131F4"/>
    <w:rsid w:val="00413F66"/>
    <w:rsid w:val="004147E9"/>
    <w:rsid w:val="004159ED"/>
    <w:rsid w:val="00415CE3"/>
    <w:rsid w:val="0041632B"/>
    <w:rsid w:val="004168DE"/>
    <w:rsid w:val="00416A64"/>
    <w:rsid w:val="00416D35"/>
    <w:rsid w:val="00417E61"/>
    <w:rsid w:val="004203CE"/>
    <w:rsid w:val="004204FF"/>
    <w:rsid w:val="00420607"/>
    <w:rsid w:val="0042068E"/>
    <w:rsid w:val="004209F4"/>
    <w:rsid w:val="00420D81"/>
    <w:rsid w:val="004210CC"/>
    <w:rsid w:val="004210FF"/>
    <w:rsid w:val="00421505"/>
    <w:rsid w:val="004219FD"/>
    <w:rsid w:val="004222AC"/>
    <w:rsid w:val="004223CA"/>
    <w:rsid w:val="00422727"/>
    <w:rsid w:val="004227F3"/>
    <w:rsid w:val="00423373"/>
    <w:rsid w:val="00423393"/>
    <w:rsid w:val="00423B10"/>
    <w:rsid w:val="00423BE3"/>
    <w:rsid w:val="00423CE2"/>
    <w:rsid w:val="00423D4A"/>
    <w:rsid w:val="00423FF2"/>
    <w:rsid w:val="004248B4"/>
    <w:rsid w:val="00424961"/>
    <w:rsid w:val="004256CA"/>
    <w:rsid w:val="00425774"/>
    <w:rsid w:val="00425BC0"/>
    <w:rsid w:val="00425BD0"/>
    <w:rsid w:val="00426121"/>
    <w:rsid w:val="00426809"/>
    <w:rsid w:val="00427E15"/>
    <w:rsid w:val="00427F50"/>
    <w:rsid w:val="00430110"/>
    <w:rsid w:val="0043089B"/>
    <w:rsid w:val="00430B77"/>
    <w:rsid w:val="00430CB8"/>
    <w:rsid w:val="0043105E"/>
    <w:rsid w:val="004317F0"/>
    <w:rsid w:val="00431BD1"/>
    <w:rsid w:val="004325DF"/>
    <w:rsid w:val="00433025"/>
    <w:rsid w:val="00433074"/>
    <w:rsid w:val="0043359C"/>
    <w:rsid w:val="004335DA"/>
    <w:rsid w:val="00433F4A"/>
    <w:rsid w:val="00434485"/>
    <w:rsid w:val="00434CD8"/>
    <w:rsid w:val="004350C9"/>
    <w:rsid w:val="00435168"/>
    <w:rsid w:val="004356A3"/>
    <w:rsid w:val="00436379"/>
    <w:rsid w:val="00436D15"/>
    <w:rsid w:val="00437325"/>
    <w:rsid w:val="004402C0"/>
    <w:rsid w:val="00440900"/>
    <w:rsid w:val="004409DC"/>
    <w:rsid w:val="00440A3C"/>
    <w:rsid w:val="00440E99"/>
    <w:rsid w:val="0044107D"/>
    <w:rsid w:val="0044197E"/>
    <w:rsid w:val="00441A4B"/>
    <w:rsid w:val="00441A4C"/>
    <w:rsid w:val="00441FB4"/>
    <w:rsid w:val="004423E5"/>
    <w:rsid w:val="00442CC6"/>
    <w:rsid w:val="00442D69"/>
    <w:rsid w:val="00442D8C"/>
    <w:rsid w:val="00443416"/>
    <w:rsid w:val="00444666"/>
    <w:rsid w:val="004448F7"/>
    <w:rsid w:val="00444A13"/>
    <w:rsid w:val="00444DA2"/>
    <w:rsid w:val="0044503D"/>
    <w:rsid w:val="00445069"/>
    <w:rsid w:val="004450F1"/>
    <w:rsid w:val="00445DA7"/>
    <w:rsid w:val="00445FBC"/>
    <w:rsid w:val="0044611E"/>
    <w:rsid w:val="00446C28"/>
    <w:rsid w:val="00446D65"/>
    <w:rsid w:val="00447266"/>
    <w:rsid w:val="00447429"/>
    <w:rsid w:val="00450002"/>
    <w:rsid w:val="00450808"/>
    <w:rsid w:val="00450E0C"/>
    <w:rsid w:val="004519B4"/>
    <w:rsid w:val="00451ED4"/>
    <w:rsid w:val="0045207F"/>
    <w:rsid w:val="004522CC"/>
    <w:rsid w:val="0045241F"/>
    <w:rsid w:val="00452558"/>
    <w:rsid w:val="00452F0E"/>
    <w:rsid w:val="004535A9"/>
    <w:rsid w:val="00453D49"/>
    <w:rsid w:val="00454982"/>
    <w:rsid w:val="00454EED"/>
    <w:rsid w:val="00456953"/>
    <w:rsid w:val="00457B77"/>
    <w:rsid w:val="0046046D"/>
    <w:rsid w:val="004604D7"/>
    <w:rsid w:val="00460661"/>
    <w:rsid w:val="00460FE6"/>
    <w:rsid w:val="00461399"/>
    <w:rsid w:val="0046167A"/>
    <w:rsid w:val="00462061"/>
    <w:rsid w:val="00462065"/>
    <w:rsid w:val="00463C70"/>
    <w:rsid w:val="00463D64"/>
    <w:rsid w:val="00464470"/>
    <w:rsid w:val="004651E3"/>
    <w:rsid w:val="00465599"/>
    <w:rsid w:val="0046575B"/>
    <w:rsid w:val="00465EF4"/>
    <w:rsid w:val="00466333"/>
    <w:rsid w:val="00466341"/>
    <w:rsid w:val="004663E0"/>
    <w:rsid w:val="004664DF"/>
    <w:rsid w:val="00466E0A"/>
    <w:rsid w:val="00466E10"/>
    <w:rsid w:val="004675CA"/>
    <w:rsid w:val="00467694"/>
    <w:rsid w:val="00467FAF"/>
    <w:rsid w:val="0047000B"/>
    <w:rsid w:val="004702AF"/>
    <w:rsid w:val="00470C15"/>
    <w:rsid w:val="00470F5F"/>
    <w:rsid w:val="004722B5"/>
    <w:rsid w:val="00472C3A"/>
    <w:rsid w:val="00472F2D"/>
    <w:rsid w:val="00473041"/>
    <w:rsid w:val="004738D8"/>
    <w:rsid w:val="00474DD1"/>
    <w:rsid w:val="00474EF5"/>
    <w:rsid w:val="0047558F"/>
    <w:rsid w:val="004758B7"/>
    <w:rsid w:val="00476ABD"/>
    <w:rsid w:val="00476E90"/>
    <w:rsid w:val="004776A8"/>
    <w:rsid w:val="0047770D"/>
    <w:rsid w:val="0047788D"/>
    <w:rsid w:val="00477E95"/>
    <w:rsid w:val="004801FE"/>
    <w:rsid w:val="00480266"/>
    <w:rsid w:val="0048073E"/>
    <w:rsid w:val="0048099E"/>
    <w:rsid w:val="00480AA6"/>
    <w:rsid w:val="004812EA"/>
    <w:rsid w:val="00481585"/>
    <w:rsid w:val="0048193F"/>
    <w:rsid w:val="00481CB7"/>
    <w:rsid w:val="00481D3F"/>
    <w:rsid w:val="00481DD9"/>
    <w:rsid w:val="0048229A"/>
    <w:rsid w:val="0048261F"/>
    <w:rsid w:val="00482BBE"/>
    <w:rsid w:val="00482CFF"/>
    <w:rsid w:val="00482DF7"/>
    <w:rsid w:val="00482F58"/>
    <w:rsid w:val="00483109"/>
    <w:rsid w:val="0048328C"/>
    <w:rsid w:val="00483450"/>
    <w:rsid w:val="004836C4"/>
    <w:rsid w:val="0048373F"/>
    <w:rsid w:val="00483CE6"/>
    <w:rsid w:val="004840BE"/>
    <w:rsid w:val="00484616"/>
    <w:rsid w:val="004848D8"/>
    <w:rsid w:val="00484BDE"/>
    <w:rsid w:val="00484EE8"/>
    <w:rsid w:val="00485F6B"/>
    <w:rsid w:val="00486E6A"/>
    <w:rsid w:val="00487CA2"/>
    <w:rsid w:val="00490415"/>
    <w:rsid w:val="0049064A"/>
    <w:rsid w:val="004912D5"/>
    <w:rsid w:val="0049136C"/>
    <w:rsid w:val="0049160E"/>
    <w:rsid w:val="004917B7"/>
    <w:rsid w:val="00491A52"/>
    <w:rsid w:val="00491AF6"/>
    <w:rsid w:val="00492280"/>
    <w:rsid w:val="00492BD6"/>
    <w:rsid w:val="00493D86"/>
    <w:rsid w:val="00494B2B"/>
    <w:rsid w:val="00495639"/>
    <w:rsid w:val="00495DCE"/>
    <w:rsid w:val="00496042"/>
    <w:rsid w:val="00497228"/>
    <w:rsid w:val="00497459"/>
    <w:rsid w:val="00497769"/>
    <w:rsid w:val="00497B5A"/>
    <w:rsid w:val="00497EEC"/>
    <w:rsid w:val="004A09B2"/>
    <w:rsid w:val="004A0C91"/>
    <w:rsid w:val="004A1098"/>
    <w:rsid w:val="004A1783"/>
    <w:rsid w:val="004A1FA6"/>
    <w:rsid w:val="004A23DC"/>
    <w:rsid w:val="004A3B3B"/>
    <w:rsid w:val="004A44A2"/>
    <w:rsid w:val="004A4599"/>
    <w:rsid w:val="004A50B6"/>
    <w:rsid w:val="004A55EF"/>
    <w:rsid w:val="004A564D"/>
    <w:rsid w:val="004A5890"/>
    <w:rsid w:val="004A5EBA"/>
    <w:rsid w:val="004A604D"/>
    <w:rsid w:val="004A62F6"/>
    <w:rsid w:val="004A632F"/>
    <w:rsid w:val="004A67CB"/>
    <w:rsid w:val="004A6A6B"/>
    <w:rsid w:val="004A6BCC"/>
    <w:rsid w:val="004A6D2E"/>
    <w:rsid w:val="004B039B"/>
    <w:rsid w:val="004B04B8"/>
    <w:rsid w:val="004B04EE"/>
    <w:rsid w:val="004B061D"/>
    <w:rsid w:val="004B15E2"/>
    <w:rsid w:val="004B1FC4"/>
    <w:rsid w:val="004B218B"/>
    <w:rsid w:val="004B29D0"/>
    <w:rsid w:val="004B2A46"/>
    <w:rsid w:val="004B2D32"/>
    <w:rsid w:val="004B3294"/>
    <w:rsid w:val="004B33AC"/>
    <w:rsid w:val="004B3734"/>
    <w:rsid w:val="004B3ADE"/>
    <w:rsid w:val="004B3B7D"/>
    <w:rsid w:val="004B40F5"/>
    <w:rsid w:val="004B46D3"/>
    <w:rsid w:val="004B4A0E"/>
    <w:rsid w:val="004B4A25"/>
    <w:rsid w:val="004B4CE8"/>
    <w:rsid w:val="004B50B2"/>
    <w:rsid w:val="004B5246"/>
    <w:rsid w:val="004B5544"/>
    <w:rsid w:val="004B5BF8"/>
    <w:rsid w:val="004B5F18"/>
    <w:rsid w:val="004B6472"/>
    <w:rsid w:val="004B6A7A"/>
    <w:rsid w:val="004B76E2"/>
    <w:rsid w:val="004B7AAB"/>
    <w:rsid w:val="004B7B93"/>
    <w:rsid w:val="004B7FA4"/>
    <w:rsid w:val="004C098E"/>
    <w:rsid w:val="004C0B43"/>
    <w:rsid w:val="004C0E4E"/>
    <w:rsid w:val="004C10E5"/>
    <w:rsid w:val="004C1191"/>
    <w:rsid w:val="004C1885"/>
    <w:rsid w:val="004C1941"/>
    <w:rsid w:val="004C1B0A"/>
    <w:rsid w:val="004C1E79"/>
    <w:rsid w:val="004C20D5"/>
    <w:rsid w:val="004C28D0"/>
    <w:rsid w:val="004C2CCA"/>
    <w:rsid w:val="004C2D60"/>
    <w:rsid w:val="004C3882"/>
    <w:rsid w:val="004C3C3B"/>
    <w:rsid w:val="004C4051"/>
    <w:rsid w:val="004C49B0"/>
    <w:rsid w:val="004C4B7B"/>
    <w:rsid w:val="004C516C"/>
    <w:rsid w:val="004C537A"/>
    <w:rsid w:val="004C5AFD"/>
    <w:rsid w:val="004C5C8F"/>
    <w:rsid w:val="004C658C"/>
    <w:rsid w:val="004C72F7"/>
    <w:rsid w:val="004C7614"/>
    <w:rsid w:val="004C77A1"/>
    <w:rsid w:val="004C7E11"/>
    <w:rsid w:val="004D036B"/>
    <w:rsid w:val="004D0EF8"/>
    <w:rsid w:val="004D1050"/>
    <w:rsid w:val="004D1417"/>
    <w:rsid w:val="004D1573"/>
    <w:rsid w:val="004D1857"/>
    <w:rsid w:val="004D2A1F"/>
    <w:rsid w:val="004D2C34"/>
    <w:rsid w:val="004D3636"/>
    <w:rsid w:val="004D3880"/>
    <w:rsid w:val="004D3986"/>
    <w:rsid w:val="004D3CA4"/>
    <w:rsid w:val="004D40A9"/>
    <w:rsid w:val="004D44B3"/>
    <w:rsid w:val="004D45F5"/>
    <w:rsid w:val="004D492D"/>
    <w:rsid w:val="004D4946"/>
    <w:rsid w:val="004D4969"/>
    <w:rsid w:val="004D5988"/>
    <w:rsid w:val="004D631B"/>
    <w:rsid w:val="004D63F1"/>
    <w:rsid w:val="004D646C"/>
    <w:rsid w:val="004D7FE8"/>
    <w:rsid w:val="004E05D2"/>
    <w:rsid w:val="004E0906"/>
    <w:rsid w:val="004E0ACA"/>
    <w:rsid w:val="004E117C"/>
    <w:rsid w:val="004E14A7"/>
    <w:rsid w:val="004E1AB5"/>
    <w:rsid w:val="004E1CDF"/>
    <w:rsid w:val="004E258C"/>
    <w:rsid w:val="004E2C2C"/>
    <w:rsid w:val="004E32A0"/>
    <w:rsid w:val="004E32C8"/>
    <w:rsid w:val="004E3719"/>
    <w:rsid w:val="004E3756"/>
    <w:rsid w:val="004E39A9"/>
    <w:rsid w:val="004E3C48"/>
    <w:rsid w:val="004E434D"/>
    <w:rsid w:val="004E43EF"/>
    <w:rsid w:val="004E4602"/>
    <w:rsid w:val="004E4840"/>
    <w:rsid w:val="004E52D5"/>
    <w:rsid w:val="004E5500"/>
    <w:rsid w:val="004E56CC"/>
    <w:rsid w:val="004E6085"/>
    <w:rsid w:val="004E640F"/>
    <w:rsid w:val="004E657B"/>
    <w:rsid w:val="004E6859"/>
    <w:rsid w:val="004E7153"/>
    <w:rsid w:val="004E71D4"/>
    <w:rsid w:val="004F0258"/>
    <w:rsid w:val="004F02A1"/>
    <w:rsid w:val="004F0493"/>
    <w:rsid w:val="004F05DC"/>
    <w:rsid w:val="004F0D1A"/>
    <w:rsid w:val="004F0F3A"/>
    <w:rsid w:val="004F1147"/>
    <w:rsid w:val="004F1C6C"/>
    <w:rsid w:val="004F1EE1"/>
    <w:rsid w:val="004F26B4"/>
    <w:rsid w:val="004F2E08"/>
    <w:rsid w:val="004F38A0"/>
    <w:rsid w:val="004F3E5B"/>
    <w:rsid w:val="004F40C1"/>
    <w:rsid w:val="004F48C8"/>
    <w:rsid w:val="004F506D"/>
    <w:rsid w:val="004F64BE"/>
    <w:rsid w:val="004F69F6"/>
    <w:rsid w:val="004F7307"/>
    <w:rsid w:val="004F7583"/>
    <w:rsid w:val="004F75D9"/>
    <w:rsid w:val="0050044D"/>
    <w:rsid w:val="00502AFA"/>
    <w:rsid w:val="005034AA"/>
    <w:rsid w:val="005034E5"/>
    <w:rsid w:val="00503B61"/>
    <w:rsid w:val="00503B94"/>
    <w:rsid w:val="00504258"/>
    <w:rsid w:val="00505C8C"/>
    <w:rsid w:val="00506677"/>
    <w:rsid w:val="00506968"/>
    <w:rsid w:val="00506B41"/>
    <w:rsid w:val="00506CF8"/>
    <w:rsid w:val="00506FA5"/>
    <w:rsid w:val="00506FA7"/>
    <w:rsid w:val="005079ED"/>
    <w:rsid w:val="00507BE8"/>
    <w:rsid w:val="00507C26"/>
    <w:rsid w:val="005100FA"/>
    <w:rsid w:val="005104A9"/>
    <w:rsid w:val="00510544"/>
    <w:rsid w:val="005105EC"/>
    <w:rsid w:val="00511457"/>
    <w:rsid w:val="00511717"/>
    <w:rsid w:val="00511962"/>
    <w:rsid w:val="00511B39"/>
    <w:rsid w:val="00512478"/>
    <w:rsid w:val="005125C0"/>
    <w:rsid w:val="0051339A"/>
    <w:rsid w:val="005136D3"/>
    <w:rsid w:val="00513BF4"/>
    <w:rsid w:val="00513C86"/>
    <w:rsid w:val="00513C98"/>
    <w:rsid w:val="005147E8"/>
    <w:rsid w:val="0051486E"/>
    <w:rsid w:val="00514AE9"/>
    <w:rsid w:val="00515917"/>
    <w:rsid w:val="00515A56"/>
    <w:rsid w:val="00515E2C"/>
    <w:rsid w:val="0051635E"/>
    <w:rsid w:val="005165EE"/>
    <w:rsid w:val="005167E4"/>
    <w:rsid w:val="00516C66"/>
    <w:rsid w:val="00517404"/>
    <w:rsid w:val="00517415"/>
    <w:rsid w:val="005177D3"/>
    <w:rsid w:val="00517A2D"/>
    <w:rsid w:val="00517C9D"/>
    <w:rsid w:val="00517D21"/>
    <w:rsid w:val="00520049"/>
    <w:rsid w:val="005203E3"/>
    <w:rsid w:val="0052056D"/>
    <w:rsid w:val="00520F3C"/>
    <w:rsid w:val="00522482"/>
    <w:rsid w:val="00523190"/>
    <w:rsid w:val="005231A2"/>
    <w:rsid w:val="00524147"/>
    <w:rsid w:val="0052510A"/>
    <w:rsid w:val="005257C7"/>
    <w:rsid w:val="00525EFD"/>
    <w:rsid w:val="00526555"/>
    <w:rsid w:val="00527466"/>
    <w:rsid w:val="005274D8"/>
    <w:rsid w:val="00527574"/>
    <w:rsid w:val="00527777"/>
    <w:rsid w:val="00527910"/>
    <w:rsid w:val="00527D7A"/>
    <w:rsid w:val="00530550"/>
    <w:rsid w:val="005307BF"/>
    <w:rsid w:val="00530EA0"/>
    <w:rsid w:val="00530F8B"/>
    <w:rsid w:val="00531B3D"/>
    <w:rsid w:val="00531DEF"/>
    <w:rsid w:val="005323B8"/>
    <w:rsid w:val="005323D1"/>
    <w:rsid w:val="00532940"/>
    <w:rsid w:val="00532A84"/>
    <w:rsid w:val="00532B4F"/>
    <w:rsid w:val="00532EE4"/>
    <w:rsid w:val="00532F0E"/>
    <w:rsid w:val="005335A0"/>
    <w:rsid w:val="00533611"/>
    <w:rsid w:val="0053369B"/>
    <w:rsid w:val="00533EAE"/>
    <w:rsid w:val="00534529"/>
    <w:rsid w:val="005345E5"/>
    <w:rsid w:val="00534B36"/>
    <w:rsid w:val="005355A4"/>
    <w:rsid w:val="005355A9"/>
    <w:rsid w:val="005367A9"/>
    <w:rsid w:val="00536A24"/>
    <w:rsid w:val="00536A5E"/>
    <w:rsid w:val="00536B4E"/>
    <w:rsid w:val="005370D8"/>
    <w:rsid w:val="005377D7"/>
    <w:rsid w:val="0053787E"/>
    <w:rsid w:val="0053792C"/>
    <w:rsid w:val="00537A07"/>
    <w:rsid w:val="00537E29"/>
    <w:rsid w:val="005402F0"/>
    <w:rsid w:val="0054070C"/>
    <w:rsid w:val="00540886"/>
    <w:rsid w:val="00540F02"/>
    <w:rsid w:val="0054115D"/>
    <w:rsid w:val="005411DB"/>
    <w:rsid w:val="0054139D"/>
    <w:rsid w:val="005413C8"/>
    <w:rsid w:val="005414AE"/>
    <w:rsid w:val="005415D5"/>
    <w:rsid w:val="00541DE9"/>
    <w:rsid w:val="00542AB3"/>
    <w:rsid w:val="005435F5"/>
    <w:rsid w:val="00543D89"/>
    <w:rsid w:val="005450CB"/>
    <w:rsid w:val="00545704"/>
    <w:rsid w:val="00547509"/>
    <w:rsid w:val="005475A5"/>
    <w:rsid w:val="005475D3"/>
    <w:rsid w:val="00547675"/>
    <w:rsid w:val="005477F5"/>
    <w:rsid w:val="005478AA"/>
    <w:rsid w:val="00547A0B"/>
    <w:rsid w:val="00547B58"/>
    <w:rsid w:val="00547F80"/>
    <w:rsid w:val="0055041D"/>
    <w:rsid w:val="00551D05"/>
    <w:rsid w:val="00551F6A"/>
    <w:rsid w:val="00552177"/>
    <w:rsid w:val="0055218E"/>
    <w:rsid w:val="005521A2"/>
    <w:rsid w:val="005523DB"/>
    <w:rsid w:val="0055267B"/>
    <w:rsid w:val="00552AFC"/>
    <w:rsid w:val="00553373"/>
    <w:rsid w:val="00553EDC"/>
    <w:rsid w:val="00554602"/>
    <w:rsid w:val="00554775"/>
    <w:rsid w:val="00555E1E"/>
    <w:rsid w:val="005564ED"/>
    <w:rsid w:val="0055661F"/>
    <w:rsid w:val="00556F7E"/>
    <w:rsid w:val="0055796B"/>
    <w:rsid w:val="00557F8F"/>
    <w:rsid w:val="0056004A"/>
    <w:rsid w:val="005609D4"/>
    <w:rsid w:val="00560E04"/>
    <w:rsid w:val="00561514"/>
    <w:rsid w:val="00561519"/>
    <w:rsid w:val="00561618"/>
    <w:rsid w:val="00561925"/>
    <w:rsid w:val="00561BA2"/>
    <w:rsid w:val="005629E5"/>
    <w:rsid w:val="00562B93"/>
    <w:rsid w:val="00562E31"/>
    <w:rsid w:val="00563687"/>
    <w:rsid w:val="00563AA7"/>
    <w:rsid w:val="00563BF0"/>
    <w:rsid w:val="0056434F"/>
    <w:rsid w:val="005646E7"/>
    <w:rsid w:val="005647BB"/>
    <w:rsid w:val="00564970"/>
    <w:rsid w:val="00564CB2"/>
    <w:rsid w:val="00565906"/>
    <w:rsid w:val="00565DF2"/>
    <w:rsid w:val="00566D25"/>
    <w:rsid w:val="00567126"/>
    <w:rsid w:val="005672BF"/>
    <w:rsid w:val="005675B0"/>
    <w:rsid w:val="005679A2"/>
    <w:rsid w:val="00567D39"/>
    <w:rsid w:val="00567FC9"/>
    <w:rsid w:val="0057153A"/>
    <w:rsid w:val="00571B87"/>
    <w:rsid w:val="005723FE"/>
    <w:rsid w:val="00572654"/>
    <w:rsid w:val="00572B1D"/>
    <w:rsid w:val="0057306C"/>
    <w:rsid w:val="0057319C"/>
    <w:rsid w:val="00573326"/>
    <w:rsid w:val="00574BB8"/>
    <w:rsid w:val="00575016"/>
    <w:rsid w:val="005753FE"/>
    <w:rsid w:val="00575414"/>
    <w:rsid w:val="00575948"/>
    <w:rsid w:val="005764C0"/>
    <w:rsid w:val="00576BA4"/>
    <w:rsid w:val="005800A5"/>
    <w:rsid w:val="00580292"/>
    <w:rsid w:val="005806AB"/>
    <w:rsid w:val="00580752"/>
    <w:rsid w:val="00580E25"/>
    <w:rsid w:val="0058113D"/>
    <w:rsid w:val="00581A37"/>
    <w:rsid w:val="00581BFE"/>
    <w:rsid w:val="005821BC"/>
    <w:rsid w:val="005825CD"/>
    <w:rsid w:val="00583F55"/>
    <w:rsid w:val="005845D8"/>
    <w:rsid w:val="00584862"/>
    <w:rsid w:val="00584CFB"/>
    <w:rsid w:val="0058554F"/>
    <w:rsid w:val="005859C5"/>
    <w:rsid w:val="00585A16"/>
    <w:rsid w:val="00585A24"/>
    <w:rsid w:val="00585F37"/>
    <w:rsid w:val="005863F5"/>
    <w:rsid w:val="005866BE"/>
    <w:rsid w:val="0058698B"/>
    <w:rsid w:val="005870CE"/>
    <w:rsid w:val="005875E8"/>
    <w:rsid w:val="00587EF0"/>
    <w:rsid w:val="005901C6"/>
    <w:rsid w:val="005903B8"/>
    <w:rsid w:val="00590AB4"/>
    <w:rsid w:val="00590FCE"/>
    <w:rsid w:val="005912D8"/>
    <w:rsid w:val="00591382"/>
    <w:rsid w:val="005918DD"/>
    <w:rsid w:val="005922DD"/>
    <w:rsid w:val="00592430"/>
    <w:rsid w:val="005924E7"/>
    <w:rsid w:val="00592DA2"/>
    <w:rsid w:val="00592E79"/>
    <w:rsid w:val="0059375D"/>
    <w:rsid w:val="00594904"/>
    <w:rsid w:val="005954B2"/>
    <w:rsid w:val="0059608C"/>
    <w:rsid w:val="0059661E"/>
    <w:rsid w:val="00597181"/>
    <w:rsid w:val="00597A75"/>
    <w:rsid w:val="00597EE3"/>
    <w:rsid w:val="005A0035"/>
    <w:rsid w:val="005A00E2"/>
    <w:rsid w:val="005A025C"/>
    <w:rsid w:val="005A033A"/>
    <w:rsid w:val="005A064D"/>
    <w:rsid w:val="005A06B9"/>
    <w:rsid w:val="005A06E2"/>
    <w:rsid w:val="005A07B2"/>
    <w:rsid w:val="005A1075"/>
    <w:rsid w:val="005A1376"/>
    <w:rsid w:val="005A1C5B"/>
    <w:rsid w:val="005A2299"/>
    <w:rsid w:val="005A2B71"/>
    <w:rsid w:val="005A35F5"/>
    <w:rsid w:val="005A4130"/>
    <w:rsid w:val="005A4DCD"/>
    <w:rsid w:val="005A54EF"/>
    <w:rsid w:val="005A5B90"/>
    <w:rsid w:val="005A5C15"/>
    <w:rsid w:val="005A5D2C"/>
    <w:rsid w:val="005A6286"/>
    <w:rsid w:val="005A6F57"/>
    <w:rsid w:val="005A73EE"/>
    <w:rsid w:val="005A776C"/>
    <w:rsid w:val="005A7997"/>
    <w:rsid w:val="005B021E"/>
    <w:rsid w:val="005B09F5"/>
    <w:rsid w:val="005B18B9"/>
    <w:rsid w:val="005B1DD4"/>
    <w:rsid w:val="005B1E97"/>
    <w:rsid w:val="005B21DD"/>
    <w:rsid w:val="005B21FB"/>
    <w:rsid w:val="005B22E1"/>
    <w:rsid w:val="005B2589"/>
    <w:rsid w:val="005B28F5"/>
    <w:rsid w:val="005B313B"/>
    <w:rsid w:val="005B3249"/>
    <w:rsid w:val="005B3927"/>
    <w:rsid w:val="005B3962"/>
    <w:rsid w:val="005B3B5A"/>
    <w:rsid w:val="005B3B76"/>
    <w:rsid w:val="005B3DF0"/>
    <w:rsid w:val="005B4097"/>
    <w:rsid w:val="005B433D"/>
    <w:rsid w:val="005B4430"/>
    <w:rsid w:val="005B45E4"/>
    <w:rsid w:val="005B5626"/>
    <w:rsid w:val="005B5A17"/>
    <w:rsid w:val="005B5BAC"/>
    <w:rsid w:val="005B5F94"/>
    <w:rsid w:val="005B5FE9"/>
    <w:rsid w:val="005B63FE"/>
    <w:rsid w:val="005B6E5C"/>
    <w:rsid w:val="005B77C9"/>
    <w:rsid w:val="005C0014"/>
    <w:rsid w:val="005C002A"/>
    <w:rsid w:val="005C0A8B"/>
    <w:rsid w:val="005C0A90"/>
    <w:rsid w:val="005C0AFC"/>
    <w:rsid w:val="005C0C3B"/>
    <w:rsid w:val="005C0D75"/>
    <w:rsid w:val="005C1AB2"/>
    <w:rsid w:val="005C1EF2"/>
    <w:rsid w:val="005C20D4"/>
    <w:rsid w:val="005C2338"/>
    <w:rsid w:val="005C2676"/>
    <w:rsid w:val="005C29FA"/>
    <w:rsid w:val="005C4F9E"/>
    <w:rsid w:val="005C59AA"/>
    <w:rsid w:val="005C5B93"/>
    <w:rsid w:val="005C5BB2"/>
    <w:rsid w:val="005C6473"/>
    <w:rsid w:val="005C6584"/>
    <w:rsid w:val="005C663B"/>
    <w:rsid w:val="005C6713"/>
    <w:rsid w:val="005C6AD7"/>
    <w:rsid w:val="005C6CCE"/>
    <w:rsid w:val="005C6DC0"/>
    <w:rsid w:val="005C7B9A"/>
    <w:rsid w:val="005D0197"/>
    <w:rsid w:val="005D0610"/>
    <w:rsid w:val="005D08D8"/>
    <w:rsid w:val="005D0F2C"/>
    <w:rsid w:val="005D1179"/>
    <w:rsid w:val="005D129A"/>
    <w:rsid w:val="005D12EB"/>
    <w:rsid w:val="005D1490"/>
    <w:rsid w:val="005D16E4"/>
    <w:rsid w:val="005D17E5"/>
    <w:rsid w:val="005D1B42"/>
    <w:rsid w:val="005D1DC7"/>
    <w:rsid w:val="005D2A41"/>
    <w:rsid w:val="005D2FB0"/>
    <w:rsid w:val="005D30BA"/>
    <w:rsid w:val="005D349A"/>
    <w:rsid w:val="005D42A8"/>
    <w:rsid w:val="005D5019"/>
    <w:rsid w:val="005D5327"/>
    <w:rsid w:val="005D57AF"/>
    <w:rsid w:val="005D58FD"/>
    <w:rsid w:val="005D5D94"/>
    <w:rsid w:val="005D6269"/>
    <w:rsid w:val="005D6D00"/>
    <w:rsid w:val="005D765C"/>
    <w:rsid w:val="005D77A4"/>
    <w:rsid w:val="005D79C1"/>
    <w:rsid w:val="005D7C40"/>
    <w:rsid w:val="005E00BD"/>
    <w:rsid w:val="005E07E8"/>
    <w:rsid w:val="005E0FC4"/>
    <w:rsid w:val="005E1EF3"/>
    <w:rsid w:val="005E26B3"/>
    <w:rsid w:val="005E30A7"/>
    <w:rsid w:val="005E3644"/>
    <w:rsid w:val="005E3739"/>
    <w:rsid w:val="005E3DA6"/>
    <w:rsid w:val="005E40E0"/>
    <w:rsid w:val="005E4185"/>
    <w:rsid w:val="005E41BE"/>
    <w:rsid w:val="005E41C0"/>
    <w:rsid w:val="005E43AA"/>
    <w:rsid w:val="005E50D7"/>
    <w:rsid w:val="005E5426"/>
    <w:rsid w:val="005E555D"/>
    <w:rsid w:val="005E5DC4"/>
    <w:rsid w:val="005E65AC"/>
    <w:rsid w:val="005E7188"/>
    <w:rsid w:val="005E7408"/>
    <w:rsid w:val="005E7409"/>
    <w:rsid w:val="005E754D"/>
    <w:rsid w:val="005E7C73"/>
    <w:rsid w:val="005E7CF6"/>
    <w:rsid w:val="005E7D97"/>
    <w:rsid w:val="005F0524"/>
    <w:rsid w:val="005F072C"/>
    <w:rsid w:val="005F0DF7"/>
    <w:rsid w:val="005F1063"/>
    <w:rsid w:val="005F149F"/>
    <w:rsid w:val="005F1879"/>
    <w:rsid w:val="005F1B5A"/>
    <w:rsid w:val="005F2089"/>
    <w:rsid w:val="005F22A7"/>
    <w:rsid w:val="005F3439"/>
    <w:rsid w:val="005F3E51"/>
    <w:rsid w:val="005F4261"/>
    <w:rsid w:val="005F442F"/>
    <w:rsid w:val="005F4784"/>
    <w:rsid w:val="005F4C34"/>
    <w:rsid w:val="005F5001"/>
    <w:rsid w:val="005F56AE"/>
    <w:rsid w:val="005F5C4C"/>
    <w:rsid w:val="005F5D1C"/>
    <w:rsid w:val="005F5F8F"/>
    <w:rsid w:val="005F6D48"/>
    <w:rsid w:val="005F6FFE"/>
    <w:rsid w:val="005F781A"/>
    <w:rsid w:val="006003BA"/>
    <w:rsid w:val="00600A0C"/>
    <w:rsid w:val="00600B25"/>
    <w:rsid w:val="006018F8"/>
    <w:rsid w:val="0060216E"/>
    <w:rsid w:val="00602E43"/>
    <w:rsid w:val="00603B2A"/>
    <w:rsid w:val="00604B22"/>
    <w:rsid w:val="00604B43"/>
    <w:rsid w:val="00605496"/>
    <w:rsid w:val="00606D5C"/>
    <w:rsid w:val="00606EE6"/>
    <w:rsid w:val="00606FF4"/>
    <w:rsid w:val="0061101A"/>
    <w:rsid w:val="006115FD"/>
    <w:rsid w:val="00611B6E"/>
    <w:rsid w:val="0061219C"/>
    <w:rsid w:val="00612344"/>
    <w:rsid w:val="006123DF"/>
    <w:rsid w:val="00612AD8"/>
    <w:rsid w:val="00612EA1"/>
    <w:rsid w:val="00614183"/>
    <w:rsid w:val="006142C0"/>
    <w:rsid w:val="006145E0"/>
    <w:rsid w:val="006147DC"/>
    <w:rsid w:val="00614D92"/>
    <w:rsid w:val="006158F2"/>
    <w:rsid w:val="00615909"/>
    <w:rsid w:val="00615DF7"/>
    <w:rsid w:val="0061673A"/>
    <w:rsid w:val="00616762"/>
    <w:rsid w:val="0061717F"/>
    <w:rsid w:val="00617B79"/>
    <w:rsid w:val="00620746"/>
    <w:rsid w:val="0062105C"/>
    <w:rsid w:val="00621410"/>
    <w:rsid w:val="00621FDB"/>
    <w:rsid w:val="0062265B"/>
    <w:rsid w:val="00622936"/>
    <w:rsid w:val="00622FD0"/>
    <w:rsid w:val="0062385A"/>
    <w:rsid w:val="006238FB"/>
    <w:rsid w:val="00623C69"/>
    <w:rsid w:val="00623CFD"/>
    <w:rsid w:val="0062411A"/>
    <w:rsid w:val="00624915"/>
    <w:rsid w:val="00624D88"/>
    <w:rsid w:val="0062542B"/>
    <w:rsid w:val="00625B8E"/>
    <w:rsid w:val="00625DAA"/>
    <w:rsid w:val="00625E48"/>
    <w:rsid w:val="00626818"/>
    <w:rsid w:val="006271AA"/>
    <w:rsid w:val="00627424"/>
    <w:rsid w:val="00627761"/>
    <w:rsid w:val="006278AF"/>
    <w:rsid w:val="0062790C"/>
    <w:rsid w:val="006279EB"/>
    <w:rsid w:val="00627EBA"/>
    <w:rsid w:val="00630141"/>
    <w:rsid w:val="00630175"/>
    <w:rsid w:val="00630767"/>
    <w:rsid w:val="0063099E"/>
    <w:rsid w:val="00630A01"/>
    <w:rsid w:val="0063187B"/>
    <w:rsid w:val="0063197A"/>
    <w:rsid w:val="00632415"/>
    <w:rsid w:val="0063271C"/>
    <w:rsid w:val="00633C55"/>
    <w:rsid w:val="00634494"/>
    <w:rsid w:val="00634928"/>
    <w:rsid w:val="00634BD1"/>
    <w:rsid w:val="0063515C"/>
    <w:rsid w:val="00635642"/>
    <w:rsid w:val="00635BC1"/>
    <w:rsid w:val="00635D2D"/>
    <w:rsid w:val="00635FD1"/>
    <w:rsid w:val="006361DD"/>
    <w:rsid w:val="00636C69"/>
    <w:rsid w:val="00636C87"/>
    <w:rsid w:val="00636EB9"/>
    <w:rsid w:val="006371ED"/>
    <w:rsid w:val="00637640"/>
    <w:rsid w:val="0063794E"/>
    <w:rsid w:val="006403E3"/>
    <w:rsid w:val="00641284"/>
    <w:rsid w:val="00641BB9"/>
    <w:rsid w:val="00641DCC"/>
    <w:rsid w:val="0064228D"/>
    <w:rsid w:val="00642F0E"/>
    <w:rsid w:val="006430A4"/>
    <w:rsid w:val="006430AC"/>
    <w:rsid w:val="006439C0"/>
    <w:rsid w:val="0064453D"/>
    <w:rsid w:val="00644FD3"/>
    <w:rsid w:val="00645453"/>
    <w:rsid w:val="00645A33"/>
    <w:rsid w:val="006462B7"/>
    <w:rsid w:val="00646792"/>
    <w:rsid w:val="006469BE"/>
    <w:rsid w:val="00646BFE"/>
    <w:rsid w:val="0064798E"/>
    <w:rsid w:val="00647B47"/>
    <w:rsid w:val="00647D46"/>
    <w:rsid w:val="006503A9"/>
    <w:rsid w:val="006504A8"/>
    <w:rsid w:val="0065069B"/>
    <w:rsid w:val="00650E27"/>
    <w:rsid w:val="00651857"/>
    <w:rsid w:val="006518EF"/>
    <w:rsid w:val="00651B8A"/>
    <w:rsid w:val="0065234C"/>
    <w:rsid w:val="006525B9"/>
    <w:rsid w:val="00652A2F"/>
    <w:rsid w:val="00653A58"/>
    <w:rsid w:val="00653B56"/>
    <w:rsid w:val="00653E41"/>
    <w:rsid w:val="00653EC0"/>
    <w:rsid w:val="00655292"/>
    <w:rsid w:val="00655C06"/>
    <w:rsid w:val="00656287"/>
    <w:rsid w:val="006565C7"/>
    <w:rsid w:val="006571F7"/>
    <w:rsid w:val="00657212"/>
    <w:rsid w:val="00657303"/>
    <w:rsid w:val="0066055C"/>
    <w:rsid w:val="00660CD4"/>
    <w:rsid w:val="006618E2"/>
    <w:rsid w:val="006619E4"/>
    <w:rsid w:val="00661CB3"/>
    <w:rsid w:val="006623C8"/>
    <w:rsid w:val="006626CC"/>
    <w:rsid w:val="00662B0F"/>
    <w:rsid w:val="00662D4A"/>
    <w:rsid w:val="00663C92"/>
    <w:rsid w:val="00663CD6"/>
    <w:rsid w:val="00664D82"/>
    <w:rsid w:val="00664FAA"/>
    <w:rsid w:val="006653B0"/>
    <w:rsid w:val="00665E8C"/>
    <w:rsid w:val="00665F3C"/>
    <w:rsid w:val="0066611E"/>
    <w:rsid w:val="00666E74"/>
    <w:rsid w:val="0067033F"/>
    <w:rsid w:val="0067140F"/>
    <w:rsid w:val="00672649"/>
    <w:rsid w:val="00672B20"/>
    <w:rsid w:val="00672CDF"/>
    <w:rsid w:val="00672F0E"/>
    <w:rsid w:val="00673873"/>
    <w:rsid w:val="00673A27"/>
    <w:rsid w:val="00673B8F"/>
    <w:rsid w:val="0067419B"/>
    <w:rsid w:val="00674F29"/>
    <w:rsid w:val="0067594C"/>
    <w:rsid w:val="00675C85"/>
    <w:rsid w:val="0067630C"/>
    <w:rsid w:val="006765A5"/>
    <w:rsid w:val="00676BDD"/>
    <w:rsid w:val="00676FE8"/>
    <w:rsid w:val="006770BF"/>
    <w:rsid w:val="006807AF"/>
    <w:rsid w:val="0068091D"/>
    <w:rsid w:val="0068097B"/>
    <w:rsid w:val="00680F0D"/>
    <w:rsid w:val="00681244"/>
    <w:rsid w:val="006815DF"/>
    <w:rsid w:val="00681768"/>
    <w:rsid w:val="00682DC1"/>
    <w:rsid w:val="006835E7"/>
    <w:rsid w:val="00683F03"/>
    <w:rsid w:val="00683FF5"/>
    <w:rsid w:val="00683FFB"/>
    <w:rsid w:val="00684AA9"/>
    <w:rsid w:val="00684D05"/>
    <w:rsid w:val="00685556"/>
    <w:rsid w:val="00685D63"/>
    <w:rsid w:val="00686054"/>
    <w:rsid w:val="006865A3"/>
    <w:rsid w:val="006869EF"/>
    <w:rsid w:val="00686FD4"/>
    <w:rsid w:val="00687204"/>
    <w:rsid w:val="00687A79"/>
    <w:rsid w:val="00687E8A"/>
    <w:rsid w:val="006901BC"/>
    <w:rsid w:val="006913C0"/>
    <w:rsid w:val="006923D4"/>
    <w:rsid w:val="00692633"/>
    <w:rsid w:val="00692C22"/>
    <w:rsid w:val="00693613"/>
    <w:rsid w:val="00693634"/>
    <w:rsid w:val="006936F4"/>
    <w:rsid w:val="006954D3"/>
    <w:rsid w:val="00695A25"/>
    <w:rsid w:val="00696AF6"/>
    <w:rsid w:val="006971BE"/>
    <w:rsid w:val="00697403"/>
    <w:rsid w:val="006A0040"/>
    <w:rsid w:val="006A099C"/>
    <w:rsid w:val="006A0B79"/>
    <w:rsid w:val="006A0E1F"/>
    <w:rsid w:val="006A10DE"/>
    <w:rsid w:val="006A12FD"/>
    <w:rsid w:val="006A13A2"/>
    <w:rsid w:val="006A160C"/>
    <w:rsid w:val="006A17F3"/>
    <w:rsid w:val="006A1B57"/>
    <w:rsid w:val="006A2B3F"/>
    <w:rsid w:val="006A2CE8"/>
    <w:rsid w:val="006A31CD"/>
    <w:rsid w:val="006A32C3"/>
    <w:rsid w:val="006A37E7"/>
    <w:rsid w:val="006A40DE"/>
    <w:rsid w:val="006A4AE8"/>
    <w:rsid w:val="006A4EA7"/>
    <w:rsid w:val="006A4FFF"/>
    <w:rsid w:val="006A516F"/>
    <w:rsid w:val="006A5B17"/>
    <w:rsid w:val="006A5FD4"/>
    <w:rsid w:val="006A633E"/>
    <w:rsid w:val="006A6448"/>
    <w:rsid w:val="006A6B81"/>
    <w:rsid w:val="006A7087"/>
    <w:rsid w:val="006A7231"/>
    <w:rsid w:val="006A7251"/>
    <w:rsid w:val="006A7754"/>
    <w:rsid w:val="006A7AC5"/>
    <w:rsid w:val="006B078C"/>
    <w:rsid w:val="006B111C"/>
    <w:rsid w:val="006B124D"/>
    <w:rsid w:val="006B145E"/>
    <w:rsid w:val="006B1480"/>
    <w:rsid w:val="006B19C0"/>
    <w:rsid w:val="006B2719"/>
    <w:rsid w:val="006B29F7"/>
    <w:rsid w:val="006B3752"/>
    <w:rsid w:val="006B41C3"/>
    <w:rsid w:val="006B4326"/>
    <w:rsid w:val="006B4C44"/>
    <w:rsid w:val="006B4FDA"/>
    <w:rsid w:val="006B53A2"/>
    <w:rsid w:val="006B55F0"/>
    <w:rsid w:val="006B5D00"/>
    <w:rsid w:val="006B64B4"/>
    <w:rsid w:val="006B66A4"/>
    <w:rsid w:val="006B7263"/>
    <w:rsid w:val="006B747B"/>
    <w:rsid w:val="006C10E2"/>
    <w:rsid w:val="006C137A"/>
    <w:rsid w:val="006C25C4"/>
    <w:rsid w:val="006C295B"/>
    <w:rsid w:val="006C2C32"/>
    <w:rsid w:val="006C2D06"/>
    <w:rsid w:val="006C2EFB"/>
    <w:rsid w:val="006C2FB6"/>
    <w:rsid w:val="006C38D5"/>
    <w:rsid w:val="006C3D9A"/>
    <w:rsid w:val="006C454D"/>
    <w:rsid w:val="006C487C"/>
    <w:rsid w:val="006C48F3"/>
    <w:rsid w:val="006C4961"/>
    <w:rsid w:val="006C4CE9"/>
    <w:rsid w:val="006C52D7"/>
    <w:rsid w:val="006C5988"/>
    <w:rsid w:val="006C6516"/>
    <w:rsid w:val="006C65D7"/>
    <w:rsid w:val="006C667C"/>
    <w:rsid w:val="006C694A"/>
    <w:rsid w:val="006C6F82"/>
    <w:rsid w:val="006C74A5"/>
    <w:rsid w:val="006C7FBB"/>
    <w:rsid w:val="006D077D"/>
    <w:rsid w:val="006D0856"/>
    <w:rsid w:val="006D10A8"/>
    <w:rsid w:val="006D117D"/>
    <w:rsid w:val="006D1219"/>
    <w:rsid w:val="006D1384"/>
    <w:rsid w:val="006D14B3"/>
    <w:rsid w:val="006D1557"/>
    <w:rsid w:val="006D19CF"/>
    <w:rsid w:val="006D1FC9"/>
    <w:rsid w:val="006D22B4"/>
    <w:rsid w:val="006D2663"/>
    <w:rsid w:val="006D30EF"/>
    <w:rsid w:val="006D3BFE"/>
    <w:rsid w:val="006D3DD1"/>
    <w:rsid w:val="006D46B3"/>
    <w:rsid w:val="006D53E1"/>
    <w:rsid w:val="006D5839"/>
    <w:rsid w:val="006D5F59"/>
    <w:rsid w:val="006D67B3"/>
    <w:rsid w:val="006D6937"/>
    <w:rsid w:val="006D69A5"/>
    <w:rsid w:val="006D6AF1"/>
    <w:rsid w:val="006D70CB"/>
    <w:rsid w:val="006D77B2"/>
    <w:rsid w:val="006E0049"/>
    <w:rsid w:val="006E0165"/>
    <w:rsid w:val="006E045F"/>
    <w:rsid w:val="006E12EB"/>
    <w:rsid w:val="006E1CC8"/>
    <w:rsid w:val="006E25A0"/>
    <w:rsid w:val="006E3398"/>
    <w:rsid w:val="006E4229"/>
    <w:rsid w:val="006E5456"/>
    <w:rsid w:val="006E5589"/>
    <w:rsid w:val="006E5A5E"/>
    <w:rsid w:val="006E5D02"/>
    <w:rsid w:val="006E6037"/>
    <w:rsid w:val="006E667B"/>
    <w:rsid w:val="006E692D"/>
    <w:rsid w:val="006E7038"/>
    <w:rsid w:val="006E7961"/>
    <w:rsid w:val="006E7CFB"/>
    <w:rsid w:val="006E7DEB"/>
    <w:rsid w:val="006F0E09"/>
    <w:rsid w:val="006F15B8"/>
    <w:rsid w:val="006F27A4"/>
    <w:rsid w:val="006F3FAA"/>
    <w:rsid w:val="006F4292"/>
    <w:rsid w:val="006F4489"/>
    <w:rsid w:val="006F4832"/>
    <w:rsid w:val="006F4856"/>
    <w:rsid w:val="006F4958"/>
    <w:rsid w:val="006F5337"/>
    <w:rsid w:val="006F5746"/>
    <w:rsid w:val="006F62F1"/>
    <w:rsid w:val="006F66AE"/>
    <w:rsid w:val="006F674B"/>
    <w:rsid w:val="006F6985"/>
    <w:rsid w:val="006F69ED"/>
    <w:rsid w:val="006F7190"/>
    <w:rsid w:val="00700135"/>
    <w:rsid w:val="007005B6"/>
    <w:rsid w:val="00700A09"/>
    <w:rsid w:val="00700F06"/>
    <w:rsid w:val="00701050"/>
    <w:rsid w:val="00701611"/>
    <w:rsid w:val="00701AE8"/>
    <w:rsid w:val="00701B9A"/>
    <w:rsid w:val="00701FFC"/>
    <w:rsid w:val="00702F23"/>
    <w:rsid w:val="00703E9A"/>
    <w:rsid w:val="00704FFE"/>
    <w:rsid w:val="00705070"/>
    <w:rsid w:val="007050E6"/>
    <w:rsid w:val="00705D19"/>
    <w:rsid w:val="00705E38"/>
    <w:rsid w:val="007061C5"/>
    <w:rsid w:val="0070620B"/>
    <w:rsid w:val="007065CC"/>
    <w:rsid w:val="00706765"/>
    <w:rsid w:val="00706A36"/>
    <w:rsid w:val="00706B39"/>
    <w:rsid w:val="00706FAB"/>
    <w:rsid w:val="0070711A"/>
    <w:rsid w:val="00707249"/>
    <w:rsid w:val="007075A5"/>
    <w:rsid w:val="007104D3"/>
    <w:rsid w:val="007106CA"/>
    <w:rsid w:val="007106D5"/>
    <w:rsid w:val="00710D8C"/>
    <w:rsid w:val="00710F46"/>
    <w:rsid w:val="0071134F"/>
    <w:rsid w:val="00711E81"/>
    <w:rsid w:val="00712040"/>
    <w:rsid w:val="0071239B"/>
    <w:rsid w:val="0071305A"/>
    <w:rsid w:val="00713D30"/>
    <w:rsid w:val="00714521"/>
    <w:rsid w:val="00714C6B"/>
    <w:rsid w:val="0071501A"/>
    <w:rsid w:val="00715597"/>
    <w:rsid w:val="007165B6"/>
    <w:rsid w:val="00716C40"/>
    <w:rsid w:val="00716DCF"/>
    <w:rsid w:val="00717250"/>
    <w:rsid w:val="00717BF0"/>
    <w:rsid w:val="00717C82"/>
    <w:rsid w:val="0072010A"/>
    <w:rsid w:val="00720B14"/>
    <w:rsid w:val="007211FC"/>
    <w:rsid w:val="00721ABE"/>
    <w:rsid w:val="00722080"/>
    <w:rsid w:val="007225D5"/>
    <w:rsid w:val="00722C94"/>
    <w:rsid w:val="00723023"/>
    <w:rsid w:val="00723E1F"/>
    <w:rsid w:val="00723F6B"/>
    <w:rsid w:val="00724058"/>
    <w:rsid w:val="0072407E"/>
    <w:rsid w:val="00724A88"/>
    <w:rsid w:val="00724CB0"/>
    <w:rsid w:val="007253BB"/>
    <w:rsid w:val="00725722"/>
    <w:rsid w:val="00725B05"/>
    <w:rsid w:val="00725C35"/>
    <w:rsid w:val="007266D8"/>
    <w:rsid w:val="007269A6"/>
    <w:rsid w:val="007271E2"/>
    <w:rsid w:val="00727520"/>
    <w:rsid w:val="00727759"/>
    <w:rsid w:val="00727E9E"/>
    <w:rsid w:val="00727ED8"/>
    <w:rsid w:val="007303C0"/>
    <w:rsid w:val="00730693"/>
    <w:rsid w:val="007308A5"/>
    <w:rsid w:val="00730AB3"/>
    <w:rsid w:val="00730D80"/>
    <w:rsid w:val="0073156E"/>
    <w:rsid w:val="0073233E"/>
    <w:rsid w:val="007328E5"/>
    <w:rsid w:val="0073294A"/>
    <w:rsid w:val="00732952"/>
    <w:rsid w:val="00732D39"/>
    <w:rsid w:val="00732E88"/>
    <w:rsid w:val="00732F00"/>
    <w:rsid w:val="007336DC"/>
    <w:rsid w:val="00733EE0"/>
    <w:rsid w:val="007340C4"/>
    <w:rsid w:val="00734336"/>
    <w:rsid w:val="007349EA"/>
    <w:rsid w:val="00734E62"/>
    <w:rsid w:val="0073504B"/>
    <w:rsid w:val="00735929"/>
    <w:rsid w:val="00735962"/>
    <w:rsid w:val="0073648E"/>
    <w:rsid w:val="00736B86"/>
    <w:rsid w:val="00736F2C"/>
    <w:rsid w:val="0073719C"/>
    <w:rsid w:val="00737B09"/>
    <w:rsid w:val="00737C43"/>
    <w:rsid w:val="007402A1"/>
    <w:rsid w:val="007406CE"/>
    <w:rsid w:val="00740CA0"/>
    <w:rsid w:val="00741003"/>
    <w:rsid w:val="007414C7"/>
    <w:rsid w:val="0074184D"/>
    <w:rsid w:val="00742274"/>
    <w:rsid w:val="00742E7D"/>
    <w:rsid w:val="00742EA7"/>
    <w:rsid w:val="00742F9D"/>
    <w:rsid w:val="0074301E"/>
    <w:rsid w:val="00743764"/>
    <w:rsid w:val="007439CB"/>
    <w:rsid w:val="00743CE4"/>
    <w:rsid w:val="00743DE5"/>
    <w:rsid w:val="00743F6E"/>
    <w:rsid w:val="00744888"/>
    <w:rsid w:val="00744E38"/>
    <w:rsid w:val="007458EE"/>
    <w:rsid w:val="00745A2C"/>
    <w:rsid w:val="00745BC4"/>
    <w:rsid w:val="00745BD7"/>
    <w:rsid w:val="0074642E"/>
    <w:rsid w:val="0074647F"/>
    <w:rsid w:val="00746A07"/>
    <w:rsid w:val="00746FB0"/>
    <w:rsid w:val="007475F5"/>
    <w:rsid w:val="007478CE"/>
    <w:rsid w:val="00747B60"/>
    <w:rsid w:val="00747E74"/>
    <w:rsid w:val="00750284"/>
    <w:rsid w:val="00750887"/>
    <w:rsid w:val="007511BC"/>
    <w:rsid w:val="007521D7"/>
    <w:rsid w:val="00752A33"/>
    <w:rsid w:val="00753349"/>
    <w:rsid w:val="007533D7"/>
    <w:rsid w:val="007534AA"/>
    <w:rsid w:val="00754597"/>
    <w:rsid w:val="00755450"/>
    <w:rsid w:val="00755726"/>
    <w:rsid w:val="007560D0"/>
    <w:rsid w:val="00756191"/>
    <w:rsid w:val="00756195"/>
    <w:rsid w:val="007567AA"/>
    <w:rsid w:val="007567EB"/>
    <w:rsid w:val="00756D54"/>
    <w:rsid w:val="00757069"/>
    <w:rsid w:val="00757B40"/>
    <w:rsid w:val="00757C47"/>
    <w:rsid w:val="00757EB3"/>
    <w:rsid w:val="00760589"/>
    <w:rsid w:val="00760EAE"/>
    <w:rsid w:val="00761B8E"/>
    <w:rsid w:val="00761CDF"/>
    <w:rsid w:val="00762431"/>
    <w:rsid w:val="00762691"/>
    <w:rsid w:val="0076285E"/>
    <w:rsid w:val="00762AA2"/>
    <w:rsid w:val="00762AD5"/>
    <w:rsid w:val="00762D65"/>
    <w:rsid w:val="00762FA6"/>
    <w:rsid w:val="00763462"/>
    <w:rsid w:val="00763A47"/>
    <w:rsid w:val="00763CFD"/>
    <w:rsid w:val="00764784"/>
    <w:rsid w:val="00764E01"/>
    <w:rsid w:val="007651F5"/>
    <w:rsid w:val="00765424"/>
    <w:rsid w:val="0076567B"/>
    <w:rsid w:val="0076569A"/>
    <w:rsid w:val="00765BFA"/>
    <w:rsid w:val="00765EAC"/>
    <w:rsid w:val="00766054"/>
    <w:rsid w:val="007667F1"/>
    <w:rsid w:val="00766937"/>
    <w:rsid w:val="0076748C"/>
    <w:rsid w:val="00767C0A"/>
    <w:rsid w:val="007702BB"/>
    <w:rsid w:val="00770387"/>
    <w:rsid w:val="007705A0"/>
    <w:rsid w:val="00770911"/>
    <w:rsid w:val="00770A1A"/>
    <w:rsid w:val="00770EBA"/>
    <w:rsid w:val="00771177"/>
    <w:rsid w:val="00771323"/>
    <w:rsid w:val="007716F5"/>
    <w:rsid w:val="00771CA3"/>
    <w:rsid w:val="00772459"/>
    <w:rsid w:val="007724BD"/>
    <w:rsid w:val="0077252C"/>
    <w:rsid w:val="00772751"/>
    <w:rsid w:val="00772956"/>
    <w:rsid w:val="00772B15"/>
    <w:rsid w:val="0077325B"/>
    <w:rsid w:val="0077346C"/>
    <w:rsid w:val="007734A0"/>
    <w:rsid w:val="00773CD5"/>
    <w:rsid w:val="00773ED4"/>
    <w:rsid w:val="007746C6"/>
    <w:rsid w:val="00774B61"/>
    <w:rsid w:val="00775795"/>
    <w:rsid w:val="007765AF"/>
    <w:rsid w:val="0077795C"/>
    <w:rsid w:val="00780A92"/>
    <w:rsid w:val="00781584"/>
    <w:rsid w:val="0078210E"/>
    <w:rsid w:val="0078223E"/>
    <w:rsid w:val="007825C7"/>
    <w:rsid w:val="00782D5A"/>
    <w:rsid w:val="00783A91"/>
    <w:rsid w:val="007841EE"/>
    <w:rsid w:val="007846D2"/>
    <w:rsid w:val="00784AE2"/>
    <w:rsid w:val="00784BE1"/>
    <w:rsid w:val="007859B0"/>
    <w:rsid w:val="00785B9F"/>
    <w:rsid w:val="0078624D"/>
    <w:rsid w:val="0078667C"/>
    <w:rsid w:val="007866C8"/>
    <w:rsid w:val="007871DC"/>
    <w:rsid w:val="00787310"/>
    <w:rsid w:val="00787327"/>
    <w:rsid w:val="007905F9"/>
    <w:rsid w:val="00790A5D"/>
    <w:rsid w:val="00790CAC"/>
    <w:rsid w:val="00790E2F"/>
    <w:rsid w:val="0079109C"/>
    <w:rsid w:val="007910F2"/>
    <w:rsid w:val="007915DA"/>
    <w:rsid w:val="007918EB"/>
    <w:rsid w:val="00791944"/>
    <w:rsid w:val="0079268E"/>
    <w:rsid w:val="007928B4"/>
    <w:rsid w:val="00792E10"/>
    <w:rsid w:val="007933D8"/>
    <w:rsid w:val="0079414E"/>
    <w:rsid w:val="00794ABA"/>
    <w:rsid w:val="00794B20"/>
    <w:rsid w:val="007957BA"/>
    <w:rsid w:val="00795B48"/>
    <w:rsid w:val="00795BD0"/>
    <w:rsid w:val="00795E9F"/>
    <w:rsid w:val="0079617C"/>
    <w:rsid w:val="00796364"/>
    <w:rsid w:val="00796568"/>
    <w:rsid w:val="007967D4"/>
    <w:rsid w:val="007A032F"/>
    <w:rsid w:val="007A0B81"/>
    <w:rsid w:val="007A120A"/>
    <w:rsid w:val="007A12A4"/>
    <w:rsid w:val="007A1FB5"/>
    <w:rsid w:val="007A22C4"/>
    <w:rsid w:val="007A2435"/>
    <w:rsid w:val="007A2654"/>
    <w:rsid w:val="007A2BD4"/>
    <w:rsid w:val="007A2E38"/>
    <w:rsid w:val="007A3513"/>
    <w:rsid w:val="007A3982"/>
    <w:rsid w:val="007A3FC3"/>
    <w:rsid w:val="007A4C68"/>
    <w:rsid w:val="007A4DB6"/>
    <w:rsid w:val="007A4FDF"/>
    <w:rsid w:val="007A50AC"/>
    <w:rsid w:val="007A5D90"/>
    <w:rsid w:val="007A6186"/>
    <w:rsid w:val="007A6318"/>
    <w:rsid w:val="007A66A9"/>
    <w:rsid w:val="007A72C8"/>
    <w:rsid w:val="007A75B2"/>
    <w:rsid w:val="007A79D6"/>
    <w:rsid w:val="007A7BB9"/>
    <w:rsid w:val="007A7F81"/>
    <w:rsid w:val="007A7F84"/>
    <w:rsid w:val="007A7FB1"/>
    <w:rsid w:val="007A7FD9"/>
    <w:rsid w:val="007B03FB"/>
    <w:rsid w:val="007B0CF0"/>
    <w:rsid w:val="007B1CD2"/>
    <w:rsid w:val="007B1FAC"/>
    <w:rsid w:val="007B244A"/>
    <w:rsid w:val="007B3C62"/>
    <w:rsid w:val="007B3E0E"/>
    <w:rsid w:val="007B4254"/>
    <w:rsid w:val="007B42B9"/>
    <w:rsid w:val="007B43DE"/>
    <w:rsid w:val="007B4719"/>
    <w:rsid w:val="007B4CF0"/>
    <w:rsid w:val="007B4F86"/>
    <w:rsid w:val="007B5E8D"/>
    <w:rsid w:val="007B5FAD"/>
    <w:rsid w:val="007B6008"/>
    <w:rsid w:val="007B6277"/>
    <w:rsid w:val="007B64E8"/>
    <w:rsid w:val="007B6A79"/>
    <w:rsid w:val="007B6F47"/>
    <w:rsid w:val="007B7011"/>
    <w:rsid w:val="007B73EE"/>
    <w:rsid w:val="007B76FC"/>
    <w:rsid w:val="007B7724"/>
    <w:rsid w:val="007B7FAB"/>
    <w:rsid w:val="007C010B"/>
    <w:rsid w:val="007C026A"/>
    <w:rsid w:val="007C0DC1"/>
    <w:rsid w:val="007C107C"/>
    <w:rsid w:val="007C1255"/>
    <w:rsid w:val="007C18CD"/>
    <w:rsid w:val="007C1BD4"/>
    <w:rsid w:val="007C1EA8"/>
    <w:rsid w:val="007C2003"/>
    <w:rsid w:val="007C2C40"/>
    <w:rsid w:val="007C2F11"/>
    <w:rsid w:val="007C3309"/>
    <w:rsid w:val="007C3A5A"/>
    <w:rsid w:val="007C3A87"/>
    <w:rsid w:val="007C3AAC"/>
    <w:rsid w:val="007C440E"/>
    <w:rsid w:val="007C49C5"/>
    <w:rsid w:val="007C4F6D"/>
    <w:rsid w:val="007C59D6"/>
    <w:rsid w:val="007C5DD3"/>
    <w:rsid w:val="007C6BD6"/>
    <w:rsid w:val="007C6F22"/>
    <w:rsid w:val="007C744E"/>
    <w:rsid w:val="007C7515"/>
    <w:rsid w:val="007C7D68"/>
    <w:rsid w:val="007C7EBF"/>
    <w:rsid w:val="007D1295"/>
    <w:rsid w:val="007D1D44"/>
    <w:rsid w:val="007D1EF0"/>
    <w:rsid w:val="007D2460"/>
    <w:rsid w:val="007D24DC"/>
    <w:rsid w:val="007D26AC"/>
    <w:rsid w:val="007D3877"/>
    <w:rsid w:val="007D3948"/>
    <w:rsid w:val="007D3B70"/>
    <w:rsid w:val="007D3D16"/>
    <w:rsid w:val="007D48DC"/>
    <w:rsid w:val="007D4BF2"/>
    <w:rsid w:val="007D533D"/>
    <w:rsid w:val="007D5587"/>
    <w:rsid w:val="007D6694"/>
    <w:rsid w:val="007D709D"/>
    <w:rsid w:val="007D7A52"/>
    <w:rsid w:val="007E07BF"/>
    <w:rsid w:val="007E0DC8"/>
    <w:rsid w:val="007E0E19"/>
    <w:rsid w:val="007E117C"/>
    <w:rsid w:val="007E1217"/>
    <w:rsid w:val="007E1338"/>
    <w:rsid w:val="007E199C"/>
    <w:rsid w:val="007E19C2"/>
    <w:rsid w:val="007E287D"/>
    <w:rsid w:val="007E2FDC"/>
    <w:rsid w:val="007E34FA"/>
    <w:rsid w:val="007E3618"/>
    <w:rsid w:val="007E47B3"/>
    <w:rsid w:val="007E4A3C"/>
    <w:rsid w:val="007E508C"/>
    <w:rsid w:val="007E5100"/>
    <w:rsid w:val="007E52EE"/>
    <w:rsid w:val="007E5987"/>
    <w:rsid w:val="007E62FC"/>
    <w:rsid w:val="007E728A"/>
    <w:rsid w:val="007F0504"/>
    <w:rsid w:val="007F080C"/>
    <w:rsid w:val="007F13BC"/>
    <w:rsid w:val="007F14B7"/>
    <w:rsid w:val="007F15C2"/>
    <w:rsid w:val="007F1969"/>
    <w:rsid w:val="007F1CD1"/>
    <w:rsid w:val="007F25A8"/>
    <w:rsid w:val="007F2709"/>
    <w:rsid w:val="007F2CEC"/>
    <w:rsid w:val="007F3776"/>
    <w:rsid w:val="007F3E78"/>
    <w:rsid w:val="007F5244"/>
    <w:rsid w:val="007F6713"/>
    <w:rsid w:val="007F7386"/>
    <w:rsid w:val="007F78F7"/>
    <w:rsid w:val="007F7BB4"/>
    <w:rsid w:val="00800D9E"/>
    <w:rsid w:val="00801142"/>
    <w:rsid w:val="00802121"/>
    <w:rsid w:val="00802155"/>
    <w:rsid w:val="008022EB"/>
    <w:rsid w:val="008039C1"/>
    <w:rsid w:val="008039F6"/>
    <w:rsid w:val="00803B8B"/>
    <w:rsid w:val="008040D5"/>
    <w:rsid w:val="008042A4"/>
    <w:rsid w:val="0080452D"/>
    <w:rsid w:val="00805490"/>
    <w:rsid w:val="00805517"/>
    <w:rsid w:val="00805FAA"/>
    <w:rsid w:val="008062F7"/>
    <w:rsid w:val="0080640B"/>
    <w:rsid w:val="008067FF"/>
    <w:rsid w:val="00806BCF"/>
    <w:rsid w:val="0080706D"/>
    <w:rsid w:val="00807449"/>
    <w:rsid w:val="008078D7"/>
    <w:rsid w:val="00807DCD"/>
    <w:rsid w:val="00810A5F"/>
    <w:rsid w:val="00810EA5"/>
    <w:rsid w:val="00811CAB"/>
    <w:rsid w:val="0081238D"/>
    <w:rsid w:val="0081251C"/>
    <w:rsid w:val="00812741"/>
    <w:rsid w:val="008128C8"/>
    <w:rsid w:val="00812A03"/>
    <w:rsid w:val="0081326E"/>
    <w:rsid w:val="00813367"/>
    <w:rsid w:val="0081352D"/>
    <w:rsid w:val="008161B8"/>
    <w:rsid w:val="008171BA"/>
    <w:rsid w:val="008174E5"/>
    <w:rsid w:val="00817738"/>
    <w:rsid w:val="00817E7E"/>
    <w:rsid w:val="008208C4"/>
    <w:rsid w:val="00820D3D"/>
    <w:rsid w:val="00820EA8"/>
    <w:rsid w:val="00821018"/>
    <w:rsid w:val="008213A6"/>
    <w:rsid w:val="0082161F"/>
    <w:rsid w:val="00821BC6"/>
    <w:rsid w:val="00822572"/>
    <w:rsid w:val="00822615"/>
    <w:rsid w:val="00822A8E"/>
    <w:rsid w:val="008232CA"/>
    <w:rsid w:val="00823629"/>
    <w:rsid w:val="00824B5A"/>
    <w:rsid w:val="00824C93"/>
    <w:rsid w:val="00825A71"/>
    <w:rsid w:val="00825B67"/>
    <w:rsid w:val="00825C56"/>
    <w:rsid w:val="008268E2"/>
    <w:rsid w:val="00827407"/>
    <w:rsid w:val="00827F3C"/>
    <w:rsid w:val="008301B4"/>
    <w:rsid w:val="00831A3D"/>
    <w:rsid w:val="00831BD6"/>
    <w:rsid w:val="0083283F"/>
    <w:rsid w:val="0083336A"/>
    <w:rsid w:val="008337A7"/>
    <w:rsid w:val="0083410C"/>
    <w:rsid w:val="0083416F"/>
    <w:rsid w:val="00834671"/>
    <w:rsid w:val="00834A70"/>
    <w:rsid w:val="00834C83"/>
    <w:rsid w:val="00834CBB"/>
    <w:rsid w:val="0083553E"/>
    <w:rsid w:val="00835C0A"/>
    <w:rsid w:val="0083685F"/>
    <w:rsid w:val="00836E6F"/>
    <w:rsid w:val="00837350"/>
    <w:rsid w:val="00837514"/>
    <w:rsid w:val="00837759"/>
    <w:rsid w:val="00837831"/>
    <w:rsid w:val="0084068A"/>
    <w:rsid w:val="008407DB"/>
    <w:rsid w:val="00840C41"/>
    <w:rsid w:val="00840D8A"/>
    <w:rsid w:val="008419E1"/>
    <w:rsid w:val="00841B61"/>
    <w:rsid w:val="008428BB"/>
    <w:rsid w:val="00842F37"/>
    <w:rsid w:val="00843C2E"/>
    <w:rsid w:val="00843CFF"/>
    <w:rsid w:val="00844820"/>
    <w:rsid w:val="00844E76"/>
    <w:rsid w:val="00845742"/>
    <w:rsid w:val="00845BF0"/>
    <w:rsid w:val="00845BF3"/>
    <w:rsid w:val="0084660A"/>
    <w:rsid w:val="00846DB2"/>
    <w:rsid w:val="00846E81"/>
    <w:rsid w:val="00847138"/>
    <w:rsid w:val="0084720D"/>
    <w:rsid w:val="00847580"/>
    <w:rsid w:val="008502D8"/>
    <w:rsid w:val="00851B89"/>
    <w:rsid w:val="008534B9"/>
    <w:rsid w:val="00853711"/>
    <w:rsid w:val="0085374E"/>
    <w:rsid w:val="008537C9"/>
    <w:rsid w:val="00853B9D"/>
    <w:rsid w:val="00853ED1"/>
    <w:rsid w:val="00854979"/>
    <w:rsid w:val="00854C59"/>
    <w:rsid w:val="00854CB5"/>
    <w:rsid w:val="008555AD"/>
    <w:rsid w:val="00856A42"/>
    <w:rsid w:val="00857A28"/>
    <w:rsid w:val="0086015A"/>
    <w:rsid w:val="00860460"/>
    <w:rsid w:val="0086054C"/>
    <w:rsid w:val="00860B6C"/>
    <w:rsid w:val="00860FDA"/>
    <w:rsid w:val="008612A0"/>
    <w:rsid w:val="00861820"/>
    <w:rsid w:val="00861BB3"/>
    <w:rsid w:val="00861C40"/>
    <w:rsid w:val="00862022"/>
    <w:rsid w:val="008623AD"/>
    <w:rsid w:val="00862610"/>
    <w:rsid w:val="00862654"/>
    <w:rsid w:val="008629D5"/>
    <w:rsid w:val="00862A17"/>
    <w:rsid w:val="008631DB"/>
    <w:rsid w:val="008633DA"/>
    <w:rsid w:val="00863CCE"/>
    <w:rsid w:val="00864C01"/>
    <w:rsid w:val="00864C0F"/>
    <w:rsid w:val="00864D9E"/>
    <w:rsid w:val="00864E12"/>
    <w:rsid w:val="00866286"/>
    <w:rsid w:val="00866D27"/>
    <w:rsid w:val="00866ECD"/>
    <w:rsid w:val="00866F5E"/>
    <w:rsid w:val="00867225"/>
    <w:rsid w:val="00867240"/>
    <w:rsid w:val="00867387"/>
    <w:rsid w:val="00870BAE"/>
    <w:rsid w:val="00870FF5"/>
    <w:rsid w:val="0087155D"/>
    <w:rsid w:val="008718AB"/>
    <w:rsid w:val="008721C5"/>
    <w:rsid w:val="008722FC"/>
    <w:rsid w:val="00872C2E"/>
    <w:rsid w:val="00872E82"/>
    <w:rsid w:val="00873193"/>
    <w:rsid w:val="00873BE3"/>
    <w:rsid w:val="00874206"/>
    <w:rsid w:val="00874286"/>
    <w:rsid w:val="00874593"/>
    <w:rsid w:val="0087467E"/>
    <w:rsid w:val="008747CE"/>
    <w:rsid w:val="008748E5"/>
    <w:rsid w:val="00874A8A"/>
    <w:rsid w:val="008757F1"/>
    <w:rsid w:val="00875DD6"/>
    <w:rsid w:val="008764C4"/>
    <w:rsid w:val="00876576"/>
    <w:rsid w:val="008765A9"/>
    <w:rsid w:val="008769AC"/>
    <w:rsid w:val="00876C05"/>
    <w:rsid w:val="00876CEE"/>
    <w:rsid w:val="00876EFF"/>
    <w:rsid w:val="008773DD"/>
    <w:rsid w:val="008775FD"/>
    <w:rsid w:val="008776FF"/>
    <w:rsid w:val="00877E5B"/>
    <w:rsid w:val="0088014A"/>
    <w:rsid w:val="00880592"/>
    <w:rsid w:val="008813E4"/>
    <w:rsid w:val="00881974"/>
    <w:rsid w:val="00881BE1"/>
    <w:rsid w:val="008823D0"/>
    <w:rsid w:val="00882D7C"/>
    <w:rsid w:val="008838DA"/>
    <w:rsid w:val="008845DE"/>
    <w:rsid w:val="008847B1"/>
    <w:rsid w:val="00884E47"/>
    <w:rsid w:val="00884F18"/>
    <w:rsid w:val="00885503"/>
    <w:rsid w:val="00885AC2"/>
    <w:rsid w:val="0088664D"/>
    <w:rsid w:val="008866E2"/>
    <w:rsid w:val="00886DED"/>
    <w:rsid w:val="00886E16"/>
    <w:rsid w:val="00887372"/>
    <w:rsid w:val="00887383"/>
    <w:rsid w:val="00887714"/>
    <w:rsid w:val="00887AA9"/>
    <w:rsid w:val="00887D76"/>
    <w:rsid w:val="00887FC4"/>
    <w:rsid w:val="00890165"/>
    <w:rsid w:val="00890448"/>
    <w:rsid w:val="00890826"/>
    <w:rsid w:val="00890B31"/>
    <w:rsid w:val="00890D89"/>
    <w:rsid w:val="00891682"/>
    <w:rsid w:val="0089189E"/>
    <w:rsid w:val="00891B29"/>
    <w:rsid w:val="00891B4F"/>
    <w:rsid w:val="00891FD5"/>
    <w:rsid w:val="0089222E"/>
    <w:rsid w:val="00892E8C"/>
    <w:rsid w:val="0089385E"/>
    <w:rsid w:val="008939F1"/>
    <w:rsid w:val="00895313"/>
    <w:rsid w:val="00896D36"/>
    <w:rsid w:val="0089718E"/>
    <w:rsid w:val="008974A6"/>
    <w:rsid w:val="008978EA"/>
    <w:rsid w:val="008A0379"/>
    <w:rsid w:val="008A0E3B"/>
    <w:rsid w:val="008A20D4"/>
    <w:rsid w:val="008A2C0F"/>
    <w:rsid w:val="008A3CE0"/>
    <w:rsid w:val="008A41EE"/>
    <w:rsid w:val="008A4579"/>
    <w:rsid w:val="008A45A3"/>
    <w:rsid w:val="008A46D9"/>
    <w:rsid w:val="008A483E"/>
    <w:rsid w:val="008A544E"/>
    <w:rsid w:val="008A5AF9"/>
    <w:rsid w:val="008A75C7"/>
    <w:rsid w:val="008B0317"/>
    <w:rsid w:val="008B044A"/>
    <w:rsid w:val="008B10BD"/>
    <w:rsid w:val="008B11A0"/>
    <w:rsid w:val="008B12D6"/>
    <w:rsid w:val="008B2AEB"/>
    <w:rsid w:val="008B2B63"/>
    <w:rsid w:val="008B3809"/>
    <w:rsid w:val="008B3AA1"/>
    <w:rsid w:val="008B3B73"/>
    <w:rsid w:val="008B3FBB"/>
    <w:rsid w:val="008B4B5B"/>
    <w:rsid w:val="008B5321"/>
    <w:rsid w:val="008B5AE2"/>
    <w:rsid w:val="008B5CA9"/>
    <w:rsid w:val="008B5F88"/>
    <w:rsid w:val="008B6217"/>
    <w:rsid w:val="008B73C2"/>
    <w:rsid w:val="008B7E6C"/>
    <w:rsid w:val="008B7F15"/>
    <w:rsid w:val="008C034B"/>
    <w:rsid w:val="008C0456"/>
    <w:rsid w:val="008C08A8"/>
    <w:rsid w:val="008C0A46"/>
    <w:rsid w:val="008C186B"/>
    <w:rsid w:val="008C189F"/>
    <w:rsid w:val="008C18B9"/>
    <w:rsid w:val="008C1BED"/>
    <w:rsid w:val="008C1C9A"/>
    <w:rsid w:val="008C3C8C"/>
    <w:rsid w:val="008C3D36"/>
    <w:rsid w:val="008C3F7E"/>
    <w:rsid w:val="008C44E1"/>
    <w:rsid w:val="008C4BC6"/>
    <w:rsid w:val="008C4D49"/>
    <w:rsid w:val="008C501A"/>
    <w:rsid w:val="008C50BB"/>
    <w:rsid w:val="008C535F"/>
    <w:rsid w:val="008C5CBC"/>
    <w:rsid w:val="008C66D3"/>
    <w:rsid w:val="008C674F"/>
    <w:rsid w:val="008C76F4"/>
    <w:rsid w:val="008C7ACE"/>
    <w:rsid w:val="008D027D"/>
    <w:rsid w:val="008D06AD"/>
    <w:rsid w:val="008D0C39"/>
    <w:rsid w:val="008D1311"/>
    <w:rsid w:val="008D1A6A"/>
    <w:rsid w:val="008D2729"/>
    <w:rsid w:val="008D2F22"/>
    <w:rsid w:val="008D32B4"/>
    <w:rsid w:val="008D38BF"/>
    <w:rsid w:val="008D3AC2"/>
    <w:rsid w:val="008D4004"/>
    <w:rsid w:val="008D44FD"/>
    <w:rsid w:val="008D4737"/>
    <w:rsid w:val="008D48E2"/>
    <w:rsid w:val="008D5751"/>
    <w:rsid w:val="008D58B9"/>
    <w:rsid w:val="008D612D"/>
    <w:rsid w:val="008D68B2"/>
    <w:rsid w:val="008D69A2"/>
    <w:rsid w:val="008D6A0B"/>
    <w:rsid w:val="008D7801"/>
    <w:rsid w:val="008D7D57"/>
    <w:rsid w:val="008E0828"/>
    <w:rsid w:val="008E123E"/>
    <w:rsid w:val="008E16AD"/>
    <w:rsid w:val="008E1DFD"/>
    <w:rsid w:val="008E256D"/>
    <w:rsid w:val="008E2774"/>
    <w:rsid w:val="008E2B72"/>
    <w:rsid w:val="008E2F39"/>
    <w:rsid w:val="008E3609"/>
    <w:rsid w:val="008E3B41"/>
    <w:rsid w:val="008E40BA"/>
    <w:rsid w:val="008E4B87"/>
    <w:rsid w:val="008E616B"/>
    <w:rsid w:val="008E648C"/>
    <w:rsid w:val="008E7783"/>
    <w:rsid w:val="008E7FCE"/>
    <w:rsid w:val="008F0118"/>
    <w:rsid w:val="008F019E"/>
    <w:rsid w:val="008F01AD"/>
    <w:rsid w:val="008F0648"/>
    <w:rsid w:val="008F0B52"/>
    <w:rsid w:val="008F0CF9"/>
    <w:rsid w:val="008F0E3E"/>
    <w:rsid w:val="008F1930"/>
    <w:rsid w:val="008F22AB"/>
    <w:rsid w:val="008F2680"/>
    <w:rsid w:val="008F2797"/>
    <w:rsid w:val="008F2849"/>
    <w:rsid w:val="008F28FE"/>
    <w:rsid w:val="008F29BE"/>
    <w:rsid w:val="008F2C74"/>
    <w:rsid w:val="008F31DB"/>
    <w:rsid w:val="008F3D96"/>
    <w:rsid w:val="008F42F7"/>
    <w:rsid w:val="008F456A"/>
    <w:rsid w:val="008F4664"/>
    <w:rsid w:val="008F4BCC"/>
    <w:rsid w:val="008F50B4"/>
    <w:rsid w:val="008F5B28"/>
    <w:rsid w:val="008F5C0B"/>
    <w:rsid w:val="008F5E41"/>
    <w:rsid w:val="008F5E9D"/>
    <w:rsid w:val="008F65A7"/>
    <w:rsid w:val="008F6868"/>
    <w:rsid w:val="008F68EB"/>
    <w:rsid w:val="008F71BD"/>
    <w:rsid w:val="008F7389"/>
    <w:rsid w:val="008F79F7"/>
    <w:rsid w:val="0090019A"/>
    <w:rsid w:val="009010DF"/>
    <w:rsid w:val="009011AD"/>
    <w:rsid w:val="00901229"/>
    <w:rsid w:val="0090245C"/>
    <w:rsid w:val="00902584"/>
    <w:rsid w:val="00902712"/>
    <w:rsid w:val="00902725"/>
    <w:rsid w:val="009031F0"/>
    <w:rsid w:val="00903B9D"/>
    <w:rsid w:val="00904735"/>
    <w:rsid w:val="0090490D"/>
    <w:rsid w:val="00904FE8"/>
    <w:rsid w:val="00905BAE"/>
    <w:rsid w:val="00905D41"/>
    <w:rsid w:val="009061B6"/>
    <w:rsid w:val="009064F8"/>
    <w:rsid w:val="0090764A"/>
    <w:rsid w:val="0090783F"/>
    <w:rsid w:val="009078EA"/>
    <w:rsid w:val="00907A3A"/>
    <w:rsid w:val="00907F6B"/>
    <w:rsid w:val="0091019E"/>
    <w:rsid w:val="00910786"/>
    <w:rsid w:val="00911B6C"/>
    <w:rsid w:val="0091209C"/>
    <w:rsid w:val="0091303A"/>
    <w:rsid w:val="0091362B"/>
    <w:rsid w:val="009136D5"/>
    <w:rsid w:val="009141C1"/>
    <w:rsid w:val="009141FF"/>
    <w:rsid w:val="00914227"/>
    <w:rsid w:val="0091427B"/>
    <w:rsid w:val="00914409"/>
    <w:rsid w:val="00914EA8"/>
    <w:rsid w:val="00915065"/>
    <w:rsid w:val="0091536C"/>
    <w:rsid w:val="00915757"/>
    <w:rsid w:val="00917F2D"/>
    <w:rsid w:val="009207CD"/>
    <w:rsid w:val="00920A06"/>
    <w:rsid w:val="00920B58"/>
    <w:rsid w:val="009211EF"/>
    <w:rsid w:val="0092136C"/>
    <w:rsid w:val="009222B9"/>
    <w:rsid w:val="00922D3B"/>
    <w:rsid w:val="00923129"/>
    <w:rsid w:val="009237DD"/>
    <w:rsid w:val="00923AB6"/>
    <w:rsid w:val="00924B20"/>
    <w:rsid w:val="00924BF6"/>
    <w:rsid w:val="00925177"/>
    <w:rsid w:val="00925F29"/>
    <w:rsid w:val="00926068"/>
    <w:rsid w:val="00926FA6"/>
    <w:rsid w:val="00930327"/>
    <w:rsid w:val="00930360"/>
    <w:rsid w:val="00930D11"/>
    <w:rsid w:val="00931035"/>
    <w:rsid w:val="00932246"/>
    <w:rsid w:val="009323FF"/>
    <w:rsid w:val="00932711"/>
    <w:rsid w:val="00933751"/>
    <w:rsid w:val="00933779"/>
    <w:rsid w:val="00933917"/>
    <w:rsid w:val="00933EC2"/>
    <w:rsid w:val="00934B29"/>
    <w:rsid w:val="00935B81"/>
    <w:rsid w:val="00936B6C"/>
    <w:rsid w:val="00937000"/>
    <w:rsid w:val="00937082"/>
    <w:rsid w:val="009377A4"/>
    <w:rsid w:val="00937BD1"/>
    <w:rsid w:val="00937C9C"/>
    <w:rsid w:val="00937CB4"/>
    <w:rsid w:val="0094094E"/>
    <w:rsid w:val="009410DC"/>
    <w:rsid w:val="00941BBC"/>
    <w:rsid w:val="00941E1B"/>
    <w:rsid w:val="00942273"/>
    <w:rsid w:val="009425FC"/>
    <w:rsid w:val="00942DE8"/>
    <w:rsid w:val="00944337"/>
    <w:rsid w:val="00944721"/>
    <w:rsid w:val="00944CE5"/>
    <w:rsid w:val="009452FB"/>
    <w:rsid w:val="00945A60"/>
    <w:rsid w:val="00945B30"/>
    <w:rsid w:val="00945D59"/>
    <w:rsid w:val="00945E47"/>
    <w:rsid w:val="00945E54"/>
    <w:rsid w:val="009462D0"/>
    <w:rsid w:val="00946973"/>
    <w:rsid w:val="00946F86"/>
    <w:rsid w:val="00947001"/>
    <w:rsid w:val="00947761"/>
    <w:rsid w:val="00947A8A"/>
    <w:rsid w:val="00947B9C"/>
    <w:rsid w:val="00950156"/>
    <w:rsid w:val="009501B6"/>
    <w:rsid w:val="00950685"/>
    <w:rsid w:val="00950980"/>
    <w:rsid w:val="00950AA3"/>
    <w:rsid w:val="009519FF"/>
    <w:rsid w:val="00951C7C"/>
    <w:rsid w:val="00951CE6"/>
    <w:rsid w:val="00951D3B"/>
    <w:rsid w:val="00952754"/>
    <w:rsid w:val="00953AFD"/>
    <w:rsid w:val="00953FF5"/>
    <w:rsid w:val="009542E8"/>
    <w:rsid w:val="00954793"/>
    <w:rsid w:val="009547D0"/>
    <w:rsid w:val="00954EA6"/>
    <w:rsid w:val="0095510B"/>
    <w:rsid w:val="00956A4D"/>
    <w:rsid w:val="009575E7"/>
    <w:rsid w:val="00957FC4"/>
    <w:rsid w:val="00957FC5"/>
    <w:rsid w:val="00960041"/>
    <w:rsid w:val="009603FF"/>
    <w:rsid w:val="009606EE"/>
    <w:rsid w:val="00960742"/>
    <w:rsid w:val="00960954"/>
    <w:rsid w:val="0096172D"/>
    <w:rsid w:val="009617C1"/>
    <w:rsid w:val="00961DF4"/>
    <w:rsid w:val="00962746"/>
    <w:rsid w:val="0096306A"/>
    <w:rsid w:val="009634EE"/>
    <w:rsid w:val="009636AA"/>
    <w:rsid w:val="009637B1"/>
    <w:rsid w:val="00964082"/>
    <w:rsid w:val="009658FD"/>
    <w:rsid w:val="00965EBA"/>
    <w:rsid w:val="00965F4D"/>
    <w:rsid w:val="00966346"/>
    <w:rsid w:val="00966408"/>
    <w:rsid w:val="00967037"/>
    <w:rsid w:val="0096735B"/>
    <w:rsid w:val="009702FC"/>
    <w:rsid w:val="00970D5F"/>
    <w:rsid w:val="00970FA1"/>
    <w:rsid w:val="0097192A"/>
    <w:rsid w:val="00971B29"/>
    <w:rsid w:val="009734C8"/>
    <w:rsid w:val="009735F3"/>
    <w:rsid w:val="00973641"/>
    <w:rsid w:val="00973705"/>
    <w:rsid w:val="0097379F"/>
    <w:rsid w:val="0097420D"/>
    <w:rsid w:val="00974BE3"/>
    <w:rsid w:val="009753C7"/>
    <w:rsid w:val="009755AB"/>
    <w:rsid w:val="009758E7"/>
    <w:rsid w:val="00976038"/>
    <w:rsid w:val="009766C3"/>
    <w:rsid w:val="009769A3"/>
    <w:rsid w:val="009774A1"/>
    <w:rsid w:val="0097750C"/>
    <w:rsid w:val="009778D0"/>
    <w:rsid w:val="00977A64"/>
    <w:rsid w:val="00980C72"/>
    <w:rsid w:val="00980E3A"/>
    <w:rsid w:val="009819B2"/>
    <w:rsid w:val="00981AEF"/>
    <w:rsid w:val="00982475"/>
    <w:rsid w:val="009824AA"/>
    <w:rsid w:val="00982817"/>
    <w:rsid w:val="00983A5D"/>
    <w:rsid w:val="009843B2"/>
    <w:rsid w:val="00984580"/>
    <w:rsid w:val="00984D5E"/>
    <w:rsid w:val="00984FC4"/>
    <w:rsid w:val="00984FFC"/>
    <w:rsid w:val="00985567"/>
    <w:rsid w:val="00985897"/>
    <w:rsid w:val="00985ED3"/>
    <w:rsid w:val="009875B8"/>
    <w:rsid w:val="0098763D"/>
    <w:rsid w:val="00987CB7"/>
    <w:rsid w:val="009901DB"/>
    <w:rsid w:val="0099048A"/>
    <w:rsid w:val="009905FC"/>
    <w:rsid w:val="00990811"/>
    <w:rsid w:val="00990B6F"/>
    <w:rsid w:val="00990F24"/>
    <w:rsid w:val="00991234"/>
    <w:rsid w:val="00991828"/>
    <w:rsid w:val="0099200A"/>
    <w:rsid w:val="00992514"/>
    <w:rsid w:val="00992573"/>
    <w:rsid w:val="00992BDB"/>
    <w:rsid w:val="0099325E"/>
    <w:rsid w:val="0099330B"/>
    <w:rsid w:val="0099377B"/>
    <w:rsid w:val="009941C4"/>
    <w:rsid w:val="00995280"/>
    <w:rsid w:val="0099535C"/>
    <w:rsid w:val="0099554C"/>
    <w:rsid w:val="009974D1"/>
    <w:rsid w:val="00997592"/>
    <w:rsid w:val="00997ACF"/>
    <w:rsid w:val="00997E7B"/>
    <w:rsid w:val="00997E8C"/>
    <w:rsid w:val="009A0CA1"/>
    <w:rsid w:val="009A0EAF"/>
    <w:rsid w:val="009A0FF5"/>
    <w:rsid w:val="009A1318"/>
    <w:rsid w:val="009A140F"/>
    <w:rsid w:val="009A1BEB"/>
    <w:rsid w:val="009A1C28"/>
    <w:rsid w:val="009A2510"/>
    <w:rsid w:val="009A2788"/>
    <w:rsid w:val="009A29F3"/>
    <w:rsid w:val="009A30E8"/>
    <w:rsid w:val="009A3F09"/>
    <w:rsid w:val="009A57B8"/>
    <w:rsid w:val="009A5BC9"/>
    <w:rsid w:val="009A6292"/>
    <w:rsid w:val="009A62D0"/>
    <w:rsid w:val="009A646B"/>
    <w:rsid w:val="009A6528"/>
    <w:rsid w:val="009A7783"/>
    <w:rsid w:val="009A78E8"/>
    <w:rsid w:val="009A7FD5"/>
    <w:rsid w:val="009B16C7"/>
    <w:rsid w:val="009B1D27"/>
    <w:rsid w:val="009B1E6C"/>
    <w:rsid w:val="009B20A7"/>
    <w:rsid w:val="009B24C8"/>
    <w:rsid w:val="009B2BB2"/>
    <w:rsid w:val="009B2C2E"/>
    <w:rsid w:val="009B2C59"/>
    <w:rsid w:val="009B3163"/>
    <w:rsid w:val="009B3347"/>
    <w:rsid w:val="009B3837"/>
    <w:rsid w:val="009B3AAD"/>
    <w:rsid w:val="009B3AB6"/>
    <w:rsid w:val="009B418D"/>
    <w:rsid w:val="009B466D"/>
    <w:rsid w:val="009B51AF"/>
    <w:rsid w:val="009B5289"/>
    <w:rsid w:val="009B5439"/>
    <w:rsid w:val="009B55A5"/>
    <w:rsid w:val="009B5AB5"/>
    <w:rsid w:val="009B651A"/>
    <w:rsid w:val="009B6A10"/>
    <w:rsid w:val="009B73BC"/>
    <w:rsid w:val="009B7791"/>
    <w:rsid w:val="009C0014"/>
    <w:rsid w:val="009C1247"/>
    <w:rsid w:val="009C1B77"/>
    <w:rsid w:val="009C1E78"/>
    <w:rsid w:val="009C21D0"/>
    <w:rsid w:val="009C23CD"/>
    <w:rsid w:val="009C2730"/>
    <w:rsid w:val="009C2C62"/>
    <w:rsid w:val="009C2E39"/>
    <w:rsid w:val="009C30C8"/>
    <w:rsid w:val="009C3119"/>
    <w:rsid w:val="009C3F3C"/>
    <w:rsid w:val="009C3F57"/>
    <w:rsid w:val="009C446F"/>
    <w:rsid w:val="009C4BBA"/>
    <w:rsid w:val="009C4F06"/>
    <w:rsid w:val="009C4F8D"/>
    <w:rsid w:val="009C4FAA"/>
    <w:rsid w:val="009C5AA8"/>
    <w:rsid w:val="009C657C"/>
    <w:rsid w:val="009C69BA"/>
    <w:rsid w:val="009C7012"/>
    <w:rsid w:val="009C7C0C"/>
    <w:rsid w:val="009C7EED"/>
    <w:rsid w:val="009D0425"/>
    <w:rsid w:val="009D09A3"/>
    <w:rsid w:val="009D0B58"/>
    <w:rsid w:val="009D0CD1"/>
    <w:rsid w:val="009D1EA4"/>
    <w:rsid w:val="009D2067"/>
    <w:rsid w:val="009D25ED"/>
    <w:rsid w:val="009D2B6E"/>
    <w:rsid w:val="009D4947"/>
    <w:rsid w:val="009D5597"/>
    <w:rsid w:val="009D57B6"/>
    <w:rsid w:val="009D5CCC"/>
    <w:rsid w:val="009D5EB2"/>
    <w:rsid w:val="009D60D3"/>
    <w:rsid w:val="009D693E"/>
    <w:rsid w:val="009D723D"/>
    <w:rsid w:val="009D7A62"/>
    <w:rsid w:val="009D7C21"/>
    <w:rsid w:val="009D7FEF"/>
    <w:rsid w:val="009E02CC"/>
    <w:rsid w:val="009E0328"/>
    <w:rsid w:val="009E065E"/>
    <w:rsid w:val="009E084F"/>
    <w:rsid w:val="009E1368"/>
    <w:rsid w:val="009E1373"/>
    <w:rsid w:val="009E1466"/>
    <w:rsid w:val="009E1649"/>
    <w:rsid w:val="009E21CC"/>
    <w:rsid w:val="009E2653"/>
    <w:rsid w:val="009E3271"/>
    <w:rsid w:val="009E38D3"/>
    <w:rsid w:val="009E3907"/>
    <w:rsid w:val="009E3BE0"/>
    <w:rsid w:val="009E47B7"/>
    <w:rsid w:val="009E48A6"/>
    <w:rsid w:val="009E4A74"/>
    <w:rsid w:val="009E55A9"/>
    <w:rsid w:val="009E5FD3"/>
    <w:rsid w:val="009E5FE5"/>
    <w:rsid w:val="009E604C"/>
    <w:rsid w:val="009E6934"/>
    <w:rsid w:val="009E6A2A"/>
    <w:rsid w:val="009E6F4A"/>
    <w:rsid w:val="009E723D"/>
    <w:rsid w:val="009E7398"/>
    <w:rsid w:val="009E7E61"/>
    <w:rsid w:val="009E7E65"/>
    <w:rsid w:val="009F02A7"/>
    <w:rsid w:val="009F075B"/>
    <w:rsid w:val="009F0EB7"/>
    <w:rsid w:val="009F11F7"/>
    <w:rsid w:val="009F126D"/>
    <w:rsid w:val="009F1F69"/>
    <w:rsid w:val="009F2211"/>
    <w:rsid w:val="009F22DC"/>
    <w:rsid w:val="009F2ACA"/>
    <w:rsid w:val="009F2AEB"/>
    <w:rsid w:val="009F2B85"/>
    <w:rsid w:val="009F2CDB"/>
    <w:rsid w:val="009F2E61"/>
    <w:rsid w:val="009F4009"/>
    <w:rsid w:val="009F41B9"/>
    <w:rsid w:val="009F4791"/>
    <w:rsid w:val="009F4E4E"/>
    <w:rsid w:val="009F5239"/>
    <w:rsid w:val="009F5B39"/>
    <w:rsid w:val="009F5DD0"/>
    <w:rsid w:val="009F665F"/>
    <w:rsid w:val="009F7307"/>
    <w:rsid w:val="009F7710"/>
    <w:rsid w:val="00A0077E"/>
    <w:rsid w:val="00A008B2"/>
    <w:rsid w:val="00A00BED"/>
    <w:rsid w:val="00A01465"/>
    <w:rsid w:val="00A023D7"/>
    <w:rsid w:val="00A0243F"/>
    <w:rsid w:val="00A02844"/>
    <w:rsid w:val="00A038AC"/>
    <w:rsid w:val="00A039C9"/>
    <w:rsid w:val="00A03AFB"/>
    <w:rsid w:val="00A04189"/>
    <w:rsid w:val="00A04241"/>
    <w:rsid w:val="00A04435"/>
    <w:rsid w:val="00A044A2"/>
    <w:rsid w:val="00A049EF"/>
    <w:rsid w:val="00A04B6C"/>
    <w:rsid w:val="00A04B78"/>
    <w:rsid w:val="00A04EDE"/>
    <w:rsid w:val="00A05493"/>
    <w:rsid w:val="00A059C2"/>
    <w:rsid w:val="00A05DE6"/>
    <w:rsid w:val="00A06425"/>
    <w:rsid w:val="00A066F9"/>
    <w:rsid w:val="00A07139"/>
    <w:rsid w:val="00A07794"/>
    <w:rsid w:val="00A1073C"/>
    <w:rsid w:val="00A1114D"/>
    <w:rsid w:val="00A1123A"/>
    <w:rsid w:val="00A115BA"/>
    <w:rsid w:val="00A1211D"/>
    <w:rsid w:val="00A12260"/>
    <w:rsid w:val="00A12D3A"/>
    <w:rsid w:val="00A12F20"/>
    <w:rsid w:val="00A13095"/>
    <w:rsid w:val="00A1314F"/>
    <w:rsid w:val="00A13BF0"/>
    <w:rsid w:val="00A13E9D"/>
    <w:rsid w:val="00A155CD"/>
    <w:rsid w:val="00A156CE"/>
    <w:rsid w:val="00A1593C"/>
    <w:rsid w:val="00A15A2F"/>
    <w:rsid w:val="00A16528"/>
    <w:rsid w:val="00A16CEB"/>
    <w:rsid w:val="00A175EA"/>
    <w:rsid w:val="00A20592"/>
    <w:rsid w:val="00A213EE"/>
    <w:rsid w:val="00A2150D"/>
    <w:rsid w:val="00A21987"/>
    <w:rsid w:val="00A21DA8"/>
    <w:rsid w:val="00A22602"/>
    <w:rsid w:val="00A2292A"/>
    <w:rsid w:val="00A22C27"/>
    <w:rsid w:val="00A22DA8"/>
    <w:rsid w:val="00A23642"/>
    <w:rsid w:val="00A238E4"/>
    <w:rsid w:val="00A23913"/>
    <w:rsid w:val="00A23A96"/>
    <w:rsid w:val="00A2435E"/>
    <w:rsid w:val="00A25055"/>
    <w:rsid w:val="00A258CA"/>
    <w:rsid w:val="00A26448"/>
    <w:rsid w:val="00A268AE"/>
    <w:rsid w:val="00A2697E"/>
    <w:rsid w:val="00A27A14"/>
    <w:rsid w:val="00A27D75"/>
    <w:rsid w:val="00A27F6E"/>
    <w:rsid w:val="00A301D7"/>
    <w:rsid w:val="00A305A8"/>
    <w:rsid w:val="00A3147F"/>
    <w:rsid w:val="00A31C14"/>
    <w:rsid w:val="00A31E84"/>
    <w:rsid w:val="00A322B3"/>
    <w:rsid w:val="00A32AC9"/>
    <w:rsid w:val="00A3332F"/>
    <w:rsid w:val="00A33872"/>
    <w:rsid w:val="00A34DA5"/>
    <w:rsid w:val="00A35713"/>
    <w:rsid w:val="00A357EA"/>
    <w:rsid w:val="00A37000"/>
    <w:rsid w:val="00A378A4"/>
    <w:rsid w:val="00A37FB1"/>
    <w:rsid w:val="00A4049C"/>
    <w:rsid w:val="00A41411"/>
    <w:rsid w:val="00A4174A"/>
    <w:rsid w:val="00A42039"/>
    <w:rsid w:val="00A42801"/>
    <w:rsid w:val="00A42944"/>
    <w:rsid w:val="00A431F9"/>
    <w:rsid w:val="00A43749"/>
    <w:rsid w:val="00A43832"/>
    <w:rsid w:val="00A439AF"/>
    <w:rsid w:val="00A45024"/>
    <w:rsid w:val="00A4522B"/>
    <w:rsid w:val="00A455E3"/>
    <w:rsid w:val="00A4578A"/>
    <w:rsid w:val="00A46913"/>
    <w:rsid w:val="00A46A53"/>
    <w:rsid w:val="00A47763"/>
    <w:rsid w:val="00A47891"/>
    <w:rsid w:val="00A47985"/>
    <w:rsid w:val="00A47A3D"/>
    <w:rsid w:val="00A503B6"/>
    <w:rsid w:val="00A5158C"/>
    <w:rsid w:val="00A51971"/>
    <w:rsid w:val="00A520F6"/>
    <w:rsid w:val="00A52596"/>
    <w:rsid w:val="00A52912"/>
    <w:rsid w:val="00A52BDF"/>
    <w:rsid w:val="00A5310B"/>
    <w:rsid w:val="00A53B87"/>
    <w:rsid w:val="00A53BDA"/>
    <w:rsid w:val="00A53E1D"/>
    <w:rsid w:val="00A53F7B"/>
    <w:rsid w:val="00A540E2"/>
    <w:rsid w:val="00A545E0"/>
    <w:rsid w:val="00A54A86"/>
    <w:rsid w:val="00A55281"/>
    <w:rsid w:val="00A555A7"/>
    <w:rsid w:val="00A55645"/>
    <w:rsid w:val="00A55682"/>
    <w:rsid w:val="00A5568D"/>
    <w:rsid w:val="00A55819"/>
    <w:rsid w:val="00A558DA"/>
    <w:rsid w:val="00A55996"/>
    <w:rsid w:val="00A562AA"/>
    <w:rsid w:val="00A562F9"/>
    <w:rsid w:val="00A56D3F"/>
    <w:rsid w:val="00A600A7"/>
    <w:rsid w:val="00A60BDB"/>
    <w:rsid w:val="00A60CEC"/>
    <w:rsid w:val="00A62123"/>
    <w:rsid w:val="00A62244"/>
    <w:rsid w:val="00A62393"/>
    <w:rsid w:val="00A62A71"/>
    <w:rsid w:val="00A62A89"/>
    <w:rsid w:val="00A62D8A"/>
    <w:rsid w:val="00A62F62"/>
    <w:rsid w:val="00A63473"/>
    <w:rsid w:val="00A638C0"/>
    <w:rsid w:val="00A639B7"/>
    <w:rsid w:val="00A63FD1"/>
    <w:rsid w:val="00A64623"/>
    <w:rsid w:val="00A64878"/>
    <w:rsid w:val="00A660E1"/>
    <w:rsid w:val="00A6617F"/>
    <w:rsid w:val="00A6625C"/>
    <w:rsid w:val="00A6629F"/>
    <w:rsid w:val="00A666B8"/>
    <w:rsid w:val="00A67399"/>
    <w:rsid w:val="00A709F6"/>
    <w:rsid w:val="00A7117A"/>
    <w:rsid w:val="00A717D7"/>
    <w:rsid w:val="00A718E3"/>
    <w:rsid w:val="00A71C19"/>
    <w:rsid w:val="00A728CC"/>
    <w:rsid w:val="00A72A86"/>
    <w:rsid w:val="00A72AAA"/>
    <w:rsid w:val="00A72B3C"/>
    <w:rsid w:val="00A734C1"/>
    <w:rsid w:val="00A73E75"/>
    <w:rsid w:val="00A73FA2"/>
    <w:rsid w:val="00A747B4"/>
    <w:rsid w:val="00A7499E"/>
    <w:rsid w:val="00A74A70"/>
    <w:rsid w:val="00A74B24"/>
    <w:rsid w:val="00A74ED0"/>
    <w:rsid w:val="00A75095"/>
    <w:rsid w:val="00A75780"/>
    <w:rsid w:val="00A75929"/>
    <w:rsid w:val="00A76467"/>
    <w:rsid w:val="00A76AA6"/>
    <w:rsid w:val="00A76F2F"/>
    <w:rsid w:val="00A778E5"/>
    <w:rsid w:val="00A7793C"/>
    <w:rsid w:val="00A77C29"/>
    <w:rsid w:val="00A77C72"/>
    <w:rsid w:val="00A77DD5"/>
    <w:rsid w:val="00A8025F"/>
    <w:rsid w:val="00A8034E"/>
    <w:rsid w:val="00A8134F"/>
    <w:rsid w:val="00A81555"/>
    <w:rsid w:val="00A8158D"/>
    <w:rsid w:val="00A81E32"/>
    <w:rsid w:val="00A822F3"/>
    <w:rsid w:val="00A82363"/>
    <w:rsid w:val="00A83454"/>
    <w:rsid w:val="00A8364E"/>
    <w:rsid w:val="00A83953"/>
    <w:rsid w:val="00A839E1"/>
    <w:rsid w:val="00A83D5F"/>
    <w:rsid w:val="00A83FE6"/>
    <w:rsid w:val="00A84893"/>
    <w:rsid w:val="00A84B08"/>
    <w:rsid w:val="00A851AF"/>
    <w:rsid w:val="00A85474"/>
    <w:rsid w:val="00A85E23"/>
    <w:rsid w:val="00A86063"/>
    <w:rsid w:val="00A86199"/>
    <w:rsid w:val="00A8644F"/>
    <w:rsid w:val="00A865A2"/>
    <w:rsid w:val="00A86B8A"/>
    <w:rsid w:val="00A86E47"/>
    <w:rsid w:val="00A86EB5"/>
    <w:rsid w:val="00A86F26"/>
    <w:rsid w:val="00A874C5"/>
    <w:rsid w:val="00A876FA"/>
    <w:rsid w:val="00A908A8"/>
    <w:rsid w:val="00A90F5E"/>
    <w:rsid w:val="00A915F0"/>
    <w:rsid w:val="00A9176A"/>
    <w:rsid w:val="00A91BF7"/>
    <w:rsid w:val="00A91EF4"/>
    <w:rsid w:val="00A934EB"/>
    <w:rsid w:val="00A93704"/>
    <w:rsid w:val="00A93DD8"/>
    <w:rsid w:val="00A94415"/>
    <w:rsid w:val="00A94771"/>
    <w:rsid w:val="00A9542F"/>
    <w:rsid w:val="00A9605C"/>
    <w:rsid w:val="00A9695C"/>
    <w:rsid w:val="00A96EA3"/>
    <w:rsid w:val="00A97EF5"/>
    <w:rsid w:val="00AA086B"/>
    <w:rsid w:val="00AA145F"/>
    <w:rsid w:val="00AA1552"/>
    <w:rsid w:val="00AA1680"/>
    <w:rsid w:val="00AA1739"/>
    <w:rsid w:val="00AA2220"/>
    <w:rsid w:val="00AA2317"/>
    <w:rsid w:val="00AA2389"/>
    <w:rsid w:val="00AA264C"/>
    <w:rsid w:val="00AA26A4"/>
    <w:rsid w:val="00AA32F0"/>
    <w:rsid w:val="00AA3463"/>
    <w:rsid w:val="00AA3DA8"/>
    <w:rsid w:val="00AA48A4"/>
    <w:rsid w:val="00AA498E"/>
    <w:rsid w:val="00AA4E40"/>
    <w:rsid w:val="00AA52A8"/>
    <w:rsid w:val="00AA5404"/>
    <w:rsid w:val="00AA5A50"/>
    <w:rsid w:val="00AA5A56"/>
    <w:rsid w:val="00AA5FF2"/>
    <w:rsid w:val="00AA63C8"/>
    <w:rsid w:val="00AA66D6"/>
    <w:rsid w:val="00AB0787"/>
    <w:rsid w:val="00AB086E"/>
    <w:rsid w:val="00AB0946"/>
    <w:rsid w:val="00AB1665"/>
    <w:rsid w:val="00AB2338"/>
    <w:rsid w:val="00AB4133"/>
    <w:rsid w:val="00AB421D"/>
    <w:rsid w:val="00AB42D2"/>
    <w:rsid w:val="00AB4971"/>
    <w:rsid w:val="00AB4B6B"/>
    <w:rsid w:val="00AB55C7"/>
    <w:rsid w:val="00AB57A2"/>
    <w:rsid w:val="00AB5CFB"/>
    <w:rsid w:val="00AB5F22"/>
    <w:rsid w:val="00AB76FC"/>
    <w:rsid w:val="00AB7845"/>
    <w:rsid w:val="00AC05F7"/>
    <w:rsid w:val="00AC0976"/>
    <w:rsid w:val="00AC1448"/>
    <w:rsid w:val="00AC148D"/>
    <w:rsid w:val="00AC1E3B"/>
    <w:rsid w:val="00AC2813"/>
    <w:rsid w:val="00AC312D"/>
    <w:rsid w:val="00AC35B4"/>
    <w:rsid w:val="00AC371B"/>
    <w:rsid w:val="00AC384C"/>
    <w:rsid w:val="00AC3A6C"/>
    <w:rsid w:val="00AC3D94"/>
    <w:rsid w:val="00AC3FDF"/>
    <w:rsid w:val="00AC44EC"/>
    <w:rsid w:val="00AC51C1"/>
    <w:rsid w:val="00AC5988"/>
    <w:rsid w:val="00AC5DE8"/>
    <w:rsid w:val="00AC714B"/>
    <w:rsid w:val="00AC7ACE"/>
    <w:rsid w:val="00AC7AF7"/>
    <w:rsid w:val="00AC7EB6"/>
    <w:rsid w:val="00AD06FF"/>
    <w:rsid w:val="00AD09D1"/>
    <w:rsid w:val="00AD19B0"/>
    <w:rsid w:val="00AD241A"/>
    <w:rsid w:val="00AD3981"/>
    <w:rsid w:val="00AD3CD2"/>
    <w:rsid w:val="00AD4539"/>
    <w:rsid w:val="00AD4BB3"/>
    <w:rsid w:val="00AD5D35"/>
    <w:rsid w:val="00AD6824"/>
    <w:rsid w:val="00AD6966"/>
    <w:rsid w:val="00AD7B6E"/>
    <w:rsid w:val="00AE1445"/>
    <w:rsid w:val="00AE18F6"/>
    <w:rsid w:val="00AE2034"/>
    <w:rsid w:val="00AE23EE"/>
    <w:rsid w:val="00AE2768"/>
    <w:rsid w:val="00AE2893"/>
    <w:rsid w:val="00AE2ABE"/>
    <w:rsid w:val="00AE2E62"/>
    <w:rsid w:val="00AE3505"/>
    <w:rsid w:val="00AE3D60"/>
    <w:rsid w:val="00AE4286"/>
    <w:rsid w:val="00AE4803"/>
    <w:rsid w:val="00AE4D38"/>
    <w:rsid w:val="00AE4D50"/>
    <w:rsid w:val="00AE4DF1"/>
    <w:rsid w:val="00AE4E6D"/>
    <w:rsid w:val="00AE5278"/>
    <w:rsid w:val="00AE542A"/>
    <w:rsid w:val="00AE589D"/>
    <w:rsid w:val="00AE5B02"/>
    <w:rsid w:val="00AE6096"/>
    <w:rsid w:val="00AE661A"/>
    <w:rsid w:val="00AF0493"/>
    <w:rsid w:val="00AF04F3"/>
    <w:rsid w:val="00AF0EFC"/>
    <w:rsid w:val="00AF0FC5"/>
    <w:rsid w:val="00AF1C02"/>
    <w:rsid w:val="00AF1E0A"/>
    <w:rsid w:val="00AF31D7"/>
    <w:rsid w:val="00AF3CFD"/>
    <w:rsid w:val="00AF3E1D"/>
    <w:rsid w:val="00AF42B5"/>
    <w:rsid w:val="00AF45B3"/>
    <w:rsid w:val="00AF4C57"/>
    <w:rsid w:val="00AF517C"/>
    <w:rsid w:val="00AF61F1"/>
    <w:rsid w:val="00AF6247"/>
    <w:rsid w:val="00AF63B6"/>
    <w:rsid w:val="00AF6915"/>
    <w:rsid w:val="00AF69D2"/>
    <w:rsid w:val="00AF6F4C"/>
    <w:rsid w:val="00B002B4"/>
    <w:rsid w:val="00B00848"/>
    <w:rsid w:val="00B0183E"/>
    <w:rsid w:val="00B018C6"/>
    <w:rsid w:val="00B01BEE"/>
    <w:rsid w:val="00B01C26"/>
    <w:rsid w:val="00B01FDC"/>
    <w:rsid w:val="00B0253B"/>
    <w:rsid w:val="00B02881"/>
    <w:rsid w:val="00B035CC"/>
    <w:rsid w:val="00B039DD"/>
    <w:rsid w:val="00B0421D"/>
    <w:rsid w:val="00B0462E"/>
    <w:rsid w:val="00B04ED9"/>
    <w:rsid w:val="00B064F7"/>
    <w:rsid w:val="00B070CF"/>
    <w:rsid w:val="00B07FC8"/>
    <w:rsid w:val="00B10023"/>
    <w:rsid w:val="00B10153"/>
    <w:rsid w:val="00B10184"/>
    <w:rsid w:val="00B10229"/>
    <w:rsid w:val="00B1088E"/>
    <w:rsid w:val="00B10BE2"/>
    <w:rsid w:val="00B10C94"/>
    <w:rsid w:val="00B10D08"/>
    <w:rsid w:val="00B10D1A"/>
    <w:rsid w:val="00B10EF8"/>
    <w:rsid w:val="00B1179C"/>
    <w:rsid w:val="00B117F8"/>
    <w:rsid w:val="00B11A73"/>
    <w:rsid w:val="00B11E2A"/>
    <w:rsid w:val="00B12174"/>
    <w:rsid w:val="00B12713"/>
    <w:rsid w:val="00B12840"/>
    <w:rsid w:val="00B12941"/>
    <w:rsid w:val="00B13721"/>
    <w:rsid w:val="00B1396C"/>
    <w:rsid w:val="00B13A6E"/>
    <w:rsid w:val="00B13DF6"/>
    <w:rsid w:val="00B1425F"/>
    <w:rsid w:val="00B146CC"/>
    <w:rsid w:val="00B14B61"/>
    <w:rsid w:val="00B153A9"/>
    <w:rsid w:val="00B15EE1"/>
    <w:rsid w:val="00B1652F"/>
    <w:rsid w:val="00B165E3"/>
    <w:rsid w:val="00B16AE9"/>
    <w:rsid w:val="00B16B96"/>
    <w:rsid w:val="00B16F68"/>
    <w:rsid w:val="00B16F6F"/>
    <w:rsid w:val="00B170CA"/>
    <w:rsid w:val="00B1743E"/>
    <w:rsid w:val="00B1745D"/>
    <w:rsid w:val="00B17780"/>
    <w:rsid w:val="00B178A8"/>
    <w:rsid w:val="00B17A11"/>
    <w:rsid w:val="00B20109"/>
    <w:rsid w:val="00B203E3"/>
    <w:rsid w:val="00B2127E"/>
    <w:rsid w:val="00B21F56"/>
    <w:rsid w:val="00B21FBB"/>
    <w:rsid w:val="00B220F9"/>
    <w:rsid w:val="00B228FB"/>
    <w:rsid w:val="00B22CB7"/>
    <w:rsid w:val="00B22D99"/>
    <w:rsid w:val="00B238F0"/>
    <w:rsid w:val="00B23907"/>
    <w:rsid w:val="00B23CD2"/>
    <w:rsid w:val="00B23F97"/>
    <w:rsid w:val="00B24D5A"/>
    <w:rsid w:val="00B24DCB"/>
    <w:rsid w:val="00B256F6"/>
    <w:rsid w:val="00B25915"/>
    <w:rsid w:val="00B25B40"/>
    <w:rsid w:val="00B25C45"/>
    <w:rsid w:val="00B25CD7"/>
    <w:rsid w:val="00B25D35"/>
    <w:rsid w:val="00B275D7"/>
    <w:rsid w:val="00B275FF"/>
    <w:rsid w:val="00B27C77"/>
    <w:rsid w:val="00B27E92"/>
    <w:rsid w:val="00B27E97"/>
    <w:rsid w:val="00B27FC8"/>
    <w:rsid w:val="00B301AD"/>
    <w:rsid w:val="00B30366"/>
    <w:rsid w:val="00B3160B"/>
    <w:rsid w:val="00B31D26"/>
    <w:rsid w:val="00B322D0"/>
    <w:rsid w:val="00B33DA7"/>
    <w:rsid w:val="00B3404C"/>
    <w:rsid w:val="00B346B1"/>
    <w:rsid w:val="00B3485E"/>
    <w:rsid w:val="00B348DC"/>
    <w:rsid w:val="00B34903"/>
    <w:rsid w:val="00B349B6"/>
    <w:rsid w:val="00B34D14"/>
    <w:rsid w:val="00B350E2"/>
    <w:rsid w:val="00B358CF"/>
    <w:rsid w:val="00B36826"/>
    <w:rsid w:val="00B36ACF"/>
    <w:rsid w:val="00B36B75"/>
    <w:rsid w:val="00B37865"/>
    <w:rsid w:val="00B37B51"/>
    <w:rsid w:val="00B37D46"/>
    <w:rsid w:val="00B37EC0"/>
    <w:rsid w:val="00B40176"/>
    <w:rsid w:val="00B4033B"/>
    <w:rsid w:val="00B40605"/>
    <w:rsid w:val="00B408F4"/>
    <w:rsid w:val="00B40C61"/>
    <w:rsid w:val="00B4119A"/>
    <w:rsid w:val="00B41248"/>
    <w:rsid w:val="00B41943"/>
    <w:rsid w:val="00B419F1"/>
    <w:rsid w:val="00B41A46"/>
    <w:rsid w:val="00B41FA6"/>
    <w:rsid w:val="00B42544"/>
    <w:rsid w:val="00B429E8"/>
    <w:rsid w:val="00B42A87"/>
    <w:rsid w:val="00B42DB1"/>
    <w:rsid w:val="00B4301F"/>
    <w:rsid w:val="00B431E8"/>
    <w:rsid w:val="00B439D9"/>
    <w:rsid w:val="00B439FD"/>
    <w:rsid w:val="00B43CF7"/>
    <w:rsid w:val="00B444C5"/>
    <w:rsid w:val="00B44E86"/>
    <w:rsid w:val="00B451D9"/>
    <w:rsid w:val="00B4544D"/>
    <w:rsid w:val="00B4545D"/>
    <w:rsid w:val="00B456C8"/>
    <w:rsid w:val="00B45AAE"/>
    <w:rsid w:val="00B46231"/>
    <w:rsid w:val="00B464DF"/>
    <w:rsid w:val="00B4670F"/>
    <w:rsid w:val="00B46724"/>
    <w:rsid w:val="00B46D2F"/>
    <w:rsid w:val="00B46F45"/>
    <w:rsid w:val="00B47D03"/>
    <w:rsid w:val="00B47E41"/>
    <w:rsid w:val="00B5016A"/>
    <w:rsid w:val="00B501A7"/>
    <w:rsid w:val="00B50446"/>
    <w:rsid w:val="00B5054E"/>
    <w:rsid w:val="00B506E8"/>
    <w:rsid w:val="00B50786"/>
    <w:rsid w:val="00B50E58"/>
    <w:rsid w:val="00B510FD"/>
    <w:rsid w:val="00B513C7"/>
    <w:rsid w:val="00B51642"/>
    <w:rsid w:val="00B51F4F"/>
    <w:rsid w:val="00B52ACE"/>
    <w:rsid w:val="00B52F19"/>
    <w:rsid w:val="00B53038"/>
    <w:rsid w:val="00B534B7"/>
    <w:rsid w:val="00B53556"/>
    <w:rsid w:val="00B537C4"/>
    <w:rsid w:val="00B5386E"/>
    <w:rsid w:val="00B541F8"/>
    <w:rsid w:val="00B5423E"/>
    <w:rsid w:val="00B5484E"/>
    <w:rsid w:val="00B54BB9"/>
    <w:rsid w:val="00B55920"/>
    <w:rsid w:val="00B55943"/>
    <w:rsid w:val="00B5597B"/>
    <w:rsid w:val="00B55C60"/>
    <w:rsid w:val="00B56CA6"/>
    <w:rsid w:val="00B573BA"/>
    <w:rsid w:val="00B573C2"/>
    <w:rsid w:val="00B57BEE"/>
    <w:rsid w:val="00B57D7A"/>
    <w:rsid w:val="00B605B5"/>
    <w:rsid w:val="00B60756"/>
    <w:rsid w:val="00B60B65"/>
    <w:rsid w:val="00B612A6"/>
    <w:rsid w:val="00B6138F"/>
    <w:rsid w:val="00B6139F"/>
    <w:rsid w:val="00B62214"/>
    <w:rsid w:val="00B62DA9"/>
    <w:rsid w:val="00B62E84"/>
    <w:rsid w:val="00B62F60"/>
    <w:rsid w:val="00B6366B"/>
    <w:rsid w:val="00B638F5"/>
    <w:rsid w:val="00B6404C"/>
    <w:rsid w:val="00B64205"/>
    <w:rsid w:val="00B6436F"/>
    <w:rsid w:val="00B646B2"/>
    <w:rsid w:val="00B64710"/>
    <w:rsid w:val="00B65E9C"/>
    <w:rsid w:val="00B65EDD"/>
    <w:rsid w:val="00B6667F"/>
    <w:rsid w:val="00B666B9"/>
    <w:rsid w:val="00B6732E"/>
    <w:rsid w:val="00B674E9"/>
    <w:rsid w:val="00B70433"/>
    <w:rsid w:val="00B70956"/>
    <w:rsid w:val="00B70A96"/>
    <w:rsid w:val="00B70DCB"/>
    <w:rsid w:val="00B7146A"/>
    <w:rsid w:val="00B71B55"/>
    <w:rsid w:val="00B71E4B"/>
    <w:rsid w:val="00B71FBF"/>
    <w:rsid w:val="00B721A5"/>
    <w:rsid w:val="00B72208"/>
    <w:rsid w:val="00B7283B"/>
    <w:rsid w:val="00B72943"/>
    <w:rsid w:val="00B72D16"/>
    <w:rsid w:val="00B72F5A"/>
    <w:rsid w:val="00B734EC"/>
    <w:rsid w:val="00B73698"/>
    <w:rsid w:val="00B742E9"/>
    <w:rsid w:val="00B746B7"/>
    <w:rsid w:val="00B74839"/>
    <w:rsid w:val="00B74CC0"/>
    <w:rsid w:val="00B75124"/>
    <w:rsid w:val="00B7552E"/>
    <w:rsid w:val="00B75C48"/>
    <w:rsid w:val="00B7666E"/>
    <w:rsid w:val="00B7667F"/>
    <w:rsid w:val="00B7670C"/>
    <w:rsid w:val="00B7678A"/>
    <w:rsid w:val="00B76A6C"/>
    <w:rsid w:val="00B76F56"/>
    <w:rsid w:val="00B7731E"/>
    <w:rsid w:val="00B7745C"/>
    <w:rsid w:val="00B7798C"/>
    <w:rsid w:val="00B779B6"/>
    <w:rsid w:val="00B8037A"/>
    <w:rsid w:val="00B80FE9"/>
    <w:rsid w:val="00B8177E"/>
    <w:rsid w:val="00B81981"/>
    <w:rsid w:val="00B81D7A"/>
    <w:rsid w:val="00B81F9A"/>
    <w:rsid w:val="00B82004"/>
    <w:rsid w:val="00B828A9"/>
    <w:rsid w:val="00B82FA6"/>
    <w:rsid w:val="00B8315C"/>
    <w:rsid w:val="00B83178"/>
    <w:rsid w:val="00B83227"/>
    <w:rsid w:val="00B833AF"/>
    <w:rsid w:val="00B836C7"/>
    <w:rsid w:val="00B837CC"/>
    <w:rsid w:val="00B84D64"/>
    <w:rsid w:val="00B84E7B"/>
    <w:rsid w:val="00B84FD8"/>
    <w:rsid w:val="00B850D8"/>
    <w:rsid w:val="00B85A33"/>
    <w:rsid w:val="00B85A6A"/>
    <w:rsid w:val="00B86612"/>
    <w:rsid w:val="00B86F40"/>
    <w:rsid w:val="00B86FD5"/>
    <w:rsid w:val="00B875EF"/>
    <w:rsid w:val="00B878DF"/>
    <w:rsid w:val="00B900CD"/>
    <w:rsid w:val="00B913B5"/>
    <w:rsid w:val="00B91D9C"/>
    <w:rsid w:val="00B92339"/>
    <w:rsid w:val="00B92D81"/>
    <w:rsid w:val="00B93BFF"/>
    <w:rsid w:val="00B940B6"/>
    <w:rsid w:val="00B9522B"/>
    <w:rsid w:val="00B9578C"/>
    <w:rsid w:val="00B9590C"/>
    <w:rsid w:val="00B95A93"/>
    <w:rsid w:val="00B95F51"/>
    <w:rsid w:val="00B964FF"/>
    <w:rsid w:val="00B97A15"/>
    <w:rsid w:val="00B97BD4"/>
    <w:rsid w:val="00B97EDA"/>
    <w:rsid w:val="00BA02AB"/>
    <w:rsid w:val="00BA06B6"/>
    <w:rsid w:val="00BA0B63"/>
    <w:rsid w:val="00BA0F57"/>
    <w:rsid w:val="00BA0F7A"/>
    <w:rsid w:val="00BA12EE"/>
    <w:rsid w:val="00BA2088"/>
    <w:rsid w:val="00BA4074"/>
    <w:rsid w:val="00BA479E"/>
    <w:rsid w:val="00BA4E7D"/>
    <w:rsid w:val="00BA4F11"/>
    <w:rsid w:val="00BA50DF"/>
    <w:rsid w:val="00BA539B"/>
    <w:rsid w:val="00BA5DBB"/>
    <w:rsid w:val="00BA5F76"/>
    <w:rsid w:val="00BA7E04"/>
    <w:rsid w:val="00BB0621"/>
    <w:rsid w:val="00BB06F3"/>
    <w:rsid w:val="00BB07D7"/>
    <w:rsid w:val="00BB0D3A"/>
    <w:rsid w:val="00BB12BD"/>
    <w:rsid w:val="00BB2153"/>
    <w:rsid w:val="00BB2777"/>
    <w:rsid w:val="00BB407E"/>
    <w:rsid w:val="00BB423B"/>
    <w:rsid w:val="00BB47E1"/>
    <w:rsid w:val="00BB4A04"/>
    <w:rsid w:val="00BB6297"/>
    <w:rsid w:val="00BB64AD"/>
    <w:rsid w:val="00BB6A31"/>
    <w:rsid w:val="00BB6F2A"/>
    <w:rsid w:val="00BB70C2"/>
    <w:rsid w:val="00BB7D3C"/>
    <w:rsid w:val="00BC0829"/>
    <w:rsid w:val="00BC10BB"/>
    <w:rsid w:val="00BC1194"/>
    <w:rsid w:val="00BC11C6"/>
    <w:rsid w:val="00BC1BD1"/>
    <w:rsid w:val="00BC1F66"/>
    <w:rsid w:val="00BC21CA"/>
    <w:rsid w:val="00BC2490"/>
    <w:rsid w:val="00BC2CB6"/>
    <w:rsid w:val="00BC2DB0"/>
    <w:rsid w:val="00BC4542"/>
    <w:rsid w:val="00BC4CA3"/>
    <w:rsid w:val="00BC50C6"/>
    <w:rsid w:val="00BC5B58"/>
    <w:rsid w:val="00BC5C7F"/>
    <w:rsid w:val="00BC6038"/>
    <w:rsid w:val="00BC7611"/>
    <w:rsid w:val="00BC7A89"/>
    <w:rsid w:val="00BD0417"/>
    <w:rsid w:val="00BD055A"/>
    <w:rsid w:val="00BD063D"/>
    <w:rsid w:val="00BD0F1C"/>
    <w:rsid w:val="00BD169C"/>
    <w:rsid w:val="00BD1851"/>
    <w:rsid w:val="00BD1C34"/>
    <w:rsid w:val="00BD1F1E"/>
    <w:rsid w:val="00BD2D0B"/>
    <w:rsid w:val="00BD413C"/>
    <w:rsid w:val="00BD4920"/>
    <w:rsid w:val="00BD55FF"/>
    <w:rsid w:val="00BD57D1"/>
    <w:rsid w:val="00BD5914"/>
    <w:rsid w:val="00BD72E7"/>
    <w:rsid w:val="00BD7529"/>
    <w:rsid w:val="00BD783A"/>
    <w:rsid w:val="00BD794A"/>
    <w:rsid w:val="00BD7B4F"/>
    <w:rsid w:val="00BD7C7A"/>
    <w:rsid w:val="00BD7D30"/>
    <w:rsid w:val="00BD7FCE"/>
    <w:rsid w:val="00BE0BBF"/>
    <w:rsid w:val="00BE1098"/>
    <w:rsid w:val="00BE1263"/>
    <w:rsid w:val="00BE18D0"/>
    <w:rsid w:val="00BE1AC7"/>
    <w:rsid w:val="00BE289D"/>
    <w:rsid w:val="00BE2AB9"/>
    <w:rsid w:val="00BE2B9C"/>
    <w:rsid w:val="00BE30D6"/>
    <w:rsid w:val="00BE33D8"/>
    <w:rsid w:val="00BE477A"/>
    <w:rsid w:val="00BE52C2"/>
    <w:rsid w:val="00BE5424"/>
    <w:rsid w:val="00BE6217"/>
    <w:rsid w:val="00BE689E"/>
    <w:rsid w:val="00BE6AD5"/>
    <w:rsid w:val="00BE6BA1"/>
    <w:rsid w:val="00BE7214"/>
    <w:rsid w:val="00BE76A9"/>
    <w:rsid w:val="00BE7E84"/>
    <w:rsid w:val="00BF00D7"/>
    <w:rsid w:val="00BF0685"/>
    <w:rsid w:val="00BF0855"/>
    <w:rsid w:val="00BF1557"/>
    <w:rsid w:val="00BF2B63"/>
    <w:rsid w:val="00BF2EC9"/>
    <w:rsid w:val="00BF3E1E"/>
    <w:rsid w:val="00BF49FE"/>
    <w:rsid w:val="00BF4D3C"/>
    <w:rsid w:val="00BF4E51"/>
    <w:rsid w:val="00BF4E82"/>
    <w:rsid w:val="00BF524A"/>
    <w:rsid w:val="00BF52BA"/>
    <w:rsid w:val="00BF56A0"/>
    <w:rsid w:val="00BF640C"/>
    <w:rsid w:val="00BF6705"/>
    <w:rsid w:val="00BF6928"/>
    <w:rsid w:val="00BF6BE9"/>
    <w:rsid w:val="00BF74D1"/>
    <w:rsid w:val="00BF771B"/>
    <w:rsid w:val="00BF77F7"/>
    <w:rsid w:val="00C007F5"/>
    <w:rsid w:val="00C00A28"/>
    <w:rsid w:val="00C00C0B"/>
    <w:rsid w:val="00C00EA4"/>
    <w:rsid w:val="00C01791"/>
    <w:rsid w:val="00C018F8"/>
    <w:rsid w:val="00C0267C"/>
    <w:rsid w:val="00C02E16"/>
    <w:rsid w:val="00C02FD8"/>
    <w:rsid w:val="00C03508"/>
    <w:rsid w:val="00C04579"/>
    <w:rsid w:val="00C04D46"/>
    <w:rsid w:val="00C04ED4"/>
    <w:rsid w:val="00C0566F"/>
    <w:rsid w:val="00C05D72"/>
    <w:rsid w:val="00C069D5"/>
    <w:rsid w:val="00C06AFA"/>
    <w:rsid w:val="00C06C47"/>
    <w:rsid w:val="00C07D28"/>
    <w:rsid w:val="00C07F39"/>
    <w:rsid w:val="00C107CA"/>
    <w:rsid w:val="00C10982"/>
    <w:rsid w:val="00C10C88"/>
    <w:rsid w:val="00C10FC5"/>
    <w:rsid w:val="00C1148A"/>
    <w:rsid w:val="00C11CE3"/>
    <w:rsid w:val="00C1221B"/>
    <w:rsid w:val="00C13DDE"/>
    <w:rsid w:val="00C13FA0"/>
    <w:rsid w:val="00C146BD"/>
    <w:rsid w:val="00C14AE6"/>
    <w:rsid w:val="00C14C5C"/>
    <w:rsid w:val="00C1551F"/>
    <w:rsid w:val="00C16588"/>
    <w:rsid w:val="00C170DC"/>
    <w:rsid w:val="00C20397"/>
    <w:rsid w:val="00C203FB"/>
    <w:rsid w:val="00C208E1"/>
    <w:rsid w:val="00C209FE"/>
    <w:rsid w:val="00C20CE0"/>
    <w:rsid w:val="00C21697"/>
    <w:rsid w:val="00C2180F"/>
    <w:rsid w:val="00C21DD7"/>
    <w:rsid w:val="00C2271B"/>
    <w:rsid w:val="00C23A94"/>
    <w:rsid w:val="00C23DF1"/>
    <w:rsid w:val="00C2428E"/>
    <w:rsid w:val="00C24421"/>
    <w:rsid w:val="00C246E2"/>
    <w:rsid w:val="00C25416"/>
    <w:rsid w:val="00C26612"/>
    <w:rsid w:val="00C26869"/>
    <w:rsid w:val="00C26913"/>
    <w:rsid w:val="00C269D4"/>
    <w:rsid w:val="00C26BAD"/>
    <w:rsid w:val="00C26BF7"/>
    <w:rsid w:val="00C271F8"/>
    <w:rsid w:val="00C2767A"/>
    <w:rsid w:val="00C279AD"/>
    <w:rsid w:val="00C27E3D"/>
    <w:rsid w:val="00C30189"/>
    <w:rsid w:val="00C301E4"/>
    <w:rsid w:val="00C301EA"/>
    <w:rsid w:val="00C30F41"/>
    <w:rsid w:val="00C323CF"/>
    <w:rsid w:val="00C32809"/>
    <w:rsid w:val="00C32835"/>
    <w:rsid w:val="00C32AF9"/>
    <w:rsid w:val="00C32CFA"/>
    <w:rsid w:val="00C32FF5"/>
    <w:rsid w:val="00C3309E"/>
    <w:rsid w:val="00C3325D"/>
    <w:rsid w:val="00C337D8"/>
    <w:rsid w:val="00C33B3D"/>
    <w:rsid w:val="00C34597"/>
    <w:rsid w:val="00C346B6"/>
    <w:rsid w:val="00C34AB3"/>
    <w:rsid w:val="00C35020"/>
    <w:rsid w:val="00C35215"/>
    <w:rsid w:val="00C35A6C"/>
    <w:rsid w:val="00C3612A"/>
    <w:rsid w:val="00C3647B"/>
    <w:rsid w:val="00C37301"/>
    <w:rsid w:val="00C3793E"/>
    <w:rsid w:val="00C37A1E"/>
    <w:rsid w:val="00C37D06"/>
    <w:rsid w:val="00C37FEF"/>
    <w:rsid w:val="00C4154C"/>
    <w:rsid w:val="00C41A16"/>
    <w:rsid w:val="00C41ED6"/>
    <w:rsid w:val="00C42208"/>
    <w:rsid w:val="00C42521"/>
    <w:rsid w:val="00C42742"/>
    <w:rsid w:val="00C42B17"/>
    <w:rsid w:val="00C42D01"/>
    <w:rsid w:val="00C43291"/>
    <w:rsid w:val="00C43889"/>
    <w:rsid w:val="00C43B40"/>
    <w:rsid w:val="00C44455"/>
    <w:rsid w:val="00C44543"/>
    <w:rsid w:val="00C4466C"/>
    <w:rsid w:val="00C448D4"/>
    <w:rsid w:val="00C44A78"/>
    <w:rsid w:val="00C45A18"/>
    <w:rsid w:val="00C46572"/>
    <w:rsid w:val="00C46851"/>
    <w:rsid w:val="00C46A70"/>
    <w:rsid w:val="00C46BA5"/>
    <w:rsid w:val="00C4735A"/>
    <w:rsid w:val="00C47438"/>
    <w:rsid w:val="00C4774F"/>
    <w:rsid w:val="00C47C03"/>
    <w:rsid w:val="00C47DF0"/>
    <w:rsid w:val="00C501DB"/>
    <w:rsid w:val="00C501E3"/>
    <w:rsid w:val="00C50A05"/>
    <w:rsid w:val="00C50AB0"/>
    <w:rsid w:val="00C50F56"/>
    <w:rsid w:val="00C511D5"/>
    <w:rsid w:val="00C518A9"/>
    <w:rsid w:val="00C51946"/>
    <w:rsid w:val="00C51CDD"/>
    <w:rsid w:val="00C51E7E"/>
    <w:rsid w:val="00C51EDD"/>
    <w:rsid w:val="00C52222"/>
    <w:rsid w:val="00C52969"/>
    <w:rsid w:val="00C529A5"/>
    <w:rsid w:val="00C52A8D"/>
    <w:rsid w:val="00C52BB3"/>
    <w:rsid w:val="00C52FD0"/>
    <w:rsid w:val="00C536BE"/>
    <w:rsid w:val="00C5377D"/>
    <w:rsid w:val="00C53895"/>
    <w:rsid w:val="00C53F3F"/>
    <w:rsid w:val="00C543FE"/>
    <w:rsid w:val="00C54A5B"/>
    <w:rsid w:val="00C55823"/>
    <w:rsid w:val="00C5637A"/>
    <w:rsid w:val="00C565F5"/>
    <w:rsid w:val="00C60746"/>
    <w:rsid w:val="00C608A7"/>
    <w:rsid w:val="00C60D93"/>
    <w:rsid w:val="00C621B3"/>
    <w:rsid w:val="00C625B3"/>
    <w:rsid w:val="00C6319D"/>
    <w:rsid w:val="00C6329A"/>
    <w:rsid w:val="00C63548"/>
    <w:rsid w:val="00C63A36"/>
    <w:rsid w:val="00C64CFB"/>
    <w:rsid w:val="00C64D21"/>
    <w:rsid w:val="00C65753"/>
    <w:rsid w:val="00C66AC2"/>
    <w:rsid w:val="00C6702E"/>
    <w:rsid w:val="00C67609"/>
    <w:rsid w:val="00C67777"/>
    <w:rsid w:val="00C678A0"/>
    <w:rsid w:val="00C678E4"/>
    <w:rsid w:val="00C67999"/>
    <w:rsid w:val="00C700C2"/>
    <w:rsid w:val="00C702F5"/>
    <w:rsid w:val="00C71987"/>
    <w:rsid w:val="00C72130"/>
    <w:rsid w:val="00C721F2"/>
    <w:rsid w:val="00C7279E"/>
    <w:rsid w:val="00C72FC8"/>
    <w:rsid w:val="00C73655"/>
    <w:rsid w:val="00C73E56"/>
    <w:rsid w:val="00C7466D"/>
    <w:rsid w:val="00C74694"/>
    <w:rsid w:val="00C7486C"/>
    <w:rsid w:val="00C74897"/>
    <w:rsid w:val="00C74C5C"/>
    <w:rsid w:val="00C7500F"/>
    <w:rsid w:val="00C75023"/>
    <w:rsid w:val="00C75356"/>
    <w:rsid w:val="00C75522"/>
    <w:rsid w:val="00C762F3"/>
    <w:rsid w:val="00C76376"/>
    <w:rsid w:val="00C76751"/>
    <w:rsid w:val="00C768E8"/>
    <w:rsid w:val="00C76C64"/>
    <w:rsid w:val="00C80406"/>
    <w:rsid w:val="00C80A0B"/>
    <w:rsid w:val="00C80AA6"/>
    <w:rsid w:val="00C81D0D"/>
    <w:rsid w:val="00C81FF5"/>
    <w:rsid w:val="00C82281"/>
    <w:rsid w:val="00C83340"/>
    <w:rsid w:val="00C834A3"/>
    <w:rsid w:val="00C835AF"/>
    <w:rsid w:val="00C838B5"/>
    <w:rsid w:val="00C838F3"/>
    <w:rsid w:val="00C83B86"/>
    <w:rsid w:val="00C83D8B"/>
    <w:rsid w:val="00C84DA0"/>
    <w:rsid w:val="00C84E1A"/>
    <w:rsid w:val="00C85459"/>
    <w:rsid w:val="00C85B84"/>
    <w:rsid w:val="00C85BD4"/>
    <w:rsid w:val="00C8640B"/>
    <w:rsid w:val="00C86F11"/>
    <w:rsid w:val="00C86F62"/>
    <w:rsid w:val="00C8707A"/>
    <w:rsid w:val="00C87325"/>
    <w:rsid w:val="00C8776F"/>
    <w:rsid w:val="00C87A11"/>
    <w:rsid w:val="00C901B0"/>
    <w:rsid w:val="00C90810"/>
    <w:rsid w:val="00C91039"/>
    <w:rsid w:val="00C91FE9"/>
    <w:rsid w:val="00C9203A"/>
    <w:rsid w:val="00C92159"/>
    <w:rsid w:val="00C9221F"/>
    <w:rsid w:val="00C92A51"/>
    <w:rsid w:val="00C92A6B"/>
    <w:rsid w:val="00C930EA"/>
    <w:rsid w:val="00C9328C"/>
    <w:rsid w:val="00C932F2"/>
    <w:rsid w:val="00C94578"/>
    <w:rsid w:val="00C9467A"/>
    <w:rsid w:val="00C947A2"/>
    <w:rsid w:val="00C94A78"/>
    <w:rsid w:val="00C953CA"/>
    <w:rsid w:val="00C959AC"/>
    <w:rsid w:val="00C96143"/>
    <w:rsid w:val="00C969A3"/>
    <w:rsid w:val="00C97FD2"/>
    <w:rsid w:val="00CA0410"/>
    <w:rsid w:val="00CA0690"/>
    <w:rsid w:val="00CA073F"/>
    <w:rsid w:val="00CA14C4"/>
    <w:rsid w:val="00CA2A9D"/>
    <w:rsid w:val="00CA2C1C"/>
    <w:rsid w:val="00CA365B"/>
    <w:rsid w:val="00CA417D"/>
    <w:rsid w:val="00CA42A3"/>
    <w:rsid w:val="00CA4474"/>
    <w:rsid w:val="00CA4941"/>
    <w:rsid w:val="00CA4F0A"/>
    <w:rsid w:val="00CA62B4"/>
    <w:rsid w:val="00CA635E"/>
    <w:rsid w:val="00CA6C1B"/>
    <w:rsid w:val="00CA6CA4"/>
    <w:rsid w:val="00CA7786"/>
    <w:rsid w:val="00CB084E"/>
    <w:rsid w:val="00CB09A2"/>
    <w:rsid w:val="00CB0A5B"/>
    <w:rsid w:val="00CB0F2F"/>
    <w:rsid w:val="00CB1C79"/>
    <w:rsid w:val="00CB1D83"/>
    <w:rsid w:val="00CB1F12"/>
    <w:rsid w:val="00CB26FE"/>
    <w:rsid w:val="00CB2A95"/>
    <w:rsid w:val="00CB2E16"/>
    <w:rsid w:val="00CB35C6"/>
    <w:rsid w:val="00CB3775"/>
    <w:rsid w:val="00CB3A68"/>
    <w:rsid w:val="00CB3DA7"/>
    <w:rsid w:val="00CB42E1"/>
    <w:rsid w:val="00CB56BF"/>
    <w:rsid w:val="00CB60A8"/>
    <w:rsid w:val="00CB6459"/>
    <w:rsid w:val="00CB6EB1"/>
    <w:rsid w:val="00CB7108"/>
    <w:rsid w:val="00CB7149"/>
    <w:rsid w:val="00CC0867"/>
    <w:rsid w:val="00CC0992"/>
    <w:rsid w:val="00CC0C0B"/>
    <w:rsid w:val="00CC114C"/>
    <w:rsid w:val="00CC153A"/>
    <w:rsid w:val="00CC1A33"/>
    <w:rsid w:val="00CC1CC5"/>
    <w:rsid w:val="00CC1DE9"/>
    <w:rsid w:val="00CC21F5"/>
    <w:rsid w:val="00CC305A"/>
    <w:rsid w:val="00CC3E0F"/>
    <w:rsid w:val="00CC48F6"/>
    <w:rsid w:val="00CC4B77"/>
    <w:rsid w:val="00CC5351"/>
    <w:rsid w:val="00CC5AFC"/>
    <w:rsid w:val="00CC5FB2"/>
    <w:rsid w:val="00CC615E"/>
    <w:rsid w:val="00CC61A2"/>
    <w:rsid w:val="00CC634C"/>
    <w:rsid w:val="00CC647E"/>
    <w:rsid w:val="00CC64AF"/>
    <w:rsid w:val="00CC66D9"/>
    <w:rsid w:val="00CC6A61"/>
    <w:rsid w:val="00CC6CB3"/>
    <w:rsid w:val="00CC73EC"/>
    <w:rsid w:val="00CC7D0F"/>
    <w:rsid w:val="00CC7DBF"/>
    <w:rsid w:val="00CC7DD3"/>
    <w:rsid w:val="00CD1788"/>
    <w:rsid w:val="00CD26B0"/>
    <w:rsid w:val="00CD351B"/>
    <w:rsid w:val="00CD3615"/>
    <w:rsid w:val="00CD3B47"/>
    <w:rsid w:val="00CD46DB"/>
    <w:rsid w:val="00CD4B4C"/>
    <w:rsid w:val="00CD4E74"/>
    <w:rsid w:val="00CD4EF6"/>
    <w:rsid w:val="00CD4EFE"/>
    <w:rsid w:val="00CD5702"/>
    <w:rsid w:val="00CD5848"/>
    <w:rsid w:val="00CD5BC7"/>
    <w:rsid w:val="00CD5C3C"/>
    <w:rsid w:val="00CD6570"/>
    <w:rsid w:val="00CD68A7"/>
    <w:rsid w:val="00CD6B5E"/>
    <w:rsid w:val="00CD6F28"/>
    <w:rsid w:val="00CD7499"/>
    <w:rsid w:val="00CD758F"/>
    <w:rsid w:val="00CD772B"/>
    <w:rsid w:val="00CD7892"/>
    <w:rsid w:val="00CD7BCA"/>
    <w:rsid w:val="00CD7BE1"/>
    <w:rsid w:val="00CE286D"/>
    <w:rsid w:val="00CE2DDD"/>
    <w:rsid w:val="00CE3556"/>
    <w:rsid w:val="00CE358C"/>
    <w:rsid w:val="00CE3B41"/>
    <w:rsid w:val="00CE3DE2"/>
    <w:rsid w:val="00CE3E86"/>
    <w:rsid w:val="00CE43EF"/>
    <w:rsid w:val="00CE486B"/>
    <w:rsid w:val="00CE4901"/>
    <w:rsid w:val="00CE4CB8"/>
    <w:rsid w:val="00CE4E11"/>
    <w:rsid w:val="00CE52B3"/>
    <w:rsid w:val="00CE52E8"/>
    <w:rsid w:val="00CE5762"/>
    <w:rsid w:val="00CE60C9"/>
    <w:rsid w:val="00CE624E"/>
    <w:rsid w:val="00CE65EB"/>
    <w:rsid w:val="00CE6621"/>
    <w:rsid w:val="00CE6A91"/>
    <w:rsid w:val="00CE7089"/>
    <w:rsid w:val="00CE7357"/>
    <w:rsid w:val="00CE743E"/>
    <w:rsid w:val="00CE76E7"/>
    <w:rsid w:val="00CE783A"/>
    <w:rsid w:val="00CF0687"/>
    <w:rsid w:val="00CF07F2"/>
    <w:rsid w:val="00CF2B23"/>
    <w:rsid w:val="00CF338B"/>
    <w:rsid w:val="00CF349F"/>
    <w:rsid w:val="00CF3D6F"/>
    <w:rsid w:val="00CF4F7E"/>
    <w:rsid w:val="00CF61C5"/>
    <w:rsid w:val="00CF785A"/>
    <w:rsid w:val="00D002A2"/>
    <w:rsid w:val="00D00599"/>
    <w:rsid w:val="00D00C7A"/>
    <w:rsid w:val="00D00E4D"/>
    <w:rsid w:val="00D00EC7"/>
    <w:rsid w:val="00D00F6A"/>
    <w:rsid w:val="00D017CC"/>
    <w:rsid w:val="00D019FB"/>
    <w:rsid w:val="00D01CE1"/>
    <w:rsid w:val="00D01D65"/>
    <w:rsid w:val="00D01E01"/>
    <w:rsid w:val="00D022BF"/>
    <w:rsid w:val="00D02BA9"/>
    <w:rsid w:val="00D031C3"/>
    <w:rsid w:val="00D03641"/>
    <w:rsid w:val="00D03701"/>
    <w:rsid w:val="00D03898"/>
    <w:rsid w:val="00D045EB"/>
    <w:rsid w:val="00D04E40"/>
    <w:rsid w:val="00D0572F"/>
    <w:rsid w:val="00D058CA"/>
    <w:rsid w:val="00D05AC2"/>
    <w:rsid w:val="00D05FC6"/>
    <w:rsid w:val="00D06AED"/>
    <w:rsid w:val="00D06C58"/>
    <w:rsid w:val="00D07059"/>
    <w:rsid w:val="00D10604"/>
    <w:rsid w:val="00D106C3"/>
    <w:rsid w:val="00D10CCD"/>
    <w:rsid w:val="00D11981"/>
    <w:rsid w:val="00D12311"/>
    <w:rsid w:val="00D12632"/>
    <w:rsid w:val="00D128C4"/>
    <w:rsid w:val="00D12C5B"/>
    <w:rsid w:val="00D12CD8"/>
    <w:rsid w:val="00D12CF6"/>
    <w:rsid w:val="00D13F2A"/>
    <w:rsid w:val="00D14264"/>
    <w:rsid w:val="00D14578"/>
    <w:rsid w:val="00D146D2"/>
    <w:rsid w:val="00D14FDE"/>
    <w:rsid w:val="00D15A77"/>
    <w:rsid w:val="00D15EE7"/>
    <w:rsid w:val="00D172C8"/>
    <w:rsid w:val="00D20626"/>
    <w:rsid w:val="00D20FCA"/>
    <w:rsid w:val="00D2167B"/>
    <w:rsid w:val="00D21A19"/>
    <w:rsid w:val="00D21BE7"/>
    <w:rsid w:val="00D21F1B"/>
    <w:rsid w:val="00D22A8C"/>
    <w:rsid w:val="00D25061"/>
    <w:rsid w:val="00D25990"/>
    <w:rsid w:val="00D2696F"/>
    <w:rsid w:val="00D26FF6"/>
    <w:rsid w:val="00D27227"/>
    <w:rsid w:val="00D27BC5"/>
    <w:rsid w:val="00D308FF"/>
    <w:rsid w:val="00D31235"/>
    <w:rsid w:val="00D316B6"/>
    <w:rsid w:val="00D329FE"/>
    <w:rsid w:val="00D3330A"/>
    <w:rsid w:val="00D337CE"/>
    <w:rsid w:val="00D3397A"/>
    <w:rsid w:val="00D33A9F"/>
    <w:rsid w:val="00D33D73"/>
    <w:rsid w:val="00D340E6"/>
    <w:rsid w:val="00D341C2"/>
    <w:rsid w:val="00D343B0"/>
    <w:rsid w:val="00D349BC"/>
    <w:rsid w:val="00D34A5D"/>
    <w:rsid w:val="00D34C59"/>
    <w:rsid w:val="00D352AB"/>
    <w:rsid w:val="00D35594"/>
    <w:rsid w:val="00D363C1"/>
    <w:rsid w:val="00D36B0F"/>
    <w:rsid w:val="00D36BF3"/>
    <w:rsid w:val="00D37579"/>
    <w:rsid w:val="00D37F61"/>
    <w:rsid w:val="00D410DD"/>
    <w:rsid w:val="00D413A7"/>
    <w:rsid w:val="00D41D8D"/>
    <w:rsid w:val="00D41FFB"/>
    <w:rsid w:val="00D4210E"/>
    <w:rsid w:val="00D43E2D"/>
    <w:rsid w:val="00D43F3D"/>
    <w:rsid w:val="00D446EA"/>
    <w:rsid w:val="00D447FF"/>
    <w:rsid w:val="00D4492B"/>
    <w:rsid w:val="00D44C6C"/>
    <w:rsid w:val="00D4521F"/>
    <w:rsid w:val="00D4533C"/>
    <w:rsid w:val="00D46314"/>
    <w:rsid w:val="00D4657A"/>
    <w:rsid w:val="00D4689F"/>
    <w:rsid w:val="00D47377"/>
    <w:rsid w:val="00D47415"/>
    <w:rsid w:val="00D47950"/>
    <w:rsid w:val="00D507AE"/>
    <w:rsid w:val="00D5080F"/>
    <w:rsid w:val="00D51132"/>
    <w:rsid w:val="00D514CE"/>
    <w:rsid w:val="00D5154F"/>
    <w:rsid w:val="00D515BF"/>
    <w:rsid w:val="00D518F4"/>
    <w:rsid w:val="00D51B52"/>
    <w:rsid w:val="00D520E3"/>
    <w:rsid w:val="00D52121"/>
    <w:rsid w:val="00D5227B"/>
    <w:rsid w:val="00D52D03"/>
    <w:rsid w:val="00D53047"/>
    <w:rsid w:val="00D53A82"/>
    <w:rsid w:val="00D54093"/>
    <w:rsid w:val="00D542E3"/>
    <w:rsid w:val="00D5508C"/>
    <w:rsid w:val="00D55849"/>
    <w:rsid w:val="00D560B9"/>
    <w:rsid w:val="00D56418"/>
    <w:rsid w:val="00D56551"/>
    <w:rsid w:val="00D56677"/>
    <w:rsid w:val="00D5670B"/>
    <w:rsid w:val="00D56B52"/>
    <w:rsid w:val="00D60746"/>
    <w:rsid w:val="00D614BE"/>
    <w:rsid w:val="00D620C1"/>
    <w:rsid w:val="00D62E8A"/>
    <w:rsid w:val="00D6315D"/>
    <w:rsid w:val="00D63343"/>
    <w:rsid w:val="00D63F48"/>
    <w:rsid w:val="00D64064"/>
    <w:rsid w:val="00D64093"/>
    <w:rsid w:val="00D6453A"/>
    <w:rsid w:val="00D64700"/>
    <w:rsid w:val="00D64F7E"/>
    <w:rsid w:val="00D650BB"/>
    <w:rsid w:val="00D6761C"/>
    <w:rsid w:val="00D70CA0"/>
    <w:rsid w:val="00D71143"/>
    <w:rsid w:val="00D71D53"/>
    <w:rsid w:val="00D71FED"/>
    <w:rsid w:val="00D72062"/>
    <w:rsid w:val="00D728D2"/>
    <w:rsid w:val="00D730C7"/>
    <w:rsid w:val="00D732A6"/>
    <w:rsid w:val="00D73668"/>
    <w:rsid w:val="00D7408B"/>
    <w:rsid w:val="00D74334"/>
    <w:rsid w:val="00D74B0A"/>
    <w:rsid w:val="00D75291"/>
    <w:rsid w:val="00D761AE"/>
    <w:rsid w:val="00D76D4B"/>
    <w:rsid w:val="00D770C0"/>
    <w:rsid w:val="00D77228"/>
    <w:rsid w:val="00D778F5"/>
    <w:rsid w:val="00D8016E"/>
    <w:rsid w:val="00D80321"/>
    <w:rsid w:val="00D81347"/>
    <w:rsid w:val="00D81386"/>
    <w:rsid w:val="00D81C8D"/>
    <w:rsid w:val="00D82103"/>
    <w:rsid w:val="00D82157"/>
    <w:rsid w:val="00D831FD"/>
    <w:rsid w:val="00D8351C"/>
    <w:rsid w:val="00D8390A"/>
    <w:rsid w:val="00D846D6"/>
    <w:rsid w:val="00D84ACA"/>
    <w:rsid w:val="00D85453"/>
    <w:rsid w:val="00D857E7"/>
    <w:rsid w:val="00D859EF"/>
    <w:rsid w:val="00D85DCE"/>
    <w:rsid w:val="00D8713D"/>
    <w:rsid w:val="00D90975"/>
    <w:rsid w:val="00D90BBE"/>
    <w:rsid w:val="00D90CE5"/>
    <w:rsid w:val="00D912CF"/>
    <w:rsid w:val="00D91525"/>
    <w:rsid w:val="00D91528"/>
    <w:rsid w:val="00D92215"/>
    <w:rsid w:val="00D92265"/>
    <w:rsid w:val="00D929AD"/>
    <w:rsid w:val="00D933CE"/>
    <w:rsid w:val="00D933DA"/>
    <w:rsid w:val="00D936BF"/>
    <w:rsid w:val="00D93FB7"/>
    <w:rsid w:val="00D94302"/>
    <w:rsid w:val="00D9462F"/>
    <w:rsid w:val="00D9644F"/>
    <w:rsid w:val="00D96664"/>
    <w:rsid w:val="00D96F3C"/>
    <w:rsid w:val="00D97838"/>
    <w:rsid w:val="00D97C54"/>
    <w:rsid w:val="00D97D80"/>
    <w:rsid w:val="00D97F70"/>
    <w:rsid w:val="00DA097F"/>
    <w:rsid w:val="00DA0E5F"/>
    <w:rsid w:val="00DA1023"/>
    <w:rsid w:val="00DA1362"/>
    <w:rsid w:val="00DA1BEF"/>
    <w:rsid w:val="00DA1E73"/>
    <w:rsid w:val="00DA1EA4"/>
    <w:rsid w:val="00DA1FD4"/>
    <w:rsid w:val="00DA246D"/>
    <w:rsid w:val="00DA27B6"/>
    <w:rsid w:val="00DA2E12"/>
    <w:rsid w:val="00DA3469"/>
    <w:rsid w:val="00DA34B0"/>
    <w:rsid w:val="00DA3CC3"/>
    <w:rsid w:val="00DA41D3"/>
    <w:rsid w:val="00DA4310"/>
    <w:rsid w:val="00DA462C"/>
    <w:rsid w:val="00DA4A0D"/>
    <w:rsid w:val="00DA4D02"/>
    <w:rsid w:val="00DA52EC"/>
    <w:rsid w:val="00DA5C82"/>
    <w:rsid w:val="00DA60C2"/>
    <w:rsid w:val="00DA6F20"/>
    <w:rsid w:val="00DA78AE"/>
    <w:rsid w:val="00DA7D85"/>
    <w:rsid w:val="00DA7E60"/>
    <w:rsid w:val="00DB00CF"/>
    <w:rsid w:val="00DB05B5"/>
    <w:rsid w:val="00DB0BBE"/>
    <w:rsid w:val="00DB0C15"/>
    <w:rsid w:val="00DB27D3"/>
    <w:rsid w:val="00DB2F5C"/>
    <w:rsid w:val="00DB32B7"/>
    <w:rsid w:val="00DB3379"/>
    <w:rsid w:val="00DB3608"/>
    <w:rsid w:val="00DB385F"/>
    <w:rsid w:val="00DB3869"/>
    <w:rsid w:val="00DB3D92"/>
    <w:rsid w:val="00DB3ED2"/>
    <w:rsid w:val="00DB4603"/>
    <w:rsid w:val="00DB466C"/>
    <w:rsid w:val="00DB46BD"/>
    <w:rsid w:val="00DB6672"/>
    <w:rsid w:val="00DB6B36"/>
    <w:rsid w:val="00DB776E"/>
    <w:rsid w:val="00DB77EE"/>
    <w:rsid w:val="00DC029B"/>
    <w:rsid w:val="00DC1126"/>
    <w:rsid w:val="00DC12E6"/>
    <w:rsid w:val="00DC1638"/>
    <w:rsid w:val="00DC1B6E"/>
    <w:rsid w:val="00DC1FA8"/>
    <w:rsid w:val="00DC2161"/>
    <w:rsid w:val="00DC244B"/>
    <w:rsid w:val="00DC24B7"/>
    <w:rsid w:val="00DC25C1"/>
    <w:rsid w:val="00DC2617"/>
    <w:rsid w:val="00DC28DD"/>
    <w:rsid w:val="00DC3661"/>
    <w:rsid w:val="00DC3710"/>
    <w:rsid w:val="00DC38B7"/>
    <w:rsid w:val="00DC3B39"/>
    <w:rsid w:val="00DC5769"/>
    <w:rsid w:val="00DC5B13"/>
    <w:rsid w:val="00DC5CB6"/>
    <w:rsid w:val="00DC5CDC"/>
    <w:rsid w:val="00DC5D65"/>
    <w:rsid w:val="00DC60F4"/>
    <w:rsid w:val="00DC6171"/>
    <w:rsid w:val="00DC63AF"/>
    <w:rsid w:val="00DC73F4"/>
    <w:rsid w:val="00DC7A7D"/>
    <w:rsid w:val="00DD0942"/>
    <w:rsid w:val="00DD0A32"/>
    <w:rsid w:val="00DD1471"/>
    <w:rsid w:val="00DD288A"/>
    <w:rsid w:val="00DD2D1D"/>
    <w:rsid w:val="00DD3245"/>
    <w:rsid w:val="00DD35BB"/>
    <w:rsid w:val="00DD3B89"/>
    <w:rsid w:val="00DD3D7A"/>
    <w:rsid w:val="00DD402D"/>
    <w:rsid w:val="00DD4FE0"/>
    <w:rsid w:val="00DD5272"/>
    <w:rsid w:val="00DD63CB"/>
    <w:rsid w:val="00DD641C"/>
    <w:rsid w:val="00DD6895"/>
    <w:rsid w:val="00DD692D"/>
    <w:rsid w:val="00DD70F3"/>
    <w:rsid w:val="00DD72A7"/>
    <w:rsid w:val="00DE04C9"/>
    <w:rsid w:val="00DE05C5"/>
    <w:rsid w:val="00DE066B"/>
    <w:rsid w:val="00DE0951"/>
    <w:rsid w:val="00DE0B76"/>
    <w:rsid w:val="00DE1769"/>
    <w:rsid w:val="00DE2124"/>
    <w:rsid w:val="00DE2301"/>
    <w:rsid w:val="00DE2B80"/>
    <w:rsid w:val="00DE33D5"/>
    <w:rsid w:val="00DE3FE5"/>
    <w:rsid w:val="00DE4A60"/>
    <w:rsid w:val="00DE55D8"/>
    <w:rsid w:val="00DE5D50"/>
    <w:rsid w:val="00DE6156"/>
    <w:rsid w:val="00DE61D8"/>
    <w:rsid w:val="00DE652E"/>
    <w:rsid w:val="00DE67F4"/>
    <w:rsid w:val="00DE698E"/>
    <w:rsid w:val="00DE7E6A"/>
    <w:rsid w:val="00DF064C"/>
    <w:rsid w:val="00DF08A9"/>
    <w:rsid w:val="00DF0AD7"/>
    <w:rsid w:val="00DF0B6F"/>
    <w:rsid w:val="00DF0C68"/>
    <w:rsid w:val="00DF1AD8"/>
    <w:rsid w:val="00DF1BC8"/>
    <w:rsid w:val="00DF2C2C"/>
    <w:rsid w:val="00DF2EF3"/>
    <w:rsid w:val="00DF3CE6"/>
    <w:rsid w:val="00DF4102"/>
    <w:rsid w:val="00DF476C"/>
    <w:rsid w:val="00DF4E71"/>
    <w:rsid w:val="00DF4EB5"/>
    <w:rsid w:val="00DF5CE8"/>
    <w:rsid w:val="00DF5E03"/>
    <w:rsid w:val="00DF5EA2"/>
    <w:rsid w:val="00DF5F72"/>
    <w:rsid w:val="00DF64EF"/>
    <w:rsid w:val="00DF6890"/>
    <w:rsid w:val="00DF6D18"/>
    <w:rsid w:val="00DF6FC2"/>
    <w:rsid w:val="00DF725B"/>
    <w:rsid w:val="00DF77FE"/>
    <w:rsid w:val="00E00E18"/>
    <w:rsid w:val="00E00F14"/>
    <w:rsid w:val="00E010AC"/>
    <w:rsid w:val="00E017E7"/>
    <w:rsid w:val="00E0194E"/>
    <w:rsid w:val="00E02113"/>
    <w:rsid w:val="00E0229E"/>
    <w:rsid w:val="00E02824"/>
    <w:rsid w:val="00E02D5D"/>
    <w:rsid w:val="00E033EE"/>
    <w:rsid w:val="00E037B5"/>
    <w:rsid w:val="00E03AD0"/>
    <w:rsid w:val="00E04B3D"/>
    <w:rsid w:val="00E05EAC"/>
    <w:rsid w:val="00E0641D"/>
    <w:rsid w:val="00E06607"/>
    <w:rsid w:val="00E066EA"/>
    <w:rsid w:val="00E06B3F"/>
    <w:rsid w:val="00E07184"/>
    <w:rsid w:val="00E0734E"/>
    <w:rsid w:val="00E106E7"/>
    <w:rsid w:val="00E10887"/>
    <w:rsid w:val="00E10F90"/>
    <w:rsid w:val="00E1103C"/>
    <w:rsid w:val="00E11491"/>
    <w:rsid w:val="00E11771"/>
    <w:rsid w:val="00E11AD7"/>
    <w:rsid w:val="00E12134"/>
    <w:rsid w:val="00E126F4"/>
    <w:rsid w:val="00E12739"/>
    <w:rsid w:val="00E1293D"/>
    <w:rsid w:val="00E1321B"/>
    <w:rsid w:val="00E14966"/>
    <w:rsid w:val="00E14CCB"/>
    <w:rsid w:val="00E15173"/>
    <w:rsid w:val="00E153FA"/>
    <w:rsid w:val="00E15A51"/>
    <w:rsid w:val="00E15B2B"/>
    <w:rsid w:val="00E16D9F"/>
    <w:rsid w:val="00E17424"/>
    <w:rsid w:val="00E207D6"/>
    <w:rsid w:val="00E20B88"/>
    <w:rsid w:val="00E210AF"/>
    <w:rsid w:val="00E211CC"/>
    <w:rsid w:val="00E22697"/>
    <w:rsid w:val="00E24070"/>
    <w:rsid w:val="00E24801"/>
    <w:rsid w:val="00E2499F"/>
    <w:rsid w:val="00E24B95"/>
    <w:rsid w:val="00E24E29"/>
    <w:rsid w:val="00E24FE0"/>
    <w:rsid w:val="00E25888"/>
    <w:rsid w:val="00E25E91"/>
    <w:rsid w:val="00E25FAC"/>
    <w:rsid w:val="00E26D01"/>
    <w:rsid w:val="00E26F69"/>
    <w:rsid w:val="00E2723D"/>
    <w:rsid w:val="00E27829"/>
    <w:rsid w:val="00E30673"/>
    <w:rsid w:val="00E31B8C"/>
    <w:rsid w:val="00E324C7"/>
    <w:rsid w:val="00E324E6"/>
    <w:rsid w:val="00E32DD8"/>
    <w:rsid w:val="00E33844"/>
    <w:rsid w:val="00E339F1"/>
    <w:rsid w:val="00E33EAB"/>
    <w:rsid w:val="00E34013"/>
    <w:rsid w:val="00E34233"/>
    <w:rsid w:val="00E3476C"/>
    <w:rsid w:val="00E373C0"/>
    <w:rsid w:val="00E3758B"/>
    <w:rsid w:val="00E3772D"/>
    <w:rsid w:val="00E37850"/>
    <w:rsid w:val="00E408C6"/>
    <w:rsid w:val="00E4093B"/>
    <w:rsid w:val="00E40BDA"/>
    <w:rsid w:val="00E418F1"/>
    <w:rsid w:val="00E42114"/>
    <w:rsid w:val="00E42FF8"/>
    <w:rsid w:val="00E432F8"/>
    <w:rsid w:val="00E43982"/>
    <w:rsid w:val="00E44001"/>
    <w:rsid w:val="00E44AFD"/>
    <w:rsid w:val="00E4530C"/>
    <w:rsid w:val="00E45A53"/>
    <w:rsid w:val="00E45BD9"/>
    <w:rsid w:val="00E4686E"/>
    <w:rsid w:val="00E46F66"/>
    <w:rsid w:val="00E470E3"/>
    <w:rsid w:val="00E47B6C"/>
    <w:rsid w:val="00E47F49"/>
    <w:rsid w:val="00E5097F"/>
    <w:rsid w:val="00E51286"/>
    <w:rsid w:val="00E51A87"/>
    <w:rsid w:val="00E5209D"/>
    <w:rsid w:val="00E524A4"/>
    <w:rsid w:val="00E52EB5"/>
    <w:rsid w:val="00E5320D"/>
    <w:rsid w:val="00E541EA"/>
    <w:rsid w:val="00E54787"/>
    <w:rsid w:val="00E549ED"/>
    <w:rsid w:val="00E55283"/>
    <w:rsid w:val="00E56472"/>
    <w:rsid w:val="00E569EC"/>
    <w:rsid w:val="00E56A26"/>
    <w:rsid w:val="00E56DB7"/>
    <w:rsid w:val="00E56DCA"/>
    <w:rsid w:val="00E56FA0"/>
    <w:rsid w:val="00E57750"/>
    <w:rsid w:val="00E57A60"/>
    <w:rsid w:val="00E60756"/>
    <w:rsid w:val="00E60860"/>
    <w:rsid w:val="00E609BA"/>
    <w:rsid w:val="00E60C14"/>
    <w:rsid w:val="00E61049"/>
    <w:rsid w:val="00E611BF"/>
    <w:rsid w:val="00E611D2"/>
    <w:rsid w:val="00E628B6"/>
    <w:rsid w:val="00E6329E"/>
    <w:rsid w:val="00E633F9"/>
    <w:rsid w:val="00E63A0C"/>
    <w:rsid w:val="00E64007"/>
    <w:rsid w:val="00E64204"/>
    <w:rsid w:val="00E642C0"/>
    <w:rsid w:val="00E64C6F"/>
    <w:rsid w:val="00E64E92"/>
    <w:rsid w:val="00E64F17"/>
    <w:rsid w:val="00E65FB8"/>
    <w:rsid w:val="00E66183"/>
    <w:rsid w:val="00E66731"/>
    <w:rsid w:val="00E67E31"/>
    <w:rsid w:val="00E702CC"/>
    <w:rsid w:val="00E7036F"/>
    <w:rsid w:val="00E70929"/>
    <w:rsid w:val="00E70ACD"/>
    <w:rsid w:val="00E717F7"/>
    <w:rsid w:val="00E71B8F"/>
    <w:rsid w:val="00E72F47"/>
    <w:rsid w:val="00E72FB0"/>
    <w:rsid w:val="00E73AD0"/>
    <w:rsid w:val="00E74354"/>
    <w:rsid w:val="00E7440A"/>
    <w:rsid w:val="00E74B6B"/>
    <w:rsid w:val="00E74DEE"/>
    <w:rsid w:val="00E75E21"/>
    <w:rsid w:val="00E76282"/>
    <w:rsid w:val="00E763CB"/>
    <w:rsid w:val="00E768AF"/>
    <w:rsid w:val="00E772C4"/>
    <w:rsid w:val="00E7764E"/>
    <w:rsid w:val="00E778FE"/>
    <w:rsid w:val="00E77BE3"/>
    <w:rsid w:val="00E77FDC"/>
    <w:rsid w:val="00E805A5"/>
    <w:rsid w:val="00E80AFC"/>
    <w:rsid w:val="00E80B8E"/>
    <w:rsid w:val="00E81726"/>
    <w:rsid w:val="00E81B68"/>
    <w:rsid w:val="00E81EC5"/>
    <w:rsid w:val="00E81F1D"/>
    <w:rsid w:val="00E823AD"/>
    <w:rsid w:val="00E823B7"/>
    <w:rsid w:val="00E830C1"/>
    <w:rsid w:val="00E83428"/>
    <w:rsid w:val="00E839E3"/>
    <w:rsid w:val="00E8462C"/>
    <w:rsid w:val="00E84F71"/>
    <w:rsid w:val="00E85529"/>
    <w:rsid w:val="00E85AEC"/>
    <w:rsid w:val="00E85CEE"/>
    <w:rsid w:val="00E85D91"/>
    <w:rsid w:val="00E863AA"/>
    <w:rsid w:val="00E868D0"/>
    <w:rsid w:val="00E877F6"/>
    <w:rsid w:val="00E87E86"/>
    <w:rsid w:val="00E900A0"/>
    <w:rsid w:val="00E900E9"/>
    <w:rsid w:val="00E900F9"/>
    <w:rsid w:val="00E9049C"/>
    <w:rsid w:val="00E90D14"/>
    <w:rsid w:val="00E917E1"/>
    <w:rsid w:val="00E91D2F"/>
    <w:rsid w:val="00E929B8"/>
    <w:rsid w:val="00E93380"/>
    <w:rsid w:val="00E935DC"/>
    <w:rsid w:val="00E93783"/>
    <w:rsid w:val="00E94DFD"/>
    <w:rsid w:val="00E95001"/>
    <w:rsid w:val="00E952A1"/>
    <w:rsid w:val="00E95603"/>
    <w:rsid w:val="00E95613"/>
    <w:rsid w:val="00E9671D"/>
    <w:rsid w:val="00E968E0"/>
    <w:rsid w:val="00E97167"/>
    <w:rsid w:val="00E977E8"/>
    <w:rsid w:val="00E97813"/>
    <w:rsid w:val="00E97AA4"/>
    <w:rsid w:val="00EA0587"/>
    <w:rsid w:val="00EA0603"/>
    <w:rsid w:val="00EA0D51"/>
    <w:rsid w:val="00EA1302"/>
    <w:rsid w:val="00EA1526"/>
    <w:rsid w:val="00EA17DE"/>
    <w:rsid w:val="00EA24F3"/>
    <w:rsid w:val="00EA266B"/>
    <w:rsid w:val="00EA33E1"/>
    <w:rsid w:val="00EA3595"/>
    <w:rsid w:val="00EA3EC5"/>
    <w:rsid w:val="00EA3F09"/>
    <w:rsid w:val="00EA434F"/>
    <w:rsid w:val="00EA4CF1"/>
    <w:rsid w:val="00EA57DA"/>
    <w:rsid w:val="00EA589A"/>
    <w:rsid w:val="00EA5905"/>
    <w:rsid w:val="00EA6115"/>
    <w:rsid w:val="00EA6298"/>
    <w:rsid w:val="00EA67BF"/>
    <w:rsid w:val="00EA72CD"/>
    <w:rsid w:val="00EA7A71"/>
    <w:rsid w:val="00EB0578"/>
    <w:rsid w:val="00EB0885"/>
    <w:rsid w:val="00EB08E9"/>
    <w:rsid w:val="00EB1098"/>
    <w:rsid w:val="00EB2D05"/>
    <w:rsid w:val="00EB2EF5"/>
    <w:rsid w:val="00EB31A8"/>
    <w:rsid w:val="00EB33D8"/>
    <w:rsid w:val="00EB350D"/>
    <w:rsid w:val="00EB4206"/>
    <w:rsid w:val="00EB4335"/>
    <w:rsid w:val="00EB43EB"/>
    <w:rsid w:val="00EB49C2"/>
    <w:rsid w:val="00EB4C85"/>
    <w:rsid w:val="00EB568C"/>
    <w:rsid w:val="00EB573D"/>
    <w:rsid w:val="00EB5F23"/>
    <w:rsid w:val="00EB626E"/>
    <w:rsid w:val="00EB69CC"/>
    <w:rsid w:val="00EB6A94"/>
    <w:rsid w:val="00EB6CEF"/>
    <w:rsid w:val="00EB7725"/>
    <w:rsid w:val="00EC1358"/>
    <w:rsid w:val="00EC1E89"/>
    <w:rsid w:val="00EC203B"/>
    <w:rsid w:val="00EC2D58"/>
    <w:rsid w:val="00EC2EA2"/>
    <w:rsid w:val="00EC441E"/>
    <w:rsid w:val="00EC486D"/>
    <w:rsid w:val="00EC49C1"/>
    <w:rsid w:val="00EC4BFE"/>
    <w:rsid w:val="00EC500D"/>
    <w:rsid w:val="00EC5203"/>
    <w:rsid w:val="00EC5583"/>
    <w:rsid w:val="00EC55C2"/>
    <w:rsid w:val="00EC5A0E"/>
    <w:rsid w:val="00EC5AD3"/>
    <w:rsid w:val="00EC62AF"/>
    <w:rsid w:val="00EC62F0"/>
    <w:rsid w:val="00EC67C5"/>
    <w:rsid w:val="00EC738D"/>
    <w:rsid w:val="00EC77F4"/>
    <w:rsid w:val="00EC7C64"/>
    <w:rsid w:val="00EC7F21"/>
    <w:rsid w:val="00ED0488"/>
    <w:rsid w:val="00ED0B67"/>
    <w:rsid w:val="00ED0CAA"/>
    <w:rsid w:val="00ED16DB"/>
    <w:rsid w:val="00ED1AB7"/>
    <w:rsid w:val="00ED2049"/>
    <w:rsid w:val="00ED2509"/>
    <w:rsid w:val="00ED353B"/>
    <w:rsid w:val="00ED4252"/>
    <w:rsid w:val="00ED4932"/>
    <w:rsid w:val="00ED4BA0"/>
    <w:rsid w:val="00ED4BC0"/>
    <w:rsid w:val="00ED526A"/>
    <w:rsid w:val="00ED663B"/>
    <w:rsid w:val="00ED6765"/>
    <w:rsid w:val="00ED763C"/>
    <w:rsid w:val="00EE015D"/>
    <w:rsid w:val="00EE042D"/>
    <w:rsid w:val="00EE042E"/>
    <w:rsid w:val="00EE1412"/>
    <w:rsid w:val="00EE1716"/>
    <w:rsid w:val="00EE181F"/>
    <w:rsid w:val="00EE1FD1"/>
    <w:rsid w:val="00EE26AC"/>
    <w:rsid w:val="00EE301F"/>
    <w:rsid w:val="00EE43DF"/>
    <w:rsid w:val="00EE4E87"/>
    <w:rsid w:val="00EE4EDE"/>
    <w:rsid w:val="00EE4FBC"/>
    <w:rsid w:val="00EE5006"/>
    <w:rsid w:val="00EE5274"/>
    <w:rsid w:val="00EE6A4B"/>
    <w:rsid w:val="00EE6C2A"/>
    <w:rsid w:val="00EE6F92"/>
    <w:rsid w:val="00EE7AC7"/>
    <w:rsid w:val="00EE7CB0"/>
    <w:rsid w:val="00EE7D0A"/>
    <w:rsid w:val="00EF0336"/>
    <w:rsid w:val="00EF092F"/>
    <w:rsid w:val="00EF0B6A"/>
    <w:rsid w:val="00EF0DCD"/>
    <w:rsid w:val="00EF112E"/>
    <w:rsid w:val="00EF1218"/>
    <w:rsid w:val="00EF14BA"/>
    <w:rsid w:val="00EF225B"/>
    <w:rsid w:val="00EF27C0"/>
    <w:rsid w:val="00EF2C5A"/>
    <w:rsid w:val="00EF313A"/>
    <w:rsid w:val="00EF32A8"/>
    <w:rsid w:val="00EF3BD4"/>
    <w:rsid w:val="00EF4595"/>
    <w:rsid w:val="00EF475C"/>
    <w:rsid w:val="00EF4A0C"/>
    <w:rsid w:val="00EF4D11"/>
    <w:rsid w:val="00EF5A4D"/>
    <w:rsid w:val="00EF5A9B"/>
    <w:rsid w:val="00EF5D63"/>
    <w:rsid w:val="00EF6CD7"/>
    <w:rsid w:val="00EF6DDE"/>
    <w:rsid w:val="00EF7242"/>
    <w:rsid w:val="00EF75D3"/>
    <w:rsid w:val="00EF77DF"/>
    <w:rsid w:val="00EF7805"/>
    <w:rsid w:val="00EF7D8A"/>
    <w:rsid w:val="00F00092"/>
    <w:rsid w:val="00F00140"/>
    <w:rsid w:val="00F00161"/>
    <w:rsid w:val="00F01570"/>
    <w:rsid w:val="00F01791"/>
    <w:rsid w:val="00F01B64"/>
    <w:rsid w:val="00F02C11"/>
    <w:rsid w:val="00F02F5F"/>
    <w:rsid w:val="00F0325A"/>
    <w:rsid w:val="00F0359B"/>
    <w:rsid w:val="00F0424C"/>
    <w:rsid w:val="00F04CED"/>
    <w:rsid w:val="00F04D4A"/>
    <w:rsid w:val="00F0564E"/>
    <w:rsid w:val="00F06085"/>
    <w:rsid w:val="00F06148"/>
    <w:rsid w:val="00F06CBB"/>
    <w:rsid w:val="00F06EA4"/>
    <w:rsid w:val="00F071E9"/>
    <w:rsid w:val="00F078FB"/>
    <w:rsid w:val="00F07E04"/>
    <w:rsid w:val="00F07E61"/>
    <w:rsid w:val="00F105AE"/>
    <w:rsid w:val="00F10653"/>
    <w:rsid w:val="00F10C02"/>
    <w:rsid w:val="00F10F77"/>
    <w:rsid w:val="00F11063"/>
    <w:rsid w:val="00F1109C"/>
    <w:rsid w:val="00F11481"/>
    <w:rsid w:val="00F11D7E"/>
    <w:rsid w:val="00F11E5F"/>
    <w:rsid w:val="00F11E80"/>
    <w:rsid w:val="00F1209B"/>
    <w:rsid w:val="00F1304A"/>
    <w:rsid w:val="00F134CA"/>
    <w:rsid w:val="00F139A1"/>
    <w:rsid w:val="00F14A19"/>
    <w:rsid w:val="00F151F9"/>
    <w:rsid w:val="00F15857"/>
    <w:rsid w:val="00F159F1"/>
    <w:rsid w:val="00F15AE0"/>
    <w:rsid w:val="00F15C6E"/>
    <w:rsid w:val="00F16529"/>
    <w:rsid w:val="00F166BD"/>
    <w:rsid w:val="00F16A39"/>
    <w:rsid w:val="00F1720A"/>
    <w:rsid w:val="00F172C0"/>
    <w:rsid w:val="00F17D12"/>
    <w:rsid w:val="00F17D35"/>
    <w:rsid w:val="00F17F0B"/>
    <w:rsid w:val="00F205EC"/>
    <w:rsid w:val="00F221AE"/>
    <w:rsid w:val="00F22A37"/>
    <w:rsid w:val="00F23338"/>
    <w:rsid w:val="00F234B9"/>
    <w:rsid w:val="00F2353D"/>
    <w:rsid w:val="00F23842"/>
    <w:rsid w:val="00F23FAF"/>
    <w:rsid w:val="00F25375"/>
    <w:rsid w:val="00F25C01"/>
    <w:rsid w:val="00F25CBF"/>
    <w:rsid w:val="00F2666B"/>
    <w:rsid w:val="00F26A8A"/>
    <w:rsid w:val="00F26B7F"/>
    <w:rsid w:val="00F26E0D"/>
    <w:rsid w:val="00F279EF"/>
    <w:rsid w:val="00F27C24"/>
    <w:rsid w:val="00F27C31"/>
    <w:rsid w:val="00F30025"/>
    <w:rsid w:val="00F306D4"/>
    <w:rsid w:val="00F30886"/>
    <w:rsid w:val="00F31038"/>
    <w:rsid w:val="00F31B05"/>
    <w:rsid w:val="00F32287"/>
    <w:rsid w:val="00F324A7"/>
    <w:rsid w:val="00F32A8A"/>
    <w:rsid w:val="00F32BFF"/>
    <w:rsid w:val="00F3393E"/>
    <w:rsid w:val="00F33C1A"/>
    <w:rsid w:val="00F33D67"/>
    <w:rsid w:val="00F33F68"/>
    <w:rsid w:val="00F343C9"/>
    <w:rsid w:val="00F344F8"/>
    <w:rsid w:val="00F349AF"/>
    <w:rsid w:val="00F352B0"/>
    <w:rsid w:val="00F35C25"/>
    <w:rsid w:val="00F3640B"/>
    <w:rsid w:val="00F36C3C"/>
    <w:rsid w:val="00F3754C"/>
    <w:rsid w:val="00F3772F"/>
    <w:rsid w:val="00F400C0"/>
    <w:rsid w:val="00F4011C"/>
    <w:rsid w:val="00F40A92"/>
    <w:rsid w:val="00F40C5C"/>
    <w:rsid w:val="00F41118"/>
    <w:rsid w:val="00F411DE"/>
    <w:rsid w:val="00F419AD"/>
    <w:rsid w:val="00F428F2"/>
    <w:rsid w:val="00F42A20"/>
    <w:rsid w:val="00F42D51"/>
    <w:rsid w:val="00F43225"/>
    <w:rsid w:val="00F43E4E"/>
    <w:rsid w:val="00F44477"/>
    <w:rsid w:val="00F444E8"/>
    <w:rsid w:val="00F44701"/>
    <w:rsid w:val="00F44723"/>
    <w:rsid w:val="00F45093"/>
    <w:rsid w:val="00F45448"/>
    <w:rsid w:val="00F45487"/>
    <w:rsid w:val="00F47393"/>
    <w:rsid w:val="00F479BC"/>
    <w:rsid w:val="00F5070F"/>
    <w:rsid w:val="00F51004"/>
    <w:rsid w:val="00F51134"/>
    <w:rsid w:val="00F5133C"/>
    <w:rsid w:val="00F513AE"/>
    <w:rsid w:val="00F5168C"/>
    <w:rsid w:val="00F519F6"/>
    <w:rsid w:val="00F52604"/>
    <w:rsid w:val="00F526E1"/>
    <w:rsid w:val="00F53802"/>
    <w:rsid w:val="00F53ADE"/>
    <w:rsid w:val="00F54325"/>
    <w:rsid w:val="00F54494"/>
    <w:rsid w:val="00F54FD2"/>
    <w:rsid w:val="00F556D9"/>
    <w:rsid w:val="00F5577A"/>
    <w:rsid w:val="00F559E2"/>
    <w:rsid w:val="00F559E3"/>
    <w:rsid w:val="00F55B37"/>
    <w:rsid w:val="00F55CAA"/>
    <w:rsid w:val="00F55E6F"/>
    <w:rsid w:val="00F56C9D"/>
    <w:rsid w:val="00F5719F"/>
    <w:rsid w:val="00F57483"/>
    <w:rsid w:val="00F60C6F"/>
    <w:rsid w:val="00F60E4C"/>
    <w:rsid w:val="00F6143D"/>
    <w:rsid w:val="00F6154B"/>
    <w:rsid w:val="00F62093"/>
    <w:rsid w:val="00F62648"/>
    <w:rsid w:val="00F627DA"/>
    <w:rsid w:val="00F64682"/>
    <w:rsid w:val="00F654F6"/>
    <w:rsid w:val="00F657B1"/>
    <w:rsid w:val="00F6604C"/>
    <w:rsid w:val="00F6635B"/>
    <w:rsid w:val="00F664FC"/>
    <w:rsid w:val="00F6690A"/>
    <w:rsid w:val="00F66990"/>
    <w:rsid w:val="00F67320"/>
    <w:rsid w:val="00F67E19"/>
    <w:rsid w:val="00F709B2"/>
    <w:rsid w:val="00F70B6B"/>
    <w:rsid w:val="00F70D4F"/>
    <w:rsid w:val="00F72517"/>
    <w:rsid w:val="00F73109"/>
    <w:rsid w:val="00F73894"/>
    <w:rsid w:val="00F738A2"/>
    <w:rsid w:val="00F73A5E"/>
    <w:rsid w:val="00F73ACC"/>
    <w:rsid w:val="00F74700"/>
    <w:rsid w:val="00F74DCF"/>
    <w:rsid w:val="00F75B21"/>
    <w:rsid w:val="00F7613A"/>
    <w:rsid w:val="00F763BB"/>
    <w:rsid w:val="00F766FD"/>
    <w:rsid w:val="00F76906"/>
    <w:rsid w:val="00F76CF1"/>
    <w:rsid w:val="00F7785D"/>
    <w:rsid w:val="00F779A9"/>
    <w:rsid w:val="00F80104"/>
    <w:rsid w:val="00F80848"/>
    <w:rsid w:val="00F80F76"/>
    <w:rsid w:val="00F813D2"/>
    <w:rsid w:val="00F818C7"/>
    <w:rsid w:val="00F81C1D"/>
    <w:rsid w:val="00F820F5"/>
    <w:rsid w:val="00F831E0"/>
    <w:rsid w:val="00F83891"/>
    <w:rsid w:val="00F83FA2"/>
    <w:rsid w:val="00F844DE"/>
    <w:rsid w:val="00F84592"/>
    <w:rsid w:val="00F84600"/>
    <w:rsid w:val="00F8473C"/>
    <w:rsid w:val="00F85385"/>
    <w:rsid w:val="00F85782"/>
    <w:rsid w:val="00F858E7"/>
    <w:rsid w:val="00F8590F"/>
    <w:rsid w:val="00F85DAA"/>
    <w:rsid w:val="00F86048"/>
    <w:rsid w:val="00F86ACA"/>
    <w:rsid w:val="00F86B1C"/>
    <w:rsid w:val="00F8753F"/>
    <w:rsid w:val="00F87563"/>
    <w:rsid w:val="00F90121"/>
    <w:rsid w:val="00F90238"/>
    <w:rsid w:val="00F902FF"/>
    <w:rsid w:val="00F90715"/>
    <w:rsid w:val="00F908AB"/>
    <w:rsid w:val="00F90F54"/>
    <w:rsid w:val="00F91592"/>
    <w:rsid w:val="00F92B73"/>
    <w:rsid w:val="00F92EAB"/>
    <w:rsid w:val="00F92FAF"/>
    <w:rsid w:val="00F93ED4"/>
    <w:rsid w:val="00F94D92"/>
    <w:rsid w:val="00F9518C"/>
    <w:rsid w:val="00F9532D"/>
    <w:rsid w:val="00F953F6"/>
    <w:rsid w:val="00F95958"/>
    <w:rsid w:val="00F95B44"/>
    <w:rsid w:val="00F95C12"/>
    <w:rsid w:val="00F964F4"/>
    <w:rsid w:val="00F96A8B"/>
    <w:rsid w:val="00F96B01"/>
    <w:rsid w:val="00F96D79"/>
    <w:rsid w:val="00F96F03"/>
    <w:rsid w:val="00F9707E"/>
    <w:rsid w:val="00F97A3A"/>
    <w:rsid w:val="00F97E67"/>
    <w:rsid w:val="00F97F26"/>
    <w:rsid w:val="00FA1A49"/>
    <w:rsid w:val="00FA1AAC"/>
    <w:rsid w:val="00FA2238"/>
    <w:rsid w:val="00FA266E"/>
    <w:rsid w:val="00FA29D5"/>
    <w:rsid w:val="00FA2A95"/>
    <w:rsid w:val="00FA3167"/>
    <w:rsid w:val="00FA337C"/>
    <w:rsid w:val="00FA34DF"/>
    <w:rsid w:val="00FA3598"/>
    <w:rsid w:val="00FA370B"/>
    <w:rsid w:val="00FA3AFB"/>
    <w:rsid w:val="00FA3B77"/>
    <w:rsid w:val="00FA3FA1"/>
    <w:rsid w:val="00FA4109"/>
    <w:rsid w:val="00FA523B"/>
    <w:rsid w:val="00FA563E"/>
    <w:rsid w:val="00FA5A81"/>
    <w:rsid w:val="00FA685A"/>
    <w:rsid w:val="00FA69E8"/>
    <w:rsid w:val="00FA6B2E"/>
    <w:rsid w:val="00FA6D0A"/>
    <w:rsid w:val="00FA7827"/>
    <w:rsid w:val="00FB0A15"/>
    <w:rsid w:val="00FB1160"/>
    <w:rsid w:val="00FB14BC"/>
    <w:rsid w:val="00FB2639"/>
    <w:rsid w:val="00FB29C2"/>
    <w:rsid w:val="00FB2AFF"/>
    <w:rsid w:val="00FB31C3"/>
    <w:rsid w:val="00FB33D4"/>
    <w:rsid w:val="00FB373C"/>
    <w:rsid w:val="00FB5182"/>
    <w:rsid w:val="00FB5667"/>
    <w:rsid w:val="00FB571F"/>
    <w:rsid w:val="00FB5DA6"/>
    <w:rsid w:val="00FB60E2"/>
    <w:rsid w:val="00FB6275"/>
    <w:rsid w:val="00FB6971"/>
    <w:rsid w:val="00FB69B7"/>
    <w:rsid w:val="00FB6DC7"/>
    <w:rsid w:val="00FC02AD"/>
    <w:rsid w:val="00FC0D90"/>
    <w:rsid w:val="00FC2019"/>
    <w:rsid w:val="00FC2137"/>
    <w:rsid w:val="00FC22AA"/>
    <w:rsid w:val="00FC248D"/>
    <w:rsid w:val="00FC2C9A"/>
    <w:rsid w:val="00FC3072"/>
    <w:rsid w:val="00FC3438"/>
    <w:rsid w:val="00FC374F"/>
    <w:rsid w:val="00FC3B38"/>
    <w:rsid w:val="00FC4BF5"/>
    <w:rsid w:val="00FC5AA3"/>
    <w:rsid w:val="00FC693C"/>
    <w:rsid w:val="00FC6CA3"/>
    <w:rsid w:val="00FC6D9F"/>
    <w:rsid w:val="00FC6E0E"/>
    <w:rsid w:val="00FC7C0E"/>
    <w:rsid w:val="00FC7EC1"/>
    <w:rsid w:val="00FC7F6C"/>
    <w:rsid w:val="00FD06D1"/>
    <w:rsid w:val="00FD0719"/>
    <w:rsid w:val="00FD0A26"/>
    <w:rsid w:val="00FD12D5"/>
    <w:rsid w:val="00FD23EF"/>
    <w:rsid w:val="00FD27AC"/>
    <w:rsid w:val="00FD2A10"/>
    <w:rsid w:val="00FD30E9"/>
    <w:rsid w:val="00FD3426"/>
    <w:rsid w:val="00FD37CD"/>
    <w:rsid w:val="00FD3B7C"/>
    <w:rsid w:val="00FD3F74"/>
    <w:rsid w:val="00FD406A"/>
    <w:rsid w:val="00FD43D0"/>
    <w:rsid w:val="00FD4722"/>
    <w:rsid w:val="00FD5287"/>
    <w:rsid w:val="00FD542E"/>
    <w:rsid w:val="00FD5D94"/>
    <w:rsid w:val="00FD63AE"/>
    <w:rsid w:val="00FD6630"/>
    <w:rsid w:val="00FD687B"/>
    <w:rsid w:val="00FD6D0F"/>
    <w:rsid w:val="00FD71C6"/>
    <w:rsid w:val="00FD7338"/>
    <w:rsid w:val="00FD74CA"/>
    <w:rsid w:val="00FE02A8"/>
    <w:rsid w:val="00FE05EB"/>
    <w:rsid w:val="00FE0A36"/>
    <w:rsid w:val="00FE1694"/>
    <w:rsid w:val="00FE1D00"/>
    <w:rsid w:val="00FE204C"/>
    <w:rsid w:val="00FE25EE"/>
    <w:rsid w:val="00FE31EB"/>
    <w:rsid w:val="00FE34F3"/>
    <w:rsid w:val="00FE3E97"/>
    <w:rsid w:val="00FE41D6"/>
    <w:rsid w:val="00FE4CE0"/>
    <w:rsid w:val="00FE4EDD"/>
    <w:rsid w:val="00FE53A2"/>
    <w:rsid w:val="00FE5A4F"/>
    <w:rsid w:val="00FE5F87"/>
    <w:rsid w:val="00FE6332"/>
    <w:rsid w:val="00FE640C"/>
    <w:rsid w:val="00FE6798"/>
    <w:rsid w:val="00FE6CE1"/>
    <w:rsid w:val="00FE77B8"/>
    <w:rsid w:val="00FE79D5"/>
    <w:rsid w:val="00FE7EB3"/>
    <w:rsid w:val="00FF01FB"/>
    <w:rsid w:val="00FF0BEC"/>
    <w:rsid w:val="00FF116B"/>
    <w:rsid w:val="00FF1AB8"/>
    <w:rsid w:val="00FF251E"/>
    <w:rsid w:val="00FF2D6D"/>
    <w:rsid w:val="00FF2E3D"/>
    <w:rsid w:val="00FF37C3"/>
    <w:rsid w:val="00FF37DE"/>
    <w:rsid w:val="00FF3BA8"/>
    <w:rsid w:val="00FF434E"/>
    <w:rsid w:val="00FF44A5"/>
    <w:rsid w:val="00FF4681"/>
    <w:rsid w:val="00FF504D"/>
    <w:rsid w:val="00FF50DF"/>
    <w:rsid w:val="00FF5154"/>
    <w:rsid w:val="00FF5686"/>
    <w:rsid w:val="00FF60FF"/>
    <w:rsid w:val="00FF6515"/>
    <w:rsid w:val="00FF6921"/>
    <w:rsid w:val="00FF76EB"/>
    <w:rsid w:val="00FF7ACC"/>
    <w:rsid w:val="00FF7B91"/>
    <w:rsid w:val="015672FB"/>
    <w:rsid w:val="021A6C4F"/>
    <w:rsid w:val="02C30172"/>
    <w:rsid w:val="031F2043"/>
    <w:rsid w:val="037D1E6C"/>
    <w:rsid w:val="03D03CC8"/>
    <w:rsid w:val="052C1A8F"/>
    <w:rsid w:val="052E6005"/>
    <w:rsid w:val="054210D5"/>
    <w:rsid w:val="06A9757C"/>
    <w:rsid w:val="077A378F"/>
    <w:rsid w:val="07C33549"/>
    <w:rsid w:val="0868540A"/>
    <w:rsid w:val="091F0B7D"/>
    <w:rsid w:val="0A171A87"/>
    <w:rsid w:val="0AAC136A"/>
    <w:rsid w:val="0AFA06DA"/>
    <w:rsid w:val="0B39546F"/>
    <w:rsid w:val="0B6009B7"/>
    <w:rsid w:val="0C193AD3"/>
    <w:rsid w:val="0C4F5747"/>
    <w:rsid w:val="0CCB121B"/>
    <w:rsid w:val="0DAF31E5"/>
    <w:rsid w:val="0DBC18B0"/>
    <w:rsid w:val="0DD4221A"/>
    <w:rsid w:val="0E647EF4"/>
    <w:rsid w:val="0E7375BE"/>
    <w:rsid w:val="0F753717"/>
    <w:rsid w:val="0FE20680"/>
    <w:rsid w:val="0FF716A4"/>
    <w:rsid w:val="10DC3FC6"/>
    <w:rsid w:val="11E44B84"/>
    <w:rsid w:val="1247373D"/>
    <w:rsid w:val="12876D61"/>
    <w:rsid w:val="12DC0081"/>
    <w:rsid w:val="12E02253"/>
    <w:rsid w:val="138C4E19"/>
    <w:rsid w:val="14641516"/>
    <w:rsid w:val="14A15733"/>
    <w:rsid w:val="151748EC"/>
    <w:rsid w:val="153868CD"/>
    <w:rsid w:val="16436B43"/>
    <w:rsid w:val="17214184"/>
    <w:rsid w:val="17A53072"/>
    <w:rsid w:val="17E7717C"/>
    <w:rsid w:val="17F47A83"/>
    <w:rsid w:val="18F21A3D"/>
    <w:rsid w:val="198329B6"/>
    <w:rsid w:val="198D3D53"/>
    <w:rsid w:val="19E91EC4"/>
    <w:rsid w:val="1B6B37E9"/>
    <w:rsid w:val="1B98664F"/>
    <w:rsid w:val="1BAB6D30"/>
    <w:rsid w:val="1CA87B05"/>
    <w:rsid w:val="1CE23A02"/>
    <w:rsid w:val="1D9D55EB"/>
    <w:rsid w:val="1DED4DC0"/>
    <w:rsid w:val="1E061FA2"/>
    <w:rsid w:val="1E0F74FA"/>
    <w:rsid w:val="1EC55551"/>
    <w:rsid w:val="1EDE0724"/>
    <w:rsid w:val="1F502D2F"/>
    <w:rsid w:val="1FE02214"/>
    <w:rsid w:val="20C85F93"/>
    <w:rsid w:val="20E73D57"/>
    <w:rsid w:val="22285BD4"/>
    <w:rsid w:val="2272587D"/>
    <w:rsid w:val="22874E29"/>
    <w:rsid w:val="22B54051"/>
    <w:rsid w:val="23B0154D"/>
    <w:rsid w:val="23B05F44"/>
    <w:rsid w:val="23D37160"/>
    <w:rsid w:val="23F549CE"/>
    <w:rsid w:val="24001CBB"/>
    <w:rsid w:val="243E6F78"/>
    <w:rsid w:val="24701BFE"/>
    <w:rsid w:val="26522025"/>
    <w:rsid w:val="265D070C"/>
    <w:rsid w:val="27AC6E57"/>
    <w:rsid w:val="290771E7"/>
    <w:rsid w:val="29CE6438"/>
    <w:rsid w:val="29DA269C"/>
    <w:rsid w:val="2A4C68E4"/>
    <w:rsid w:val="2ABB5AA9"/>
    <w:rsid w:val="2B601501"/>
    <w:rsid w:val="2BF036A3"/>
    <w:rsid w:val="2CDB63BE"/>
    <w:rsid w:val="2D6E03CB"/>
    <w:rsid w:val="2D744BB6"/>
    <w:rsid w:val="2E1F7A66"/>
    <w:rsid w:val="2F0401BB"/>
    <w:rsid w:val="2F72449E"/>
    <w:rsid w:val="2FBE036A"/>
    <w:rsid w:val="304545CF"/>
    <w:rsid w:val="309B0E6F"/>
    <w:rsid w:val="31027A77"/>
    <w:rsid w:val="31175F84"/>
    <w:rsid w:val="31C7385E"/>
    <w:rsid w:val="322E7D7B"/>
    <w:rsid w:val="32492AD9"/>
    <w:rsid w:val="32A448C9"/>
    <w:rsid w:val="32A85075"/>
    <w:rsid w:val="32C86F93"/>
    <w:rsid w:val="32E0684A"/>
    <w:rsid w:val="33291F9F"/>
    <w:rsid w:val="332A7FC4"/>
    <w:rsid w:val="33AA7583"/>
    <w:rsid w:val="346E504B"/>
    <w:rsid w:val="34E3087A"/>
    <w:rsid w:val="350902DA"/>
    <w:rsid w:val="3539406C"/>
    <w:rsid w:val="358F2167"/>
    <w:rsid w:val="3604631C"/>
    <w:rsid w:val="360F1173"/>
    <w:rsid w:val="36EE2DD3"/>
    <w:rsid w:val="37E97982"/>
    <w:rsid w:val="387F196E"/>
    <w:rsid w:val="39135A26"/>
    <w:rsid w:val="3A93727C"/>
    <w:rsid w:val="3AD25AC3"/>
    <w:rsid w:val="3B283760"/>
    <w:rsid w:val="3B763A2C"/>
    <w:rsid w:val="3BA44A92"/>
    <w:rsid w:val="3BB222F8"/>
    <w:rsid w:val="3BFB6D24"/>
    <w:rsid w:val="3C4936B2"/>
    <w:rsid w:val="3CB90837"/>
    <w:rsid w:val="3CF73250"/>
    <w:rsid w:val="3D2637DD"/>
    <w:rsid w:val="3D4F5A5B"/>
    <w:rsid w:val="3DB50FFF"/>
    <w:rsid w:val="3DB726FF"/>
    <w:rsid w:val="3DFFC093"/>
    <w:rsid w:val="3E0B505A"/>
    <w:rsid w:val="3E7D8FED"/>
    <w:rsid w:val="3EB116EB"/>
    <w:rsid w:val="3ED100BA"/>
    <w:rsid w:val="3EE36565"/>
    <w:rsid w:val="3F4C79EE"/>
    <w:rsid w:val="3FA91E2D"/>
    <w:rsid w:val="3FCB352C"/>
    <w:rsid w:val="403A3A3D"/>
    <w:rsid w:val="408713FD"/>
    <w:rsid w:val="40EA7211"/>
    <w:rsid w:val="42881AA6"/>
    <w:rsid w:val="42B533F0"/>
    <w:rsid w:val="434A1377"/>
    <w:rsid w:val="43B13401"/>
    <w:rsid w:val="43B92ECB"/>
    <w:rsid w:val="43D97A84"/>
    <w:rsid w:val="44227028"/>
    <w:rsid w:val="449270BC"/>
    <w:rsid w:val="44DE167D"/>
    <w:rsid w:val="44F32DEF"/>
    <w:rsid w:val="450A5BC6"/>
    <w:rsid w:val="45277812"/>
    <w:rsid w:val="454B7338"/>
    <w:rsid w:val="45572E66"/>
    <w:rsid w:val="45620B9B"/>
    <w:rsid w:val="45BE12CB"/>
    <w:rsid w:val="46AA62E5"/>
    <w:rsid w:val="4891671A"/>
    <w:rsid w:val="48D90BB7"/>
    <w:rsid w:val="48E53F19"/>
    <w:rsid w:val="49DC1487"/>
    <w:rsid w:val="49F11610"/>
    <w:rsid w:val="49FB2AE7"/>
    <w:rsid w:val="4A173617"/>
    <w:rsid w:val="4AE36F7B"/>
    <w:rsid w:val="4B0F422B"/>
    <w:rsid w:val="4B347436"/>
    <w:rsid w:val="4BB008DA"/>
    <w:rsid w:val="4BB70CBE"/>
    <w:rsid w:val="4BD42F98"/>
    <w:rsid w:val="4DE5613F"/>
    <w:rsid w:val="4E9E3E0D"/>
    <w:rsid w:val="4EEA774A"/>
    <w:rsid w:val="4EF92C28"/>
    <w:rsid w:val="4F211A45"/>
    <w:rsid w:val="4FC9093A"/>
    <w:rsid w:val="50175CD2"/>
    <w:rsid w:val="505301A3"/>
    <w:rsid w:val="50595B05"/>
    <w:rsid w:val="50BA5E1D"/>
    <w:rsid w:val="511D718F"/>
    <w:rsid w:val="513D338D"/>
    <w:rsid w:val="518E1E3B"/>
    <w:rsid w:val="523F5BCB"/>
    <w:rsid w:val="528D20F2"/>
    <w:rsid w:val="531A7E97"/>
    <w:rsid w:val="53391DE3"/>
    <w:rsid w:val="53E45D42"/>
    <w:rsid w:val="54027B1A"/>
    <w:rsid w:val="54074BC5"/>
    <w:rsid w:val="54A90FFE"/>
    <w:rsid w:val="54D20F3B"/>
    <w:rsid w:val="550A0992"/>
    <w:rsid w:val="55760B06"/>
    <w:rsid w:val="560D26C2"/>
    <w:rsid w:val="56150538"/>
    <w:rsid w:val="562869F0"/>
    <w:rsid w:val="5650745D"/>
    <w:rsid w:val="57266671"/>
    <w:rsid w:val="575E27AC"/>
    <w:rsid w:val="58365A8F"/>
    <w:rsid w:val="584E23FA"/>
    <w:rsid w:val="590E5642"/>
    <w:rsid w:val="59DB1995"/>
    <w:rsid w:val="59DF0D3E"/>
    <w:rsid w:val="5A2A2EE3"/>
    <w:rsid w:val="5A932270"/>
    <w:rsid w:val="5AA45642"/>
    <w:rsid w:val="5B3D4088"/>
    <w:rsid w:val="5BB1742A"/>
    <w:rsid w:val="5BB3482A"/>
    <w:rsid w:val="5BD869CF"/>
    <w:rsid w:val="5BE0521F"/>
    <w:rsid w:val="5CA97838"/>
    <w:rsid w:val="5CD3143C"/>
    <w:rsid w:val="5D60453D"/>
    <w:rsid w:val="5DFE53D6"/>
    <w:rsid w:val="5E9012F3"/>
    <w:rsid w:val="61FA4982"/>
    <w:rsid w:val="62107275"/>
    <w:rsid w:val="63640C4D"/>
    <w:rsid w:val="638D567D"/>
    <w:rsid w:val="643D1B94"/>
    <w:rsid w:val="658D7487"/>
    <w:rsid w:val="65DA5353"/>
    <w:rsid w:val="66523967"/>
    <w:rsid w:val="668D6868"/>
    <w:rsid w:val="66BE1CF6"/>
    <w:rsid w:val="66DA402D"/>
    <w:rsid w:val="677B6375"/>
    <w:rsid w:val="681E6B8E"/>
    <w:rsid w:val="68D7415F"/>
    <w:rsid w:val="694035C3"/>
    <w:rsid w:val="69DC2875"/>
    <w:rsid w:val="69FA4299"/>
    <w:rsid w:val="6A4610AD"/>
    <w:rsid w:val="6A8E778D"/>
    <w:rsid w:val="6AA3205B"/>
    <w:rsid w:val="6B546615"/>
    <w:rsid w:val="6BEBACC7"/>
    <w:rsid w:val="6C4C3576"/>
    <w:rsid w:val="6CEE4FD1"/>
    <w:rsid w:val="6DDA78DA"/>
    <w:rsid w:val="6F0B6947"/>
    <w:rsid w:val="6FFD47FB"/>
    <w:rsid w:val="70333E81"/>
    <w:rsid w:val="70547956"/>
    <w:rsid w:val="709B1953"/>
    <w:rsid w:val="720A07D7"/>
    <w:rsid w:val="729F135A"/>
    <w:rsid w:val="72A6684D"/>
    <w:rsid w:val="731004AA"/>
    <w:rsid w:val="735F6D3B"/>
    <w:rsid w:val="73B35F69"/>
    <w:rsid w:val="73F57120"/>
    <w:rsid w:val="747219A6"/>
    <w:rsid w:val="750C5936"/>
    <w:rsid w:val="757F36C5"/>
    <w:rsid w:val="75C3069B"/>
    <w:rsid w:val="76E23F0B"/>
    <w:rsid w:val="777031CF"/>
    <w:rsid w:val="78130845"/>
    <w:rsid w:val="78825504"/>
    <w:rsid w:val="789B0816"/>
    <w:rsid w:val="7967268C"/>
    <w:rsid w:val="79D76049"/>
    <w:rsid w:val="7A377403"/>
    <w:rsid w:val="7A39717B"/>
    <w:rsid w:val="7A5672E8"/>
    <w:rsid w:val="7B095F0A"/>
    <w:rsid w:val="7BF79236"/>
    <w:rsid w:val="7C16369A"/>
    <w:rsid w:val="7C5036C5"/>
    <w:rsid w:val="7C9A407E"/>
    <w:rsid w:val="7CCB02FC"/>
    <w:rsid w:val="7CCE37B5"/>
    <w:rsid w:val="7D5947FB"/>
    <w:rsid w:val="7D8253F9"/>
    <w:rsid w:val="7DB50881"/>
    <w:rsid w:val="7E451C06"/>
    <w:rsid w:val="7F0D6881"/>
    <w:rsid w:val="7FFD8945"/>
    <w:rsid w:val="FFF64A1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6"/>
    <w:qFormat/>
    <w:uiPriority w:val="0"/>
    <w:pPr>
      <w:keepNext/>
      <w:keepLines/>
      <w:spacing w:before="260" w:after="260" w:line="416" w:lineRule="auto"/>
      <w:outlineLvl w:val="1"/>
    </w:pPr>
    <w:rPr>
      <w:rFonts w:ascii="Cambria" w:hAnsi="Cambria" w:eastAsia="宋体" w:cs="Times New Roman"/>
      <w:b/>
      <w:bCs/>
      <w:sz w:val="32"/>
      <w:szCs w:val="32"/>
    </w:rPr>
  </w:style>
  <w:style w:type="paragraph" w:styleId="4">
    <w:name w:val="heading 3"/>
    <w:basedOn w:val="1"/>
    <w:next w:val="1"/>
    <w:qFormat/>
    <w:uiPriority w:val="0"/>
    <w:pPr>
      <w:spacing w:before="100" w:beforeAutospacing="1" w:after="100" w:afterAutospacing="1"/>
      <w:jc w:val="left"/>
      <w:outlineLvl w:val="2"/>
    </w:pPr>
    <w:rPr>
      <w:rFonts w:hint="eastAsia" w:ascii="宋体" w:hAnsi="宋体" w:eastAsia="宋体" w:cs="宋体"/>
      <w:b/>
      <w:kern w:val="0"/>
      <w:sz w:val="27"/>
      <w:szCs w:val="27"/>
      <w:lang w:val="en-US" w:eastAsia="zh-CN" w:bidi="ar"/>
    </w:rPr>
  </w:style>
  <w:style w:type="paragraph" w:styleId="5">
    <w:name w:val="heading 5"/>
    <w:basedOn w:val="1"/>
    <w:next w:val="6"/>
    <w:qFormat/>
    <w:uiPriority w:val="0"/>
    <w:pPr>
      <w:keepNext/>
      <w:keepLines/>
      <w:numPr>
        <w:ilvl w:val="4"/>
        <w:numId w:val="1"/>
      </w:numPr>
      <w:spacing w:before="280" w:after="290" w:line="376" w:lineRule="auto"/>
      <w:outlineLvl w:val="4"/>
    </w:pPr>
    <w:rPr>
      <w:b/>
      <w:sz w:val="28"/>
    </w:rPr>
  </w:style>
  <w:style w:type="paragraph" w:styleId="7">
    <w:name w:val="heading 6"/>
    <w:basedOn w:val="1"/>
    <w:next w:val="6"/>
    <w:qFormat/>
    <w:uiPriority w:val="0"/>
    <w:pPr>
      <w:keepNext/>
      <w:keepLines/>
      <w:numPr>
        <w:ilvl w:val="5"/>
        <w:numId w:val="1"/>
      </w:numPr>
      <w:spacing w:before="240" w:after="64" w:line="320" w:lineRule="auto"/>
      <w:outlineLvl w:val="5"/>
    </w:pPr>
    <w:rPr>
      <w:rFonts w:ascii="Arial" w:hAnsi="Arial" w:eastAsia="黑体"/>
      <w:b/>
      <w:sz w:val="24"/>
    </w:rPr>
  </w:style>
  <w:style w:type="paragraph" w:styleId="8">
    <w:name w:val="heading 7"/>
    <w:basedOn w:val="1"/>
    <w:next w:val="6"/>
    <w:qFormat/>
    <w:uiPriority w:val="0"/>
    <w:pPr>
      <w:keepNext/>
      <w:keepLines/>
      <w:numPr>
        <w:ilvl w:val="6"/>
        <w:numId w:val="1"/>
      </w:numPr>
      <w:spacing w:before="240" w:after="64" w:line="320" w:lineRule="auto"/>
      <w:outlineLvl w:val="6"/>
    </w:pPr>
    <w:rPr>
      <w:b/>
      <w:sz w:val="24"/>
    </w:rPr>
  </w:style>
  <w:style w:type="paragraph" w:styleId="9">
    <w:name w:val="heading 8"/>
    <w:basedOn w:val="1"/>
    <w:next w:val="6"/>
    <w:qFormat/>
    <w:uiPriority w:val="0"/>
    <w:pPr>
      <w:keepNext/>
      <w:keepLines/>
      <w:numPr>
        <w:ilvl w:val="7"/>
        <w:numId w:val="1"/>
      </w:numPr>
      <w:spacing w:before="240" w:after="64" w:line="320" w:lineRule="auto"/>
      <w:outlineLvl w:val="7"/>
    </w:pPr>
    <w:rPr>
      <w:rFonts w:ascii="Arial" w:hAnsi="Arial" w:eastAsia="黑体"/>
      <w:sz w:val="24"/>
    </w:rPr>
  </w:style>
  <w:style w:type="paragraph" w:styleId="10">
    <w:name w:val="heading 9"/>
    <w:basedOn w:val="1"/>
    <w:next w:val="6"/>
    <w:qFormat/>
    <w:uiPriority w:val="0"/>
    <w:pPr>
      <w:keepNext/>
      <w:keepLines/>
      <w:numPr>
        <w:ilvl w:val="8"/>
        <w:numId w:val="1"/>
      </w:numPr>
      <w:spacing w:before="240" w:after="64" w:line="320" w:lineRule="auto"/>
      <w:outlineLvl w:val="8"/>
    </w:pPr>
    <w:rPr>
      <w:rFonts w:ascii="Arial" w:hAnsi="Arial" w:eastAsia="黑体"/>
    </w:rPr>
  </w:style>
  <w:style w:type="character" w:default="1" w:styleId="39">
    <w:name w:val="Default Paragraph Font"/>
    <w:semiHidden/>
    <w:qFormat/>
    <w:uiPriority w:val="0"/>
  </w:style>
  <w:style w:type="table" w:default="1" w:styleId="37">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Normal Indent"/>
    <w:basedOn w:val="1"/>
    <w:qFormat/>
    <w:uiPriority w:val="0"/>
    <w:pPr>
      <w:ind w:firstLine="420"/>
    </w:pPr>
    <w:rPr>
      <w:szCs w:val="20"/>
    </w:rPr>
  </w:style>
  <w:style w:type="paragraph" w:styleId="11">
    <w:name w:val="List Number"/>
    <w:basedOn w:val="1"/>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2">
    <w:name w:val="caption"/>
    <w:basedOn w:val="1"/>
    <w:next w:val="1"/>
    <w:qFormat/>
    <w:uiPriority w:val="0"/>
    <w:pPr>
      <w:spacing w:before="152" w:after="160"/>
    </w:pPr>
    <w:rPr>
      <w:rFonts w:ascii="Arial" w:hAnsi="Arial" w:eastAsia="黑体" w:cs="Arial"/>
      <w:sz w:val="20"/>
      <w:szCs w:val="20"/>
    </w:rPr>
  </w:style>
  <w:style w:type="paragraph" w:styleId="13">
    <w:name w:val="Document Map"/>
    <w:basedOn w:val="1"/>
    <w:semiHidden/>
    <w:qFormat/>
    <w:uiPriority w:val="0"/>
    <w:pPr>
      <w:shd w:val="clear" w:color="auto" w:fill="000080"/>
    </w:pPr>
  </w:style>
  <w:style w:type="paragraph" w:styleId="14">
    <w:name w:val="annotation text"/>
    <w:basedOn w:val="1"/>
    <w:link w:val="47"/>
    <w:qFormat/>
    <w:uiPriority w:val="0"/>
    <w:pPr>
      <w:jc w:val="left"/>
    </w:pPr>
  </w:style>
  <w:style w:type="paragraph" w:styleId="15">
    <w:name w:val="Body Text 3"/>
    <w:basedOn w:val="1"/>
    <w:qFormat/>
    <w:uiPriority w:val="0"/>
    <w:pPr>
      <w:spacing w:line="500" w:lineRule="exact"/>
    </w:pPr>
    <w:rPr>
      <w:b/>
      <w:bCs/>
      <w:sz w:val="24"/>
    </w:rPr>
  </w:style>
  <w:style w:type="paragraph" w:styleId="16">
    <w:name w:val="Body Text"/>
    <w:basedOn w:val="1"/>
    <w:next w:val="1"/>
    <w:qFormat/>
    <w:uiPriority w:val="0"/>
    <w:pPr>
      <w:spacing w:line="380" w:lineRule="exact"/>
    </w:pPr>
    <w:rPr>
      <w:sz w:val="24"/>
    </w:rPr>
  </w:style>
  <w:style w:type="paragraph" w:styleId="17">
    <w:name w:val="Body Text Indent"/>
    <w:basedOn w:val="1"/>
    <w:link w:val="48"/>
    <w:qFormat/>
    <w:uiPriority w:val="0"/>
    <w:pPr>
      <w:ind w:firstLine="830" w:firstLineChars="352"/>
    </w:pPr>
    <w:rPr>
      <w:rFonts w:ascii="仿宋_GB2312" w:eastAsia="仿宋_GB2312"/>
      <w:sz w:val="32"/>
      <w:szCs w:val="20"/>
    </w:rPr>
  </w:style>
  <w:style w:type="paragraph" w:styleId="18">
    <w:name w:val="List Number 3"/>
    <w:basedOn w:val="1"/>
    <w:qFormat/>
    <w:uiPriority w:val="0"/>
    <w:pPr>
      <w:numPr>
        <w:ilvl w:val="0"/>
        <w:numId w:val="2"/>
      </w:numPr>
    </w:pPr>
  </w:style>
  <w:style w:type="paragraph" w:styleId="19">
    <w:name w:val="List 2"/>
    <w:basedOn w:val="1"/>
    <w:qFormat/>
    <w:uiPriority w:val="0"/>
    <w:pPr>
      <w:ind w:left="100" w:leftChars="200" w:hanging="200" w:hangingChars="200"/>
    </w:pPr>
    <w:rPr>
      <w:sz w:val="28"/>
    </w:rPr>
  </w:style>
  <w:style w:type="paragraph" w:styleId="20">
    <w:name w:val="Plain Text"/>
    <w:basedOn w:val="1"/>
    <w:next w:val="1"/>
    <w:link w:val="49"/>
    <w:qFormat/>
    <w:uiPriority w:val="0"/>
    <w:rPr>
      <w:rFonts w:ascii="宋体" w:hAnsi="Courier New" w:cs="Courier New"/>
      <w:szCs w:val="21"/>
    </w:rPr>
  </w:style>
  <w:style w:type="paragraph" w:styleId="21">
    <w:name w:val="Date"/>
    <w:basedOn w:val="1"/>
    <w:next w:val="1"/>
    <w:qFormat/>
    <w:uiPriority w:val="0"/>
    <w:pPr>
      <w:ind w:left="100" w:leftChars="2500"/>
    </w:pPr>
    <w:rPr>
      <w:rFonts w:ascii="宋体" w:hAnsi="Courier New" w:cs="Courier New"/>
      <w:szCs w:val="21"/>
    </w:rPr>
  </w:style>
  <w:style w:type="paragraph" w:styleId="22">
    <w:name w:val="Body Text Indent 2"/>
    <w:basedOn w:val="1"/>
    <w:qFormat/>
    <w:uiPriority w:val="0"/>
    <w:pPr>
      <w:ind w:firstLine="630"/>
    </w:pPr>
    <w:rPr>
      <w:sz w:val="32"/>
      <w:szCs w:val="20"/>
    </w:rPr>
  </w:style>
  <w:style w:type="paragraph" w:styleId="23">
    <w:name w:val="Balloon Text"/>
    <w:basedOn w:val="1"/>
    <w:semiHidden/>
    <w:qFormat/>
    <w:uiPriority w:val="0"/>
    <w:rPr>
      <w:sz w:val="18"/>
      <w:szCs w:val="18"/>
    </w:rPr>
  </w:style>
  <w:style w:type="paragraph" w:styleId="24">
    <w:name w:val="footer"/>
    <w:basedOn w:val="1"/>
    <w:next w:val="1"/>
    <w:qFormat/>
    <w:uiPriority w:val="0"/>
    <w:pPr>
      <w:tabs>
        <w:tab w:val="center" w:pos="4153"/>
        <w:tab w:val="right" w:pos="8306"/>
      </w:tabs>
      <w:snapToGrid w:val="0"/>
      <w:jc w:val="left"/>
    </w:pPr>
    <w:rPr>
      <w:sz w:val="18"/>
      <w:szCs w:val="18"/>
    </w:rPr>
  </w:style>
  <w:style w:type="paragraph" w:styleId="2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style>
  <w:style w:type="paragraph" w:styleId="27">
    <w:name w:val="List"/>
    <w:basedOn w:val="1"/>
    <w:qFormat/>
    <w:uiPriority w:val="0"/>
    <w:pPr>
      <w:ind w:left="200" w:hanging="200" w:hangingChars="200"/>
    </w:pPr>
    <w:rPr>
      <w:sz w:val="28"/>
    </w:rPr>
  </w:style>
  <w:style w:type="paragraph" w:styleId="28">
    <w:name w:val="Body Text Indent 3"/>
    <w:basedOn w:val="1"/>
    <w:qFormat/>
    <w:uiPriority w:val="0"/>
    <w:pPr>
      <w:spacing w:after="120"/>
      <w:ind w:left="420" w:leftChars="200"/>
    </w:pPr>
    <w:rPr>
      <w:sz w:val="16"/>
      <w:szCs w:val="16"/>
    </w:rPr>
  </w:style>
  <w:style w:type="paragraph" w:styleId="29">
    <w:name w:val="toc 9"/>
    <w:basedOn w:val="1"/>
    <w:next w:val="1"/>
    <w:qFormat/>
    <w:uiPriority w:val="0"/>
    <w:pPr>
      <w:tabs>
        <w:tab w:val="right" w:leader="dot" w:pos="9185"/>
      </w:tabs>
      <w:adjustRightInd w:val="0"/>
      <w:spacing w:line="312" w:lineRule="atLeast"/>
      <w:ind w:left="3360"/>
      <w:textAlignment w:val="baseline"/>
    </w:pPr>
    <w:rPr>
      <w:kern w:val="0"/>
      <w:szCs w:val="20"/>
    </w:rPr>
  </w:style>
  <w:style w:type="paragraph" w:styleId="30">
    <w:name w:val="Body Text 2"/>
    <w:basedOn w:val="1"/>
    <w:qFormat/>
    <w:uiPriority w:val="0"/>
    <w:pPr>
      <w:spacing w:after="120" w:line="480" w:lineRule="auto"/>
    </w:pPr>
  </w:style>
  <w:style w:type="paragraph" w:styleId="31">
    <w:name w:val="Normal (Web)"/>
    <w:basedOn w:val="1"/>
    <w:qFormat/>
    <w:uiPriority w:val="0"/>
    <w:pPr>
      <w:widowControl/>
      <w:spacing w:before="100" w:beforeAutospacing="1" w:after="100" w:afterAutospacing="1"/>
      <w:jc w:val="left"/>
    </w:pPr>
    <w:rPr>
      <w:rFonts w:ascii="宋体" w:hAnsi="宋体"/>
      <w:kern w:val="0"/>
      <w:sz w:val="24"/>
    </w:rPr>
  </w:style>
  <w:style w:type="paragraph" w:styleId="32">
    <w:name w:val="index 1"/>
    <w:basedOn w:val="1"/>
    <w:next w:val="1"/>
    <w:semiHidden/>
    <w:qFormat/>
    <w:uiPriority w:val="0"/>
    <w:pPr>
      <w:spacing w:line="400" w:lineRule="exact"/>
      <w:ind w:firstLine="420" w:firstLineChars="200"/>
    </w:pPr>
    <w:rPr>
      <w:rFonts w:ascii="宋体" w:hAnsi="Courier New"/>
      <w:b/>
      <w:szCs w:val="20"/>
    </w:rPr>
  </w:style>
  <w:style w:type="paragraph" w:styleId="33">
    <w:name w:val="Title"/>
    <w:basedOn w:val="1"/>
    <w:next w:val="1"/>
    <w:link w:val="50"/>
    <w:qFormat/>
    <w:uiPriority w:val="0"/>
    <w:pPr>
      <w:spacing w:before="240" w:after="60"/>
      <w:jc w:val="center"/>
      <w:outlineLvl w:val="0"/>
    </w:pPr>
    <w:rPr>
      <w:rFonts w:ascii="Cambria" w:hAnsi="Cambria"/>
      <w:b/>
      <w:bCs/>
      <w:sz w:val="32"/>
      <w:szCs w:val="32"/>
    </w:rPr>
  </w:style>
  <w:style w:type="paragraph" w:styleId="34">
    <w:name w:val="annotation subject"/>
    <w:basedOn w:val="14"/>
    <w:next w:val="14"/>
    <w:link w:val="51"/>
    <w:qFormat/>
    <w:uiPriority w:val="0"/>
    <w:rPr>
      <w:b/>
      <w:bCs/>
    </w:rPr>
  </w:style>
  <w:style w:type="paragraph" w:styleId="35">
    <w:name w:val="Body Text First Indent"/>
    <w:basedOn w:val="16"/>
    <w:unhideWhenUsed/>
    <w:qFormat/>
    <w:uiPriority w:val="99"/>
    <w:pPr>
      <w:ind w:firstLine="420" w:firstLineChars="100"/>
    </w:pPr>
  </w:style>
  <w:style w:type="paragraph" w:styleId="36">
    <w:name w:val="Body Text First Indent 2"/>
    <w:basedOn w:val="17"/>
    <w:qFormat/>
    <w:uiPriority w:val="99"/>
    <w:pPr>
      <w:ind w:firstLine="420"/>
    </w:pPr>
    <w:rPr>
      <w:rFonts w:ascii="Times New Roman" w:hAnsi="Times New Roman" w:eastAsia="宋体" w:cs="Times New Roman"/>
    </w:rPr>
  </w:style>
  <w:style w:type="table" w:styleId="38">
    <w:name w:val="Table Grid"/>
    <w:basedOn w:val="37"/>
    <w:qFormat/>
    <w:uiPriority w:val="39"/>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40">
    <w:name w:val="Strong"/>
    <w:qFormat/>
    <w:uiPriority w:val="0"/>
    <w:rPr>
      <w:b/>
    </w:rPr>
  </w:style>
  <w:style w:type="character" w:styleId="41">
    <w:name w:val="page number"/>
    <w:qFormat/>
    <w:uiPriority w:val="0"/>
  </w:style>
  <w:style w:type="character" w:styleId="42">
    <w:name w:val="Emphasis"/>
    <w:qFormat/>
    <w:uiPriority w:val="0"/>
    <w:rPr>
      <w:i/>
    </w:rPr>
  </w:style>
  <w:style w:type="character" w:styleId="43">
    <w:name w:val="Hyperlink"/>
    <w:qFormat/>
    <w:uiPriority w:val="99"/>
    <w:rPr>
      <w:color w:val="0000FF"/>
      <w:u w:val="single"/>
    </w:rPr>
  </w:style>
  <w:style w:type="character" w:styleId="44">
    <w:name w:val="annotation reference"/>
    <w:qFormat/>
    <w:uiPriority w:val="0"/>
    <w:rPr>
      <w:sz w:val="21"/>
      <w:szCs w:val="21"/>
    </w:rPr>
  </w:style>
  <w:style w:type="character" w:customStyle="1" w:styleId="45">
    <w:name w:val="标题 1 字符"/>
    <w:link w:val="2"/>
    <w:qFormat/>
    <w:uiPriority w:val="0"/>
    <w:rPr>
      <w:rFonts w:eastAsia="宋体"/>
      <w:b/>
      <w:bCs/>
      <w:kern w:val="44"/>
      <w:sz w:val="44"/>
      <w:szCs w:val="44"/>
      <w:lang w:val="en-US" w:eastAsia="zh-CN" w:bidi="ar-SA"/>
    </w:rPr>
  </w:style>
  <w:style w:type="character" w:customStyle="1" w:styleId="46">
    <w:name w:val="标题 2 字符"/>
    <w:link w:val="3"/>
    <w:semiHidden/>
    <w:qFormat/>
    <w:uiPriority w:val="0"/>
    <w:rPr>
      <w:rFonts w:ascii="Cambria" w:hAnsi="Cambria" w:eastAsia="宋体" w:cs="Times New Roman"/>
      <w:b/>
      <w:bCs/>
      <w:kern w:val="2"/>
      <w:sz w:val="32"/>
      <w:szCs w:val="32"/>
    </w:rPr>
  </w:style>
  <w:style w:type="character" w:customStyle="1" w:styleId="47">
    <w:name w:val="批注文字 字符"/>
    <w:link w:val="14"/>
    <w:qFormat/>
    <w:uiPriority w:val="0"/>
    <w:rPr>
      <w:kern w:val="2"/>
      <w:sz w:val="21"/>
      <w:szCs w:val="24"/>
    </w:rPr>
  </w:style>
  <w:style w:type="character" w:customStyle="1" w:styleId="48">
    <w:name w:val="正文文本缩进 字符"/>
    <w:link w:val="17"/>
    <w:qFormat/>
    <w:uiPriority w:val="0"/>
    <w:rPr>
      <w:rFonts w:ascii="仿宋_GB2312" w:eastAsia="仿宋_GB2312"/>
      <w:kern w:val="2"/>
      <w:sz w:val="32"/>
    </w:rPr>
  </w:style>
  <w:style w:type="character" w:customStyle="1" w:styleId="49">
    <w:name w:val="纯文本 字符"/>
    <w:link w:val="20"/>
    <w:qFormat/>
    <w:uiPriority w:val="0"/>
    <w:rPr>
      <w:rFonts w:ascii="宋体" w:hAnsi="Courier New" w:eastAsia="宋体" w:cs="Courier New"/>
      <w:kern w:val="2"/>
      <w:sz w:val="21"/>
      <w:szCs w:val="21"/>
      <w:lang w:val="en-US" w:eastAsia="zh-CN" w:bidi="ar-SA"/>
    </w:rPr>
  </w:style>
  <w:style w:type="character" w:customStyle="1" w:styleId="50">
    <w:name w:val="标题 字符"/>
    <w:link w:val="33"/>
    <w:qFormat/>
    <w:uiPriority w:val="0"/>
    <w:rPr>
      <w:rFonts w:ascii="Cambria" w:hAnsi="Cambria" w:cs="Times New Roman"/>
      <w:b/>
      <w:bCs/>
      <w:kern w:val="2"/>
      <w:sz w:val="32"/>
      <w:szCs w:val="32"/>
    </w:rPr>
  </w:style>
  <w:style w:type="character" w:customStyle="1" w:styleId="51">
    <w:name w:val="批注主题 字符"/>
    <w:link w:val="34"/>
    <w:qFormat/>
    <w:uiPriority w:val="0"/>
    <w:rPr>
      <w:b/>
      <w:bCs/>
      <w:kern w:val="2"/>
      <w:sz w:val="21"/>
      <w:szCs w:val="24"/>
    </w:rPr>
  </w:style>
  <w:style w:type="character" w:customStyle="1" w:styleId="52">
    <w:name w:val="llyf92"/>
    <w:qFormat/>
    <w:uiPriority w:val="0"/>
    <w:rPr>
      <w:sz w:val="18"/>
      <w:szCs w:val="18"/>
    </w:rPr>
  </w:style>
  <w:style w:type="character" w:customStyle="1" w:styleId="53">
    <w:name w:val="普通文字 Char Char2"/>
    <w:qFormat/>
    <w:uiPriority w:val="0"/>
    <w:rPr>
      <w:rFonts w:ascii="宋体" w:hAnsi="Courier New" w:eastAsia="宋体"/>
      <w:kern w:val="2"/>
      <w:sz w:val="21"/>
      <w:lang w:val="en-US" w:eastAsia="zh-CN" w:bidi="ar-SA"/>
    </w:rPr>
  </w:style>
  <w:style w:type="character" w:customStyle="1" w:styleId="54">
    <w:name w:val="Comment Text Char"/>
    <w:qFormat/>
    <w:locked/>
    <w:uiPriority w:val="0"/>
    <w:rPr>
      <w:rFonts w:cs="Times New Roman"/>
      <w:kern w:val="2"/>
      <w:sz w:val="24"/>
      <w:szCs w:val="24"/>
    </w:rPr>
  </w:style>
  <w:style w:type="character" w:customStyle="1" w:styleId="55">
    <w:name w:val="普通文字 Char Char3"/>
    <w:qFormat/>
    <w:uiPriority w:val="0"/>
    <w:rPr>
      <w:rFonts w:ascii="宋体" w:hAnsi="Courier New" w:eastAsia="宋体" w:cs="Courier New"/>
      <w:kern w:val="2"/>
      <w:sz w:val="21"/>
      <w:szCs w:val="21"/>
      <w:lang w:val="en-US" w:eastAsia="zh-CN" w:bidi="ar-SA"/>
    </w:rPr>
  </w:style>
  <w:style w:type="character" w:customStyle="1" w:styleId="56">
    <w:name w:val="font21"/>
    <w:qFormat/>
    <w:uiPriority w:val="0"/>
    <w:rPr>
      <w:rFonts w:hint="default" w:ascii="Times New Roman" w:hAnsi="Times New Roman" w:cs="Times New Roman"/>
      <w:color w:val="000000"/>
      <w:sz w:val="21"/>
      <w:szCs w:val="21"/>
      <w:u w:val="none"/>
    </w:rPr>
  </w:style>
  <w:style w:type="character" w:customStyle="1" w:styleId="57">
    <w:name w:val="1ji Char"/>
    <w:link w:val="58"/>
    <w:qFormat/>
    <w:uiPriority w:val="0"/>
    <w:rPr>
      <w:rFonts w:ascii="宋体" w:hAnsi="宋体" w:eastAsia="宋体"/>
      <w:b/>
      <w:bCs/>
      <w:kern w:val="44"/>
      <w:sz w:val="36"/>
      <w:szCs w:val="44"/>
      <w:lang w:val="en-US" w:eastAsia="zh-CN" w:bidi="ar-SA"/>
    </w:rPr>
  </w:style>
  <w:style w:type="paragraph" w:customStyle="1" w:styleId="58">
    <w:name w:val="1ji"/>
    <w:basedOn w:val="2"/>
    <w:link w:val="57"/>
    <w:qFormat/>
    <w:uiPriority w:val="0"/>
    <w:pPr>
      <w:keepLines w:val="0"/>
      <w:widowControl/>
      <w:spacing w:before="0" w:after="0" w:line="240" w:lineRule="auto"/>
      <w:jc w:val="center"/>
    </w:pPr>
    <w:rPr>
      <w:rFonts w:ascii="宋体" w:hAnsi="宋体"/>
      <w:sz w:val="36"/>
    </w:rPr>
  </w:style>
  <w:style w:type="character" w:customStyle="1" w:styleId="59">
    <w:name w:val="正文文本缩进 Char1"/>
    <w:qFormat/>
    <w:uiPriority w:val="0"/>
    <w:rPr>
      <w:kern w:val="2"/>
      <w:sz w:val="21"/>
      <w:szCs w:val="22"/>
    </w:rPr>
  </w:style>
  <w:style w:type="character" w:customStyle="1" w:styleId="60">
    <w:name w:val="纯文本 Char2"/>
    <w:qFormat/>
    <w:uiPriority w:val="0"/>
    <w:rPr>
      <w:rFonts w:ascii="宋体" w:hAnsi="宋体" w:eastAsia="宋体" w:cs="Courier New"/>
      <w:color w:val="000000"/>
      <w:kern w:val="1"/>
      <w:sz w:val="21"/>
      <w:szCs w:val="21"/>
      <w:lang w:val="en-US" w:eastAsia="zh-CN" w:bidi="ar-SA"/>
    </w:rPr>
  </w:style>
  <w:style w:type="character" w:customStyle="1" w:styleId="61">
    <w:name w:val="p1"/>
    <w:qFormat/>
    <w:uiPriority w:val="0"/>
  </w:style>
  <w:style w:type="character" w:customStyle="1" w:styleId="62">
    <w:name w:val="font31"/>
    <w:qFormat/>
    <w:uiPriority w:val="0"/>
    <w:rPr>
      <w:rFonts w:hint="eastAsia" w:ascii="宋体" w:hAnsi="宋体" w:eastAsia="宋体" w:cs="宋体"/>
      <w:color w:val="000000"/>
      <w:sz w:val="21"/>
      <w:szCs w:val="21"/>
      <w:u w:val="none"/>
      <w:vertAlign w:val="superscript"/>
    </w:rPr>
  </w:style>
  <w:style w:type="paragraph" w:customStyle="1" w:styleId="63">
    <w:name w:val=" Char"/>
    <w:basedOn w:val="13"/>
    <w:qFormat/>
    <w:uiPriority w:val="0"/>
    <w:pPr>
      <w:widowControl/>
      <w:ind w:firstLine="454"/>
      <w:jc w:val="left"/>
    </w:pPr>
    <w:rPr>
      <w:rFonts w:ascii="Tahoma" w:hAnsi="Tahoma" w:cs="宋体"/>
      <w:kern w:val="0"/>
      <w:sz w:val="24"/>
      <w:szCs w:val="20"/>
    </w:rPr>
  </w:style>
  <w:style w:type="paragraph" w:customStyle="1" w:styleId="64">
    <w:name w:val="_Style 63"/>
    <w:basedOn w:val="2"/>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65">
    <w:name w:val="1"/>
    <w:basedOn w:val="1"/>
    <w:next w:val="20"/>
    <w:qFormat/>
    <w:uiPriority w:val="0"/>
    <w:rPr>
      <w:rFonts w:ascii="宋体" w:hAnsi="Courier New"/>
      <w:szCs w:val="20"/>
    </w:rPr>
  </w:style>
  <w:style w:type="paragraph" w:customStyle="1" w:styleId="66">
    <w:name w:val="正文段"/>
    <w:basedOn w:val="1"/>
    <w:qFormat/>
    <w:uiPriority w:val="0"/>
    <w:pPr>
      <w:widowControl/>
      <w:snapToGrid w:val="0"/>
      <w:spacing w:after="50" w:afterLines="50"/>
      <w:ind w:firstLine="200" w:firstLineChars="200"/>
    </w:pPr>
    <w:rPr>
      <w:kern w:val="0"/>
      <w:sz w:val="24"/>
      <w:szCs w:val="20"/>
    </w:rPr>
  </w:style>
  <w:style w:type="paragraph" w:customStyle="1" w:styleId="67">
    <w:name w:val="List Paragraph"/>
    <w:basedOn w:val="1"/>
    <w:qFormat/>
    <w:uiPriority w:val="34"/>
    <w:pPr>
      <w:widowControl/>
      <w:ind w:firstLine="420" w:firstLineChars="200"/>
      <w:jc w:val="left"/>
    </w:pPr>
    <w:rPr>
      <w:rFonts w:ascii="宋体" w:hAnsi="宋体" w:cs="宋体"/>
      <w:kern w:val="0"/>
    </w:rPr>
  </w:style>
  <w:style w:type="paragraph" w:customStyle="1" w:styleId="68">
    <w:name w:val="默认段落字体 Para Char Char Char Char Char Char Char Char Char1 Char Char Char Char"/>
    <w:basedOn w:val="1"/>
    <w:qFormat/>
    <w:uiPriority w:val="0"/>
    <w:rPr>
      <w:rFonts w:ascii="Tahoma" w:hAnsi="Tahoma"/>
      <w:sz w:val="24"/>
      <w:szCs w:val="20"/>
    </w:rPr>
  </w:style>
  <w:style w:type="paragraph" w:customStyle="1" w:styleId="69">
    <w:name w:val="Char"/>
    <w:basedOn w:val="13"/>
    <w:qFormat/>
    <w:uiPriority w:val="0"/>
    <w:pPr>
      <w:widowControl/>
      <w:ind w:firstLine="454"/>
      <w:jc w:val="left"/>
    </w:pPr>
    <w:rPr>
      <w:rFonts w:ascii="Tahoma" w:hAnsi="Tahoma" w:cs="宋体"/>
      <w:kern w:val="0"/>
      <w:sz w:val="24"/>
      <w:szCs w:val="20"/>
    </w:rPr>
  </w:style>
  <w:style w:type="paragraph" w:customStyle="1" w:styleId="70">
    <w:name w:val="列出段落1"/>
    <w:basedOn w:val="1"/>
    <w:qFormat/>
    <w:uiPriority w:val="34"/>
    <w:pPr>
      <w:spacing w:line="312" w:lineRule="auto"/>
      <w:ind w:firstLine="420" w:firstLineChars="200"/>
    </w:pPr>
  </w:style>
  <w:style w:type="paragraph" w:customStyle="1" w:styleId="71">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72">
    <w:name w:val="_Style 35"/>
    <w:basedOn w:val="13"/>
    <w:qFormat/>
    <w:uiPriority w:val="0"/>
    <w:pPr>
      <w:widowControl/>
      <w:ind w:firstLine="454"/>
      <w:jc w:val="left"/>
    </w:pPr>
  </w:style>
  <w:style w:type="paragraph" w:customStyle="1" w:styleId="73">
    <w:name w:val="_Style 72"/>
    <w:qFormat/>
    <w:uiPriority w:val="0"/>
    <w:rPr>
      <w:rFonts w:ascii="Times New Roman" w:hAnsi="Times New Roman" w:eastAsia="宋体" w:cs="Times New Roman"/>
      <w:kern w:val="2"/>
      <w:sz w:val="21"/>
      <w:szCs w:val="24"/>
      <w:lang w:val="en-US" w:eastAsia="zh-CN" w:bidi="ar-SA"/>
    </w:rPr>
  </w:style>
  <w:style w:type="paragraph" w:customStyle="1" w:styleId="74">
    <w:name w:val="_Style 13"/>
    <w:qFormat/>
    <w:uiPriority w:val="0"/>
    <w:pPr>
      <w:spacing w:before="120" w:after="120" w:line="288" w:lineRule="auto"/>
    </w:pPr>
    <w:rPr>
      <w:rFonts w:ascii="Arial" w:hAnsi="Arial" w:eastAsia="等线" w:cs="Arial"/>
      <w:sz w:val="22"/>
      <w:szCs w:val="22"/>
      <w:lang w:val="en-US" w:eastAsia="zh-CN" w:bidi="ar-SA"/>
    </w:rPr>
  </w:style>
  <w:style w:type="paragraph" w:customStyle="1" w:styleId="75">
    <w:name w:val="Table caption|1"/>
    <w:basedOn w:val="1"/>
    <w:qFormat/>
    <w:uiPriority w:val="0"/>
    <w:pPr>
      <w:widowControl w:val="0"/>
      <w:shd w:val="clear" w:color="auto" w:fill="auto"/>
      <w:spacing w:line="548" w:lineRule="exact"/>
      <w:ind w:firstLine="620"/>
    </w:pPr>
    <w:rPr>
      <w:rFonts w:ascii="宋体" w:hAnsi="宋体" w:eastAsia="宋体" w:cs="宋体"/>
      <w:sz w:val="26"/>
      <w:szCs w:val="26"/>
      <w:u w:val="none"/>
      <w:shd w:val="clear" w:color="auto" w:fill="auto"/>
      <w:lang w:val="zh-TW" w:eastAsia="zh-TW" w:bidi="zh-TW"/>
    </w:rPr>
  </w:style>
  <w:style w:type="paragraph" w:customStyle="1" w:styleId="76">
    <w:name w:val="样式1"/>
    <w:basedOn w:val="1"/>
    <w:qFormat/>
    <w:uiPriority w:val="0"/>
    <w:pPr>
      <w:keepNext w:val="0"/>
      <w:keepLines w:val="0"/>
      <w:widowControl w:val="0"/>
      <w:suppressLineNumbers w:val="0"/>
      <w:ind w:left="0" w:firstLine="0"/>
      <w:jc w:val="both"/>
    </w:pPr>
    <w:rPr>
      <w:rFonts w:hint="default" w:ascii="Calibri" w:hAnsi="Calibri" w:eastAsia="宋体" w:cs="Times New Roman"/>
      <w:kern w:val="2"/>
      <w:sz w:val="21"/>
      <w:szCs w:val="21"/>
      <w:lang w:val="en-US" w:eastAsia="zh-CN" w:bidi="ar"/>
    </w:rPr>
  </w:style>
  <w:style w:type="paragraph" w:customStyle="1" w:styleId="77">
    <w:name w:val="Table Text"/>
    <w:basedOn w:val="1"/>
    <w:semiHidden/>
    <w:qFormat/>
    <w:uiPriority w:val="0"/>
    <w:rPr>
      <w:rFonts w:ascii="宋体" w:hAnsi="宋体" w:eastAsia="宋体" w:cs="宋体"/>
      <w:sz w:val="20"/>
      <w:szCs w:val="20"/>
      <w:lang w:val="en-US" w:eastAsia="en-US" w:bidi="ar-SA"/>
    </w:rPr>
  </w:style>
  <w:style w:type="table" w:customStyle="1" w:styleId="7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2.png"/><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99</Pages>
  <Words>84</Words>
  <Characters>109</Characters>
  <Lines>1</Lines>
  <Paragraphs>1</Paragraphs>
  <TotalTime>94</TotalTime>
  <ScaleCrop>false</ScaleCrop>
  <LinksUpToDate>false</LinksUpToDate>
  <CharactersWithSpaces>117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2021-01-07T01:48:00Z</dcterms:created>
  <dc:creator>聂泉源</dc:creator>
  <cp:lastModifiedBy>易</cp:lastModifiedBy>
  <cp:lastPrinted>2025-05-28T16:23:00Z</cp:lastPrinted>
  <dcterms:modified xsi:type="dcterms:W3CDTF">2026-06-25T03:36:58Z</dcterms:modified>
  <dc:title>3</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eyJoZGlkIjoiZDZlZDk2YTYwNjBlYTk3NWFiNDA4NGNkMWRkMDJlOTgiLCJ1c2VySWQiOiIxNTg0Mjk4OTA1In0=</vt:lpwstr>
  </property>
  <property fmtid="{D5CDD505-2E9C-101B-9397-08002B2CF9AE}" pid="4" name="ICV">
    <vt:lpwstr>26D5561B98CF4F778419B1F504CBF710_13</vt:lpwstr>
  </property>
</Properties>
</file>