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5800090" cy="8004810"/>
            <wp:effectExtent l="0" t="0" r="6350" b="1143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0"/>
                    <a:srcRect/>
                    <a:stretch>
                      <a:fillRect/>
                    </a:stretch>
                  </pic:blipFill>
                  <pic:spPr>
                    <a:xfrm>
                      <a:off x="0" y="0"/>
                      <a:ext cx="5800090" cy="8004810"/>
                    </a:xfrm>
                    <a:prstGeom prst="rect">
                      <a:avLst/>
                    </a:prstGeom>
                    <a:noFill/>
                    <a:ln w="9525">
                      <a:noFill/>
                    </a:ln>
                  </pic:spPr>
                </pic:pic>
              </a:graphicData>
            </a:graphic>
          </wp:inline>
        </w:drawing>
      </w:r>
    </w:p>
    <w:p>
      <w:pPr>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hint="eastAsia" w:ascii="宋体" w:hAnsi="宋体"/>
          <w:b/>
          <w:color w:val="auto"/>
          <w:sz w:val="44"/>
          <w:szCs w:val="44"/>
          <w:highlight w:val="none"/>
        </w:rPr>
      </w:pPr>
    </w:p>
    <w:p>
      <w:pPr>
        <w:pStyle w:val="17"/>
        <w:tabs>
          <w:tab w:val="right" w:leader="dot" w:pos="8869"/>
        </w:tabs>
        <w:rPr>
          <w:rFonts w:ascii="Calibri" w:hAnsi="Calibri"/>
          <w:color w:val="auto"/>
          <w:szCs w:val="22"/>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"_Toc80205920"</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第一章</w:t>
      </w:r>
      <w:r>
        <w:rPr>
          <w:rStyle w:val="23"/>
          <w:color w:val="auto"/>
          <w:highlight w:val="none"/>
        </w:rPr>
        <w:t xml:space="preserve"> </w:t>
      </w:r>
      <w:r>
        <w:rPr>
          <w:rStyle w:val="23"/>
          <w:rFonts w:hint="eastAsia"/>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_Toc80205920 \h </w:instrText>
      </w:r>
      <w:r>
        <w:rPr>
          <w:color w:val="auto"/>
          <w:highlight w:val="none"/>
        </w:rPr>
        <w:fldChar w:fldCharType="separate"/>
      </w:r>
      <w:r>
        <w:rPr>
          <w:color w:val="auto"/>
          <w:highlight w:val="none"/>
        </w:rPr>
        <w:t>1</w:t>
      </w:r>
      <w:r>
        <w:rPr>
          <w:color w:val="auto"/>
          <w:highlight w:val="none"/>
        </w:rPr>
        <w:fldChar w:fldCharType="end"/>
      </w:r>
      <w:r>
        <w:rPr>
          <w:rStyle w:val="23"/>
          <w:color w:val="auto"/>
          <w:highlight w:val="none"/>
        </w:rPr>
        <w:fldChar w:fldCharType="end"/>
      </w:r>
    </w:p>
    <w:p>
      <w:pPr>
        <w:pStyle w:val="17"/>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"_Toc80205921"</w:instrText>
      </w:r>
      <w:r>
        <w:rPr>
          <w:rStyle w:val="23"/>
          <w:color w:val="auto"/>
          <w:highlight w:val="none"/>
        </w:rPr>
        <w:instrText xml:space="preserve"> </w:instrText>
      </w:r>
      <w:r>
        <w:rPr>
          <w:rStyle w:val="23"/>
          <w:color w:val="auto"/>
          <w:highlight w:val="none"/>
        </w:rPr>
        <w:fldChar w:fldCharType="separate"/>
      </w:r>
      <w:r>
        <w:rPr>
          <w:rStyle w:val="23"/>
          <w:rFonts w:hint="eastAsia" w:ascii="Cambria" w:hAnsi="Cambria"/>
          <w:color w:val="auto"/>
          <w:highlight w:val="none"/>
        </w:rPr>
        <w:t>第二章</w:t>
      </w:r>
      <w:r>
        <w:rPr>
          <w:rStyle w:val="23"/>
          <w:rFonts w:ascii="Cambria" w:hAnsi="Cambria"/>
          <w:color w:val="auto"/>
          <w:highlight w:val="none"/>
        </w:rPr>
        <w:t xml:space="preserve"> </w:t>
      </w:r>
      <w:r>
        <w:rPr>
          <w:rStyle w:val="23"/>
          <w:rFonts w:hint="eastAsia" w:ascii="Cambria" w:hAnsi="Cambr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_Toc80205921 \h </w:instrText>
      </w:r>
      <w:r>
        <w:rPr>
          <w:color w:val="auto"/>
          <w:highlight w:val="none"/>
        </w:rPr>
        <w:fldChar w:fldCharType="separate"/>
      </w:r>
      <w:r>
        <w:rPr>
          <w:color w:val="auto"/>
          <w:highlight w:val="none"/>
        </w:rPr>
        <w:t>5</w:t>
      </w:r>
      <w:r>
        <w:rPr>
          <w:color w:val="auto"/>
          <w:highlight w:val="none"/>
        </w:rPr>
        <w:fldChar w:fldCharType="end"/>
      </w:r>
      <w:r>
        <w:rPr>
          <w:rStyle w:val="23"/>
          <w:color w:val="auto"/>
          <w:highlight w:val="none"/>
        </w:rPr>
        <w:fldChar w:fldCharType="end"/>
      </w:r>
    </w:p>
    <w:p>
      <w:pPr>
        <w:pStyle w:val="17"/>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"_Toc80205922"</w:instrText>
      </w:r>
      <w:r>
        <w:rPr>
          <w:rStyle w:val="23"/>
          <w:color w:val="auto"/>
          <w:highlight w:val="none"/>
        </w:rPr>
        <w:instrText xml:space="preserve"> </w:instrText>
      </w:r>
      <w:r>
        <w:rPr>
          <w:rStyle w:val="23"/>
          <w:color w:val="auto"/>
          <w:highlight w:val="none"/>
        </w:rPr>
        <w:fldChar w:fldCharType="separate"/>
      </w:r>
      <w:r>
        <w:rPr>
          <w:rStyle w:val="23"/>
          <w:rFonts w:hint="eastAsia" w:ascii="Cambria" w:hAnsi="Cambria"/>
          <w:color w:val="auto"/>
          <w:highlight w:val="none"/>
        </w:rPr>
        <w:t>第三章</w:t>
      </w:r>
      <w:r>
        <w:rPr>
          <w:rStyle w:val="23"/>
          <w:rFonts w:ascii="Cambria" w:hAnsi="Cambria"/>
          <w:color w:val="auto"/>
          <w:highlight w:val="none"/>
        </w:rPr>
        <w:t xml:space="preserve"> </w:t>
      </w:r>
      <w:r>
        <w:rPr>
          <w:rStyle w:val="23"/>
          <w:rFonts w:hint="eastAsia" w:ascii="Cambria" w:hAnsi="Cambr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_Toc80205922 \h </w:instrText>
      </w:r>
      <w:r>
        <w:rPr>
          <w:color w:val="auto"/>
          <w:highlight w:val="none"/>
        </w:rPr>
        <w:fldChar w:fldCharType="separate"/>
      </w:r>
      <w:r>
        <w:rPr>
          <w:color w:val="auto"/>
          <w:highlight w:val="none"/>
        </w:rPr>
        <w:t>26</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"_Toc80205923"</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第一节</w:t>
      </w:r>
      <w:r>
        <w:rPr>
          <w:rStyle w:val="23"/>
          <w:rFonts w:ascii="宋体" w:hAnsi="宋体"/>
          <w:color w:val="auto"/>
          <w:highlight w:val="none"/>
        </w:rPr>
        <w:t xml:space="preserve"> </w:t>
      </w:r>
      <w:r>
        <w:rPr>
          <w:rStyle w:val="23"/>
          <w:rFonts w:hint="eastAsia" w:ascii="宋体" w:hAnsi="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_Toc80205923 \h </w:instrText>
      </w:r>
      <w:r>
        <w:rPr>
          <w:color w:val="auto"/>
          <w:highlight w:val="none"/>
        </w:rPr>
        <w:fldChar w:fldCharType="separate"/>
      </w:r>
      <w:r>
        <w:rPr>
          <w:color w:val="auto"/>
          <w:highlight w:val="none"/>
        </w:rPr>
        <w:t>26</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"_Toc80205924"</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第二节</w:t>
      </w:r>
      <w:r>
        <w:rPr>
          <w:rStyle w:val="23"/>
          <w:rFonts w:ascii="宋体" w:hAnsi="宋体"/>
          <w:color w:val="auto"/>
          <w:highlight w:val="none"/>
        </w:rPr>
        <w:t xml:space="preserve"> </w:t>
      </w:r>
      <w:r>
        <w:rPr>
          <w:rStyle w:val="23"/>
          <w:rFonts w:hint="eastAsia" w:ascii="宋体" w:hAnsi="宋体"/>
          <w:color w:val="auto"/>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_Toc80205924 \h </w:instrText>
      </w:r>
      <w:r>
        <w:rPr>
          <w:color w:val="auto"/>
          <w:highlight w:val="none"/>
        </w:rPr>
        <w:fldChar w:fldCharType="separate"/>
      </w:r>
      <w:r>
        <w:rPr>
          <w:color w:val="auto"/>
          <w:highlight w:val="none"/>
        </w:rPr>
        <w:t>31</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"_Toc80205925"</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_Toc80205925 \h </w:instrText>
      </w:r>
      <w:r>
        <w:rPr>
          <w:color w:val="auto"/>
          <w:highlight w:val="none"/>
        </w:rPr>
        <w:fldChar w:fldCharType="separate"/>
      </w:r>
      <w:r>
        <w:rPr>
          <w:color w:val="auto"/>
          <w:highlight w:val="none"/>
        </w:rPr>
        <w:t>31</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"_Toc80205926"</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二、谈判文件</w:t>
      </w:r>
      <w:r>
        <w:rPr>
          <w:color w:val="auto"/>
          <w:highlight w:val="none"/>
        </w:rPr>
        <w:tab/>
      </w:r>
      <w:r>
        <w:rPr>
          <w:color w:val="auto"/>
          <w:highlight w:val="none"/>
        </w:rPr>
        <w:fldChar w:fldCharType="begin"/>
      </w:r>
      <w:r>
        <w:rPr>
          <w:color w:val="auto"/>
          <w:highlight w:val="none"/>
        </w:rPr>
        <w:instrText xml:space="preserve"> PAGEREF _Toc80205926 \h </w:instrText>
      </w:r>
      <w:r>
        <w:rPr>
          <w:color w:val="auto"/>
          <w:highlight w:val="none"/>
        </w:rPr>
        <w:fldChar w:fldCharType="separate"/>
      </w:r>
      <w:r>
        <w:rPr>
          <w:color w:val="auto"/>
          <w:highlight w:val="none"/>
        </w:rPr>
        <w:t>33</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"_Toc80205927"</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_Toc80205927 \h </w:instrText>
      </w:r>
      <w:r>
        <w:rPr>
          <w:color w:val="auto"/>
          <w:highlight w:val="none"/>
        </w:rPr>
        <w:fldChar w:fldCharType="separate"/>
      </w:r>
      <w:r>
        <w:rPr>
          <w:color w:val="auto"/>
          <w:highlight w:val="none"/>
        </w:rPr>
        <w:t>34</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"_Toc80205928"</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四、评审及谈判</w:t>
      </w:r>
      <w:r>
        <w:rPr>
          <w:color w:val="auto"/>
          <w:highlight w:val="none"/>
        </w:rPr>
        <w:tab/>
      </w:r>
      <w:r>
        <w:rPr>
          <w:color w:val="auto"/>
          <w:highlight w:val="none"/>
        </w:rPr>
        <w:fldChar w:fldCharType="begin"/>
      </w:r>
      <w:r>
        <w:rPr>
          <w:color w:val="auto"/>
          <w:highlight w:val="none"/>
        </w:rPr>
        <w:instrText xml:space="preserve"> PAGEREF _Toc80205928 \h </w:instrText>
      </w:r>
      <w:r>
        <w:rPr>
          <w:color w:val="auto"/>
          <w:highlight w:val="none"/>
        </w:rPr>
        <w:fldChar w:fldCharType="separate"/>
      </w:r>
      <w:r>
        <w:rPr>
          <w:color w:val="auto"/>
          <w:highlight w:val="none"/>
        </w:rPr>
        <w:t>36</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"_Toc80205929"</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_Toc80205929 \h </w:instrText>
      </w:r>
      <w:r>
        <w:rPr>
          <w:color w:val="auto"/>
          <w:highlight w:val="none"/>
        </w:rPr>
        <w:fldChar w:fldCharType="separate"/>
      </w:r>
      <w:r>
        <w:rPr>
          <w:color w:val="auto"/>
          <w:highlight w:val="none"/>
        </w:rPr>
        <w:t>37</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"_Toc80205930"</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_Toc80205930 \h </w:instrText>
      </w:r>
      <w:r>
        <w:rPr>
          <w:color w:val="auto"/>
          <w:highlight w:val="none"/>
        </w:rPr>
        <w:fldChar w:fldCharType="separate"/>
      </w:r>
      <w:r>
        <w:rPr>
          <w:color w:val="auto"/>
          <w:highlight w:val="none"/>
        </w:rPr>
        <w:t>40</w:t>
      </w:r>
      <w:r>
        <w:rPr>
          <w:color w:val="auto"/>
          <w:highlight w:val="none"/>
        </w:rPr>
        <w:fldChar w:fldCharType="end"/>
      </w:r>
      <w:r>
        <w:rPr>
          <w:rStyle w:val="23"/>
          <w:color w:val="auto"/>
          <w:highlight w:val="none"/>
        </w:rPr>
        <w:fldChar w:fldCharType="end"/>
      </w:r>
    </w:p>
    <w:p>
      <w:pPr>
        <w:pStyle w:val="13"/>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"_Toc80205931"</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_Toc80205931 \h </w:instrText>
      </w:r>
      <w:r>
        <w:rPr>
          <w:color w:val="auto"/>
          <w:highlight w:val="none"/>
        </w:rPr>
        <w:fldChar w:fldCharType="separate"/>
      </w:r>
      <w:r>
        <w:rPr>
          <w:color w:val="auto"/>
          <w:highlight w:val="none"/>
        </w:rPr>
        <w:t>40</w:t>
      </w:r>
      <w:r>
        <w:rPr>
          <w:color w:val="auto"/>
          <w:highlight w:val="none"/>
        </w:rPr>
        <w:fldChar w:fldCharType="end"/>
      </w:r>
      <w:r>
        <w:rPr>
          <w:rStyle w:val="23"/>
          <w:color w:val="auto"/>
          <w:highlight w:val="none"/>
        </w:rPr>
        <w:fldChar w:fldCharType="end"/>
      </w:r>
    </w:p>
    <w:p>
      <w:pPr>
        <w:pStyle w:val="17"/>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"_Toc80205932"</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第四章</w:t>
      </w:r>
      <w:r>
        <w:rPr>
          <w:rStyle w:val="23"/>
          <w:color w:val="auto"/>
          <w:highlight w:val="none"/>
        </w:rPr>
        <w:t xml:space="preserve">  </w:t>
      </w:r>
      <w:r>
        <w:rPr>
          <w:rStyle w:val="23"/>
          <w:rFonts w:hint="eastAsia"/>
          <w:color w:val="auto"/>
          <w:highlight w:val="none"/>
        </w:rPr>
        <w:t>评审程序、评审方法和成交标准</w:t>
      </w:r>
      <w:r>
        <w:rPr>
          <w:color w:val="auto"/>
          <w:highlight w:val="none"/>
        </w:rPr>
        <w:tab/>
      </w:r>
      <w:r>
        <w:rPr>
          <w:color w:val="auto"/>
          <w:highlight w:val="none"/>
        </w:rPr>
        <w:fldChar w:fldCharType="begin"/>
      </w:r>
      <w:r>
        <w:rPr>
          <w:color w:val="auto"/>
          <w:highlight w:val="none"/>
        </w:rPr>
        <w:instrText xml:space="preserve"> PAGEREF _Toc80205932 \h </w:instrText>
      </w:r>
      <w:r>
        <w:rPr>
          <w:color w:val="auto"/>
          <w:highlight w:val="none"/>
        </w:rPr>
        <w:fldChar w:fldCharType="separate"/>
      </w:r>
      <w:r>
        <w:rPr>
          <w:color w:val="auto"/>
          <w:highlight w:val="none"/>
        </w:rPr>
        <w:t>42</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"_Toc80205933"</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第一节</w:t>
      </w:r>
      <w:r>
        <w:rPr>
          <w:rStyle w:val="23"/>
          <w:rFonts w:ascii="宋体" w:hAnsi="宋体"/>
          <w:color w:val="auto"/>
          <w:highlight w:val="none"/>
        </w:rPr>
        <w:t xml:space="preserve"> </w:t>
      </w:r>
      <w:r>
        <w:rPr>
          <w:rStyle w:val="23"/>
          <w:rFonts w:hint="eastAsia" w:ascii="宋体" w:hAnsi="宋体"/>
          <w:color w:val="auto"/>
          <w:highlight w:val="none"/>
        </w:rPr>
        <w:t>评审程序和评审方法</w:t>
      </w:r>
      <w:r>
        <w:rPr>
          <w:color w:val="auto"/>
          <w:highlight w:val="none"/>
        </w:rPr>
        <w:tab/>
      </w:r>
      <w:r>
        <w:rPr>
          <w:color w:val="auto"/>
          <w:highlight w:val="none"/>
        </w:rPr>
        <w:fldChar w:fldCharType="begin"/>
      </w:r>
      <w:r>
        <w:rPr>
          <w:color w:val="auto"/>
          <w:highlight w:val="none"/>
        </w:rPr>
        <w:instrText xml:space="preserve"> PAGEREF _Toc80205933 \h </w:instrText>
      </w:r>
      <w:r>
        <w:rPr>
          <w:color w:val="auto"/>
          <w:highlight w:val="none"/>
        </w:rPr>
        <w:fldChar w:fldCharType="separate"/>
      </w:r>
      <w:r>
        <w:rPr>
          <w:color w:val="auto"/>
          <w:highlight w:val="none"/>
        </w:rPr>
        <w:t>42</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"_Toc80205934"</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第二节</w:t>
      </w:r>
      <w:r>
        <w:rPr>
          <w:rStyle w:val="23"/>
          <w:rFonts w:ascii="宋体" w:hAnsi="宋体"/>
          <w:color w:val="auto"/>
          <w:highlight w:val="none"/>
        </w:rPr>
        <w:t xml:space="preserve"> </w:t>
      </w:r>
      <w:r>
        <w:rPr>
          <w:rStyle w:val="23"/>
          <w:rFonts w:hint="eastAsia" w:ascii="宋体" w:hAnsi="宋体"/>
          <w:color w:val="auto"/>
          <w:highlight w:val="none"/>
        </w:rPr>
        <w:t>评审原则</w:t>
      </w:r>
      <w:r>
        <w:rPr>
          <w:color w:val="auto"/>
          <w:highlight w:val="none"/>
        </w:rPr>
        <w:tab/>
      </w:r>
      <w:r>
        <w:rPr>
          <w:color w:val="auto"/>
          <w:highlight w:val="none"/>
        </w:rPr>
        <w:fldChar w:fldCharType="begin"/>
      </w:r>
      <w:r>
        <w:rPr>
          <w:color w:val="auto"/>
          <w:highlight w:val="none"/>
        </w:rPr>
        <w:instrText xml:space="preserve"> PAGEREF _Toc80205934 \h </w:instrText>
      </w:r>
      <w:r>
        <w:rPr>
          <w:color w:val="auto"/>
          <w:highlight w:val="none"/>
        </w:rPr>
        <w:fldChar w:fldCharType="separate"/>
      </w:r>
      <w:r>
        <w:rPr>
          <w:color w:val="auto"/>
          <w:highlight w:val="none"/>
        </w:rPr>
        <w:t>46</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"_Toc80205935"</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第三节</w:t>
      </w:r>
      <w:r>
        <w:rPr>
          <w:rStyle w:val="23"/>
          <w:rFonts w:ascii="宋体" w:hAnsi="宋体"/>
          <w:color w:val="auto"/>
          <w:highlight w:val="none"/>
        </w:rPr>
        <w:t xml:space="preserve"> </w:t>
      </w:r>
      <w:r>
        <w:rPr>
          <w:rStyle w:val="23"/>
          <w:rFonts w:hint="eastAsia" w:ascii="宋体" w:hAnsi="宋体"/>
          <w:color w:val="auto"/>
          <w:highlight w:val="none"/>
        </w:rPr>
        <w:t>评标报告</w:t>
      </w:r>
      <w:r>
        <w:rPr>
          <w:color w:val="auto"/>
          <w:highlight w:val="none"/>
        </w:rPr>
        <w:tab/>
      </w:r>
      <w:r>
        <w:rPr>
          <w:color w:val="auto"/>
          <w:highlight w:val="none"/>
        </w:rPr>
        <w:fldChar w:fldCharType="begin"/>
      </w:r>
      <w:r>
        <w:rPr>
          <w:color w:val="auto"/>
          <w:highlight w:val="none"/>
        </w:rPr>
        <w:instrText xml:space="preserve"> PAGEREF _Toc80205935 \h </w:instrText>
      </w:r>
      <w:r>
        <w:rPr>
          <w:color w:val="auto"/>
          <w:highlight w:val="none"/>
        </w:rPr>
        <w:fldChar w:fldCharType="separate"/>
      </w:r>
      <w:r>
        <w:rPr>
          <w:color w:val="auto"/>
          <w:highlight w:val="none"/>
        </w:rPr>
        <w:t>47</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"_Toc80205936"</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第四节</w:t>
      </w:r>
      <w:r>
        <w:rPr>
          <w:rStyle w:val="23"/>
          <w:rFonts w:ascii="宋体" w:hAnsi="宋体"/>
          <w:color w:val="auto"/>
          <w:highlight w:val="none"/>
        </w:rPr>
        <w:t xml:space="preserve"> </w:t>
      </w:r>
      <w:r>
        <w:rPr>
          <w:rStyle w:val="23"/>
          <w:rFonts w:hint="eastAsia" w:ascii="宋体" w:hAnsi="宋体"/>
          <w:color w:val="auto"/>
          <w:highlight w:val="none"/>
        </w:rPr>
        <w:t>评审过程的保密与录像</w:t>
      </w:r>
      <w:r>
        <w:rPr>
          <w:color w:val="auto"/>
          <w:highlight w:val="none"/>
        </w:rPr>
        <w:tab/>
      </w:r>
      <w:r>
        <w:rPr>
          <w:color w:val="auto"/>
          <w:highlight w:val="none"/>
        </w:rPr>
        <w:fldChar w:fldCharType="begin"/>
      </w:r>
      <w:r>
        <w:rPr>
          <w:color w:val="auto"/>
          <w:highlight w:val="none"/>
        </w:rPr>
        <w:instrText xml:space="preserve"> PAGEREF _Toc80205936 \h </w:instrText>
      </w:r>
      <w:r>
        <w:rPr>
          <w:color w:val="auto"/>
          <w:highlight w:val="none"/>
        </w:rPr>
        <w:fldChar w:fldCharType="separate"/>
      </w:r>
      <w:r>
        <w:rPr>
          <w:color w:val="auto"/>
          <w:highlight w:val="none"/>
        </w:rPr>
        <w:t>47</w:t>
      </w:r>
      <w:r>
        <w:rPr>
          <w:color w:val="auto"/>
          <w:highlight w:val="none"/>
        </w:rPr>
        <w:fldChar w:fldCharType="end"/>
      </w:r>
      <w:r>
        <w:rPr>
          <w:rStyle w:val="23"/>
          <w:color w:val="auto"/>
          <w:highlight w:val="none"/>
        </w:rPr>
        <w:fldChar w:fldCharType="end"/>
      </w:r>
    </w:p>
    <w:p>
      <w:pPr>
        <w:pStyle w:val="17"/>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"_Toc80205937"</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第五章</w:t>
      </w:r>
      <w:r>
        <w:rPr>
          <w:rStyle w:val="23"/>
          <w:color w:val="auto"/>
          <w:highlight w:val="none"/>
        </w:rPr>
        <w:t xml:space="preserve"> </w:t>
      </w:r>
      <w:r>
        <w:rPr>
          <w:rStyle w:val="23"/>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_Toc80205937 \h </w:instrText>
      </w:r>
      <w:r>
        <w:rPr>
          <w:color w:val="auto"/>
          <w:highlight w:val="none"/>
        </w:rPr>
        <w:fldChar w:fldCharType="separate"/>
      </w:r>
      <w:r>
        <w:rPr>
          <w:color w:val="auto"/>
          <w:highlight w:val="none"/>
        </w:rPr>
        <w:t>48</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"_Toc80205938"</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第一节</w:t>
      </w:r>
      <w:r>
        <w:rPr>
          <w:rStyle w:val="23"/>
          <w:rFonts w:ascii="宋体" w:hAnsi="宋体"/>
          <w:color w:val="auto"/>
          <w:highlight w:val="none"/>
        </w:rPr>
        <w:t xml:space="preserve"> </w:t>
      </w:r>
      <w:r>
        <w:rPr>
          <w:rStyle w:val="23"/>
          <w:rFonts w:hint="eastAsia" w:ascii="宋体" w:hAnsi="宋体"/>
          <w:color w:val="auto"/>
          <w:highlight w:val="none"/>
        </w:rPr>
        <w:t>封面格式</w:t>
      </w:r>
      <w:r>
        <w:rPr>
          <w:color w:val="auto"/>
          <w:highlight w:val="none"/>
        </w:rPr>
        <w:tab/>
      </w:r>
      <w:r>
        <w:rPr>
          <w:color w:val="auto"/>
          <w:highlight w:val="none"/>
        </w:rPr>
        <w:fldChar w:fldCharType="begin"/>
      </w:r>
      <w:r>
        <w:rPr>
          <w:color w:val="auto"/>
          <w:highlight w:val="none"/>
        </w:rPr>
        <w:instrText xml:space="preserve"> PAGEREF _Toc80205938 \h </w:instrText>
      </w:r>
      <w:r>
        <w:rPr>
          <w:color w:val="auto"/>
          <w:highlight w:val="none"/>
        </w:rPr>
        <w:fldChar w:fldCharType="separate"/>
      </w:r>
      <w:r>
        <w:rPr>
          <w:color w:val="auto"/>
          <w:highlight w:val="none"/>
        </w:rPr>
        <w:t>49</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"_Toc80205939"</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bCs/>
          <w:color w:val="auto"/>
          <w:highlight w:val="none"/>
        </w:rPr>
        <w:t>第二节</w:t>
      </w:r>
      <w:r>
        <w:rPr>
          <w:rStyle w:val="23"/>
          <w:rFonts w:ascii="宋体" w:hAnsi="宋体"/>
          <w:bCs/>
          <w:color w:val="auto"/>
          <w:highlight w:val="none"/>
        </w:rPr>
        <w:t xml:space="preserve"> </w:t>
      </w:r>
      <w:r>
        <w:rPr>
          <w:rStyle w:val="23"/>
          <w:rFonts w:hint="eastAsia" w:ascii="宋体" w:hAnsi="宋体"/>
          <w:bCs/>
          <w:color w:val="auto"/>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_Toc80205939 \h </w:instrText>
      </w:r>
      <w:r>
        <w:rPr>
          <w:color w:val="auto"/>
          <w:highlight w:val="none"/>
        </w:rPr>
        <w:fldChar w:fldCharType="separate"/>
      </w:r>
      <w:r>
        <w:rPr>
          <w:color w:val="auto"/>
          <w:highlight w:val="none"/>
        </w:rPr>
        <w:t>50</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"_Toc80205940"</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第二节</w:t>
      </w:r>
      <w:r>
        <w:rPr>
          <w:rStyle w:val="23"/>
          <w:rFonts w:ascii="宋体" w:hAnsi="宋体"/>
          <w:color w:val="auto"/>
          <w:highlight w:val="none"/>
        </w:rPr>
        <w:t xml:space="preserve"> </w:t>
      </w:r>
      <w:r>
        <w:rPr>
          <w:rStyle w:val="23"/>
          <w:rFonts w:hint="eastAsia" w:ascii="宋体" w:hAnsi="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_Toc80205940 \h </w:instrText>
      </w:r>
      <w:r>
        <w:rPr>
          <w:color w:val="auto"/>
          <w:highlight w:val="none"/>
        </w:rPr>
        <w:fldChar w:fldCharType="separate"/>
      </w:r>
      <w:r>
        <w:rPr>
          <w:color w:val="auto"/>
          <w:highlight w:val="none"/>
        </w:rPr>
        <w:t>56</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"_Toc80205941"</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第三节</w:t>
      </w:r>
      <w:r>
        <w:rPr>
          <w:rStyle w:val="23"/>
          <w:rFonts w:ascii="宋体" w:hAnsi="宋体"/>
          <w:color w:val="auto"/>
          <w:highlight w:val="none"/>
        </w:rPr>
        <w:t xml:space="preserve"> </w:t>
      </w:r>
      <w:r>
        <w:rPr>
          <w:rStyle w:val="23"/>
          <w:rFonts w:hint="eastAsia" w:ascii="宋体" w:hAnsi="宋体"/>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_Toc80205941 \h </w:instrText>
      </w:r>
      <w:r>
        <w:rPr>
          <w:color w:val="auto"/>
          <w:highlight w:val="none"/>
        </w:rPr>
        <w:fldChar w:fldCharType="separate"/>
      </w:r>
      <w:r>
        <w:rPr>
          <w:color w:val="auto"/>
          <w:highlight w:val="none"/>
        </w:rPr>
        <w:t>71</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"_Toc80205942"</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第四节</w:t>
      </w:r>
      <w:r>
        <w:rPr>
          <w:rStyle w:val="23"/>
          <w:rFonts w:ascii="宋体" w:hAnsi="宋体"/>
          <w:color w:val="auto"/>
          <w:highlight w:val="none"/>
        </w:rPr>
        <w:t xml:space="preserve"> </w:t>
      </w:r>
      <w:r>
        <w:rPr>
          <w:rStyle w:val="23"/>
          <w:rFonts w:hint="eastAsia" w:ascii="宋体" w:hAnsi="宋体"/>
          <w:color w:val="auto"/>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_Toc80205942 \h </w:instrText>
      </w:r>
      <w:r>
        <w:rPr>
          <w:color w:val="auto"/>
          <w:highlight w:val="none"/>
        </w:rPr>
        <w:fldChar w:fldCharType="separate"/>
      </w:r>
      <w:r>
        <w:rPr>
          <w:color w:val="auto"/>
          <w:highlight w:val="none"/>
        </w:rPr>
        <w:t>77</w:t>
      </w:r>
      <w:r>
        <w:rPr>
          <w:color w:val="auto"/>
          <w:highlight w:val="none"/>
        </w:rPr>
        <w:fldChar w:fldCharType="end"/>
      </w:r>
      <w:r>
        <w:rPr>
          <w:rStyle w:val="23"/>
          <w:color w:val="auto"/>
          <w:highlight w:val="none"/>
        </w:rPr>
        <w:fldChar w:fldCharType="end"/>
      </w:r>
    </w:p>
    <w:p>
      <w:pPr>
        <w:pStyle w:val="17"/>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"_Toc80205943"</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第六章</w:t>
      </w:r>
      <w:r>
        <w:rPr>
          <w:rStyle w:val="23"/>
          <w:rFonts w:ascii="宋体" w:hAnsi="宋体"/>
          <w:color w:val="auto"/>
          <w:highlight w:val="none"/>
        </w:rPr>
        <w:t xml:space="preserve">  </w:t>
      </w:r>
      <w:r>
        <w:rPr>
          <w:rStyle w:val="23"/>
          <w:rFonts w:hint="eastAsia" w:ascii="宋体" w:hAnsi="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_Toc80205943 \h </w:instrText>
      </w:r>
      <w:r>
        <w:rPr>
          <w:color w:val="auto"/>
          <w:highlight w:val="none"/>
        </w:rPr>
        <w:fldChar w:fldCharType="separate"/>
      </w:r>
      <w:r>
        <w:rPr>
          <w:color w:val="auto"/>
          <w:highlight w:val="none"/>
        </w:rPr>
        <w:t>79</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"_Toc80205944"</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第一部分</w:t>
      </w:r>
      <w:r>
        <w:rPr>
          <w:rStyle w:val="23"/>
          <w:rFonts w:ascii="宋体" w:hAnsi="宋体"/>
          <w:color w:val="auto"/>
          <w:highlight w:val="none"/>
        </w:rPr>
        <w:t xml:space="preserve"> </w:t>
      </w:r>
      <w:r>
        <w:rPr>
          <w:rStyle w:val="23"/>
          <w:rFonts w:hint="eastAsia" w:ascii="宋体" w:hAnsi="宋体"/>
          <w:color w:val="auto"/>
          <w:highlight w:val="none"/>
        </w:rPr>
        <w:t>合同书</w:t>
      </w:r>
      <w:r>
        <w:rPr>
          <w:color w:val="auto"/>
          <w:highlight w:val="none"/>
        </w:rPr>
        <w:tab/>
      </w:r>
      <w:r>
        <w:rPr>
          <w:color w:val="auto"/>
          <w:highlight w:val="none"/>
        </w:rPr>
        <w:fldChar w:fldCharType="begin"/>
      </w:r>
      <w:r>
        <w:rPr>
          <w:color w:val="auto"/>
          <w:highlight w:val="none"/>
        </w:rPr>
        <w:instrText xml:space="preserve"> PAGEREF _Toc80205944 \h </w:instrText>
      </w:r>
      <w:r>
        <w:rPr>
          <w:color w:val="auto"/>
          <w:highlight w:val="none"/>
        </w:rPr>
        <w:fldChar w:fldCharType="separate"/>
      </w:r>
      <w:r>
        <w:rPr>
          <w:color w:val="auto"/>
          <w:highlight w:val="none"/>
        </w:rPr>
        <w:t>82</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"_Toc80205945"</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第二部分</w:t>
      </w:r>
      <w:r>
        <w:rPr>
          <w:rStyle w:val="23"/>
          <w:rFonts w:ascii="宋体" w:hAnsi="宋体"/>
          <w:color w:val="auto"/>
          <w:highlight w:val="none"/>
        </w:rPr>
        <w:t xml:space="preserve"> </w:t>
      </w:r>
      <w:r>
        <w:rPr>
          <w:rStyle w:val="23"/>
          <w:rFonts w:hint="eastAsia" w:ascii="宋体" w:hAnsi="宋体"/>
          <w:color w:val="auto"/>
          <w:highlight w:val="none"/>
        </w:rPr>
        <w:t>合同一般条款</w:t>
      </w:r>
      <w:r>
        <w:rPr>
          <w:color w:val="auto"/>
          <w:highlight w:val="none"/>
        </w:rPr>
        <w:tab/>
      </w:r>
      <w:r>
        <w:rPr>
          <w:color w:val="auto"/>
          <w:highlight w:val="none"/>
        </w:rPr>
        <w:fldChar w:fldCharType="begin"/>
      </w:r>
      <w:r>
        <w:rPr>
          <w:color w:val="auto"/>
          <w:highlight w:val="none"/>
        </w:rPr>
        <w:instrText xml:space="preserve"> PAGEREF _Toc80205945 \h </w:instrText>
      </w:r>
      <w:r>
        <w:rPr>
          <w:color w:val="auto"/>
          <w:highlight w:val="none"/>
        </w:rPr>
        <w:fldChar w:fldCharType="separate"/>
      </w:r>
      <w:r>
        <w:rPr>
          <w:color w:val="auto"/>
          <w:highlight w:val="none"/>
        </w:rPr>
        <w:t>86</w:t>
      </w:r>
      <w:r>
        <w:rPr>
          <w:color w:val="auto"/>
          <w:highlight w:val="none"/>
        </w:rPr>
        <w:fldChar w:fldCharType="end"/>
      </w:r>
      <w:r>
        <w:rPr>
          <w:rStyle w:val="23"/>
          <w:color w:val="auto"/>
          <w:highlight w:val="none"/>
        </w:rPr>
        <w:fldChar w:fldCharType="end"/>
      </w:r>
    </w:p>
    <w:p>
      <w:pPr>
        <w:pStyle w:val="19"/>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"_Toc80205946"</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olor w:val="auto"/>
          <w:highlight w:val="none"/>
        </w:rPr>
        <w:t>第三部分</w:t>
      </w:r>
      <w:r>
        <w:rPr>
          <w:rStyle w:val="23"/>
          <w:rFonts w:ascii="宋体" w:hAnsi="宋体"/>
          <w:color w:val="auto"/>
          <w:highlight w:val="none"/>
        </w:rPr>
        <w:t xml:space="preserve">  </w:t>
      </w:r>
      <w:r>
        <w:rPr>
          <w:rStyle w:val="23"/>
          <w:rFonts w:hint="eastAsia" w:ascii="宋体" w:hAnsi="宋体"/>
          <w:color w:val="auto"/>
          <w:highlight w:val="none"/>
        </w:rPr>
        <w:t>合同专用条款</w:t>
      </w:r>
      <w:r>
        <w:rPr>
          <w:color w:val="auto"/>
          <w:highlight w:val="none"/>
        </w:rPr>
        <w:tab/>
      </w:r>
      <w:r>
        <w:rPr>
          <w:color w:val="auto"/>
          <w:highlight w:val="none"/>
        </w:rPr>
        <w:fldChar w:fldCharType="begin"/>
      </w:r>
      <w:r>
        <w:rPr>
          <w:color w:val="auto"/>
          <w:highlight w:val="none"/>
        </w:rPr>
        <w:instrText xml:space="preserve"> PAGEREF _Toc80205946 \h </w:instrText>
      </w:r>
      <w:r>
        <w:rPr>
          <w:color w:val="auto"/>
          <w:highlight w:val="none"/>
        </w:rPr>
        <w:fldChar w:fldCharType="separate"/>
      </w:r>
      <w:r>
        <w:rPr>
          <w:color w:val="auto"/>
          <w:highlight w:val="none"/>
        </w:rPr>
        <w:t>91</w:t>
      </w:r>
      <w:r>
        <w:rPr>
          <w:color w:val="auto"/>
          <w:highlight w:val="none"/>
        </w:rPr>
        <w:fldChar w:fldCharType="end"/>
      </w:r>
      <w:r>
        <w:rPr>
          <w:rStyle w:val="23"/>
          <w:color w:val="auto"/>
          <w:highlight w:val="none"/>
        </w:rPr>
        <w:fldChar w:fldCharType="end"/>
      </w:r>
    </w:p>
    <w:p>
      <w:pPr>
        <w:pStyle w:val="17"/>
        <w:tabs>
          <w:tab w:val="right" w:leader="dot" w:pos="8869"/>
        </w:tabs>
        <w:rPr>
          <w:rFonts w:ascii="Calibri" w:hAnsi="Calibri"/>
          <w:color w:val="auto"/>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"_Toc80205947"</w:instrText>
      </w:r>
      <w:r>
        <w:rPr>
          <w:rStyle w:val="23"/>
          <w:color w:val="auto"/>
          <w:highlight w:val="none"/>
        </w:rPr>
        <w:instrText xml:space="preserve"> </w:instrText>
      </w:r>
      <w:r>
        <w:rPr>
          <w:rStyle w:val="23"/>
          <w:color w:val="auto"/>
          <w:highlight w:val="none"/>
        </w:rPr>
        <w:fldChar w:fldCharType="separate"/>
      </w:r>
      <w:r>
        <w:rPr>
          <w:rStyle w:val="23"/>
          <w:rFonts w:hint="eastAsia" w:ascii="宋体" w:hAnsi="宋体" w:cs="仿宋_GB2312"/>
          <w:color w:val="auto"/>
          <w:highlight w:val="none"/>
        </w:rPr>
        <w:t>第七章</w:t>
      </w:r>
      <w:r>
        <w:rPr>
          <w:rStyle w:val="23"/>
          <w:rFonts w:ascii="宋体" w:hAnsi="宋体" w:cs="仿宋_GB2312"/>
          <w:color w:val="auto"/>
          <w:highlight w:val="none"/>
        </w:rPr>
        <w:t xml:space="preserve"> </w:t>
      </w:r>
      <w:r>
        <w:rPr>
          <w:rStyle w:val="23"/>
          <w:rFonts w:hint="eastAsia" w:ascii="宋体" w:hAnsi="宋体" w:cs="仿宋_GB2312"/>
          <w:color w:val="auto"/>
          <w:highlight w:val="none"/>
        </w:rPr>
        <w:t>质疑、投诉材料格式</w:t>
      </w:r>
      <w:r>
        <w:rPr>
          <w:color w:val="auto"/>
          <w:highlight w:val="none"/>
        </w:rPr>
        <w:tab/>
      </w:r>
      <w:r>
        <w:rPr>
          <w:color w:val="auto"/>
          <w:highlight w:val="none"/>
        </w:rPr>
        <w:fldChar w:fldCharType="begin"/>
      </w:r>
      <w:r>
        <w:rPr>
          <w:color w:val="auto"/>
          <w:highlight w:val="none"/>
        </w:rPr>
        <w:instrText xml:space="preserve"> PAGEREF _Toc80205947 \h </w:instrText>
      </w:r>
      <w:r>
        <w:rPr>
          <w:color w:val="auto"/>
          <w:highlight w:val="none"/>
        </w:rPr>
        <w:fldChar w:fldCharType="separate"/>
      </w:r>
      <w:r>
        <w:rPr>
          <w:color w:val="auto"/>
          <w:highlight w:val="none"/>
        </w:rPr>
        <w:t>94</w:t>
      </w:r>
      <w:r>
        <w:rPr>
          <w:color w:val="auto"/>
          <w:highlight w:val="none"/>
        </w:rPr>
        <w:fldChar w:fldCharType="end"/>
      </w:r>
      <w:r>
        <w:rPr>
          <w:rStyle w:val="23"/>
          <w:color w:val="auto"/>
          <w:highlight w:val="none"/>
        </w:rPr>
        <w:fldChar w:fldCharType="end"/>
      </w:r>
    </w:p>
    <w:p>
      <w:pPr>
        <w:pStyle w:val="19"/>
        <w:rPr>
          <w:rFonts w:hint="eastAsia"/>
          <w:color w:val="auto"/>
          <w:sz w:val="28"/>
          <w:szCs w:val="28"/>
          <w:highlight w:val="none"/>
        </w:rPr>
      </w:pPr>
      <w:r>
        <w:rPr>
          <w:rFonts w:ascii="宋体" w:hAnsi="宋体"/>
          <w:b/>
          <w:color w:val="auto"/>
          <w:sz w:val="30"/>
          <w:szCs w:val="30"/>
          <w:highlight w:val="none"/>
        </w:rPr>
        <w:fldChar w:fldCharType="end"/>
      </w:r>
    </w:p>
    <w:p>
      <w:pPr>
        <w:spacing w:line="400" w:lineRule="exact"/>
        <w:jc w:val="left"/>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3"/>
        <w:spacing w:line="400" w:lineRule="exact"/>
        <w:jc w:val="center"/>
        <w:rPr>
          <w:rFonts w:hint="eastAsia"/>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-337820</wp:posOffset>
                </wp:positionH>
                <wp:positionV relativeFrom="paragraph">
                  <wp:posOffset>631190</wp:posOffset>
                </wp:positionV>
                <wp:extent cx="6209665" cy="1381125"/>
                <wp:effectExtent l="0" t="0" r="8255" b="5715"/>
                <wp:wrapNone/>
                <wp:docPr id="4" name="文本框 4"/>
                <wp:cNvGraphicFramePr/>
                <a:graphic xmlns:a="http://schemas.openxmlformats.org/drawingml/2006/main">
                  <a:graphicData uri="http://schemas.microsoft.com/office/word/2010/wordprocessingShape">
                    <wps:wsp>
                      <wps:cNvSpPr txBox="1"/>
                      <wps:spPr>
                        <a:xfrm>
                          <a:off x="0" y="0"/>
                          <a:ext cx="6209665" cy="1381125"/>
                        </a:xfrm>
                        <a:prstGeom prst="rect">
                          <a:avLst/>
                        </a:prstGeom>
                        <a:solidFill>
                          <a:srgbClr val="FFFFFF"/>
                        </a:solidFill>
                        <a:ln>
                          <a:noFill/>
                        </a:ln>
                      </wps:spPr>
                      <wps:txbx>
                        <w:txbxContent>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single"/>
                              </w:rPr>
                              <w:t xml:space="preserve"> </w:t>
                            </w:r>
                            <w:r>
                              <w:rPr>
                                <w:rFonts w:hint="eastAsia" w:ascii="仿宋_GB2312" w:hAnsi="仿宋" w:eastAsia="仿宋_GB2312" w:cs="Times New Roman"/>
                                <w:sz w:val="24"/>
                                <w:highlight w:val="none"/>
                                <w:u w:val="single"/>
                                <w:lang w:val="en-US" w:eastAsia="zh-CN"/>
                              </w:rPr>
                              <w:t xml:space="preserve"> 原经开片区市政设施材料配件采购项目  </w:t>
                            </w:r>
                            <w:r>
                              <w:rPr>
                                <w:rFonts w:hint="eastAsia" w:ascii="仿宋_GB2312" w:hAnsi="仿宋" w:eastAsia="仿宋_GB2312" w:cs="Times New Roman"/>
                                <w:sz w:val="24"/>
                                <w:highlight w:val="none"/>
                              </w:rPr>
                              <w:t xml:space="preserve"> 采购项目的潜在供应商应在“广西政府采购云平台”（http://www.gcy.zfcg.gxzf.gov.cn）</w:t>
                            </w:r>
                            <w:r>
                              <w:rPr>
                                <w:rFonts w:hint="eastAsia" w:ascii="仿宋_GB2312" w:hAnsi="仿宋" w:eastAsia="仿宋_GB2312" w:cs="Times New Roman"/>
                                <w:sz w:val="24"/>
                                <w:highlight w:val="none"/>
                                <w:u w:val="single"/>
                              </w:rPr>
                              <w:t>获取（下载）获取竞争性谈判文件，并于</w:t>
                            </w:r>
                            <w:r>
                              <w:rPr>
                                <w:rFonts w:hint="eastAsia" w:ascii="仿宋_GB2312" w:hAnsi="仿宋" w:eastAsia="仿宋_GB2312" w:cs="Times New Roman"/>
                                <w:sz w:val="24"/>
                                <w:highlight w:val="none"/>
                                <w:u w:val="single"/>
                                <w:lang w:val="en-US" w:eastAsia="zh-CN"/>
                              </w:rPr>
                              <w:t>2026</w:t>
                            </w:r>
                            <w:r>
                              <w:rPr>
                                <w:rFonts w:hint="eastAsia" w:ascii="仿宋_GB2312" w:hAnsi="仿宋" w:eastAsia="仿宋_GB2312" w:cs="Times New Roman"/>
                                <w:sz w:val="24"/>
                                <w:highlight w:val="none"/>
                                <w:u w:val="single"/>
                              </w:rPr>
                              <w:t>年</w:t>
                            </w:r>
                            <w:r>
                              <w:rPr>
                                <w:rFonts w:hint="eastAsia" w:ascii="仿宋_GB2312" w:hAnsi="仿宋" w:eastAsia="仿宋_GB2312" w:cs="Times New Roman"/>
                                <w:sz w:val="24"/>
                                <w:highlight w:val="none"/>
                                <w:u w:val="single"/>
                                <w:lang w:val="en-US" w:eastAsia="zh-CN"/>
                              </w:rPr>
                              <w:t>6</w:t>
                            </w:r>
                            <w:r>
                              <w:rPr>
                                <w:rFonts w:hint="eastAsia" w:ascii="仿宋_GB2312" w:hAnsi="仿宋" w:eastAsia="仿宋_GB2312" w:cs="Times New Roman"/>
                                <w:sz w:val="24"/>
                                <w:highlight w:val="none"/>
                                <w:u w:val="single"/>
                              </w:rPr>
                              <w:t>月</w:t>
                            </w:r>
                            <w:r>
                              <w:rPr>
                                <w:rFonts w:hint="eastAsia" w:ascii="仿宋_GB2312" w:hAnsi="仿宋" w:eastAsia="仿宋_GB2312" w:cs="Times New Roman"/>
                                <w:sz w:val="24"/>
                                <w:highlight w:val="none"/>
                                <w:u w:val="single"/>
                                <w:lang w:val="en-US" w:eastAsia="zh-CN"/>
                              </w:rPr>
                              <w:t>3</w:t>
                            </w:r>
                            <w:r>
                              <w:rPr>
                                <w:rFonts w:hint="eastAsia" w:ascii="仿宋_GB2312" w:hAnsi="仿宋" w:eastAsia="仿宋_GB2312" w:cs="Times New Roman"/>
                                <w:sz w:val="24"/>
                                <w:highlight w:val="none"/>
                                <w:u w:val="single"/>
                              </w:rPr>
                              <w:t>日</w:t>
                            </w:r>
                            <w:r>
                              <w:rPr>
                                <w:rFonts w:hint="eastAsia" w:ascii="仿宋_GB2312" w:hAnsi="仿宋" w:eastAsia="仿宋_GB2312" w:cs="Times New Roman"/>
                                <w:sz w:val="24"/>
                                <w:highlight w:val="none"/>
                                <w:u w:val="single"/>
                                <w:lang w:val="en-US" w:eastAsia="zh-CN"/>
                              </w:rPr>
                              <w:t>09</w:t>
                            </w:r>
                            <w:r>
                              <w:rPr>
                                <w:rFonts w:hint="eastAsia" w:ascii="仿宋_GB2312" w:hAnsi="仿宋" w:eastAsia="仿宋_GB2312" w:cs="Times New Roman"/>
                                <w:sz w:val="24"/>
                                <w:highlight w:val="none"/>
                                <w:u w:val="single"/>
                              </w:rPr>
                              <w:t>点</w:t>
                            </w:r>
                            <w:r>
                              <w:rPr>
                                <w:rFonts w:hint="eastAsia" w:ascii="仿宋_GB2312" w:hAnsi="仿宋" w:eastAsia="仿宋_GB2312" w:cs="Times New Roman"/>
                                <w:sz w:val="24"/>
                                <w:highlight w:val="none"/>
                                <w:u w:val="single"/>
                                <w:lang w:val="en-US" w:eastAsia="zh-CN"/>
                              </w:rPr>
                              <w:t>30</w:t>
                            </w:r>
                            <w:r>
                              <w:rPr>
                                <w:rFonts w:hint="eastAsia" w:ascii="仿宋_GB2312" w:hAnsi="仿宋" w:eastAsia="仿宋_GB2312" w:cs="Times New Roman"/>
                                <w:sz w:val="24"/>
                                <w:highlight w:val="none"/>
                                <w:u w:val="single"/>
                              </w:rPr>
                              <w:t>分（北京时间）前</w:t>
                            </w:r>
                            <w:r>
                              <w:rPr>
                                <w:rFonts w:hint="eastAsia" w:ascii="仿宋_GB2312" w:hAnsi="仿宋" w:eastAsia="仿宋_GB2312" w:cs="Times New Roman"/>
                                <w:sz w:val="24"/>
                                <w:highlight w:val="none"/>
                              </w:rPr>
                              <w:t>提交响应文件。</w:t>
                            </w:r>
                          </w:p>
                          <w:p/>
                        </w:txbxContent>
                      </wps:txbx>
                      <wps:bodyPr upright="1"/>
                    </wps:wsp>
                  </a:graphicData>
                </a:graphic>
              </wp:anchor>
            </w:drawing>
          </mc:Choice>
          <mc:Fallback>
            <w:pict>
              <v:shape id="_x0000_s1026" o:spid="_x0000_s1026" o:spt="202" type="#_x0000_t202" style="position:absolute;left:0pt;margin-left:-26.6pt;margin-top:49.7pt;height:108.75pt;width:488.95pt;z-index:251659264;mso-width-relative:page;mso-height-relative:page;" fillcolor="#FFFFFF" filled="t" stroked="f" coordsize="21600,21600" o:gfxdata="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SKefZAAAACgEAAA8AAAAAAAAAAQAgAAAAIgAAAGRycy9kb3ducmV2&#10;LnhtbFBLAQIUABQAAAAIAIdO4kAdSW9+wgEAAHgDAAAOAAAAAAAAAAEAIAAAACgBAABkcnMvZTJv&#10;RG9jLnhtbFBLBQYAAAAABgAGAFkBAABc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single"/>
                        </w:rPr>
                        <w:t xml:space="preserve"> </w:t>
                      </w:r>
                      <w:r>
                        <w:rPr>
                          <w:rFonts w:hint="eastAsia" w:ascii="仿宋_GB2312" w:hAnsi="仿宋" w:eastAsia="仿宋_GB2312" w:cs="Times New Roman"/>
                          <w:sz w:val="24"/>
                          <w:highlight w:val="none"/>
                          <w:u w:val="single"/>
                          <w:lang w:val="en-US" w:eastAsia="zh-CN"/>
                        </w:rPr>
                        <w:t xml:space="preserve"> 原经开片区市政设施材料配件采购项目  </w:t>
                      </w:r>
                      <w:r>
                        <w:rPr>
                          <w:rFonts w:hint="eastAsia" w:ascii="仿宋_GB2312" w:hAnsi="仿宋" w:eastAsia="仿宋_GB2312" w:cs="Times New Roman"/>
                          <w:sz w:val="24"/>
                          <w:highlight w:val="none"/>
                        </w:rPr>
                        <w:t xml:space="preserve"> 采购项目的潜在供应商应在“广西政府采购云平台”（http://www.gcy.zfcg.gxzf.gov.cn）</w:t>
                      </w:r>
                      <w:r>
                        <w:rPr>
                          <w:rFonts w:hint="eastAsia" w:ascii="仿宋_GB2312" w:hAnsi="仿宋" w:eastAsia="仿宋_GB2312" w:cs="Times New Roman"/>
                          <w:sz w:val="24"/>
                          <w:highlight w:val="none"/>
                          <w:u w:val="single"/>
                        </w:rPr>
                        <w:t>获取（下载）获取竞争性谈判文件，并于</w:t>
                      </w:r>
                      <w:r>
                        <w:rPr>
                          <w:rFonts w:hint="eastAsia" w:ascii="仿宋_GB2312" w:hAnsi="仿宋" w:eastAsia="仿宋_GB2312" w:cs="Times New Roman"/>
                          <w:sz w:val="24"/>
                          <w:highlight w:val="none"/>
                          <w:u w:val="single"/>
                          <w:lang w:val="en-US" w:eastAsia="zh-CN"/>
                        </w:rPr>
                        <w:t>2026</w:t>
                      </w:r>
                      <w:r>
                        <w:rPr>
                          <w:rFonts w:hint="eastAsia" w:ascii="仿宋_GB2312" w:hAnsi="仿宋" w:eastAsia="仿宋_GB2312" w:cs="Times New Roman"/>
                          <w:sz w:val="24"/>
                          <w:highlight w:val="none"/>
                          <w:u w:val="single"/>
                        </w:rPr>
                        <w:t>年</w:t>
                      </w:r>
                      <w:r>
                        <w:rPr>
                          <w:rFonts w:hint="eastAsia" w:ascii="仿宋_GB2312" w:hAnsi="仿宋" w:eastAsia="仿宋_GB2312" w:cs="Times New Roman"/>
                          <w:sz w:val="24"/>
                          <w:highlight w:val="none"/>
                          <w:u w:val="single"/>
                          <w:lang w:val="en-US" w:eastAsia="zh-CN"/>
                        </w:rPr>
                        <w:t>6</w:t>
                      </w:r>
                      <w:r>
                        <w:rPr>
                          <w:rFonts w:hint="eastAsia" w:ascii="仿宋_GB2312" w:hAnsi="仿宋" w:eastAsia="仿宋_GB2312" w:cs="Times New Roman"/>
                          <w:sz w:val="24"/>
                          <w:highlight w:val="none"/>
                          <w:u w:val="single"/>
                        </w:rPr>
                        <w:t>月</w:t>
                      </w:r>
                      <w:r>
                        <w:rPr>
                          <w:rFonts w:hint="eastAsia" w:ascii="仿宋_GB2312" w:hAnsi="仿宋" w:eastAsia="仿宋_GB2312" w:cs="Times New Roman"/>
                          <w:sz w:val="24"/>
                          <w:highlight w:val="none"/>
                          <w:u w:val="single"/>
                          <w:lang w:val="en-US" w:eastAsia="zh-CN"/>
                        </w:rPr>
                        <w:t>3</w:t>
                      </w:r>
                      <w:r>
                        <w:rPr>
                          <w:rFonts w:hint="eastAsia" w:ascii="仿宋_GB2312" w:hAnsi="仿宋" w:eastAsia="仿宋_GB2312" w:cs="Times New Roman"/>
                          <w:sz w:val="24"/>
                          <w:highlight w:val="none"/>
                          <w:u w:val="single"/>
                        </w:rPr>
                        <w:t>日</w:t>
                      </w:r>
                      <w:r>
                        <w:rPr>
                          <w:rFonts w:hint="eastAsia" w:ascii="仿宋_GB2312" w:hAnsi="仿宋" w:eastAsia="仿宋_GB2312" w:cs="Times New Roman"/>
                          <w:sz w:val="24"/>
                          <w:highlight w:val="none"/>
                          <w:u w:val="single"/>
                          <w:lang w:val="en-US" w:eastAsia="zh-CN"/>
                        </w:rPr>
                        <w:t>09</w:t>
                      </w:r>
                      <w:r>
                        <w:rPr>
                          <w:rFonts w:hint="eastAsia" w:ascii="仿宋_GB2312" w:hAnsi="仿宋" w:eastAsia="仿宋_GB2312" w:cs="Times New Roman"/>
                          <w:sz w:val="24"/>
                          <w:highlight w:val="none"/>
                          <w:u w:val="single"/>
                        </w:rPr>
                        <w:t>点</w:t>
                      </w:r>
                      <w:r>
                        <w:rPr>
                          <w:rFonts w:hint="eastAsia" w:ascii="仿宋_GB2312" w:hAnsi="仿宋" w:eastAsia="仿宋_GB2312" w:cs="Times New Roman"/>
                          <w:sz w:val="24"/>
                          <w:highlight w:val="none"/>
                          <w:u w:val="single"/>
                          <w:lang w:val="en-US" w:eastAsia="zh-CN"/>
                        </w:rPr>
                        <w:t>30</w:t>
                      </w:r>
                      <w:r>
                        <w:rPr>
                          <w:rFonts w:hint="eastAsia" w:ascii="仿宋_GB2312" w:hAnsi="仿宋" w:eastAsia="仿宋_GB2312" w:cs="Times New Roman"/>
                          <w:sz w:val="24"/>
                          <w:highlight w:val="none"/>
                          <w:u w:val="single"/>
                        </w:rPr>
                        <w:t>分（北京时间）前</w:t>
                      </w:r>
                      <w:r>
                        <w:rPr>
                          <w:rFonts w:hint="eastAsia" w:ascii="仿宋_GB2312" w:hAnsi="仿宋" w:eastAsia="仿宋_GB2312" w:cs="Times New Roman"/>
                          <w:sz w:val="24"/>
                          <w:highlight w:val="none"/>
                        </w:rPr>
                        <w:t>提交响应文件。</w:t>
                      </w:r>
                    </w:p>
                    <w:p/>
                  </w:txbxContent>
                </v:textbox>
              </v:shape>
            </w:pict>
          </mc:Fallback>
        </mc:AlternateContent>
      </w:r>
      <w:bookmarkStart w:id="0" w:name="_Toc80205920"/>
      <w:r>
        <w:rPr>
          <w:rFonts w:hint="eastAsia"/>
          <w:color w:val="auto"/>
          <w:highlight w:val="none"/>
        </w:rPr>
        <w:t>第一章 竞争性谈判公告</w:t>
      </w:r>
      <w:bookmarkEnd w:id="0"/>
      <w:bookmarkStart w:id="1" w:name="_Toc28359089"/>
      <w:bookmarkStart w:id="2" w:name="_Toc44229878"/>
      <w:bookmarkStart w:id="3" w:name="_Toc35393629"/>
      <w:bookmarkStart w:id="4" w:name="_Toc28359012"/>
      <w:bookmarkStart w:id="5" w:name="_Toc35393798"/>
      <w:bookmarkStart w:id="6" w:name="_Toc35393792"/>
      <w:bookmarkStart w:id="7" w:name="_Toc28359004"/>
      <w:bookmarkStart w:id="8" w:name="_Toc35393623"/>
      <w:bookmarkStart w:id="9" w:name="_Toc28359081"/>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rPr>
          <w:rFonts w:hint="eastAsia" w:ascii="黑体" w:hAnsi="黑体" w:eastAsia="黑体" w:cs="宋体"/>
          <w:bCs/>
          <w:color w:val="auto"/>
          <w:sz w:val="24"/>
          <w:highlight w:val="none"/>
        </w:rPr>
      </w:pPr>
    </w:p>
    <w:p>
      <w:pPr>
        <w:rPr>
          <w:rFonts w:hint="eastAsia" w:ascii="黑体" w:hAnsi="黑体" w:eastAsia="黑体" w:cs="宋体"/>
          <w:bCs/>
          <w:color w:val="auto"/>
          <w:sz w:val="24"/>
          <w:highlight w:val="none"/>
        </w:rPr>
      </w:pPr>
    </w:p>
    <w:p>
      <w:pPr>
        <w:spacing w:line="360" w:lineRule="auto"/>
        <w:rPr>
          <w:color w:val="auto"/>
          <w:highlight w:val="none"/>
        </w:rPr>
      </w:pPr>
      <w:r>
        <w:rPr>
          <w:rFonts w:hint="eastAsia" w:ascii="黑体" w:hAnsi="黑体" w:eastAsia="黑体" w:cs="宋体"/>
          <w:bCs/>
          <w:color w:val="auto"/>
          <w:sz w:val="24"/>
          <w:highlight w:val="none"/>
        </w:rPr>
        <w:t>一、项目基本情况</w:t>
      </w:r>
      <w:bookmarkEnd w:id="1"/>
      <w:bookmarkEnd w:id="2"/>
      <w:bookmarkEnd w:id="3"/>
      <w:bookmarkEnd w:id="4"/>
      <w:bookmarkEnd w:id="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NNZC2026-J1-050046-NNSJ</w:t>
      </w:r>
      <w:r>
        <w:rPr>
          <w:rFonts w:hint="eastAsia" w:ascii="宋体" w:hAnsi="宋体"/>
          <w:color w:val="auto"/>
          <w:szCs w:val="21"/>
          <w:highlight w:val="none"/>
          <w:lang w:val="en-US" w:eastAsia="zh-CN"/>
        </w:rPr>
        <w:t xml:space="preserve"> </w:t>
      </w:r>
    </w:p>
    <w:p>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项目名称：原经开片区市政设施材料配件采购项目</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68</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2989"/>
        <w:gridCol w:w="1475"/>
        <w:gridCol w:w="29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简要技术需求或者货物要求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rPr>
              <w:t>模组LED灯</w:t>
            </w:r>
            <w:r>
              <w:rPr>
                <w:rFonts w:hint="eastAsia" w:ascii="宋体" w:hAnsi="宋体"/>
                <w:color w:val="auto"/>
                <w:sz w:val="21"/>
                <w:szCs w:val="21"/>
                <w:highlight w:val="none"/>
                <w:lang w:eastAsia="zh-CN"/>
              </w:rPr>
              <w:t>（</w:t>
            </w:r>
            <w:r>
              <w:rPr>
                <w:rFonts w:hint="eastAsia"/>
                <w:color w:val="auto"/>
                <w:highlight w:val="none"/>
              </w:rPr>
              <w:t>50W</w:t>
            </w:r>
            <w:r>
              <w:rPr>
                <w:rFonts w:hint="eastAsia" w:ascii="宋体" w:hAnsi="宋体"/>
                <w:color w:val="auto"/>
                <w:sz w:val="21"/>
                <w:szCs w:val="21"/>
                <w:highlight w:val="none"/>
                <w:lang w:eastAsia="zh-CN"/>
              </w:rPr>
              <w:t>）</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50个</w:t>
            </w:r>
          </w:p>
        </w:tc>
        <w:tc>
          <w:tcPr>
            <w:tcW w:w="2914"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详见货物需求一览表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2</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rPr>
              <w:t>模组LED灯</w:t>
            </w:r>
            <w:r>
              <w:rPr>
                <w:rFonts w:hint="eastAsia" w:ascii="宋体" w:hAnsi="宋体"/>
                <w:color w:val="auto"/>
                <w:szCs w:val="21"/>
                <w:highlight w:val="none"/>
                <w:lang w:val="en-US" w:eastAsia="zh-CN"/>
              </w:rPr>
              <w:t xml:space="preserve"> </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100</w:t>
            </w:r>
            <w:r>
              <w:rPr>
                <w:rFonts w:hint="eastAsia"/>
                <w:color w:val="auto"/>
                <w:highlight w:val="none"/>
              </w:rPr>
              <w:t>W</w:t>
            </w:r>
            <w:r>
              <w:rPr>
                <w:rFonts w:hint="eastAsia" w:ascii="宋体" w:hAnsi="宋体"/>
                <w:color w:val="auto"/>
                <w:sz w:val="21"/>
                <w:szCs w:val="21"/>
                <w:highlight w:val="none"/>
                <w:lang w:eastAsia="zh-CN"/>
              </w:rPr>
              <w:t>）</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200个</w:t>
            </w:r>
          </w:p>
        </w:tc>
        <w:tc>
          <w:tcPr>
            <w:tcW w:w="2914"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14"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p>
        </w:tc>
      </w:tr>
    </w:tbl>
    <w:p>
      <w:pPr>
        <w:spacing w:line="360" w:lineRule="auto"/>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详见货物需求一览表商务条款。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本项目是否接受联合体响应：□是，</w:t>
      </w:r>
      <w:r>
        <w:rPr>
          <w:rFonts w:hint="eastAsia" w:ascii="宋体" w:hAnsi="宋体"/>
          <w:color w:val="auto"/>
          <w:szCs w:val="21"/>
          <w:highlight w:val="none"/>
          <w:lang w:eastAsia="zh-CN"/>
        </w:rPr>
        <w:t>☑</w:t>
      </w:r>
      <w:r>
        <w:rPr>
          <w:rFonts w:ascii="宋体" w:hAnsi="宋体"/>
          <w:color w:val="auto"/>
          <w:szCs w:val="21"/>
          <w:highlight w:val="none"/>
        </w:rPr>
        <w:t>否</w:t>
      </w:r>
      <w:r>
        <w:rPr>
          <w:rFonts w:hint="eastAsia" w:ascii="宋体" w:hAnsi="宋体"/>
          <w:color w:val="auto"/>
          <w:szCs w:val="21"/>
          <w:highlight w:val="none"/>
        </w:rPr>
        <w:t>。</w:t>
      </w:r>
    </w:p>
    <w:p>
      <w:pPr>
        <w:spacing w:line="360" w:lineRule="auto"/>
        <w:ind w:firstLine="482" w:firstLineChars="200"/>
        <w:rPr>
          <w:rFonts w:ascii="黑体" w:hAnsi="黑体" w:eastAsia="黑体" w:cs="宋体"/>
          <w:bCs/>
          <w:color w:val="auto"/>
          <w:sz w:val="24"/>
          <w:highlight w:val="none"/>
        </w:rPr>
      </w:pPr>
      <w:bookmarkStart w:id="10" w:name="_Toc28359090"/>
      <w:bookmarkStart w:id="11" w:name="_Toc44229879"/>
      <w:bookmarkStart w:id="12" w:name="_Toc35393799"/>
      <w:bookmarkStart w:id="13" w:name="_Toc35393630"/>
      <w:bookmarkStart w:id="14" w:name="_Toc28359013"/>
      <w:r>
        <w:rPr>
          <w:rFonts w:hint="eastAsia" w:ascii="黑体" w:hAnsi="黑体" w:eastAsia="黑体" w:cs="宋体"/>
          <w:b/>
          <w:color w:val="auto"/>
          <w:kern w:val="44"/>
          <w:sz w:val="24"/>
          <w:highlight w:val="none"/>
        </w:rPr>
        <w:t>二、供应商的资格条件</w:t>
      </w:r>
      <w:bookmarkEnd w:id="10"/>
      <w:bookmarkEnd w:id="11"/>
      <w:bookmarkEnd w:id="12"/>
      <w:bookmarkEnd w:id="13"/>
      <w:bookmarkEnd w:id="1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专门面向中小企业采购的项目（供应商应为中小微企业、监狱企业、残疾人福利性单位)</w:t>
      </w:r>
    </w:p>
    <w:p>
      <w:pPr>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3.本项目的特定资格要求：</w:t>
      </w:r>
      <w:r>
        <w:rPr>
          <w:rFonts w:hint="eastAsia" w:ascii="宋体" w:hAnsi="宋体"/>
          <w:b/>
          <w:bCs/>
          <w:color w:val="auto"/>
          <w:szCs w:val="21"/>
          <w:highlight w:val="none"/>
          <w:lang w:val="en-US" w:eastAsia="zh-CN"/>
        </w:rPr>
        <w:t>无</w:t>
      </w:r>
    </w:p>
    <w:p>
      <w:pPr>
        <w:spacing w:line="360" w:lineRule="auto"/>
        <w:ind w:firstLine="420" w:firstLineChars="200"/>
        <w:rPr>
          <w:rFonts w:hint="eastAsia" w:ascii="宋体" w:hAnsi="宋体" w:eastAsia="宋体"/>
          <w:color w:val="auto"/>
          <w:szCs w:val="21"/>
          <w:highlight w:val="none"/>
          <w:lang w:val="en-US" w:eastAsia="zh-CN"/>
        </w:rPr>
      </w:pPr>
      <w:r>
        <w:rPr>
          <w:rFonts w:ascii="宋体" w:hAnsi="宋体"/>
          <w:color w:val="auto"/>
          <w:szCs w:val="21"/>
          <w:highlight w:val="none"/>
        </w:rPr>
        <w:t>4.</w:t>
      </w:r>
      <w:r>
        <w:rPr>
          <w:rFonts w:hint="eastAsia" w:ascii="宋体" w:hAnsi="宋体"/>
          <w:color w:val="auto"/>
          <w:szCs w:val="21"/>
          <w:highlight w:val="none"/>
        </w:rPr>
        <w:t xml:space="preserve"> 本项目的特定条件：</w:t>
      </w:r>
      <w:r>
        <w:rPr>
          <w:rFonts w:hint="eastAsia" w:ascii="宋体" w:hAnsi="宋体"/>
          <w:color w:val="auto"/>
          <w:szCs w:val="21"/>
          <w:highlight w:val="none"/>
          <w:lang w:val="en-US" w:eastAsia="zh-CN"/>
        </w:rPr>
        <w:t>无</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、中国政府采购网(www.ccgp.gov.cn)被列入失信被执行人、重大税收违法</w:t>
      </w:r>
      <w:r>
        <w:rPr>
          <w:rFonts w:hint="eastAsia" w:ascii="宋体" w:hAnsi="宋体"/>
          <w:color w:val="auto"/>
          <w:szCs w:val="21"/>
          <w:highlight w:val="none"/>
          <w:lang w:val="en-US" w:eastAsia="zh-CN"/>
        </w:rPr>
        <w:t>失信主体</w:t>
      </w:r>
      <w:r>
        <w:rPr>
          <w:rFonts w:hint="eastAsia" w:ascii="宋体" w:hAnsi="宋体"/>
          <w:color w:val="auto"/>
          <w:szCs w:val="21"/>
          <w:highlight w:val="none"/>
        </w:rPr>
        <w:t>、政府采购严重违法失信行为记录名单及其他不符合《中华人民共和国政府采购法》第二十二条规定条件的供应商，不得参与政府采购活动。</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三、获取竞争性谈判文件</w:t>
      </w:r>
      <w:bookmarkEnd w:id="6"/>
      <w:bookmarkEnd w:id="7"/>
      <w:bookmarkEnd w:id="8"/>
      <w:bookmarkEnd w:id="9"/>
    </w:p>
    <w:p>
      <w:pPr>
        <w:snapToGrid w:val="0"/>
        <w:spacing w:line="360" w:lineRule="auto"/>
        <w:ind w:firstLine="420" w:firstLineChars="200"/>
        <w:rPr>
          <w:rFonts w:hint="eastAsia" w:ascii="宋体" w:hAnsi="宋体"/>
          <w:color w:val="auto"/>
          <w:szCs w:val="21"/>
          <w:highlight w:val="none"/>
        </w:rPr>
      </w:pPr>
      <w:bookmarkStart w:id="15" w:name="_Toc28359082"/>
      <w:bookmarkStart w:id="16" w:name="_Toc28359005"/>
      <w:bookmarkStart w:id="17" w:name="_Toc35393793"/>
      <w:bookmarkStart w:id="18" w:name="_Toc35393624"/>
      <w:r>
        <w:rPr>
          <w:rFonts w:hint="eastAsia" w:ascii="宋体" w:hAnsi="宋体"/>
          <w:color w:val="auto"/>
          <w:szCs w:val="21"/>
          <w:highlight w:val="none"/>
        </w:rPr>
        <w:t>时间：自公告发布之日起。</w:t>
      </w:r>
    </w:p>
    <w:p>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ascii="宋体" w:hAnsi="宋体"/>
          <w:color w:val="auto"/>
          <w:szCs w:val="21"/>
          <w:highlight w:val="none"/>
        </w:rPr>
        <w:fldChar w:fldCharType="begin"/>
      </w:r>
      <w:r>
        <w:rPr>
          <w:rFonts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ascii="宋体" w:hAnsi="宋体"/>
          <w:color w:val="auto"/>
          <w:szCs w:val="21"/>
          <w:highlight w:val="none"/>
        </w:rPr>
        <w:fldChar w:fldCharType="end"/>
      </w:r>
      <w:r>
        <w:rPr>
          <w:rFonts w:hint="eastAsia" w:ascii="宋体" w:hAnsi="宋体"/>
          <w:color w:val="auto"/>
          <w:szCs w:val="21"/>
          <w:highlight w:val="none"/>
        </w:rPr>
        <w:t>本公告“七、其他补充事宜”网上查询地址中的信息公告处下载采购文件。电子响应文件制作需要基于</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w:instrText>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www.gcy.zfcg.gxzf.gov.cn）获取的采购文件编制，拟参与本项目的供应商需使用账号登录或者使用CA登录“广西政府采购云平台”平台-进入“项目采购”应用，在获取采购文件菜单中选择项目，获取采购文件。</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5"/>
      <w:bookmarkEnd w:id="16"/>
      <w:bookmarkEnd w:id="17"/>
      <w:bookmarkEnd w:id="18"/>
      <w:r>
        <w:rPr>
          <w:rFonts w:hint="eastAsia" w:ascii="黑体" w:hAnsi="黑体" w:eastAsia="黑体"/>
          <w:b/>
          <w:bCs/>
          <w:color w:val="auto"/>
          <w:sz w:val="24"/>
          <w:highlight w:val="none"/>
        </w:rPr>
        <w:t>响应文件提交</w:t>
      </w:r>
    </w:p>
    <w:p>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bCs/>
          <w:color w:val="auto"/>
          <w:szCs w:val="21"/>
          <w:highlight w:val="none"/>
        </w:rPr>
        <w:t>：</w:t>
      </w:r>
      <w:r>
        <w:rPr>
          <w:rFonts w:hint="eastAsia" w:ascii="宋体" w:hAnsi="宋体"/>
          <w:bCs/>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u w:val="singl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（1）响应文件提交方式：本项目为南宁市</w:t>
      </w:r>
      <w:r>
        <w:rPr>
          <w:rFonts w:hint="eastAsia" w:ascii="宋体" w:hAnsi="宋体"/>
          <w:color w:val="auto"/>
          <w:szCs w:val="21"/>
          <w:highlight w:val="none"/>
          <w:lang w:eastAsia="zh-CN"/>
        </w:rPr>
        <w:t>江南区</w:t>
      </w:r>
      <w:r>
        <w:rPr>
          <w:rFonts w:hint="eastAsia" w:ascii="宋体" w:hAnsi="宋体"/>
          <w:color w:val="auto"/>
          <w:szCs w:val="21"/>
          <w:highlight w:val="none"/>
        </w:rPr>
        <w:t>全流程电子化项目，通过“广西政府采购云平台”平台（http://www.gcy.zfcg.gxzf.gov.cn）实行在线电子响应，供应商应先安装“</w:t>
      </w:r>
      <w:r>
        <w:rPr>
          <w:rFonts w:hint="eastAsia" w:ascii="宋体" w:hAnsi="宋体"/>
          <w:color w:val="auto"/>
          <w:szCs w:val="21"/>
          <w:highlight w:val="none"/>
        </w:rPr>
        <w:t>广西政府采购云</w:t>
      </w:r>
      <w:r>
        <w:rPr>
          <w:rFonts w:hint="eastAsia" w:ascii="宋体" w:hAnsi="宋体"/>
          <w:color w:val="auto"/>
          <w:szCs w:val="21"/>
          <w:highlight w:val="none"/>
        </w:rPr>
        <w:t>电子交易客户端”</w:t>
      </w:r>
      <w:r>
        <w:rPr>
          <w:rFonts w:hint="eastAsia" w:ascii="宋体" w:hAnsi="宋体"/>
          <w:color w:val="auto"/>
          <w:szCs w:val="21"/>
          <w:highlight w:val="none"/>
        </w:rPr>
        <w:t>（请自行前往“</w:t>
      </w:r>
      <w:r>
        <w:rPr>
          <w:rFonts w:hint="eastAsia" w:ascii="宋体" w:hAnsi="宋体"/>
          <w:color w:val="auto"/>
          <w:szCs w:val="21"/>
          <w:highlight w:val="none"/>
        </w:rPr>
        <w:t>广西政府采购云</w:t>
      </w:r>
      <w:r>
        <w:rPr>
          <w:rFonts w:hint="eastAsia" w:ascii="宋体" w:hAnsi="宋体"/>
          <w:color w:val="auto"/>
          <w:szCs w:val="21"/>
          <w:highlight w:val="none"/>
        </w:rPr>
        <w:t>”平台进行下载），并按照本项</w:t>
      </w:r>
      <w:r>
        <w:rPr>
          <w:rFonts w:hint="eastAsia" w:ascii="宋体" w:hAnsi="宋体"/>
          <w:color w:val="auto"/>
          <w:szCs w:val="21"/>
          <w:highlight w:val="none"/>
        </w:rPr>
        <w:t>目采购文件和“</w:t>
      </w:r>
      <w:r>
        <w:rPr>
          <w:rFonts w:hint="eastAsia" w:ascii="宋体" w:hAnsi="宋体"/>
          <w:color w:val="auto"/>
          <w:szCs w:val="21"/>
          <w:highlight w:val="none"/>
        </w:rPr>
        <w:t>广西政府采购云</w:t>
      </w:r>
      <w:r>
        <w:rPr>
          <w:rFonts w:hint="eastAsia" w:ascii="宋体" w:hAnsi="宋体"/>
          <w:color w:val="auto"/>
          <w:szCs w:val="21"/>
          <w:highlight w:val="none"/>
        </w:rPr>
        <w:t>”平台的要求编制、加密后在投标截止时间前通过网络上传至南宁市</w:t>
      </w:r>
      <w:r>
        <w:rPr>
          <w:rFonts w:hint="eastAsia" w:ascii="宋体" w:hAnsi="宋体"/>
          <w:color w:val="auto"/>
          <w:szCs w:val="21"/>
          <w:highlight w:val="none"/>
          <w:lang w:eastAsia="zh-CN"/>
        </w:rPr>
        <w:t>江南区</w:t>
      </w:r>
      <w:r>
        <w:rPr>
          <w:rFonts w:hint="eastAsia" w:ascii="宋体" w:hAnsi="宋体"/>
          <w:color w:val="auto"/>
          <w:szCs w:val="21"/>
          <w:highlight w:val="none"/>
        </w:rPr>
        <w:t>本级“</w:t>
      </w:r>
      <w:r>
        <w:rPr>
          <w:rFonts w:hint="eastAsia" w:ascii="宋体" w:hAnsi="宋体"/>
          <w:color w:val="auto"/>
          <w:szCs w:val="21"/>
          <w:highlight w:val="none"/>
        </w:rPr>
        <w:t>广西政府采购云</w:t>
      </w:r>
      <w:r>
        <w:rPr>
          <w:rFonts w:hint="eastAsia" w:ascii="宋体" w:hAnsi="宋体"/>
          <w:color w:val="auto"/>
          <w:szCs w:val="21"/>
          <w:highlight w:val="none"/>
        </w:rPr>
        <w:t>”平台，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w:t>
      </w:r>
      <w:r>
        <w:rPr>
          <w:rFonts w:hint="eastAsia" w:ascii="宋体" w:hAnsi="宋体"/>
          <w:b/>
          <w:color w:val="auto"/>
          <w:szCs w:val="21"/>
          <w:highlight w:val="none"/>
        </w:rPr>
        <w:t>附件3</w:t>
      </w:r>
      <w:r>
        <w:rPr>
          <w:rFonts w:hint="eastAsia" w:ascii="宋体" w:hAnsi="宋体"/>
          <w:color w:val="auto"/>
          <w:szCs w:val="21"/>
          <w:highlight w:val="none"/>
        </w:rPr>
        <w:t>。</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auto"/>
          <w:szCs w:val="21"/>
          <w:highlight w:val="none"/>
        </w:rPr>
        <w:t>附件2</w:t>
      </w:r>
      <w:r>
        <w:rPr>
          <w:rFonts w:hint="eastAsia" w:ascii="宋体" w:hAnsi="宋体"/>
          <w:color w:val="auto"/>
          <w:szCs w:val="21"/>
          <w:highlight w:val="none"/>
        </w:rPr>
        <w:t>），并在首次响应文件提交截止时间前提交响应文件。</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p>
    <w:p>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”平台电子开标大厅按规定时间对加密的响应文件进行解密，</w:t>
      </w:r>
      <w:r>
        <w:rPr>
          <w:rFonts w:hint="eastAsia"/>
          <w:color w:val="auto"/>
          <w:highlight w:val="none"/>
        </w:rPr>
        <w:t>详见采购文件“第三章供应</w:t>
      </w:r>
      <w:r>
        <w:rPr>
          <w:color w:val="auto"/>
          <w:highlight w:val="none"/>
        </w:rPr>
        <w:t>商须知</w:t>
      </w:r>
      <w:r>
        <w:rPr>
          <w:rFonts w:hint="eastAsia"/>
          <w:color w:val="auto"/>
          <w:highlight w:val="none"/>
        </w:rPr>
        <w:t>正文25.2条”</w:t>
      </w:r>
      <w:r>
        <w:rPr>
          <w:rFonts w:hint="eastAsia" w:ascii="宋体" w:hAnsi="宋体" w:cs="宋体"/>
          <w:color w:val="auto"/>
          <w:kern w:val="0"/>
          <w:szCs w:val="21"/>
          <w:highlight w:val="none"/>
        </w:rPr>
        <w:t>，否则后果自负。</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”平台远程开标大厅参与本次谈判，否则后果自负。</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color w:val="auto"/>
          <w:szCs w:val="21"/>
          <w:highlight w:val="none"/>
        </w:rPr>
        <w:t>后</w:t>
      </w:r>
    </w:p>
    <w:p>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广西政府采购云平台开标大厅</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pPr>
        <w:spacing w:line="360" w:lineRule="auto"/>
        <w:ind w:firstLine="482" w:firstLineChars="200"/>
        <w:rPr>
          <w:rFonts w:ascii="黑体" w:hAnsi="黑体" w:eastAsia="黑体"/>
          <w:b/>
          <w:bCs/>
          <w:color w:val="auto"/>
          <w:sz w:val="24"/>
          <w:highlight w:val="none"/>
        </w:rPr>
      </w:pPr>
      <w:bookmarkStart w:id="19" w:name="_Toc35393625"/>
      <w:bookmarkStart w:id="20" w:name="_Toc35393794"/>
      <w:bookmarkStart w:id="21" w:name="_Toc28359007"/>
      <w:bookmarkStart w:id="22" w:name="_Toc28359084"/>
      <w:r>
        <w:rPr>
          <w:rFonts w:hint="eastAsia" w:ascii="黑体" w:hAnsi="黑体" w:eastAsia="黑体"/>
          <w:b/>
          <w:bCs/>
          <w:color w:val="auto"/>
          <w:sz w:val="24"/>
          <w:highlight w:val="none"/>
        </w:rPr>
        <w:t>六、公告期限</w:t>
      </w:r>
      <w:bookmarkEnd w:id="19"/>
      <w:bookmarkEnd w:id="20"/>
      <w:bookmarkEnd w:id="21"/>
      <w:bookmarkEnd w:id="22"/>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spacing w:line="360" w:lineRule="auto"/>
        <w:ind w:firstLine="482" w:firstLineChars="200"/>
        <w:rPr>
          <w:rFonts w:ascii="黑体" w:hAnsi="黑体" w:eastAsia="黑体"/>
          <w:b/>
          <w:bCs/>
          <w:color w:val="auto"/>
          <w:sz w:val="24"/>
          <w:highlight w:val="none"/>
        </w:rPr>
      </w:pPr>
      <w:bookmarkStart w:id="23" w:name="_Toc35393795"/>
      <w:bookmarkStart w:id="24" w:name="_Toc35393626"/>
      <w:r>
        <w:rPr>
          <w:rFonts w:hint="eastAsia" w:ascii="黑体" w:hAnsi="黑体" w:eastAsia="黑体"/>
          <w:b/>
          <w:bCs/>
          <w:color w:val="auto"/>
          <w:sz w:val="24"/>
          <w:highlight w:val="none"/>
        </w:rPr>
        <w:t>七、其他补充事宜</w:t>
      </w:r>
      <w:bookmarkEnd w:id="23"/>
      <w:bookmarkEnd w:id="24"/>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谈判保证金：本项目不收取投标保证金</w:t>
      </w:r>
    </w:p>
    <w:p>
      <w:pPr>
        <w:spacing w:line="360" w:lineRule="auto"/>
        <w:ind w:firstLine="420" w:firstLineChars="200"/>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2.采购意向公开链接：</w:t>
      </w:r>
    </w:p>
    <w:p>
      <w:pPr>
        <w:spacing w:line="360" w:lineRule="auto"/>
        <w:ind w:firstLine="420" w:firstLineChars="200"/>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https://zfcg.gxzf.gov.cn/luban/detail?parentId=66485&amp;articleId=ann_o6yxe4t8olf3uJBJyrjD3dD5ndTMr3NGt5TILBJnhQo=&amp;utm=web-micro-app-back-front.4996c985.0.0.c6dba590542611f1b4297fb8e553b490</w:t>
      </w:r>
    </w:p>
    <w:p>
      <w:pPr>
        <w:spacing w:line="360" w:lineRule="auto"/>
        <w:ind w:firstLine="420" w:firstLineChars="200"/>
        <w:rPr>
          <w:rFonts w:ascii="宋体" w:hAnsi="宋体" w:cs="宋体"/>
          <w:color w:val="auto"/>
          <w:kern w:val="0"/>
          <w:szCs w:val="21"/>
          <w:highlight w:val="none"/>
        </w:rPr>
      </w:pPr>
      <w:bookmarkStart w:id="25" w:name="_Hlk37429585"/>
      <w:r>
        <w:rPr>
          <w:rFonts w:hint="eastAsia" w:ascii="宋体" w:hAnsi="宋体" w:cs="宋体"/>
          <w:color w:val="auto"/>
          <w:kern w:val="0"/>
          <w:szCs w:val="21"/>
          <w:highlight w:val="none"/>
        </w:rPr>
        <w:t>3</w:t>
      </w:r>
      <w:r>
        <w:rPr>
          <w:rFonts w:ascii="宋体" w:hAnsi="宋体" w:cs="宋体"/>
          <w:color w:val="auto"/>
          <w:kern w:val="0"/>
          <w:szCs w:val="21"/>
          <w:highlight w:val="none"/>
        </w:rPr>
        <w:t>.</w:t>
      </w:r>
      <w:bookmarkStart w:id="26" w:name="_Hlk37429595"/>
      <w:r>
        <w:rPr>
          <w:rFonts w:hint="eastAsia" w:ascii="宋体" w:hAnsi="宋体" w:cs="宋体"/>
          <w:color w:val="auto"/>
          <w:kern w:val="0"/>
          <w:szCs w:val="21"/>
          <w:highlight w:val="none"/>
        </w:rPr>
        <w:t>网上查询地址</w:t>
      </w:r>
    </w:p>
    <w:bookmarkEnd w:id="25"/>
    <w:bookmarkEnd w:id="26"/>
    <w:p>
      <w:pPr>
        <w:spacing w:line="360" w:lineRule="auto"/>
        <w:ind w:firstLine="420" w:firstLineChars="200"/>
        <w:rPr>
          <w:rFonts w:hint="eastAsia" w:ascii="宋体" w:hAnsi="宋体" w:cs="宋体"/>
          <w:color w:val="auto"/>
          <w:kern w:val="0"/>
          <w:szCs w:val="21"/>
          <w:highlight w:val="none"/>
        </w:rPr>
      </w:pPr>
      <w:bookmarkStart w:id="27" w:name="_Hlk37429674"/>
      <w:r>
        <w:rPr>
          <w:rFonts w:hint="eastAsia" w:ascii="宋体" w:hAnsi="宋体" w:cs="宋体"/>
          <w:color w:val="auto"/>
          <w:kern w:val="0"/>
          <w:szCs w:val="21"/>
          <w:highlight w:val="none"/>
        </w:rPr>
        <w:t>http://zfcg.gxzf.gov.cn (广西政府采购网)、</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"http://ggzy.jgswj.gxzf.gov.cn/nnggzy"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http://ggzy.jgswj.gxzf.gov.cn/nnggzy</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【全国公共资源交易平台（广西.南宁）】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kern w:val="0"/>
          <w:szCs w:val="21"/>
          <w:highlight w:val="none"/>
        </w:rPr>
        <w:t>本项目需要落实的政府采购政策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7"/>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color w:val="auto"/>
          <w:highlight w:val="none"/>
        </w:rPr>
        <w:t>扶持不发达地区和少数民族地区政策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w:t>
      </w:r>
      <w:r>
        <w:rPr>
          <w:rFonts w:hint="eastAsia" w:ascii="宋体" w:hAnsi="宋体" w:cs="宋体"/>
          <w:color w:val="auto"/>
          <w:kern w:val="0"/>
          <w:szCs w:val="21"/>
          <w:highlight w:val="none"/>
        </w:rPr>
        <w:t>广西政府采购云</w:t>
      </w:r>
      <w:r>
        <w:rPr>
          <w:rFonts w:hint="eastAsia" w:ascii="宋体" w:hAnsi="宋体" w:cs="宋体"/>
          <w:color w:val="auto"/>
          <w:kern w:val="0"/>
          <w:szCs w:val="21"/>
          <w:highlight w:val="none"/>
        </w:rPr>
        <w:t>”平台（http://www.gcy.zfcg.gxzf.gov.cn），点击右侧咨询小采，获取采小蜜智能服务管家帮助，或拨打政采云服务热线400-881-7190获取热线服务帮助。</w:t>
      </w:r>
    </w:p>
    <w:p>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pPr>
        <w:spacing w:line="360" w:lineRule="auto"/>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pPr>
        <w:spacing w:line="360" w:lineRule="auto"/>
        <w:ind w:left="1041" w:leftChars="371" w:hanging="262" w:hangingChars="125"/>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名 称：</w:t>
      </w:r>
      <w:r>
        <w:rPr>
          <w:rFonts w:hint="eastAsia" w:ascii="宋体" w:hAnsi="宋体"/>
          <w:color w:val="auto"/>
          <w:szCs w:val="21"/>
          <w:highlight w:val="none"/>
          <w:u w:val="single"/>
        </w:rPr>
        <w:t>南宁市江南区</w:t>
      </w:r>
      <w:r>
        <w:rPr>
          <w:rFonts w:hint="eastAsia" w:ascii="宋体" w:hAnsi="宋体"/>
          <w:color w:val="auto"/>
          <w:szCs w:val="21"/>
          <w:highlight w:val="none"/>
          <w:u w:val="single"/>
          <w:lang w:eastAsia="zh-CN"/>
        </w:rPr>
        <w:t>市政环卫工作站</w:t>
      </w:r>
    </w:p>
    <w:p>
      <w:pPr>
        <w:spacing w:line="360" w:lineRule="auto"/>
        <w:ind w:left="1041" w:leftChars="371" w:hanging="262" w:hangingChars="125"/>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南</w:t>
      </w:r>
      <w:r>
        <w:rPr>
          <w:rFonts w:hint="eastAsia" w:ascii="宋体" w:hAnsi="宋体" w:eastAsia="宋体" w:cs="Times New Roman"/>
          <w:color w:val="auto"/>
          <w:szCs w:val="21"/>
          <w:highlight w:val="none"/>
          <w:u w:val="single"/>
        </w:rPr>
        <w:t>宁市江南区壮锦大道13-2号</w:t>
      </w:r>
    </w:p>
    <w:p>
      <w:pPr>
        <w:spacing w:line="360" w:lineRule="auto"/>
        <w:ind w:left="1041" w:leftChars="371" w:hanging="262" w:hangingChars="125"/>
        <w:jc w:val="lef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none"/>
        </w:rPr>
        <w:t>项目联系人：</w:t>
      </w:r>
      <w:r>
        <w:rPr>
          <w:rFonts w:hint="eastAsia" w:ascii="宋体" w:hAnsi="宋体"/>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兰工</w:t>
      </w:r>
    </w:p>
    <w:p>
      <w:pPr>
        <w:spacing w:line="360" w:lineRule="auto"/>
        <w:ind w:left="1041" w:leftChars="371" w:hanging="262" w:hangingChars="125"/>
        <w:jc w:val="lef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联系电话：0771-4831092</w:t>
      </w:r>
    </w:p>
    <w:p>
      <w:pPr>
        <w:spacing w:line="360" w:lineRule="auto"/>
        <w:ind w:left="1041" w:leftChars="371" w:hanging="262" w:hangingChars="125"/>
        <w:jc w:val="left"/>
        <w:rPr>
          <w:rFonts w:ascii="宋体" w:hAnsi="宋体"/>
          <w:color w:val="auto"/>
          <w:szCs w:val="21"/>
          <w:highlight w:val="none"/>
        </w:rPr>
      </w:pPr>
      <w:r>
        <w:rPr>
          <w:rFonts w:hint="eastAsia" w:ascii="宋体" w:hAnsi="宋体" w:cs="宋体"/>
          <w:color w:val="auto"/>
          <w:szCs w:val="21"/>
          <w:highlight w:val="none"/>
        </w:rPr>
        <w:t>2.采购代理机构信息</w:t>
      </w:r>
    </w:p>
    <w:p>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rPr>
        <w:t>南宁市江南区政府采购中心</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南宁市江南区壮锦大道19号</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lang w:val="en-US" w:eastAsia="zh-CN"/>
        </w:rPr>
        <w:t>0771-4950239</w:t>
      </w:r>
      <w:r>
        <w:rPr>
          <w:rFonts w:hint="eastAsia" w:ascii="宋体" w:hAnsi="宋体"/>
          <w:color w:val="auto"/>
          <w:szCs w:val="21"/>
          <w:highlight w:val="none"/>
          <w:u w:val="single"/>
        </w:rPr>
        <w:t>　</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项目联系方式</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何</w:t>
      </w:r>
      <w:r>
        <w:rPr>
          <w:rFonts w:hint="eastAsia" w:ascii="宋体" w:hAnsi="宋体"/>
          <w:color w:val="auto"/>
          <w:szCs w:val="21"/>
          <w:highlight w:val="none"/>
          <w:u w:val="single"/>
          <w:lang w:val="en-US" w:eastAsia="zh-CN"/>
        </w:rPr>
        <w:t>工</w:t>
      </w:r>
      <w:r>
        <w:rPr>
          <w:rFonts w:hint="eastAsia" w:ascii="宋体" w:hAnsi="宋体"/>
          <w:color w:val="auto"/>
          <w:szCs w:val="21"/>
          <w:highlight w:val="none"/>
          <w:u w:val="single"/>
        </w:rPr>
        <w:t xml:space="preserve"> </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电 </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u w:val="single"/>
          <w:lang w:val="en-US" w:eastAsia="zh-CN"/>
        </w:rPr>
        <w:t>0771-4950239</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 xml:space="preserve"> </w:t>
      </w: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1.采购文件</w:t>
      </w:r>
    </w:p>
    <w:p>
      <w:pPr>
        <w:spacing w:line="360" w:lineRule="auto"/>
        <w:ind w:firstLine="420" w:firstLineChars="200"/>
        <w:rPr>
          <w:rFonts w:hint="eastAsia"/>
          <w:color w:val="auto"/>
          <w:highlight w:val="none"/>
        </w:rPr>
      </w:pPr>
      <w:r>
        <w:rPr>
          <w:rFonts w:hint="eastAsia" w:ascii="宋体" w:hAnsi="宋体"/>
          <w:color w:val="auto"/>
          <w:szCs w:val="21"/>
          <w:highlight w:val="none"/>
        </w:rPr>
        <w:t xml:space="preserve">       2.CA证书申请方式及操作指南下载地址（现场申请方式见网址：</w:t>
      </w:r>
      <w:r>
        <w:rPr>
          <w:rFonts w:hint="eastAsia"/>
          <w:color w:val="auto"/>
          <w:highlight w:val="none"/>
        </w:rPr>
        <w:fldChar w:fldCharType="begin"/>
      </w:r>
      <w:r>
        <w:rPr>
          <w:rFonts w:hint="eastAsia"/>
          <w:color w:val="auto"/>
          <w:highlight w:val="none"/>
        </w:rPr>
        <w:instrText xml:space="preserve"> HYPERLINK "http://www.ccgp-guangxi.gov.cn/OfficeService/DownloadArea/8354055.html?utm=a0003.39a112b4.cmp001.d0002.f0464b20ff2a11eb873141bf9e381949" </w:instrText>
      </w:r>
      <w:r>
        <w:rPr>
          <w:rFonts w:hint="eastAsia"/>
          <w:color w:val="auto"/>
          <w:highlight w:val="none"/>
        </w:rPr>
        <w:fldChar w:fldCharType="separate"/>
      </w:r>
      <w:r>
        <w:rPr>
          <w:rStyle w:val="23"/>
          <w:rFonts w:hint="eastAsia"/>
          <w:color w:val="auto"/>
          <w:highlight w:val="none"/>
        </w:rPr>
        <w:t>http://www.ccgp-guangxi.gov.cn/OfficeService/DownloadArea/8354055.html?utm=a0003.39a112b4.cmp001.d0002.f0464b20ff2a11eb873141bf9e381949</w:t>
      </w:r>
      <w:r>
        <w:rPr>
          <w:rFonts w:hint="eastAsia"/>
          <w:color w:val="auto"/>
          <w:highlight w:val="none"/>
        </w:rPr>
        <w:fldChar w:fldCharType="end"/>
      </w:r>
      <w:r>
        <w:rPr>
          <w:rFonts w:hint="eastAsia"/>
          <w:color w:val="auto"/>
          <w:highlight w:val="none"/>
        </w:rPr>
        <w:t xml:space="preserve">（广西政府采购网）/网上申请方式见网址： </w:t>
      </w:r>
      <w:r>
        <w:rPr>
          <w:rFonts w:hint="eastAsia"/>
          <w:color w:val="auto"/>
          <w:highlight w:val="none"/>
        </w:rPr>
        <w:fldChar w:fldCharType="begin"/>
      </w:r>
      <w:r>
        <w:rPr>
          <w:rFonts w:hint="eastAsia"/>
          <w:color w:val="auto"/>
          <w:highlight w:val="none"/>
        </w:rPr>
        <w:instrText xml:space="preserve"> HYPERLINK "http://nncz.nanning.gov.cn/" </w:instrText>
      </w:r>
      <w:r>
        <w:rPr>
          <w:rFonts w:hint="eastAsia"/>
          <w:color w:val="auto"/>
          <w:highlight w:val="none"/>
        </w:rPr>
        <w:fldChar w:fldCharType="separate"/>
      </w:r>
      <w:r>
        <w:rPr>
          <w:rStyle w:val="23"/>
          <w:rFonts w:hint="eastAsia"/>
          <w:color w:val="auto"/>
          <w:highlight w:val="none"/>
        </w:rPr>
        <w:t>http://nncz.nanning.gov.cn/</w:t>
      </w:r>
      <w:r>
        <w:rPr>
          <w:rFonts w:hint="eastAsia"/>
          <w:color w:val="auto"/>
          <w:highlight w:val="none"/>
        </w:rPr>
        <w:fldChar w:fldCharType="end"/>
      </w:r>
      <w:r>
        <w:rPr>
          <w:rFonts w:hint="eastAsia"/>
          <w:color w:val="auto"/>
          <w:highlight w:val="none"/>
        </w:rPr>
        <w:t>（南宁市财政局官网）-下载专区-南宁市政采云CA证书办理操作指南</w:t>
      </w:r>
      <w:r>
        <w:rPr>
          <w:rFonts w:hint="eastAsia" w:ascii="宋体" w:hAnsi="宋体"/>
          <w:color w:val="auto"/>
          <w:szCs w:val="21"/>
          <w:highlight w:val="none"/>
        </w:rPr>
        <w:t>）</w:t>
      </w: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3.电子投标文件制作与投送教程（在此网址下载：</w:t>
      </w:r>
      <w:r>
        <w:rPr>
          <w:rFonts w:hint="eastAsia"/>
          <w:color w:val="auto"/>
          <w:highlight w:val="none"/>
        </w:rPr>
        <w:fldChar w:fldCharType="begin"/>
      </w:r>
      <w:r>
        <w:rPr>
          <w:rFonts w:hint="eastAsia"/>
          <w:color w:val="auto"/>
          <w:highlight w:val="none"/>
        </w:rPr>
        <w:instrText xml:space="preserve"> HYPERLINK "http://nncz.nanning.gov.cn/" </w:instrText>
      </w:r>
      <w:r>
        <w:rPr>
          <w:rFonts w:hint="eastAsia"/>
          <w:color w:val="auto"/>
          <w:highlight w:val="none"/>
        </w:rPr>
        <w:fldChar w:fldCharType="separate"/>
      </w:r>
      <w:r>
        <w:rPr>
          <w:rStyle w:val="23"/>
          <w:rFonts w:hint="eastAsia"/>
          <w:color w:val="auto"/>
          <w:highlight w:val="none"/>
        </w:rPr>
        <w:t>http://nncz.nanning.gov.cn/</w:t>
      </w:r>
      <w:r>
        <w:rPr>
          <w:rFonts w:hint="eastAsia"/>
          <w:color w:val="auto"/>
          <w:highlight w:val="none"/>
        </w:rPr>
        <w:fldChar w:fldCharType="end"/>
      </w:r>
      <w:r>
        <w:rPr>
          <w:rFonts w:hint="eastAsia"/>
          <w:color w:val="auto"/>
          <w:highlight w:val="none"/>
        </w:rPr>
        <w:t>（南宁市财政局官网）-下载专区</w:t>
      </w:r>
      <w:r>
        <w:rPr>
          <w:rFonts w:hint="eastAsia" w:ascii="宋体" w:hAnsi="宋体"/>
          <w:color w:val="auto"/>
          <w:szCs w:val="21"/>
          <w:highlight w:val="none"/>
          <w:lang w:eastAsia="zh-CN"/>
        </w:rPr>
        <w:t>）</w:t>
      </w: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5565" w:firstLineChars="2650"/>
        <w:rPr>
          <w:rFonts w:ascii="宋体" w:hAnsi="宋体"/>
          <w:color w:val="auto"/>
          <w:szCs w:val="21"/>
          <w:highlight w:val="none"/>
        </w:rPr>
      </w:pPr>
      <w:r>
        <w:rPr>
          <w:rFonts w:hint="eastAsia" w:ascii="宋体" w:hAnsi="宋体"/>
          <w:color w:val="auto"/>
          <w:szCs w:val="21"/>
          <w:highlight w:val="none"/>
          <w:u w:val="single"/>
          <w:lang w:val="en-US" w:eastAsia="zh-CN"/>
        </w:rPr>
        <w:t>南宁市江南区政府采购中心</w:t>
      </w:r>
    </w:p>
    <w:p>
      <w:pPr>
        <w:spacing w:line="360" w:lineRule="auto"/>
        <w:ind w:firstLine="5985" w:firstLineChars="2850"/>
        <w:rPr>
          <w:rFonts w:ascii="宋体" w:hAnsi="宋体"/>
          <w:color w:val="auto"/>
          <w:szCs w:val="21"/>
          <w:highlight w:val="none"/>
        </w:rPr>
        <w:sectPr>
          <w:pgSz w:w="11910" w:h="16840"/>
          <w:pgMar w:top="1520" w:right="1500" w:bottom="280" w:left="1680" w:header="720" w:footer="720" w:gutter="0"/>
          <w:cols w:space="720" w:num="1"/>
        </w:sectPr>
      </w:pPr>
      <w:r>
        <w:rPr>
          <w:rFonts w:hint="eastAsia" w:ascii="宋体" w:hAnsi="宋体"/>
          <w:color w:val="auto"/>
          <w:szCs w:val="21"/>
          <w:highlight w:val="none"/>
          <w:u w:val="single"/>
          <w:lang w:val="en-US" w:eastAsia="zh-CN"/>
        </w:rPr>
        <w:t>2026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月</w:t>
      </w:r>
      <w:r>
        <w:rPr>
          <w:rFonts w:hint="eastAsia" w:ascii="宋体" w:hAnsi="宋体"/>
          <w:color w:val="auto"/>
          <w:szCs w:val="21"/>
          <w:highlight w:val="none"/>
          <w:lang w:val="en-US" w:eastAsia="zh-CN"/>
        </w:rPr>
        <w:t>28</w:t>
      </w:r>
      <w:r>
        <w:rPr>
          <w:rFonts w:hint="eastAsia" w:ascii="宋体" w:hAnsi="宋体"/>
          <w:color w:val="auto"/>
          <w:szCs w:val="21"/>
          <w:highlight w:val="none"/>
        </w:rPr>
        <w:t>日</w:t>
      </w:r>
    </w:p>
    <w:p>
      <w:pPr>
        <w:spacing w:line="360" w:lineRule="auto"/>
        <w:ind w:firstLine="10560" w:firstLineChars="3300"/>
        <w:rPr>
          <w:rFonts w:ascii="宋体" w:hAnsi="宋体"/>
          <w:color w:val="auto"/>
          <w:sz w:val="32"/>
          <w:szCs w:val="32"/>
          <w:highlight w:val="none"/>
        </w:rPr>
      </w:pPr>
    </w:p>
    <w:p>
      <w:pPr>
        <w:pStyle w:val="3"/>
        <w:jc w:val="center"/>
        <w:rPr>
          <w:rFonts w:hint="eastAsia"/>
          <w:color w:val="auto"/>
          <w:highlight w:val="none"/>
        </w:rPr>
      </w:pPr>
      <w:bookmarkStart w:id="28" w:name="_Toc80205921"/>
      <w:r>
        <w:rPr>
          <w:rFonts w:hint="eastAsia" w:ascii="Cambria" w:hAnsi="Cambria"/>
          <w:bCs w:val="0"/>
          <w:color w:val="auto"/>
          <w:sz w:val="32"/>
          <w:szCs w:val="32"/>
          <w:highlight w:val="none"/>
        </w:rPr>
        <w:t>第二章 采购需求</w:t>
      </w:r>
      <w:bookmarkEnd w:id="28"/>
    </w:p>
    <w:p>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服务项目中伴随的货物包含列入《网络关键设备和网络安全专用产品目录》的网络安全专用产品，应当按照《信息安全技术 网络安全专用产品安全技术要求》等相关国家标准的强制性要求，供应商在响应文件中应主动列明供货范围中属于网络安全专用产品的竞标产品，并提供具备资格的机构安全认证合格或者安全检测证明材料(加盖供应商公章)，否则响应文件作无效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2.“实质性要求”是指采购需求中带“▲”的条款或者不能负偏离的条款或者已经指明不满足按响应文件作无效处理的条款。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3.不需要供应商对采购需求响应为具体数值的，此采购需求的数值后将以◆号标注。</w:t>
      </w:r>
    </w:p>
    <w:p>
      <w:pPr>
        <w:spacing w:line="360" w:lineRule="auto"/>
        <w:ind w:firstLine="420" w:firstLineChars="200"/>
        <w:jc w:val="left"/>
        <w:rPr>
          <w:rFonts w:hint="eastAsia" w:ascii="宋体" w:hAnsi="宋体" w:cs="宋体"/>
          <w:b/>
          <w:bCs/>
          <w:color w:val="auto"/>
          <w:sz w:val="24"/>
          <w:highlight w:val="none"/>
        </w:rPr>
      </w:pPr>
      <w:r>
        <w:rPr>
          <w:rFonts w:hint="eastAsia" w:ascii="宋体" w:hAnsi="宋体" w:eastAsia="宋体" w:cs="宋体"/>
          <w:color w:val="auto"/>
          <w:szCs w:val="21"/>
          <w:highlight w:val="none"/>
          <w:lang w:val="en-US" w:eastAsia="zh-CN"/>
        </w:rPr>
        <w:t>4.供应商必须自行为其竞标产品侵犯他人的知识产权或者专利成果的行为承担相应法律责任。</w:t>
      </w:r>
      <w:r>
        <w:rPr>
          <w:rFonts w:hint="eastAsia" w:ascii="宋体" w:hAnsi="宋体" w:cs="宋体"/>
          <w:b/>
          <w:bCs/>
          <w:color w:val="auto"/>
          <w:szCs w:val="21"/>
          <w:highlight w:val="none"/>
        </w:rPr>
        <w:br w:type="page"/>
      </w:r>
    </w:p>
    <w:tbl>
      <w:tblPr>
        <w:tblStyle w:val="20"/>
        <w:tblW w:w="9267"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1030"/>
        <w:gridCol w:w="996"/>
        <w:gridCol w:w="1968"/>
        <w:gridCol w:w="1572"/>
        <w:gridCol w:w="171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267" w:type="dxa"/>
            <w:gridSpan w:val="8"/>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b/>
                <w:color w:val="auto"/>
                <w:sz w:val="21"/>
                <w:szCs w:val="21"/>
                <w:highlight w:val="none"/>
              </w:rPr>
            </w:pPr>
            <w:r>
              <w:rPr>
                <w:rFonts w:hint="eastAsia" w:ascii="仿宋_GB2312" w:hAnsi="宋体" w:eastAsia="仿宋_GB2312" w:cs="Arial"/>
                <w:b/>
                <w:color w:val="auto"/>
                <w:sz w:val="24"/>
                <w:szCs w:val="24"/>
                <w:highlight w:val="none"/>
              </w:rPr>
              <w:t>货物需求一览表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宋体" w:eastAsia="仿宋_GB2312" w:cs="Arial"/>
                <w:color w:val="auto"/>
                <w:sz w:val="21"/>
                <w:szCs w:val="21"/>
                <w:highlight w:val="none"/>
              </w:rPr>
            </w:pPr>
            <w:r>
              <w:rPr>
                <w:rFonts w:hint="eastAsia" w:ascii="仿宋_GB2312" w:hAnsi="宋体" w:eastAsia="仿宋_GB2312" w:cs="Arial"/>
                <w:color w:val="auto"/>
                <w:sz w:val="21"/>
                <w:szCs w:val="21"/>
                <w:highlight w:val="none"/>
              </w:rPr>
              <w:t>标段</w:t>
            </w:r>
          </w:p>
        </w:tc>
        <w:tc>
          <w:tcPr>
            <w:tcW w:w="7282" w:type="dxa"/>
            <w:gridSpan w:val="5"/>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rPr>
                <w:rFonts w:hint="eastAsia" w:hAnsi="宋体"/>
                <w:b/>
                <w:bCs/>
                <w:color w:val="auto"/>
                <w:sz w:val="21"/>
                <w:szCs w:val="21"/>
                <w:highlight w:val="none"/>
              </w:rPr>
            </w:pPr>
            <w:r>
              <w:rPr>
                <w:rFonts w:hint="eastAsia" w:ascii="宋体" w:hAnsi="宋体"/>
                <w:color w:val="auto"/>
                <w:szCs w:val="21"/>
                <w:highlight w:val="none"/>
              </w:rPr>
              <w:t>原经开片区市政设施材料配件采购项目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5" w:type="dxa"/>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采购货物名称</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数量及</w:t>
            </w:r>
            <w:r>
              <w:rPr>
                <w:rFonts w:hint="eastAsia" w:ascii="宋体" w:hAnsi="宋体" w:cs="宋体"/>
                <w:color w:val="auto"/>
                <w:sz w:val="21"/>
                <w:szCs w:val="21"/>
                <w:highlight w:val="none"/>
              </w:rPr>
              <w:t>单位</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技术参数</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分项预算合计（元）</w:t>
            </w:r>
          </w:p>
        </w:tc>
        <w:tc>
          <w:tcPr>
            <w:tcW w:w="17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color w:val="auto"/>
                <w:sz w:val="21"/>
                <w:szCs w:val="21"/>
                <w:highlight w:val="none"/>
              </w:rPr>
              <w:t>中小企业划分标准所属行业名称（行业名称及划分见本章附件2）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模组LED灯</w:t>
            </w:r>
            <w:r>
              <w:rPr>
                <w:rFonts w:hint="eastAsia" w:ascii="宋体" w:hAnsi="宋体"/>
                <w:color w:val="auto"/>
                <w:sz w:val="21"/>
                <w:szCs w:val="21"/>
                <w:highlight w:val="none"/>
                <w:lang w:eastAsia="zh-CN"/>
              </w:rPr>
              <w:t>（</w:t>
            </w:r>
            <w:r>
              <w:rPr>
                <w:rFonts w:hint="eastAsia"/>
                <w:color w:val="auto"/>
                <w:highlight w:val="none"/>
              </w:rPr>
              <w:t>50W</w:t>
            </w:r>
            <w:r>
              <w:rPr>
                <w:rFonts w:hint="eastAsia" w:ascii="宋体" w:hAnsi="宋体"/>
                <w:color w:val="auto"/>
                <w:sz w:val="21"/>
                <w:szCs w:val="21"/>
                <w:highlight w:val="none"/>
                <w:lang w:eastAsia="zh-CN"/>
              </w:rPr>
              <w:t>）</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1.额定功率：</w:t>
            </w:r>
            <w:r>
              <w:rPr>
                <w:rFonts w:hint="eastAsia"/>
                <w:color w:val="auto"/>
                <w:highlight w:val="none"/>
              </w:rPr>
              <w:t>50W</w:t>
            </w:r>
          </w:p>
          <w:p>
            <w:pPr>
              <w:pStyle w:val="2"/>
              <w:ind w:left="0" w:leftChars="0" w:firstLine="0" w:firstLineChars="0"/>
              <w:jc w:val="left"/>
              <w:rPr>
                <w:rFonts w:hint="eastAsia"/>
                <w:color w:val="auto"/>
                <w:highlight w:val="none"/>
                <w:lang w:val="en-US" w:eastAsia="zh-CN"/>
              </w:rPr>
            </w:pPr>
            <w:r>
              <w:rPr>
                <w:rFonts w:hint="eastAsia"/>
                <w:color w:val="auto"/>
                <w:highlight w:val="none"/>
                <w:lang w:val="en-US" w:eastAsia="zh-CN"/>
              </w:rPr>
              <w:t>2.输入电压：220V</w:t>
            </w:r>
          </w:p>
          <w:p>
            <w:pPr>
              <w:numPr>
                <w:ilvl w:val="0"/>
                <w:numId w:val="0"/>
              </w:numP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3.光效&gt;140</w:t>
            </w:r>
            <w:r>
              <w:rPr>
                <w:rFonts w:hint="eastAsia" w:ascii="宋体" w:hAnsi="宋体" w:eastAsia="宋体" w:cs="宋体"/>
                <w:bCs/>
                <w:color w:val="auto"/>
                <w:kern w:val="0"/>
                <w:szCs w:val="21"/>
                <w:highlight w:val="none"/>
              </w:rPr>
              <w:t>Lm/w</w:t>
            </w:r>
            <w:r>
              <w:rPr>
                <w:rFonts w:hint="eastAsia"/>
                <w:color w:val="auto"/>
                <w:highlight w:val="none"/>
                <w:lang w:val="en-US" w:eastAsia="zh-CN"/>
              </w:rPr>
              <w:t>，竞标时需提供国家认可的</w:t>
            </w:r>
            <w:r>
              <w:rPr>
                <w:rFonts w:hint="eastAsia"/>
                <w:color w:val="auto"/>
                <w:highlight w:val="none"/>
                <w:lang w:eastAsia="zh-CN"/>
              </w:rPr>
              <w:t>检测机构出具的有效的检测报告</w:t>
            </w:r>
            <w:r>
              <w:rPr>
                <w:rFonts w:hint="eastAsia"/>
                <w:color w:val="auto"/>
                <w:highlight w:val="none"/>
                <w:lang w:val="en-US" w:eastAsia="zh-CN"/>
              </w:rPr>
              <w:t>，否则竞标无效。</w:t>
            </w:r>
          </w:p>
          <w:p>
            <w:pPr>
              <w:rPr>
                <w:rFonts w:hint="default"/>
                <w:color w:val="auto"/>
                <w:highlight w:val="none"/>
                <w:lang w:val="en-US" w:eastAsia="zh-CN"/>
              </w:rPr>
            </w:pPr>
            <w:r>
              <w:rPr>
                <w:rFonts w:hint="eastAsia"/>
                <w:color w:val="auto"/>
                <w:highlight w:val="none"/>
                <w:lang w:val="en-US" w:eastAsia="zh-CN"/>
              </w:rPr>
              <w:t>4.光源使用寿命</w:t>
            </w:r>
            <w:r>
              <w:rPr>
                <w:rFonts w:hint="default"/>
                <w:color w:val="auto"/>
                <w:highlight w:val="none"/>
                <w:lang w:val="en-US" w:eastAsia="zh-CN"/>
              </w:rPr>
              <w:t>≥</w:t>
            </w:r>
            <w:r>
              <w:rPr>
                <w:rFonts w:hint="eastAsia"/>
                <w:color w:val="auto"/>
                <w:highlight w:val="none"/>
                <w:lang w:val="en-US" w:eastAsia="zh-CN"/>
              </w:rPr>
              <w:t>50000小时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5.连接口内径</w:t>
            </w:r>
            <w:r>
              <w:rPr>
                <w:rFonts w:hint="eastAsia" w:ascii="仿宋" w:hAnsi="仿宋" w:eastAsia="仿宋" w:cs="仿宋"/>
                <w:color w:val="auto"/>
                <w:highlight w:val="none"/>
                <w:lang w:val="en-US" w:eastAsia="zh-CN"/>
              </w:rPr>
              <w:t>Ф</w:t>
            </w:r>
            <w:r>
              <w:rPr>
                <w:rFonts w:hint="eastAsia"/>
                <w:color w:val="auto"/>
                <w:highlight w:val="none"/>
                <w:lang w:val="en-US" w:eastAsia="zh-CN"/>
              </w:rPr>
              <w:t>60，安装长度120</w:t>
            </w:r>
            <w:r>
              <w:rPr>
                <w:rFonts w:hint="eastAsia" w:ascii="宋体" w:hAnsi="宋体" w:eastAsia="宋体" w:cs="宋体"/>
                <w:color w:val="auto"/>
                <w:highlight w:val="none"/>
                <w:lang w:val="en-US" w:eastAsia="zh-CN"/>
              </w:rPr>
              <w:t>㎜。</w:t>
            </w:r>
          </w:p>
          <w:p>
            <w:pPr>
              <w:rPr>
                <w:rFonts w:hint="eastAsia"/>
                <w:color w:val="auto"/>
                <w:highlight w:val="none"/>
                <w:lang w:val="en-US" w:eastAsia="zh-CN"/>
              </w:rPr>
            </w:pPr>
            <w:r>
              <w:rPr>
                <w:rFonts w:hint="eastAsia"/>
                <w:color w:val="auto"/>
                <w:highlight w:val="none"/>
                <w:lang w:val="en-US" w:eastAsia="zh-CN"/>
              </w:rPr>
              <w:t>6.</w:t>
            </w:r>
            <w:r>
              <w:rPr>
                <w:rFonts w:hint="eastAsia"/>
                <w:color w:val="auto"/>
                <w:highlight w:val="none"/>
                <w:lang w:eastAsia="zh-CN"/>
              </w:rPr>
              <w:t>防护等级</w:t>
            </w:r>
            <w:r>
              <w:rPr>
                <w:rFonts w:hint="eastAsia"/>
                <w:color w:val="auto"/>
                <w:highlight w:val="none"/>
                <w:lang w:val="en-US" w:eastAsia="zh-CN"/>
              </w:rPr>
              <w:t>IP66</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7.色温：暖白光4000-5000K</w:t>
            </w:r>
          </w:p>
          <w:p>
            <w:pPr>
              <w:rPr>
                <w:rFonts w:hint="default"/>
                <w:color w:val="auto"/>
                <w:highlight w:val="none"/>
                <w:lang w:val="en-US" w:eastAsia="zh-CN"/>
              </w:rPr>
            </w:pPr>
            <w:r>
              <w:rPr>
                <w:rFonts w:hint="eastAsia"/>
                <w:color w:val="auto"/>
                <w:highlight w:val="none"/>
                <w:lang w:val="en-US" w:eastAsia="zh-CN"/>
              </w:rPr>
              <w:t>8.灯具材质：铝合金9.颜色：铝合金原色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13500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模组LED灯</w:t>
            </w:r>
            <w:r>
              <w:rPr>
                <w:rFonts w:hint="eastAsia" w:ascii="宋体" w:hAnsi="宋体"/>
                <w:color w:val="auto"/>
                <w:sz w:val="21"/>
                <w:szCs w:val="21"/>
                <w:highlight w:val="none"/>
                <w:lang w:eastAsia="zh-CN"/>
              </w:rPr>
              <w:t>（</w:t>
            </w:r>
            <w:r>
              <w:rPr>
                <w:rFonts w:hint="eastAsia"/>
                <w:color w:val="auto"/>
                <w:highlight w:val="none"/>
                <w:lang w:val="en-US" w:eastAsia="zh-CN"/>
              </w:rPr>
              <w:t>10</w:t>
            </w:r>
            <w:r>
              <w:rPr>
                <w:rFonts w:hint="eastAsia"/>
                <w:color w:val="auto"/>
                <w:highlight w:val="none"/>
              </w:rPr>
              <w:t>0W</w:t>
            </w:r>
            <w:r>
              <w:rPr>
                <w:rFonts w:hint="eastAsia" w:ascii="宋体" w:hAnsi="宋体"/>
                <w:color w:val="auto"/>
                <w:sz w:val="21"/>
                <w:szCs w:val="21"/>
                <w:highlight w:val="none"/>
                <w:lang w:eastAsia="zh-CN"/>
              </w:rPr>
              <w:t>）</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200个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1.额定功率：10</w:t>
            </w:r>
            <w:r>
              <w:rPr>
                <w:rFonts w:hint="eastAsia"/>
                <w:color w:val="auto"/>
                <w:highlight w:val="none"/>
              </w:rPr>
              <w:t>0W</w:t>
            </w:r>
          </w:p>
          <w:p>
            <w:pPr>
              <w:pStyle w:val="2"/>
              <w:ind w:left="0" w:leftChars="0" w:firstLine="0" w:firstLineChars="0"/>
              <w:jc w:val="left"/>
              <w:rPr>
                <w:rFonts w:hint="eastAsia"/>
                <w:color w:val="auto"/>
                <w:highlight w:val="none"/>
                <w:lang w:val="en-US" w:eastAsia="zh-CN"/>
              </w:rPr>
            </w:pPr>
            <w:r>
              <w:rPr>
                <w:rFonts w:hint="eastAsia"/>
                <w:color w:val="auto"/>
                <w:highlight w:val="none"/>
                <w:lang w:val="en-US" w:eastAsia="zh-CN"/>
              </w:rPr>
              <w:t>2.输入电压：220V</w:t>
            </w:r>
          </w:p>
          <w:p>
            <w:pPr>
              <w:numPr>
                <w:ilvl w:val="0"/>
                <w:numId w:val="0"/>
              </w:numP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3.光效&gt;140</w:t>
            </w:r>
            <w:r>
              <w:rPr>
                <w:rFonts w:hint="eastAsia" w:ascii="宋体" w:hAnsi="宋体" w:eastAsia="宋体" w:cs="宋体"/>
                <w:bCs/>
                <w:color w:val="auto"/>
                <w:kern w:val="0"/>
                <w:szCs w:val="21"/>
                <w:highlight w:val="none"/>
              </w:rPr>
              <w:t>Lm/w</w:t>
            </w:r>
            <w:r>
              <w:rPr>
                <w:rFonts w:hint="eastAsia"/>
                <w:color w:val="auto"/>
                <w:highlight w:val="none"/>
                <w:lang w:val="en-US" w:eastAsia="zh-CN"/>
              </w:rPr>
              <w:t>，竞标时需提供国家认可的</w:t>
            </w:r>
            <w:r>
              <w:rPr>
                <w:rFonts w:hint="eastAsia"/>
                <w:color w:val="auto"/>
                <w:highlight w:val="none"/>
                <w:lang w:eastAsia="zh-CN"/>
              </w:rPr>
              <w:t>检测机构出具的有效的检测报告</w:t>
            </w:r>
            <w:r>
              <w:rPr>
                <w:rFonts w:hint="eastAsia"/>
                <w:color w:val="auto"/>
                <w:highlight w:val="none"/>
                <w:lang w:val="en-US" w:eastAsia="zh-CN"/>
              </w:rPr>
              <w:t>，否则竞标无效。</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4.光源使用寿命</w:t>
            </w:r>
            <w:r>
              <w:rPr>
                <w:rFonts w:hint="default"/>
                <w:color w:val="auto"/>
                <w:highlight w:val="none"/>
                <w:lang w:val="en-US" w:eastAsia="zh-CN"/>
              </w:rPr>
              <w:t>≥</w:t>
            </w:r>
            <w:r>
              <w:rPr>
                <w:rFonts w:hint="eastAsia"/>
                <w:color w:val="auto"/>
                <w:highlight w:val="none"/>
                <w:lang w:val="en-US" w:eastAsia="zh-CN"/>
              </w:rPr>
              <w:t>50000小时</w:t>
            </w:r>
          </w:p>
          <w:p>
            <w:pPr>
              <w:rPr>
                <w:rFonts w:hint="eastAsia"/>
                <w:color w:val="auto"/>
                <w:highlight w:val="none"/>
                <w:lang w:val="en-US" w:eastAsia="zh-CN"/>
              </w:rPr>
            </w:pPr>
            <w:r>
              <w:rPr>
                <w:rFonts w:hint="eastAsia"/>
                <w:color w:val="auto"/>
                <w:highlight w:val="none"/>
                <w:lang w:val="en-US" w:eastAsia="zh-CN"/>
              </w:rPr>
              <w:t>5.连接口内径</w:t>
            </w:r>
            <w:r>
              <w:rPr>
                <w:rFonts w:hint="eastAsia" w:ascii="仿宋" w:hAnsi="仿宋" w:eastAsia="仿宋" w:cs="仿宋"/>
                <w:color w:val="auto"/>
                <w:highlight w:val="none"/>
                <w:lang w:val="en-US" w:eastAsia="zh-CN"/>
              </w:rPr>
              <w:t>Ф</w:t>
            </w:r>
            <w:r>
              <w:rPr>
                <w:rFonts w:hint="eastAsia"/>
                <w:color w:val="auto"/>
                <w:highlight w:val="none"/>
                <w:lang w:val="en-US" w:eastAsia="zh-CN"/>
              </w:rPr>
              <w:t>60，安装长度120</w:t>
            </w:r>
            <w:r>
              <w:rPr>
                <w:rFonts w:hint="eastAsia" w:ascii="宋体" w:hAnsi="宋体" w:eastAsia="宋体" w:cs="宋体"/>
                <w:color w:val="auto"/>
                <w:highlight w:val="none"/>
                <w:lang w:val="en-US" w:eastAsia="zh-CN"/>
              </w:rPr>
              <w:t>㎜。</w:t>
            </w:r>
          </w:p>
          <w:p>
            <w:pPr>
              <w:rPr>
                <w:rFonts w:hint="eastAsia"/>
                <w:color w:val="auto"/>
                <w:highlight w:val="none"/>
                <w:lang w:val="en-US" w:eastAsia="zh-CN"/>
              </w:rPr>
            </w:pPr>
            <w:r>
              <w:rPr>
                <w:rFonts w:hint="eastAsia"/>
                <w:color w:val="auto"/>
                <w:highlight w:val="none"/>
                <w:lang w:val="en-US" w:eastAsia="zh-CN"/>
              </w:rPr>
              <w:t>6.</w:t>
            </w:r>
            <w:r>
              <w:rPr>
                <w:rFonts w:hint="eastAsia"/>
                <w:color w:val="auto"/>
                <w:highlight w:val="none"/>
                <w:lang w:eastAsia="zh-CN"/>
              </w:rPr>
              <w:t>防护等级</w:t>
            </w:r>
            <w:r>
              <w:rPr>
                <w:rFonts w:hint="eastAsia"/>
                <w:color w:val="auto"/>
                <w:highlight w:val="none"/>
                <w:lang w:val="en-US" w:eastAsia="zh-CN"/>
              </w:rPr>
              <w:t>IP66</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7.色温：暖白光4000-5000K</w:t>
            </w:r>
          </w:p>
          <w:p>
            <w:pPr>
              <w:pStyle w:val="2"/>
              <w:ind w:left="0" w:leftChars="0" w:firstLine="0" w:firstLineChars="0"/>
              <w:rPr>
                <w:rFonts w:hint="default"/>
                <w:color w:val="auto"/>
                <w:highlight w:val="none"/>
                <w:lang w:val="en-US" w:eastAsia="zh-CN"/>
              </w:rPr>
            </w:pPr>
            <w:r>
              <w:rPr>
                <w:rFonts w:hint="eastAsia"/>
                <w:color w:val="auto"/>
                <w:highlight w:val="none"/>
                <w:lang w:val="en-US" w:eastAsia="zh-CN"/>
              </w:rPr>
              <w:t>8.灯具材质：铝合金9.颜色：铝合金原色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60000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color w:val="auto"/>
                <w:highlight w:val="none"/>
                <w:lang w:val="en-US" w:eastAsia="zh-CN"/>
              </w:rPr>
            </w:pPr>
            <w:r>
              <w:rPr>
                <w:rFonts w:hint="eastAsia" w:ascii="宋体" w:hAnsi="宋体"/>
                <w:color w:val="auto"/>
                <w:sz w:val="21"/>
                <w:szCs w:val="21"/>
                <w:highlight w:val="none"/>
                <w:lang w:val="en-US" w:eastAsia="zh-CN"/>
              </w:rPr>
              <w:t>3</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模组LED灯</w:t>
            </w:r>
            <w:r>
              <w:rPr>
                <w:rFonts w:hint="eastAsia" w:ascii="宋体" w:hAnsi="宋体"/>
                <w:color w:val="auto"/>
                <w:sz w:val="21"/>
                <w:szCs w:val="21"/>
                <w:highlight w:val="none"/>
                <w:lang w:eastAsia="zh-CN"/>
              </w:rPr>
              <w:t>（</w:t>
            </w:r>
            <w:r>
              <w:rPr>
                <w:rFonts w:hint="eastAsia"/>
                <w:color w:val="auto"/>
                <w:highlight w:val="none"/>
                <w:lang w:val="en-US" w:eastAsia="zh-CN"/>
              </w:rPr>
              <w:t>1</w:t>
            </w:r>
            <w:r>
              <w:rPr>
                <w:rFonts w:hint="eastAsia"/>
                <w:color w:val="auto"/>
                <w:highlight w:val="none"/>
              </w:rPr>
              <w:t>50W</w:t>
            </w:r>
            <w:r>
              <w:rPr>
                <w:rFonts w:hint="eastAsia" w:ascii="宋体" w:hAnsi="宋体"/>
                <w:color w:val="auto"/>
                <w:sz w:val="21"/>
                <w:szCs w:val="21"/>
                <w:highlight w:val="none"/>
                <w:lang w:eastAsia="zh-CN"/>
              </w:rPr>
              <w:t>）</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250个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1.额定功率：1</w:t>
            </w:r>
            <w:r>
              <w:rPr>
                <w:rFonts w:hint="eastAsia"/>
                <w:color w:val="auto"/>
                <w:highlight w:val="none"/>
              </w:rPr>
              <w:t>50W</w:t>
            </w:r>
          </w:p>
          <w:p>
            <w:pPr>
              <w:pStyle w:val="2"/>
              <w:ind w:left="0" w:leftChars="0" w:firstLine="0" w:firstLineChars="0"/>
              <w:jc w:val="left"/>
              <w:rPr>
                <w:rFonts w:hint="eastAsia"/>
                <w:color w:val="auto"/>
                <w:highlight w:val="none"/>
                <w:lang w:val="en-US" w:eastAsia="zh-CN"/>
              </w:rPr>
            </w:pPr>
            <w:r>
              <w:rPr>
                <w:rFonts w:hint="eastAsia"/>
                <w:color w:val="auto"/>
                <w:highlight w:val="none"/>
                <w:lang w:val="en-US" w:eastAsia="zh-CN"/>
              </w:rPr>
              <w:t>2.输入电压：220V</w:t>
            </w:r>
          </w:p>
          <w:p>
            <w:pPr>
              <w:numPr>
                <w:ilvl w:val="0"/>
                <w:numId w:val="0"/>
              </w:numP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3.光效&gt;140</w:t>
            </w:r>
            <w:r>
              <w:rPr>
                <w:rFonts w:hint="eastAsia" w:ascii="宋体" w:hAnsi="宋体" w:eastAsia="宋体" w:cs="宋体"/>
                <w:bCs/>
                <w:color w:val="auto"/>
                <w:kern w:val="0"/>
                <w:szCs w:val="21"/>
                <w:highlight w:val="none"/>
              </w:rPr>
              <w:t>Lm/w</w:t>
            </w:r>
            <w:r>
              <w:rPr>
                <w:rFonts w:hint="eastAsia"/>
                <w:color w:val="auto"/>
                <w:highlight w:val="none"/>
                <w:lang w:val="en-US" w:eastAsia="zh-CN"/>
              </w:rPr>
              <w:t>，竞标时需提供国家认可的</w:t>
            </w:r>
            <w:r>
              <w:rPr>
                <w:rFonts w:hint="eastAsia"/>
                <w:color w:val="auto"/>
                <w:highlight w:val="none"/>
                <w:lang w:eastAsia="zh-CN"/>
              </w:rPr>
              <w:t>检测机构出具的有效的检测报告</w:t>
            </w:r>
            <w:r>
              <w:rPr>
                <w:rFonts w:hint="eastAsia"/>
                <w:color w:val="auto"/>
                <w:highlight w:val="none"/>
                <w:lang w:val="en-US" w:eastAsia="zh-CN"/>
              </w:rPr>
              <w:t>，否则竞标无效。</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4.光源使用寿命</w:t>
            </w:r>
            <w:r>
              <w:rPr>
                <w:rFonts w:hint="default"/>
                <w:color w:val="auto"/>
                <w:highlight w:val="none"/>
                <w:lang w:val="en-US" w:eastAsia="zh-CN"/>
              </w:rPr>
              <w:t>≥</w:t>
            </w:r>
            <w:r>
              <w:rPr>
                <w:rFonts w:hint="eastAsia"/>
                <w:color w:val="auto"/>
                <w:highlight w:val="none"/>
                <w:lang w:val="en-US" w:eastAsia="zh-CN"/>
              </w:rPr>
              <w:t>50000小时</w:t>
            </w:r>
          </w:p>
          <w:p>
            <w:pPr>
              <w:rPr>
                <w:rFonts w:hint="eastAsia"/>
                <w:color w:val="auto"/>
                <w:highlight w:val="none"/>
                <w:lang w:val="en-US" w:eastAsia="zh-CN"/>
              </w:rPr>
            </w:pPr>
            <w:r>
              <w:rPr>
                <w:rFonts w:hint="eastAsia"/>
                <w:color w:val="auto"/>
                <w:highlight w:val="none"/>
                <w:lang w:val="en-US" w:eastAsia="zh-CN"/>
              </w:rPr>
              <w:t>5.连接口内径</w:t>
            </w:r>
            <w:r>
              <w:rPr>
                <w:rFonts w:hint="eastAsia" w:ascii="仿宋" w:hAnsi="仿宋" w:eastAsia="仿宋" w:cs="仿宋"/>
                <w:color w:val="auto"/>
                <w:highlight w:val="none"/>
                <w:lang w:val="en-US" w:eastAsia="zh-CN"/>
              </w:rPr>
              <w:t>Ф</w:t>
            </w:r>
            <w:r>
              <w:rPr>
                <w:rFonts w:hint="eastAsia"/>
                <w:color w:val="auto"/>
                <w:highlight w:val="none"/>
                <w:lang w:val="en-US" w:eastAsia="zh-CN"/>
              </w:rPr>
              <w:t>60，安装长度120</w:t>
            </w:r>
            <w:r>
              <w:rPr>
                <w:rFonts w:hint="eastAsia" w:ascii="宋体" w:hAnsi="宋体" w:eastAsia="宋体" w:cs="宋体"/>
                <w:color w:val="auto"/>
                <w:highlight w:val="none"/>
                <w:lang w:val="en-US" w:eastAsia="zh-CN"/>
              </w:rPr>
              <w:t>㎜。</w:t>
            </w:r>
          </w:p>
          <w:p>
            <w:pPr>
              <w:rPr>
                <w:rFonts w:hint="eastAsia"/>
                <w:color w:val="auto"/>
                <w:highlight w:val="none"/>
                <w:lang w:val="en-US" w:eastAsia="zh-CN"/>
              </w:rPr>
            </w:pPr>
            <w:r>
              <w:rPr>
                <w:rFonts w:hint="eastAsia"/>
                <w:color w:val="auto"/>
                <w:highlight w:val="none"/>
                <w:lang w:val="en-US" w:eastAsia="zh-CN"/>
              </w:rPr>
              <w:t>6.</w:t>
            </w:r>
            <w:r>
              <w:rPr>
                <w:rFonts w:hint="eastAsia"/>
                <w:color w:val="auto"/>
                <w:highlight w:val="none"/>
                <w:lang w:eastAsia="zh-CN"/>
              </w:rPr>
              <w:t>防护等级</w:t>
            </w:r>
            <w:r>
              <w:rPr>
                <w:rFonts w:hint="eastAsia"/>
                <w:color w:val="auto"/>
                <w:highlight w:val="none"/>
                <w:lang w:val="en-US" w:eastAsia="zh-CN"/>
              </w:rPr>
              <w:t>IP66</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7.色温：暖白光4000-5000K</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8.灯具材质：铝合金9.颜色：铝合金原色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95000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color w:val="auto"/>
                <w:highlight w:val="none"/>
              </w:rPr>
            </w:pPr>
          </w:p>
          <w:p>
            <w:pPr>
              <w:pStyle w:val="2"/>
              <w:rPr>
                <w:color w:val="auto"/>
                <w:highlight w:val="none"/>
              </w:rPr>
            </w:pPr>
          </w:p>
          <w:p>
            <w:pPr>
              <w:rPr>
                <w:color w:val="auto"/>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模组LED灯</w:t>
            </w:r>
            <w:r>
              <w:rPr>
                <w:rFonts w:hint="eastAsia" w:ascii="宋体" w:hAnsi="宋体" w:cs="Times New Roman"/>
                <w:color w:val="auto"/>
                <w:sz w:val="21"/>
                <w:szCs w:val="21"/>
                <w:highlight w:val="none"/>
                <w:lang w:eastAsia="zh-CN"/>
              </w:rPr>
              <w:t>（</w:t>
            </w:r>
            <w:r>
              <w:rPr>
                <w:rFonts w:hint="eastAsia"/>
                <w:color w:val="auto"/>
                <w:highlight w:val="none"/>
                <w:lang w:val="en-US" w:eastAsia="zh-CN"/>
              </w:rPr>
              <w:t>20</w:t>
            </w:r>
            <w:r>
              <w:rPr>
                <w:rFonts w:hint="eastAsia"/>
                <w:color w:val="auto"/>
                <w:highlight w:val="none"/>
              </w:rPr>
              <w:t>0W</w:t>
            </w:r>
            <w:r>
              <w:rPr>
                <w:rFonts w:hint="eastAsia" w:ascii="宋体" w:hAnsi="宋体" w:cs="Times New Roman"/>
                <w:color w:val="auto"/>
                <w:sz w:val="21"/>
                <w:szCs w:val="21"/>
                <w:highlight w:val="none"/>
                <w:lang w:eastAsia="zh-CN"/>
              </w:rPr>
              <w:t>）</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150个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1.额定功率：20</w:t>
            </w:r>
            <w:r>
              <w:rPr>
                <w:rFonts w:hint="eastAsia"/>
                <w:color w:val="auto"/>
                <w:highlight w:val="none"/>
              </w:rPr>
              <w:t>0W</w:t>
            </w:r>
          </w:p>
          <w:p>
            <w:pPr>
              <w:pStyle w:val="2"/>
              <w:ind w:left="0" w:leftChars="0" w:firstLine="0" w:firstLineChars="0"/>
              <w:jc w:val="left"/>
              <w:rPr>
                <w:rFonts w:hint="eastAsia"/>
                <w:color w:val="auto"/>
                <w:highlight w:val="none"/>
                <w:lang w:val="en-US" w:eastAsia="zh-CN"/>
              </w:rPr>
            </w:pPr>
            <w:r>
              <w:rPr>
                <w:rFonts w:hint="eastAsia"/>
                <w:color w:val="auto"/>
                <w:highlight w:val="none"/>
                <w:lang w:val="en-US" w:eastAsia="zh-CN"/>
              </w:rPr>
              <w:t>2.输入电压：220V</w:t>
            </w:r>
          </w:p>
          <w:p>
            <w:pPr>
              <w:numPr>
                <w:ilvl w:val="0"/>
                <w:numId w:val="0"/>
              </w:numP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3.光效&gt;140</w:t>
            </w:r>
            <w:r>
              <w:rPr>
                <w:rFonts w:hint="eastAsia" w:ascii="宋体" w:hAnsi="宋体" w:eastAsia="宋体" w:cs="宋体"/>
                <w:bCs/>
                <w:color w:val="auto"/>
                <w:kern w:val="0"/>
                <w:szCs w:val="21"/>
                <w:highlight w:val="none"/>
              </w:rPr>
              <w:t>Lm/w</w:t>
            </w:r>
            <w:r>
              <w:rPr>
                <w:rFonts w:hint="eastAsia"/>
                <w:color w:val="auto"/>
                <w:highlight w:val="none"/>
                <w:lang w:val="en-US" w:eastAsia="zh-CN"/>
              </w:rPr>
              <w:t>，竞标时需提供国家认可的</w:t>
            </w:r>
            <w:r>
              <w:rPr>
                <w:rFonts w:hint="eastAsia"/>
                <w:color w:val="auto"/>
                <w:highlight w:val="none"/>
                <w:lang w:eastAsia="zh-CN"/>
              </w:rPr>
              <w:t>检测机构出具的有效的检测报告</w:t>
            </w:r>
            <w:r>
              <w:rPr>
                <w:rFonts w:hint="eastAsia"/>
                <w:color w:val="auto"/>
                <w:highlight w:val="none"/>
                <w:lang w:val="en-US" w:eastAsia="zh-CN"/>
              </w:rPr>
              <w:t>，否则竞标无效。</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4.光源使用寿命</w:t>
            </w:r>
            <w:r>
              <w:rPr>
                <w:rFonts w:hint="default"/>
                <w:color w:val="auto"/>
                <w:highlight w:val="none"/>
                <w:lang w:val="en-US" w:eastAsia="zh-CN"/>
              </w:rPr>
              <w:t>≥</w:t>
            </w:r>
            <w:r>
              <w:rPr>
                <w:rFonts w:hint="eastAsia"/>
                <w:color w:val="auto"/>
                <w:highlight w:val="none"/>
                <w:lang w:val="en-US" w:eastAsia="zh-CN"/>
              </w:rPr>
              <w:t>50000小时</w:t>
            </w:r>
          </w:p>
          <w:p>
            <w:pPr>
              <w:rPr>
                <w:rFonts w:hint="eastAsia"/>
                <w:color w:val="auto"/>
                <w:highlight w:val="none"/>
                <w:lang w:val="en-US" w:eastAsia="zh-CN"/>
              </w:rPr>
            </w:pPr>
            <w:r>
              <w:rPr>
                <w:rFonts w:hint="eastAsia"/>
                <w:color w:val="auto"/>
                <w:highlight w:val="none"/>
                <w:lang w:val="en-US" w:eastAsia="zh-CN"/>
              </w:rPr>
              <w:t>5.连接口内径</w:t>
            </w:r>
            <w:r>
              <w:rPr>
                <w:rFonts w:hint="eastAsia" w:ascii="仿宋" w:hAnsi="仿宋" w:eastAsia="仿宋" w:cs="仿宋"/>
                <w:color w:val="auto"/>
                <w:highlight w:val="none"/>
                <w:lang w:val="en-US" w:eastAsia="zh-CN"/>
              </w:rPr>
              <w:t>Ф</w:t>
            </w:r>
            <w:r>
              <w:rPr>
                <w:rFonts w:hint="eastAsia"/>
                <w:color w:val="auto"/>
                <w:highlight w:val="none"/>
                <w:lang w:val="en-US" w:eastAsia="zh-CN"/>
              </w:rPr>
              <w:t>60，安装长度120</w:t>
            </w:r>
            <w:r>
              <w:rPr>
                <w:rFonts w:hint="eastAsia" w:ascii="宋体" w:hAnsi="宋体" w:eastAsia="宋体" w:cs="宋体"/>
                <w:color w:val="auto"/>
                <w:highlight w:val="none"/>
                <w:lang w:val="en-US" w:eastAsia="zh-CN"/>
              </w:rPr>
              <w:t>㎜。</w:t>
            </w:r>
          </w:p>
          <w:p>
            <w:pPr>
              <w:rPr>
                <w:rFonts w:hint="eastAsia"/>
                <w:color w:val="auto"/>
                <w:highlight w:val="none"/>
                <w:lang w:val="en-US" w:eastAsia="zh-CN"/>
              </w:rPr>
            </w:pPr>
            <w:r>
              <w:rPr>
                <w:rFonts w:hint="eastAsia"/>
                <w:color w:val="auto"/>
                <w:highlight w:val="none"/>
                <w:lang w:val="en-US" w:eastAsia="zh-CN"/>
              </w:rPr>
              <w:t>6.</w:t>
            </w:r>
            <w:r>
              <w:rPr>
                <w:rFonts w:hint="eastAsia"/>
                <w:color w:val="auto"/>
                <w:highlight w:val="none"/>
                <w:lang w:eastAsia="zh-CN"/>
              </w:rPr>
              <w:t>防护等级</w:t>
            </w:r>
            <w:r>
              <w:rPr>
                <w:rFonts w:hint="eastAsia"/>
                <w:color w:val="auto"/>
                <w:highlight w:val="none"/>
                <w:lang w:val="en-US" w:eastAsia="zh-CN"/>
              </w:rPr>
              <w:t>IP66</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7.色温：暖白光4000-5000K</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8.灯具材质：铝合金9.颜色：铝合金原色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62500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p>
          <w:p>
            <w:pPr>
              <w:pStyle w:val="2"/>
              <w:rPr>
                <w:rFonts w:hint="eastAsia"/>
                <w:color w:val="auto"/>
                <w:highlight w:val="none"/>
              </w:rPr>
            </w:pPr>
          </w:p>
          <w:p>
            <w:pPr>
              <w:rPr>
                <w:rFonts w:hint="eastAsia"/>
                <w:color w:val="auto"/>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模组LED灯</w:t>
            </w:r>
            <w:r>
              <w:rPr>
                <w:rFonts w:hint="eastAsia" w:ascii="宋体" w:hAnsi="宋体" w:eastAsia="宋体" w:cs="Times New Roman"/>
                <w:color w:val="auto"/>
                <w:sz w:val="21"/>
                <w:szCs w:val="21"/>
                <w:highlight w:val="none"/>
                <w:lang w:val="en-US" w:eastAsia="zh-CN"/>
              </w:rPr>
              <w:t>泛光灯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30个</w:t>
            </w:r>
          </w:p>
        </w:tc>
        <w:tc>
          <w:tcPr>
            <w:tcW w:w="19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1.额定功率：1</w:t>
            </w:r>
            <w:r>
              <w:rPr>
                <w:rFonts w:hint="eastAsia"/>
                <w:color w:val="auto"/>
                <w:highlight w:val="none"/>
              </w:rPr>
              <w:t>50W</w:t>
            </w:r>
          </w:p>
          <w:p>
            <w:pPr>
              <w:pStyle w:val="2"/>
              <w:ind w:left="0" w:leftChars="0" w:firstLine="0" w:firstLineChars="0"/>
              <w:jc w:val="left"/>
              <w:rPr>
                <w:rFonts w:hint="eastAsia"/>
                <w:color w:val="auto"/>
                <w:highlight w:val="none"/>
                <w:lang w:val="en-US" w:eastAsia="zh-CN"/>
              </w:rPr>
            </w:pPr>
            <w:r>
              <w:rPr>
                <w:rFonts w:hint="eastAsia"/>
                <w:color w:val="auto"/>
                <w:highlight w:val="none"/>
                <w:lang w:val="en-US" w:eastAsia="zh-CN"/>
              </w:rPr>
              <w:t>2.输入电压：220V</w:t>
            </w:r>
          </w:p>
          <w:p>
            <w:pPr>
              <w:numPr>
                <w:ilvl w:val="0"/>
                <w:numId w:val="0"/>
              </w:numP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3.光效&gt;140</w:t>
            </w:r>
            <w:r>
              <w:rPr>
                <w:rFonts w:hint="eastAsia" w:ascii="宋体" w:hAnsi="宋体" w:eastAsia="宋体" w:cs="宋体"/>
                <w:bCs/>
                <w:color w:val="auto"/>
                <w:kern w:val="0"/>
                <w:szCs w:val="21"/>
                <w:highlight w:val="none"/>
              </w:rPr>
              <w:t>Lm/w</w:t>
            </w:r>
            <w:r>
              <w:rPr>
                <w:rFonts w:hint="eastAsia"/>
                <w:color w:val="auto"/>
                <w:highlight w:val="none"/>
                <w:lang w:val="en-US" w:eastAsia="zh-CN"/>
              </w:rPr>
              <w:t>，竞标时需提供国家认可的</w:t>
            </w:r>
            <w:r>
              <w:rPr>
                <w:rFonts w:hint="eastAsia"/>
                <w:color w:val="auto"/>
                <w:highlight w:val="none"/>
                <w:lang w:eastAsia="zh-CN"/>
              </w:rPr>
              <w:t>检测机构出具的有效的检测报告</w:t>
            </w:r>
            <w:r>
              <w:rPr>
                <w:rFonts w:hint="eastAsia"/>
                <w:color w:val="auto"/>
                <w:highlight w:val="none"/>
                <w:lang w:val="en-US" w:eastAsia="zh-CN"/>
              </w:rPr>
              <w:t>，否则竞标无效。</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4.光源使用寿命</w:t>
            </w:r>
            <w:r>
              <w:rPr>
                <w:rFonts w:hint="default"/>
                <w:color w:val="auto"/>
                <w:highlight w:val="none"/>
                <w:lang w:val="en-US" w:eastAsia="zh-CN"/>
              </w:rPr>
              <w:t>≥</w:t>
            </w:r>
            <w:r>
              <w:rPr>
                <w:rFonts w:hint="eastAsia"/>
                <w:color w:val="auto"/>
                <w:highlight w:val="none"/>
                <w:lang w:val="en-US" w:eastAsia="zh-CN"/>
              </w:rPr>
              <w:t>50000小时</w:t>
            </w:r>
          </w:p>
          <w:p>
            <w:pPr>
              <w:rPr>
                <w:rFonts w:hint="eastAsia"/>
                <w:color w:val="auto"/>
                <w:highlight w:val="none"/>
                <w:lang w:val="en-US" w:eastAsia="zh-CN"/>
              </w:rPr>
            </w:pPr>
            <w:r>
              <w:rPr>
                <w:rFonts w:hint="eastAsia"/>
                <w:color w:val="auto"/>
                <w:highlight w:val="none"/>
                <w:lang w:val="en-US" w:eastAsia="zh-CN"/>
              </w:rPr>
              <w:t>5.</w:t>
            </w:r>
            <w:r>
              <w:rPr>
                <w:rFonts w:hint="eastAsia"/>
                <w:color w:val="auto"/>
                <w:highlight w:val="none"/>
                <w:lang w:eastAsia="zh-CN"/>
              </w:rPr>
              <w:t>防护等级</w:t>
            </w:r>
            <w:r>
              <w:rPr>
                <w:rFonts w:hint="eastAsia"/>
                <w:color w:val="auto"/>
                <w:highlight w:val="none"/>
                <w:lang w:val="en-US" w:eastAsia="zh-CN"/>
              </w:rPr>
              <w:t>IP66</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7.色温：暖白光4000-5000K</w:t>
            </w:r>
          </w:p>
          <w:p>
            <w:pPr>
              <w:rPr>
                <w:color w:val="auto"/>
                <w:highlight w:val="none"/>
                <w:lang w:val="en-US" w:eastAsia="zh-CN"/>
              </w:rPr>
            </w:pPr>
            <w:r>
              <w:rPr>
                <w:rFonts w:hint="eastAsia"/>
                <w:color w:val="auto"/>
                <w:highlight w:val="none"/>
                <w:lang w:val="en-US" w:eastAsia="zh-CN"/>
              </w:rPr>
              <w:t>8.灯具材质：铝合金9.颜色：铝合金原色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10100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jc w:val="center"/>
              <w:rPr>
                <w:rFonts w:hint="eastAsia"/>
                <w:color w:val="auto"/>
                <w:highlight w:val="none"/>
                <w:lang w:val="en-US" w:eastAsia="zh-CN"/>
              </w:rPr>
            </w:pPr>
            <w:r>
              <w:rPr>
                <w:rFonts w:hint="eastAsia"/>
                <w:color w:val="auto"/>
                <w:highlight w:val="none"/>
                <w:lang w:eastAsia="zh-CN"/>
              </w:rPr>
              <w:t>工业</w:t>
            </w:r>
          </w:p>
          <w:p>
            <w:pPr>
              <w:pStyle w:val="2"/>
              <w:rPr>
                <w:rFonts w:hint="eastAsia"/>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模组LED灯</w:t>
            </w:r>
            <w:r>
              <w:rPr>
                <w:rFonts w:hint="eastAsia" w:ascii="宋体" w:hAnsi="宋体" w:eastAsia="宋体" w:cs="Times New Roman"/>
                <w:color w:val="auto"/>
                <w:sz w:val="21"/>
                <w:szCs w:val="21"/>
                <w:highlight w:val="none"/>
                <w:lang w:val="en-US" w:eastAsia="zh-CN"/>
              </w:rPr>
              <w:t>泛光灯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40个</w:t>
            </w:r>
          </w:p>
        </w:tc>
        <w:tc>
          <w:tcPr>
            <w:tcW w:w="19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1.额定功率：1</w:t>
            </w:r>
            <w:r>
              <w:rPr>
                <w:rFonts w:hint="eastAsia"/>
                <w:color w:val="auto"/>
                <w:highlight w:val="none"/>
              </w:rPr>
              <w:t>50W</w:t>
            </w:r>
          </w:p>
          <w:p>
            <w:pPr>
              <w:pStyle w:val="2"/>
              <w:ind w:left="0" w:leftChars="0" w:firstLine="0" w:firstLineChars="0"/>
              <w:jc w:val="left"/>
              <w:rPr>
                <w:rFonts w:hint="eastAsia"/>
                <w:color w:val="auto"/>
                <w:highlight w:val="none"/>
                <w:lang w:val="en-US" w:eastAsia="zh-CN"/>
              </w:rPr>
            </w:pPr>
            <w:r>
              <w:rPr>
                <w:rFonts w:hint="eastAsia"/>
                <w:color w:val="auto"/>
                <w:highlight w:val="none"/>
                <w:lang w:val="en-US" w:eastAsia="zh-CN"/>
              </w:rPr>
              <w:t>2.输入电压：220V</w:t>
            </w:r>
          </w:p>
          <w:p>
            <w:pPr>
              <w:numPr>
                <w:ilvl w:val="0"/>
                <w:numId w:val="0"/>
              </w:numP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3.光效&gt;140</w:t>
            </w:r>
            <w:r>
              <w:rPr>
                <w:rFonts w:hint="eastAsia" w:ascii="宋体" w:hAnsi="宋体" w:eastAsia="宋体" w:cs="宋体"/>
                <w:bCs/>
                <w:color w:val="auto"/>
                <w:kern w:val="0"/>
                <w:szCs w:val="21"/>
                <w:highlight w:val="none"/>
              </w:rPr>
              <w:t>Lm/w</w:t>
            </w:r>
            <w:r>
              <w:rPr>
                <w:rFonts w:hint="eastAsia"/>
                <w:color w:val="auto"/>
                <w:highlight w:val="none"/>
                <w:lang w:val="en-US" w:eastAsia="zh-CN"/>
              </w:rPr>
              <w:t>，竞标时需提供国家认可的</w:t>
            </w:r>
            <w:r>
              <w:rPr>
                <w:rFonts w:hint="eastAsia"/>
                <w:color w:val="auto"/>
                <w:highlight w:val="none"/>
                <w:lang w:eastAsia="zh-CN"/>
              </w:rPr>
              <w:t>检测机构出具的有效的检测报告</w:t>
            </w:r>
            <w:r>
              <w:rPr>
                <w:rFonts w:hint="eastAsia"/>
                <w:color w:val="auto"/>
                <w:highlight w:val="none"/>
                <w:lang w:val="en-US" w:eastAsia="zh-CN"/>
              </w:rPr>
              <w:t>，否则竞标无效。</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4.光源使用寿命</w:t>
            </w:r>
            <w:r>
              <w:rPr>
                <w:rFonts w:hint="default"/>
                <w:color w:val="auto"/>
                <w:highlight w:val="none"/>
                <w:lang w:val="en-US" w:eastAsia="zh-CN"/>
              </w:rPr>
              <w:t>≥</w:t>
            </w:r>
            <w:r>
              <w:rPr>
                <w:rFonts w:hint="eastAsia"/>
                <w:color w:val="auto"/>
                <w:highlight w:val="none"/>
                <w:lang w:val="en-US" w:eastAsia="zh-CN"/>
              </w:rPr>
              <w:t>50000小时</w:t>
            </w:r>
          </w:p>
          <w:p>
            <w:pPr>
              <w:rPr>
                <w:rFonts w:hint="eastAsia"/>
                <w:color w:val="auto"/>
                <w:highlight w:val="none"/>
                <w:lang w:val="en-US" w:eastAsia="zh-CN"/>
              </w:rPr>
            </w:pPr>
            <w:r>
              <w:rPr>
                <w:rFonts w:hint="eastAsia"/>
                <w:color w:val="auto"/>
                <w:highlight w:val="none"/>
                <w:lang w:val="en-US" w:eastAsia="zh-CN"/>
              </w:rPr>
              <w:t>5.</w:t>
            </w:r>
            <w:r>
              <w:rPr>
                <w:rFonts w:hint="eastAsia"/>
                <w:color w:val="auto"/>
                <w:highlight w:val="none"/>
                <w:lang w:eastAsia="zh-CN"/>
              </w:rPr>
              <w:t>防护等级</w:t>
            </w:r>
            <w:r>
              <w:rPr>
                <w:rFonts w:hint="eastAsia"/>
                <w:color w:val="auto"/>
                <w:highlight w:val="none"/>
                <w:lang w:val="en-US" w:eastAsia="zh-CN"/>
              </w:rPr>
              <w:t>IP66</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7.色温：暖白光4000-5000K</w:t>
            </w:r>
          </w:p>
          <w:p>
            <w:pPr>
              <w:rPr>
                <w:rFonts w:hint="eastAsia"/>
                <w:color w:val="auto"/>
                <w:highlight w:val="none"/>
              </w:rPr>
            </w:pPr>
            <w:r>
              <w:rPr>
                <w:rFonts w:hint="eastAsia"/>
                <w:color w:val="auto"/>
                <w:highlight w:val="none"/>
                <w:lang w:val="en-US" w:eastAsia="zh-CN"/>
              </w:rPr>
              <w:t>8.灯具材质：铝合金9.颜色：铝合金原色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交流接触器</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1.220V</w:t>
            </w:r>
            <w:r>
              <w:rPr>
                <w:rFonts w:hint="eastAsia" w:ascii="宋体" w:hAnsi="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线圈</w:t>
            </w:r>
            <w:r>
              <w:rPr>
                <w:rFonts w:hint="eastAsia" w:ascii="宋体" w:hAnsi="宋体" w:cs="Times New Roman"/>
                <w:color w:val="auto"/>
                <w:sz w:val="21"/>
                <w:szCs w:val="21"/>
                <w:highlight w:val="none"/>
                <w:lang w:val="en-US" w:eastAsia="zh-CN"/>
              </w:rPr>
              <w:t xml:space="preserve">吸合电压）50HZ </w:t>
            </w:r>
          </w:p>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额定</w:t>
            </w:r>
            <w:r>
              <w:rPr>
                <w:rFonts w:hint="eastAsia" w:ascii="宋体" w:hAnsi="宋体" w:cs="Times New Roman"/>
                <w:color w:val="auto"/>
                <w:sz w:val="21"/>
                <w:szCs w:val="21"/>
                <w:highlight w:val="none"/>
                <w:lang w:val="en-US" w:eastAsia="zh-CN"/>
              </w:rPr>
              <w:t>电流</w:t>
            </w:r>
            <w:r>
              <w:rPr>
                <w:rFonts w:hint="eastAsia" w:ascii="宋体" w:hAnsi="宋体" w:eastAsia="宋体" w:cs="Times New Roman"/>
                <w:color w:val="auto"/>
                <w:sz w:val="21"/>
                <w:szCs w:val="21"/>
                <w:highlight w:val="none"/>
                <w:lang w:val="en-US" w:eastAsia="zh-CN"/>
              </w:rPr>
              <w:t>100A</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铜芯电缆</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900米</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eastAsia="宋体"/>
                <w:color w:val="auto"/>
                <w:highlight w:val="none"/>
                <w:vertAlign w:val="superscript"/>
                <w:lang w:val="en-US" w:eastAsia="zh-CN"/>
              </w:rPr>
            </w:pPr>
            <w:r>
              <w:rPr>
                <w:rFonts w:hint="eastAsia"/>
                <w:color w:val="auto"/>
                <w:highlight w:val="none"/>
                <w:lang w:val="en-US" w:eastAsia="zh-CN"/>
              </w:rPr>
              <w:t>1</w:t>
            </w:r>
            <w:r>
              <w:rPr>
                <w:rFonts w:hint="eastAsia"/>
                <w:color w:val="auto"/>
                <w:highlight w:val="none"/>
                <w:lang w:val="en-US" w:eastAsia="zh-CN"/>
              </w:rPr>
              <w:t>.规格</w:t>
            </w:r>
            <w:r>
              <w:rPr>
                <w:rFonts w:hint="eastAsia"/>
                <w:color w:val="auto"/>
                <w:highlight w:val="none"/>
                <w:lang w:val="en-US" w:eastAsia="zh-CN"/>
              </w:rPr>
              <w:t>：国标YJV4*16</w:t>
            </w:r>
            <w:r>
              <w:rPr>
                <w:rFonts w:hint="eastAsia"/>
                <w:color w:val="auto"/>
                <w:highlight w:val="none"/>
              </w:rPr>
              <w:t>㎜</w:t>
            </w:r>
            <w:r>
              <w:rPr>
                <w:rFonts w:hint="eastAsia"/>
                <w:color w:val="auto"/>
                <w:highlight w:val="none"/>
                <w:vertAlign w:val="superscript"/>
                <w:lang w:val="en-US" w:eastAsia="zh-CN"/>
              </w:rPr>
              <w:t>2</w:t>
            </w:r>
          </w:p>
          <w:p>
            <w:pPr>
              <w:pStyle w:val="2"/>
              <w:numPr>
                <w:ilvl w:val="0"/>
                <w:numId w:val="0"/>
              </w:numPr>
              <w:ind w:left="0" w:leftChars="0" w:firstLine="0" w:firstLineChars="0"/>
              <w:rPr>
                <w:rFonts w:hint="eastAsia"/>
                <w:color w:val="auto"/>
                <w:highlight w:val="none"/>
                <w:lang w:val="en-US" w:eastAsia="zh-CN"/>
              </w:rPr>
            </w:pPr>
            <w:r>
              <w:rPr>
                <w:rFonts w:hint="eastAsia"/>
                <w:color w:val="auto"/>
                <w:highlight w:val="none"/>
                <w:lang w:val="en-US" w:eastAsia="zh-CN"/>
              </w:rPr>
              <w:t>2.绝缘电压等级：300/500V</w:t>
            </w:r>
          </w:p>
          <w:p>
            <w:pPr>
              <w:pStyle w:val="2"/>
              <w:numPr>
                <w:ilvl w:val="0"/>
                <w:numId w:val="0"/>
              </w:numPr>
              <w:ind w:left="0" w:leftChars="0" w:firstLine="0" w:firstLineChars="0"/>
              <w:rPr>
                <w:rFonts w:hint="default"/>
                <w:color w:val="auto"/>
                <w:highlight w:val="none"/>
                <w:lang w:val="en-US" w:eastAsia="zh-CN"/>
              </w:rPr>
            </w:pPr>
            <w:r>
              <w:rPr>
                <w:rFonts w:hint="eastAsia"/>
                <w:color w:val="auto"/>
                <w:highlight w:val="none"/>
                <w:lang w:val="en-US" w:eastAsia="zh-CN"/>
              </w:rPr>
              <w:t>3.供货时提供：合格证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64000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9</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铜芯电缆</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600米</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eastAsia="宋体"/>
                <w:color w:val="auto"/>
                <w:highlight w:val="none"/>
                <w:vertAlign w:val="superscript"/>
                <w:lang w:val="en-US" w:eastAsia="zh-CN"/>
              </w:rPr>
            </w:pPr>
            <w:r>
              <w:rPr>
                <w:rFonts w:hint="eastAsia"/>
                <w:color w:val="auto"/>
                <w:highlight w:val="none"/>
                <w:lang w:val="en-US" w:eastAsia="zh-CN"/>
              </w:rPr>
              <w:t>1.规格</w:t>
            </w:r>
            <w:r>
              <w:rPr>
                <w:rFonts w:hint="eastAsia"/>
                <w:color w:val="auto"/>
                <w:highlight w:val="none"/>
                <w:lang w:val="en-US" w:eastAsia="zh-CN"/>
              </w:rPr>
              <w:t>：国标YJV4*10</w:t>
            </w:r>
            <w:r>
              <w:rPr>
                <w:rFonts w:hint="eastAsia"/>
                <w:color w:val="auto"/>
                <w:highlight w:val="none"/>
              </w:rPr>
              <w:t>㎜</w:t>
            </w:r>
            <w:r>
              <w:rPr>
                <w:rFonts w:hint="eastAsia"/>
                <w:color w:val="auto"/>
                <w:highlight w:val="none"/>
                <w:vertAlign w:val="superscript"/>
                <w:lang w:val="en-US" w:eastAsia="zh-CN"/>
              </w:rPr>
              <w:t>2</w:t>
            </w:r>
          </w:p>
          <w:p>
            <w:pPr>
              <w:pStyle w:val="2"/>
              <w:numPr>
                <w:ilvl w:val="0"/>
                <w:numId w:val="0"/>
              </w:numPr>
              <w:ind w:leftChars="0"/>
              <w:rPr>
                <w:rFonts w:hint="eastAsia"/>
                <w:color w:val="auto"/>
                <w:highlight w:val="none"/>
                <w:lang w:val="en-US" w:eastAsia="zh-CN"/>
              </w:rPr>
            </w:pPr>
            <w:r>
              <w:rPr>
                <w:rFonts w:hint="eastAsia"/>
                <w:color w:val="auto"/>
                <w:highlight w:val="none"/>
                <w:lang w:val="en-US" w:eastAsia="zh-CN"/>
              </w:rPr>
              <w:t>2.绝缘电压等级：300/500V</w:t>
            </w:r>
          </w:p>
          <w:p>
            <w:pPr>
              <w:rPr>
                <w:color w:val="auto"/>
                <w:highlight w:val="none"/>
                <w:lang w:val="en-US" w:eastAsia="zh-CN"/>
              </w:rPr>
            </w:pPr>
            <w:r>
              <w:rPr>
                <w:rFonts w:hint="eastAsia"/>
                <w:color w:val="auto"/>
                <w:highlight w:val="none"/>
                <w:lang w:val="en-US" w:eastAsia="zh-CN"/>
              </w:rPr>
              <w:t>3.供货时提供：合格证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p>
          <w:p>
            <w:pPr>
              <w:pStyle w:val="2"/>
              <w:rPr>
                <w:rFonts w:hint="eastAsia"/>
                <w:color w:val="auto"/>
                <w:highlight w:val="none"/>
              </w:rPr>
            </w:pPr>
          </w:p>
          <w:p>
            <w:pPr>
              <w:rPr>
                <w:rFonts w:hint="eastAsia"/>
                <w:color w:val="auto"/>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铜芯电缆</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400米</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规格</w:t>
            </w:r>
            <w:r>
              <w:rPr>
                <w:rFonts w:hint="eastAsia"/>
                <w:color w:val="auto"/>
                <w:highlight w:val="none"/>
                <w:lang w:val="en-US" w:eastAsia="zh-CN"/>
              </w:rPr>
              <w:t>：国标YJV4*6</w:t>
            </w:r>
            <w:r>
              <w:rPr>
                <w:rFonts w:hint="eastAsia"/>
                <w:color w:val="auto"/>
                <w:highlight w:val="none"/>
              </w:rPr>
              <w:t>㎜</w:t>
            </w:r>
            <w:r>
              <w:rPr>
                <w:rFonts w:hint="eastAsia"/>
                <w:color w:val="auto"/>
                <w:highlight w:val="none"/>
                <w:vertAlign w:val="superscript"/>
                <w:lang w:val="en-US" w:eastAsia="zh-CN"/>
              </w:rPr>
              <w:t>2</w:t>
            </w:r>
          </w:p>
          <w:p>
            <w:pPr>
              <w:keepNext w:val="0"/>
              <w:keepLines w:val="0"/>
              <w:pageBreakBefore w:val="0"/>
              <w:numPr>
                <w:ilvl w:val="0"/>
                <w:numId w:val="0"/>
              </w:numPr>
              <w:kinsoku/>
              <w:wordWrap/>
              <w:overflowPunct/>
              <w:topLinePunct w:val="0"/>
              <w:autoSpaceDE/>
              <w:autoSpaceDN/>
              <w:bidi w:val="0"/>
              <w:spacing w:line="240" w:lineRule="auto"/>
              <w:rPr>
                <w:rFonts w:hint="default"/>
                <w:color w:val="auto"/>
                <w:highlight w:val="none"/>
                <w:lang w:val="en-US" w:eastAsia="zh-CN"/>
              </w:rPr>
            </w:pPr>
            <w:r>
              <w:rPr>
                <w:rFonts w:hint="eastAsia"/>
                <w:color w:val="auto"/>
                <w:highlight w:val="none"/>
                <w:lang w:val="en-US" w:eastAsia="zh-CN"/>
              </w:rPr>
              <w:t>2.绝缘电压等级：300/500V</w:t>
            </w:r>
          </w:p>
          <w:p>
            <w:pPr>
              <w:rPr>
                <w:rFonts w:hint="eastAsia"/>
                <w:color w:val="auto"/>
                <w:highlight w:val="none"/>
              </w:rPr>
            </w:pPr>
            <w:r>
              <w:rPr>
                <w:rFonts w:hint="eastAsia"/>
                <w:color w:val="auto"/>
                <w:highlight w:val="none"/>
                <w:lang w:val="en-US" w:eastAsia="zh-CN"/>
              </w:rPr>
              <w:t>3.供货时提供：合格证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p>
          <w:p>
            <w:pPr>
              <w:pStyle w:val="2"/>
              <w:rPr>
                <w:rFonts w:hint="eastAsia"/>
                <w:color w:val="auto"/>
                <w:highlight w:val="none"/>
              </w:rPr>
            </w:pPr>
          </w:p>
          <w:p>
            <w:pPr>
              <w:rPr>
                <w:rFonts w:hint="eastAsia"/>
                <w:color w:val="auto"/>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11</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断路器</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60个</w:t>
            </w:r>
          </w:p>
        </w:tc>
        <w:tc>
          <w:tcPr>
            <w:tcW w:w="1968" w:type="dxa"/>
            <w:tcBorders>
              <w:top w:val="single" w:color="auto" w:sz="4" w:space="0"/>
              <w:left w:val="single" w:color="auto" w:sz="4" w:space="0"/>
              <w:bottom w:val="single" w:color="auto" w:sz="4" w:space="0"/>
              <w:right w:val="single" w:color="auto" w:sz="4" w:space="0"/>
            </w:tcBorders>
            <w:vAlign w:val="center"/>
          </w:tcPr>
          <w:p>
            <w:pPr>
              <w:pStyle w:val="2"/>
              <w:numPr>
                <w:ilvl w:val="0"/>
                <w:numId w:val="0"/>
              </w:numPr>
              <w:rPr>
                <w:rFonts w:hint="default"/>
                <w:color w:val="auto"/>
                <w:highlight w:val="none"/>
                <w:lang w:val="en-US" w:eastAsia="zh-CN"/>
              </w:rPr>
            </w:pPr>
            <w:r>
              <w:rPr>
                <w:rFonts w:hint="eastAsia"/>
                <w:color w:val="auto"/>
                <w:highlight w:val="none"/>
                <w:lang w:val="en-US" w:eastAsia="zh-CN"/>
              </w:rPr>
              <w:t>1.额定电压：400V50HZ</w:t>
            </w:r>
          </w:p>
          <w:p>
            <w:pPr>
              <w:rPr>
                <w:rFonts w:hint="eastAsia"/>
                <w:color w:val="auto"/>
                <w:highlight w:val="none"/>
                <w:lang w:val="en-US" w:eastAsia="zh-CN"/>
              </w:rPr>
            </w:pPr>
            <w:r>
              <w:rPr>
                <w:rFonts w:hint="eastAsia"/>
                <w:color w:val="auto"/>
                <w:highlight w:val="none"/>
                <w:lang w:val="en-US" w:eastAsia="zh-CN"/>
              </w:rPr>
              <w:t>2..额定电流：60A</w:t>
            </w:r>
          </w:p>
          <w:p>
            <w:pPr>
              <w:pStyle w:val="2"/>
              <w:ind w:left="0" w:leftChars="0" w:firstLine="0" w:firstLineChars="0"/>
              <w:rPr>
                <w:rFonts w:hint="default"/>
                <w:color w:val="auto"/>
                <w:highlight w:val="none"/>
                <w:lang w:val="en-US" w:eastAsia="zh-CN"/>
              </w:rPr>
            </w:pPr>
            <w:r>
              <w:rPr>
                <w:rFonts w:hint="eastAsia"/>
                <w:color w:val="auto"/>
                <w:highlight w:val="none"/>
                <w:lang w:val="en-US" w:eastAsia="zh-CN"/>
              </w:rPr>
              <w:t>3.额定剩余不动作电流：15mA</w:t>
            </w:r>
          </w:p>
          <w:p>
            <w:pPr>
              <w:rPr>
                <w:color w:val="auto"/>
                <w:highlight w:val="none"/>
                <w:lang w:val="en-US" w:eastAsia="zh-CN"/>
              </w:rPr>
            </w:pPr>
            <w:r>
              <w:rPr>
                <w:rFonts w:hint="eastAsia"/>
                <w:color w:val="auto"/>
                <w:highlight w:val="none"/>
                <w:lang w:val="en-US" w:eastAsia="zh-CN"/>
              </w:rPr>
              <w:t>4.额定剩余动作电流：30mA</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5700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指针式万用表</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4个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MF-47</w:t>
            </w:r>
          </w:p>
          <w:p>
            <w:pPr>
              <w:pStyle w:val="2"/>
              <w:numPr>
                <w:ilvl w:val="0"/>
                <w:numId w:val="0"/>
              </w:numPr>
              <w:rPr>
                <w:rFonts w:eastAsia="宋体"/>
                <w:color w:val="auto"/>
                <w:highlight w:val="none"/>
                <w:lang w:val="en-US" w:eastAsia="zh-CN"/>
              </w:rPr>
            </w:pPr>
            <w:r>
              <w:rPr>
                <w:rFonts w:hint="eastAsia"/>
                <w:color w:val="auto"/>
                <w:highlight w:val="none"/>
                <w:lang w:val="en-US" w:eastAsia="zh-CN"/>
              </w:rPr>
              <w:t>2.符合国家标准</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320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13</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路灯井盖</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1.规格600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*40</w:t>
            </w:r>
            <w:r>
              <w:rPr>
                <w:rFonts w:hint="eastAsia" w:ascii="宋体" w:hAnsi="宋体" w:eastAsia="宋体" w:cs="宋体"/>
                <w:color w:val="auto"/>
                <w:highlight w:val="none"/>
              </w:rPr>
              <w:t>㎜</w:t>
            </w:r>
          </w:p>
          <w:p>
            <w:pPr>
              <w:pStyle w:val="2"/>
              <w:ind w:left="0" w:leftChars="0" w:firstLine="0" w:firstLineChars="0"/>
              <w:rPr>
                <w:color w:val="auto"/>
                <w:highlight w:val="none"/>
                <w:lang w:val="en-US"/>
              </w:rPr>
            </w:pPr>
            <w:r>
              <w:rPr>
                <w:rFonts w:hint="eastAsia" w:ascii="宋体" w:hAnsi="宋体" w:eastAsia="宋体" w:cs="Times New Roman"/>
                <w:color w:val="auto"/>
                <w:sz w:val="21"/>
                <w:szCs w:val="21"/>
                <w:highlight w:val="none"/>
                <w:lang w:val="en-US" w:eastAsia="zh-CN"/>
              </w:rPr>
              <w:t>2.材质：玻璃钢</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1740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14</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路灯井盖</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10个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1.1000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*500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autoSpaceDN/>
              <w:bidi w:val="0"/>
              <w:spacing w:line="240" w:lineRule="auto"/>
              <w:rPr>
                <w:color w:val="auto"/>
                <w:highlight w:val="none"/>
                <w:lang w:val="en-US"/>
              </w:rPr>
            </w:pPr>
            <w:r>
              <w:rPr>
                <w:rFonts w:hint="eastAsia" w:ascii="宋体" w:hAnsi="宋体" w:eastAsia="宋体" w:cs="Times New Roman"/>
                <w:color w:val="auto"/>
                <w:sz w:val="21"/>
                <w:szCs w:val="21"/>
                <w:highlight w:val="none"/>
                <w:lang w:val="en-US" w:eastAsia="zh-CN"/>
              </w:rPr>
              <w:t>2.材质：玻璃钢</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15</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铜接线管</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200个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autoSpaceDE/>
              <w:autoSpaceDN/>
              <w:bidi w:val="0"/>
              <w:spacing w:line="240" w:lineRule="auto"/>
              <w:rPr>
                <w:color w:val="auto"/>
                <w:highlight w:val="none"/>
              </w:rPr>
            </w:pPr>
            <w:r>
              <w:rPr>
                <w:rFonts w:hint="eastAsia" w:ascii="宋体" w:hAnsi="宋体" w:cs="Times New Roman"/>
                <w:color w:val="auto"/>
                <w:sz w:val="21"/>
                <w:szCs w:val="21"/>
                <w:highlight w:val="none"/>
                <w:lang w:val="en-US" w:eastAsia="zh-CN"/>
              </w:rPr>
              <w:t>规格：</w:t>
            </w:r>
            <w:r>
              <w:rPr>
                <w:rFonts w:hint="eastAsia" w:ascii="宋体" w:hAnsi="宋体" w:eastAsia="宋体" w:cs="Times New Roman"/>
                <w:color w:val="auto"/>
                <w:sz w:val="21"/>
                <w:szCs w:val="21"/>
                <w:highlight w:val="none"/>
                <w:lang w:val="en-US" w:eastAsia="zh-CN"/>
              </w:rPr>
              <w:t>35mm²</w:t>
            </w:r>
          </w:p>
          <w:p>
            <w:pPr>
              <w:pStyle w:val="2"/>
              <w:numPr>
                <w:ilvl w:val="0"/>
                <w:numId w:val="0"/>
              </w:numPr>
              <w:rPr>
                <w:rFonts w:hint="default"/>
                <w:color w:val="auto"/>
                <w:highlight w:val="none"/>
                <w:lang w:val="en-US" w:eastAsia="zh-CN"/>
              </w:rPr>
            </w:pPr>
            <w:r>
              <w:rPr>
                <w:rFonts w:hint="eastAsia"/>
                <w:color w:val="auto"/>
                <w:highlight w:val="none"/>
                <w:lang w:val="en-US" w:eastAsia="zh-CN"/>
              </w:rPr>
              <w:t>2.铜厚度</w:t>
            </w:r>
            <w:r>
              <w:rPr>
                <w:rFonts w:hint="default" w:ascii="Arial" w:hAnsi="Arial" w:cs="Arial"/>
                <w:color w:val="auto"/>
                <w:highlight w:val="none"/>
                <w:lang w:val="en-US" w:eastAsia="zh-CN"/>
              </w:rPr>
              <w:t>≥</w:t>
            </w:r>
            <w:r>
              <w:rPr>
                <w:rFonts w:hint="eastAsia"/>
                <w:color w:val="auto"/>
                <w:highlight w:val="none"/>
                <w:lang w:val="en-US" w:eastAsia="zh-CN"/>
              </w:rPr>
              <w:t>2</w:t>
            </w:r>
            <w:r>
              <w:rPr>
                <w:rFonts w:hint="eastAsia" w:ascii="宋体" w:hAnsi="宋体" w:eastAsia="宋体" w:cs="宋体"/>
                <w:color w:val="auto"/>
                <w:highlight w:val="none"/>
                <w:lang w:val="en-US" w:eastAsia="zh-CN"/>
              </w:rPr>
              <w:t>㎜</w:t>
            </w:r>
          </w:p>
          <w:p>
            <w:pPr>
              <w:pStyle w:val="2"/>
              <w:ind w:left="0" w:leftChars="0" w:firstLine="0" w:firstLineChars="0"/>
              <w:rPr>
                <w:color w:val="auto"/>
                <w:highlight w:val="none"/>
                <w:lang w:val="en-US"/>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符合国家标准</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16</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铜接线管</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300个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kinsoku/>
              <w:wordWrap/>
              <w:overflowPunct/>
              <w:topLinePunct w:val="0"/>
              <w:autoSpaceDE/>
              <w:autoSpaceDN/>
              <w:bidi w:val="0"/>
              <w:spacing w:line="240" w:lineRule="auto"/>
              <w:rPr>
                <w:color w:val="auto"/>
                <w:highlight w:val="none"/>
              </w:rPr>
            </w:pPr>
            <w:r>
              <w:rPr>
                <w:rFonts w:hint="eastAsia" w:ascii="宋体" w:hAnsi="宋体" w:cs="Times New Roman"/>
                <w:color w:val="auto"/>
                <w:sz w:val="21"/>
                <w:szCs w:val="21"/>
                <w:highlight w:val="none"/>
                <w:lang w:val="en-US" w:eastAsia="zh-CN"/>
              </w:rPr>
              <w:t>规格：</w:t>
            </w:r>
            <w:r>
              <w:rPr>
                <w:rFonts w:hint="eastAsia" w:ascii="宋体" w:hAnsi="宋体" w:eastAsia="宋体" w:cs="Times New Roman"/>
                <w:color w:val="auto"/>
                <w:sz w:val="21"/>
                <w:szCs w:val="21"/>
                <w:highlight w:val="none"/>
                <w:lang w:val="en-US" w:eastAsia="zh-CN"/>
              </w:rPr>
              <w:t>25mm²</w:t>
            </w:r>
          </w:p>
          <w:p>
            <w:pPr>
              <w:pStyle w:val="2"/>
              <w:numPr>
                <w:ilvl w:val="0"/>
                <w:numId w:val="0"/>
              </w:numPr>
              <w:rPr>
                <w:rFonts w:hint="default"/>
                <w:color w:val="auto"/>
                <w:highlight w:val="none"/>
                <w:lang w:val="en-US" w:eastAsia="zh-CN"/>
              </w:rPr>
            </w:pPr>
            <w:r>
              <w:rPr>
                <w:rFonts w:hint="eastAsia"/>
                <w:color w:val="auto"/>
                <w:highlight w:val="none"/>
                <w:lang w:val="en-US" w:eastAsia="zh-CN"/>
              </w:rPr>
              <w:t>2.铜厚度</w:t>
            </w:r>
            <w:r>
              <w:rPr>
                <w:rFonts w:hint="default" w:ascii="Arial" w:hAnsi="Arial" w:cs="Arial"/>
                <w:color w:val="auto"/>
                <w:highlight w:val="none"/>
                <w:lang w:val="en-US" w:eastAsia="zh-CN"/>
              </w:rPr>
              <w:t>≥</w:t>
            </w:r>
            <w:r>
              <w:rPr>
                <w:rFonts w:hint="eastAsia"/>
                <w:color w:val="auto"/>
                <w:highlight w:val="none"/>
                <w:lang w:val="en-US" w:eastAsia="zh-CN"/>
              </w:rPr>
              <w:t>2</w:t>
            </w:r>
            <w:r>
              <w:rPr>
                <w:rFonts w:hint="eastAsia" w:ascii="宋体" w:hAnsi="宋体" w:eastAsia="宋体" w:cs="宋体"/>
                <w:color w:val="auto"/>
                <w:highlight w:val="none"/>
                <w:lang w:val="en-US" w:eastAsia="zh-CN"/>
              </w:rPr>
              <w:t>㎜</w:t>
            </w:r>
          </w:p>
          <w:p>
            <w:pPr>
              <w:pStyle w:val="2"/>
              <w:ind w:left="0" w:leftChars="0" w:firstLine="0" w:firstLineChars="0"/>
              <w:rPr>
                <w:color w:val="auto"/>
                <w:highlight w:val="none"/>
                <w:lang w:val="en-US"/>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.符合国家标准</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1140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17</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铜接线管</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300个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5"/>
              </w:numPr>
              <w:kinsoku/>
              <w:wordWrap/>
              <w:overflowPunct/>
              <w:topLinePunct w:val="0"/>
              <w:autoSpaceDE/>
              <w:autoSpaceDN/>
              <w:bidi w:val="0"/>
              <w:spacing w:line="240" w:lineRule="auto"/>
              <w:rPr>
                <w:color w:val="auto"/>
                <w:highlight w:val="none"/>
              </w:rPr>
            </w:pPr>
            <w:r>
              <w:rPr>
                <w:rFonts w:hint="eastAsia" w:ascii="宋体" w:hAnsi="宋体" w:cs="Times New Roman"/>
                <w:color w:val="auto"/>
                <w:sz w:val="21"/>
                <w:szCs w:val="21"/>
                <w:highlight w:val="none"/>
                <w:lang w:val="en-US" w:eastAsia="zh-CN"/>
              </w:rPr>
              <w:t>规格：</w:t>
            </w:r>
            <w:r>
              <w:rPr>
                <w:rFonts w:hint="eastAsia" w:ascii="宋体" w:hAnsi="宋体" w:eastAsia="宋体" w:cs="Times New Roman"/>
                <w:color w:val="auto"/>
                <w:sz w:val="21"/>
                <w:szCs w:val="21"/>
                <w:highlight w:val="none"/>
                <w:lang w:val="en-US" w:eastAsia="zh-CN"/>
              </w:rPr>
              <w:t>16mm²</w:t>
            </w:r>
          </w:p>
          <w:p>
            <w:pPr>
              <w:pStyle w:val="2"/>
              <w:numPr>
                <w:ilvl w:val="0"/>
                <w:numId w:val="0"/>
              </w:numPr>
              <w:rPr>
                <w:rFonts w:hint="default"/>
                <w:color w:val="auto"/>
                <w:highlight w:val="none"/>
                <w:lang w:val="en-US" w:eastAsia="zh-CN"/>
              </w:rPr>
            </w:pPr>
            <w:r>
              <w:rPr>
                <w:rFonts w:hint="eastAsia"/>
                <w:color w:val="auto"/>
                <w:highlight w:val="none"/>
                <w:lang w:val="en-US" w:eastAsia="zh-CN"/>
              </w:rPr>
              <w:t>2.铜厚度</w:t>
            </w:r>
            <w:r>
              <w:rPr>
                <w:rFonts w:hint="default" w:ascii="Arial" w:hAnsi="Arial" w:cs="Arial"/>
                <w:color w:val="auto"/>
                <w:highlight w:val="none"/>
                <w:lang w:val="en-US" w:eastAsia="zh-CN"/>
              </w:rPr>
              <w:t>≥</w:t>
            </w:r>
            <w:r>
              <w:rPr>
                <w:rFonts w:hint="eastAsia"/>
                <w:color w:val="auto"/>
                <w:highlight w:val="none"/>
                <w:lang w:val="en-US" w:eastAsia="zh-CN"/>
              </w:rPr>
              <w:t>2</w:t>
            </w:r>
            <w:r>
              <w:rPr>
                <w:rFonts w:hint="eastAsia" w:ascii="宋体" w:hAnsi="宋体" w:eastAsia="宋体" w:cs="宋体"/>
                <w:color w:val="auto"/>
                <w:highlight w:val="none"/>
                <w:lang w:val="en-US" w:eastAsia="zh-CN"/>
              </w:rPr>
              <w:t>㎜</w:t>
            </w:r>
          </w:p>
          <w:p>
            <w:pPr>
              <w:pStyle w:val="2"/>
              <w:ind w:left="0" w:leftChars="0" w:firstLine="0" w:firstLineChars="0"/>
              <w:rPr>
                <w:color w:val="auto"/>
                <w:highlight w:val="none"/>
                <w:lang w:val="en-US"/>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.符合国家标准</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840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乳化沥青冷底油</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4桶</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/桶</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19</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改性沥青冷补料</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60袋</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25KG/袋</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2400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水泥</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60包</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1.国标42.5MPa硅酸盐50Kg</w:t>
            </w:r>
          </w:p>
          <w:p>
            <w:pPr>
              <w:pStyle w:val="2"/>
              <w:ind w:left="0" w:leftChars="0" w:firstLine="0" w:firstLineChars="0"/>
              <w:rPr>
                <w:color w:val="auto"/>
                <w:highlight w:val="none"/>
                <w:lang w:val="en-US"/>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采</w:t>
            </w:r>
            <w:r>
              <w:rPr>
                <w:rFonts w:hint="eastAsia" w:ascii="宋体" w:hAnsi="宋体" w:eastAsia="宋体" w:cs="Times New Roman"/>
                <w:color w:val="auto"/>
                <w:sz w:val="21"/>
                <w:szCs w:val="21"/>
                <w:highlight w:val="none"/>
                <w:lang w:val="en-US" w:eastAsia="zh-CN"/>
              </w:rPr>
              <w:t>购人分批次自取</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21</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中沙</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宋体"/>
                <w:color w:val="auto"/>
                <w:sz w:val="21"/>
                <w:szCs w:val="21"/>
                <w:highlight w:val="none"/>
                <w:vertAlign w:val="superscript"/>
                <w:lang w:val="en-US"/>
              </w:rPr>
            </w:pPr>
            <w:r>
              <w:rPr>
                <w:rFonts w:hint="eastAsia" w:ascii="宋体" w:hAnsi="宋体" w:eastAsia="宋体" w:cs="Times New Roman"/>
                <w:color w:val="auto"/>
                <w:sz w:val="21"/>
                <w:szCs w:val="21"/>
                <w:highlight w:val="none"/>
                <w:lang w:val="en-US" w:eastAsia="zh-CN"/>
              </w:rPr>
              <w:t>20方</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color w:val="auto"/>
                <w:sz w:val="21"/>
                <w:szCs w:val="21"/>
                <w:highlight w:val="none"/>
                <w:lang w:val="en-US" w:eastAsia="zh-CN"/>
              </w:rPr>
              <w:t>采购人指定地点（含装卸）</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22</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铜芯电缆</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500米</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default" w:ascii="宋体" w:hAnsi="宋体" w:eastAsia="宋体" w:cs="Times New Roman"/>
                <w:color w:val="auto"/>
                <w:sz w:val="21"/>
                <w:szCs w:val="21"/>
                <w:highlight w:val="none"/>
                <w:vertAlign w:val="superscript"/>
                <w:lang w:val="en-US" w:eastAsia="zh-CN"/>
              </w:rPr>
            </w:pPr>
            <w:r>
              <w:rPr>
                <w:rFonts w:hint="eastAsia" w:ascii="宋体" w:hAnsi="宋体" w:cs="Times New Roman"/>
                <w:color w:val="auto"/>
                <w:sz w:val="21"/>
                <w:szCs w:val="21"/>
                <w:highlight w:val="none"/>
                <w:lang w:val="en-US" w:eastAsia="zh-CN"/>
              </w:rPr>
              <w:t>1.规格</w:t>
            </w:r>
            <w:r>
              <w:rPr>
                <w:rFonts w:hint="eastAsia" w:ascii="宋体" w:hAnsi="宋体" w:eastAsia="宋体" w:cs="Times New Roman"/>
                <w:color w:val="auto"/>
                <w:sz w:val="21"/>
                <w:szCs w:val="21"/>
                <w:highlight w:val="none"/>
                <w:lang w:val="en-US" w:eastAsia="zh-CN"/>
              </w:rPr>
              <w:t>国标KVV</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val="en-US" w:eastAsia="zh-CN"/>
              </w:rPr>
              <w:t>5*1.5</w:t>
            </w:r>
            <w:r>
              <w:rPr>
                <w:rFonts w:hint="eastAsia" w:ascii="宋体" w:hAnsi="宋体" w:eastAsia="宋体" w:cs="宋体"/>
                <w:color w:val="auto"/>
                <w:sz w:val="21"/>
                <w:szCs w:val="21"/>
                <w:highlight w:val="none"/>
                <w:lang w:val="en-US" w:eastAsia="zh-CN"/>
              </w:rPr>
              <w:t>㎜</w:t>
            </w:r>
            <w:r>
              <w:rPr>
                <w:rFonts w:hint="eastAsia" w:ascii="宋体" w:hAnsi="宋体" w:cs="Times New Roman"/>
                <w:color w:val="auto"/>
                <w:sz w:val="21"/>
                <w:szCs w:val="21"/>
                <w:highlight w:val="none"/>
                <w:vertAlign w:val="superscript"/>
                <w:lang w:val="en-US" w:eastAsia="zh-CN"/>
              </w:rPr>
              <w:t>2</w:t>
            </w:r>
          </w:p>
          <w:p>
            <w:pPr>
              <w:pStyle w:val="2"/>
              <w:numPr>
                <w:ilvl w:val="0"/>
                <w:numId w:val="0"/>
              </w:numPr>
              <w:ind w:leftChars="0"/>
              <w:rPr>
                <w:rFonts w:hint="eastAsia" w:ascii="宋体" w:hAnsi="宋体" w:eastAsia="宋体" w:cs="Times New Roman"/>
                <w:color w:val="auto"/>
                <w:sz w:val="21"/>
                <w:szCs w:val="21"/>
                <w:highlight w:val="none"/>
                <w:lang w:val="en-US" w:eastAsia="zh-CN"/>
              </w:rPr>
            </w:pPr>
            <w:r>
              <w:rPr>
                <w:rFonts w:hint="eastAsia"/>
                <w:color w:val="auto"/>
                <w:highlight w:val="none"/>
                <w:lang w:val="en-US" w:eastAsia="zh-CN"/>
              </w:rPr>
              <w:t>2..绝缘电压等级：</w:t>
            </w:r>
            <w:r>
              <w:rPr>
                <w:rFonts w:hint="eastAsia" w:ascii="宋体" w:hAnsi="宋体" w:eastAsia="宋体" w:cs="Times New Roman"/>
                <w:color w:val="auto"/>
                <w:sz w:val="21"/>
                <w:szCs w:val="21"/>
                <w:highlight w:val="none"/>
                <w:lang w:val="en-US" w:eastAsia="zh-CN"/>
              </w:rPr>
              <w:t>300/500V</w:t>
            </w:r>
          </w:p>
          <w:p>
            <w:pPr>
              <w:pStyle w:val="2"/>
              <w:ind w:left="0" w:leftChars="0" w:firstLine="0" w:firstLineChars="0"/>
              <w:rPr>
                <w:rFonts w:hint="default" w:eastAsia="宋体"/>
                <w:color w:val="auto"/>
                <w:highlight w:val="none"/>
                <w:lang w:val="en-US" w:eastAsia="zh-CN"/>
              </w:rPr>
            </w:pPr>
            <w:r>
              <w:rPr>
                <w:rFonts w:hint="eastAsia"/>
                <w:color w:val="auto"/>
                <w:highlight w:val="none"/>
                <w:lang w:val="en-US" w:eastAsia="zh-CN"/>
              </w:rPr>
              <w:t>3.供货时提供：合格证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p>
          <w:p>
            <w:pPr>
              <w:pStyle w:val="2"/>
              <w:rPr>
                <w:rFonts w:hint="eastAsia"/>
                <w:color w:val="auto"/>
                <w:highlight w:val="none"/>
              </w:rPr>
            </w:pPr>
          </w:p>
          <w:p>
            <w:pPr>
              <w:rPr>
                <w:rFonts w:hint="eastAsia"/>
                <w:color w:val="auto"/>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23</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智能型信号机灯板</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12块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6"/>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灯板输入控制电压直流5V </w:t>
            </w:r>
          </w:p>
          <w:p>
            <w:pPr>
              <w:keepNext w:val="0"/>
              <w:keepLines w:val="0"/>
              <w:pageBreakBefore w:val="0"/>
              <w:numPr>
                <w:ilvl w:val="0"/>
                <w:numId w:val="6"/>
              </w:numPr>
              <w:kinsoku/>
              <w:wordWrap/>
              <w:overflowPunct/>
              <w:topLinePunct w:val="0"/>
              <w:autoSpaceDE/>
              <w:autoSpaceDN/>
              <w:bidi w:val="0"/>
              <w:spacing w:line="240" w:lineRule="auto"/>
              <w:ind w:left="0" w:leftChars="0"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灯板输入电压交流220V </w:t>
            </w:r>
          </w:p>
          <w:p>
            <w:pPr>
              <w:keepNext w:val="0"/>
              <w:keepLines w:val="0"/>
              <w:pageBreakBefore w:val="0"/>
              <w:numPr>
                <w:ilvl w:val="0"/>
                <w:numId w:val="6"/>
              </w:numPr>
              <w:kinsoku/>
              <w:wordWrap/>
              <w:overflowPunct/>
              <w:topLinePunct w:val="0"/>
              <w:autoSpaceDE/>
              <w:autoSpaceDN/>
              <w:bidi w:val="0"/>
              <w:spacing w:line="240" w:lineRule="auto"/>
              <w:ind w:left="0" w:leftChars="0"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输出交流220V插口一路8针长度60㎜，另一路7针长度52㎜。 </w:t>
            </w:r>
          </w:p>
          <w:p>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4.灯板长180㎜，宽168㎜</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27000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eastAsia="zh-CN"/>
              </w:rPr>
              <w:t>工业</w:t>
            </w:r>
          </w:p>
          <w:p>
            <w:pPr>
              <w:pStyle w:val="2"/>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24</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智能型信号机电源板</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6</w:t>
            </w:r>
            <w:r>
              <w:rPr>
                <w:rFonts w:hint="eastAsia" w:ascii="宋体" w:hAnsi="宋体" w:cs="Times New Roman"/>
                <w:color w:val="auto"/>
                <w:sz w:val="21"/>
                <w:szCs w:val="21"/>
                <w:highlight w:val="none"/>
                <w:lang w:val="en-US" w:eastAsia="zh-CN"/>
              </w:rPr>
              <w:t>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7"/>
              </w:numPr>
              <w:kinsoku/>
              <w:wordWrap/>
              <w:overflowPunct/>
              <w:topLinePunct w:val="0"/>
              <w:autoSpaceDE/>
              <w:autoSpaceDN/>
              <w:bidi w:val="0"/>
              <w:spacing w:line="240" w:lineRule="auto"/>
              <w:ind w:left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输入电压交流220V--0.4A </w:t>
            </w:r>
          </w:p>
          <w:p>
            <w:pPr>
              <w:keepNext w:val="0"/>
              <w:keepLines w:val="0"/>
              <w:pageBreakBefore w:val="0"/>
              <w:numPr>
                <w:ilvl w:val="0"/>
                <w:numId w:val="7"/>
              </w:numPr>
              <w:kinsoku/>
              <w:wordWrap/>
              <w:overflowPunct/>
              <w:topLinePunct w:val="0"/>
              <w:autoSpaceDE/>
              <w:autoSpaceDN/>
              <w:bidi w:val="0"/>
              <w:spacing w:line="240" w:lineRule="auto"/>
              <w:ind w:left="0" w:leftChars="0"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输出直流5V--4.0A </w:t>
            </w:r>
          </w:p>
          <w:p>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3.长110㎜，宽77㎜，高35㎜</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25</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LED光源机动车信号灯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1.400型(三灯组合)箭头LED灯</w:t>
            </w:r>
          </w:p>
          <w:p>
            <w:pPr>
              <w:pStyle w:val="2"/>
              <w:numPr>
                <w:ilvl w:val="0"/>
                <w:numId w:val="0"/>
              </w:numPr>
              <w:ind w:leftChars="0"/>
              <w:rPr>
                <w:rFonts w:hint="eastAsia"/>
                <w:color w:val="auto"/>
                <w:highlight w:val="none"/>
                <w:lang w:val="en-US" w:eastAsia="zh-CN"/>
              </w:rPr>
            </w:pPr>
            <w:r>
              <w:rPr>
                <w:rFonts w:hint="eastAsia"/>
                <w:color w:val="auto"/>
                <w:highlight w:val="none"/>
                <w:lang w:val="en-US" w:eastAsia="zh-CN"/>
              </w:rPr>
              <w:t>2.横装</w:t>
            </w:r>
          </w:p>
          <w:p>
            <w:pPr>
              <w:numPr>
                <w:ilvl w:val="0"/>
                <w:numId w:val="0"/>
              </w:numPr>
              <w:ind w:leftChars="0"/>
              <w:rPr>
                <w:rFonts w:hint="default"/>
                <w:color w:val="auto"/>
                <w:highlight w:val="none"/>
                <w:lang w:val="en-US" w:eastAsia="zh-CN"/>
              </w:rPr>
            </w:pPr>
            <w:r>
              <w:rPr>
                <w:rFonts w:hint="eastAsia"/>
                <w:color w:val="auto"/>
                <w:highlight w:val="none"/>
                <w:lang w:val="en-US" w:eastAsia="zh-CN"/>
              </w:rPr>
              <w:t>3.输入电压：220V+20％、50HZ+2HZ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5.环境温度：-40°C-+80°C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6.环境湿度：10％-95％</w:t>
            </w:r>
          </w:p>
          <w:p>
            <w:pPr>
              <w:rPr>
                <w:rFonts w:hint="default"/>
                <w:color w:val="auto"/>
                <w:highlight w:val="none"/>
                <w:lang w:val="en-US" w:eastAsia="zh-CN"/>
              </w:rPr>
            </w:pPr>
            <w:r>
              <w:rPr>
                <w:rFonts w:hint="eastAsia"/>
                <w:color w:val="auto"/>
                <w:highlight w:val="none"/>
                <w:lang w:val="en-US" w:eastAsia="zh-CN"/>
              </w:rPr>
              <w:t>7.外壳防护等级：</w:t>
            </w:r>
            <w:r>
              <w:rPr>
                <w:rFonts w:hint="default"/>
                <w:color w:val="auto"/>
                <w:highlight w:val="none"/>
                <w:lang w:val="en-US" w:eastAsia="zh-CN"/>
              </w:rPr>
              <w:t>≥</w:t>
            </w:r>
            <w:r>
              <w:rPr>
                <w:rFonts w:hint="eastAsia"/>
                <w:color w:val="auto"/>
                <w:highlight w:val="none"/>
                <w:lang w:val="en-US" w:eastAsia="zh-CN"/>
              </w:rPr>
              <w:t>IP65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8.高亮LED灯珠</w:t>
            </w:r>
          </w:p>
          <w:p>
            <w:pPr>
              <w:rPr>
                <w:rFonts w:hint="eastAsia"/>
                <w:color w:val="auto"/>
                <w:highlight w:val="none"/>
                <w:lang w:val="en-US" w:eastAsia="zh-CN"/>
              </w:rPr>
            </w:pPr>
            <w:r>
              <w:rPr>
                <w:rFonts w:hint="eastAsia"/>
                <w:color w:val="auto"/>
                <w:highlight w:val="none"/>
                <w:lang w:val="en-US" w:eastAsia="zh-CN"/>
              </w:rPr>
              <w:t>9.光源使用寿命：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default" w:ascii="宋体" w:hAnsi="宋体" w:eastAsia="宋体" w:cs="宋体"/>
                <w:color w:val="auto"/>
                <w:highlight w:val="none"/>
                <w:lang w:val="en-US"/>
              </w:rPr>
            </w:pPr>
            <w:r>
              <w:rPr>
                <w:rFonts w:hint="eastAsia"/>
                <w:color w:val="auto"/>
                <w:highlight w:val="none"/>
                <w:lang w:val="en-US" w:eastAsia="zh-CN"/>
              </w:rPr>
              <w:t>10.额定功率：</w:t>
            </w:r>
            <w:r>
              <w:rPr>
                <w:rFonts w:hint="eastAsia" w:ascii="宋体" w:hAnsi="宋体" w:eastAsia="宋体" w:cs="宋体"/>
                <w:color w:val="auto"/>
                <w:highlight w:val="none"/>
                <w:lang w:val="en-US" w:eastAsia="zh-CN"/>
              </w:rPr>
              <w:t>&lt;</w:t>
            </w:r>
            <w:r>
              <w:rPr>
                <w:rFonts w:hint="eastAsia" w:ascii="宋体" w:hAnsi="宋体" w:cs="宋体"/>
                <w:color w:val="auto"/>
                <w:highlight w:val="none"/>
                <w:lang w:val="en-US" w:eastAsia="zh-CN"/>
              </w:rPr>
              <w:t>15W</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4200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26</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LED光源机动车信号灯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1.400型(三灯组合)满屏LED灯</w:t>
            </w:r>
          </w:p>
          <w:p>
            <w:pPr>
              <w:pStyle w:val="2"/>
              <w:numPr>
                <w:ilvl w:val="0"/>
                <w:numId w:val="0"/>
              </w:numPr>
              <w:ind w:leftChars="0"/>
              <w:rPr>
                <w:rFonts w:hint="eastAsia"/>
                <w:color w:val="auto"/>
                <w:highlight w:val="none"/>
                <w:lang w:val="en-US" w:eastAsia="zh-CN"/>
              </w:rPr>
            </w:pPr>
            <w:r>
              <w:rPr>
                <w:rFonts w:hint="eastAsia"/>
                <w:color w:val="auto"/>
                <w:highlight w:val="none"/>
                <w:lang w:val="en-US" w:eastAsia="zh-CN"/>
              </w:rPr>
              <w:t>2.横装</w:t>
            </w:r>
          </w:p>
          <w:p>
            <w:pPr>
              <w:numPr>
                <w:ilvl w:val="0"/>
                <w:numId w:val="0"/>
              </w:numPr>
              <w:ind w:leftChars="0"/>
              <w:rPr>
                <w:rFonts w:hint="default"/>
                <w:color w:val="auto"/>
                <w:highlight w:val="none"/>
                <w:lang w:val="en-US" w:eastAsia="zh-CN"/>
              </w:rPr>
            </w:pPr>
            <w:r>
              <w:rPr>
                <w:rFonts w:hint="eastAsia"/>
                <w:color w:val="auto"/>
                <w:highlight w:val="none"/>
                <w:lang w:val="en-US" w:eastAsia="zh-CN"/>
              </w:rPr>
              <w:t>3.输入电压：220V+20％、50HZ+2HZ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5.环境温度：-40°C-+80°C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6.环境湿度：10％-95％</w:t>
            </w:r>
          </w:p>
          <w:p>
            <w:pPr>
              <w:rPr>
                <w:rFonts w:hint="default"/>
                <w:color w:val="auto"/>
                <w:highlight w:val="none"/>
                <w:lang w:val="en-US" w:eastAsia="zh-CN"/>
              </w:rPr>
            </w:pPr>
            <w:r>
              <w:rPr>
                <w:rFonts w:hint="eastAsia"/>
                <w:color w:val="auto"/>
                <w:highlight w:val="none"/>
                <w:lang w:val="en-US" w:eastAsia="zh-CN"/>
              </w:rPr>
              <w:t>7.外壳防护等级：</w:t>
            </w:r>
            <w:r>
              <w:rPr>
                <w:rFonts w:hint="default"/>
                <w:color w:val="auto"/>
                <w:highlight w:val="none"/>
                <w:lang w:val="en-US" w:eastAsia="zh-CN"/>
              </w:rPr>
              <w:t>≥</w:t>
            </w:r>
            <w:r>
              <w:rPr>
                <w:rFonts w:hint="eastAsia"/>
                <w:color w:val="auto"/>
                <w:highlight w:val="none"/>
                <w:lang w:val="en-US" w:eastAsia="zh-CN"/>
              </w:rPr>
              <w:t>IP65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8.高亮LED灯珠</w:t>
            </w:r>
          </w:p>
          <w:p>
            <w:pPr>
              <w:rPr>
                <w:rFonts w:hint="eastAsia"/>
                <w:color w:val="auto"/>
                <w:highlight w:val="none"/>
                <w:lang w:val="en-US" w:eastAsia="zh-CN"/>
              </w:rPr>
            </w:pPr>
            <w:r>
              <w:rPr>
                <w:rFonts w:hint="eastAsia"/>
                <w:color w:val="auto"/>
                <w:highlight w:val="none"/>
                <w:lang w:val="en-US" w:eastAsia="zh-CN"/>
              </w:rPr>
              <w:t>9.光源使用寿命：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default" w:eastAsia="宋体"/>
                <w:color w:val="auto"/>
                <w:highlight w:val="none"/>
                <w:lang w:val="en-US" w:eastAsia="zh-CN"/>
              </w:rPr>
            </w:pPr>
            <w:r>
              <w:rPr>
                <w:rFonts w:hint="eastAsia"/>
                <w:color w:val="auto"/>
                <w:highlight w:val="none"/>
                <w:lang w:val="en-US" w:eastAsia="zh-CN"/>
              </w:rPr>
              <w:t>10.额定功率：</w:t>
            </w:r>
            <w:r>
              <w:rPr>
                <w:rFonts w:hint="eastAsia" w:ascii="宋体" w:hAnsi="宋体" w:eastAsia="宋体" w:cs="宋体"/>
                <w:color w:val="auto"/>
                <w:highlight w:val="none"/>
                <w:lang w:val="en-US" w:eastAsia="zh-CN"/>
              </w:rPr>
              <w:t>&lt;</w:t>
            </w:r>
            <w:r>
              <w:rPr>
                <w:rFonts w:hint="eastAsia" w:ascii="宋体" w:hAnsi="宋体" w:cs="宋体"/>
                <w:color w:val="auto"/>
                <w:highlight w:val="none"/>
                <w:lang w:val="en-US" w:eastAsia="zh-CN"/>
              </w:rPr>
              <w:t>15W</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4200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27</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LED灯板（满屏）红灯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rPr>
                <w:rFonts w:hint="default"/>
                <w:color w:val="auto"/>
                <w:highlight w:val="none"/>
                <w:lang w:val="en-US"/>
              </w:rPr>
            </w:pPr>
            <w:r>
              <w:rPr>
                <w:rFonts w:hint="eastAsia" w:ascii="宋体" w:hAnsi="宋体" w:cs="宋体"/>
                <w:color w:val="auto"/>
                <w:highlight w:val="none"/>
                <w:lang w:val="en-US" w:eastAsia="zh-CN"/>
              </w:rPr>
              <w:t>9.满屏：红色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28</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LED灯板（满屏）黄灯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rPr>
            </w:pPr>
            <w:r>
              <w:rPr>
                <w:rFonts w:hint="eastAsia" w:ascii="宋体" w:hAnsi="宋体" w:cs="宋体"/>
                <w:color w:val="auto"/>
                <w:highlight w:val="none"/>
                <w:lang w:val="en-US" w:eastAsia="zh-CN"/>
              </w:rPr>
              <w:t>9.满屏：黄色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29</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LED灯板（满屏）绿灯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rPr>
            </w:pPr>
            <w:r>
              <w:rPr>
                <w:rFonts w:hint="eastAsia" w:ascii="宋体" w:hAnsi="宋体" w:cs="宋体"/>
                <w:color w:val="auto"/>
                <w:highlight w:val="none"/>
                <w:lang w:val="en-US" w:eastAsia="zh-CN"/>
              </w:rPr>
              <w:t>9.满屏：绿色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30</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LED灯板（箭头）红灯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10块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rPr>
            </w:pPr>
            <w:r>
              <w:rPr>
                <w:rFonts w:hint="eastAsia" w:ascii="宋体" w:hAnsi="宋体" w:cs="宋体"/>
                <w:color w:val="auto"/>
                <w:highlight w:val="none"/>
                <w:lang w:val="en-US" w:eastAsia="zh-CN"/>
              </w:rPr>
              <w:t>9.箭头：红色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31</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LED灯板（箭头）黄灯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10块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rPr>
            </w:pPr>
            <w:r>
              <w:rPr>
                <w:rFonts w:hint="eastAsia" w:ascii="宋体" w:hAnsi="宋体" w:cs="宋体"/>
                <w:color w:val="auto"/>
                <w:highlight w:val="none"/>
                <w:lang w:val="en-US" w:eastAsia="zh-CN"/>
              </w:rPr>
              <w:t>9.箭头：黄色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32</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LED灯板（箭头）绿灯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10块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rPr>
            </w:pPr>
            <w:r>
              <w:rPr>
                <w:rFonts w:hint="eastAsia" w:ascii="宋体" w:hAnsi="宋体" w:cs="宋体"/>
                <w:color w:val="auto"/>
                <w:highlight w:val="none"/>
                <w:lang w:val="en-US" w:eastAsia="zh-CN"/>
              </w:rPr>
              <w:t>9.箭头：绿色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33</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LED灯板直行红灯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lang w:val="en-US" w:eastAsia="zh-CN"/>
              </w:rPr>
            </w:pPr>
            <w:r>
              <w:rPr>
                <w:rFonts w:hint="eastAsia" w:ascii="宋体" w:hAnsi="宋体" w:cs="宋体"/>
                <w:color w:val="auto"/>
                <w:highlight w:val="none"/>
                <w:lang w:val="en-US" w:eastAsia="zh-CN"/>
              </w:rPr>
              <w:t>9.满屏：红色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34</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LED灯板直行绿灯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lang w:val="en-US" w:eastAsia="zh-CN"/>
              </w:rPr>
            </w:pPr>
            <w:r>
              <w:rPr>
                <w:rFonts w:hint="eastAsia" w:ascii="宋体" w:hAnsi="宋体" w:cs="宋体"/>
                <w:color w:val="auto"/>
                <w:highlight w:val="none"/>
                <w:lang w:val="en-US" w:eastAsia="zh-CN"/>
              </w:rPr>
              <w:t>9.满屏：绿色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35</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LED灯板人行红灯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lang w:val="en-US" w:eastAsia="zh-CN"/>
              </w:rPr>
            </w:pPr>
            <w:r>
              <w:rPr>
                <w:rFonts w:hint="eastAsia" w:ascii="宋体" w:hAnsi="宋体" w:cs="宋体"/>
                <w:color w:val="auto"/>
                <w:highlight w:val="none"/>
                <w:lang w:val="en-US" w:eastAsia="zh-CN"/>
              </w:rPr>
              <w:t>9.人行：红色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36</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LED灯板人行绿灯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color w:val="auto"/>
                <w:highlight w:val="none"/>
              </w:rPr>
            </w:pPr>
            <w:r>
              <w:rPr>
                <w:rFonts w:hint="eastAsia"/>
                <w:color w:val="auto"/>
                <w:highlight w:val="none"/>
                <w:lang w:val="en-US" w:eastAsia="zh-CN"/>
              </w:rPr>
              <w:t>1.300型/400型</w:t>
            </w:r>
          </w:p>
          <w:p>
            <w:pPr>
              <w:numPr>
                <w:ilvl w:val="0"/>
                <w:numId w:val="0"/>
              </w:numPr>
              <w:ind w:leftChars="0"/>
              <w:rPr>
                <w:rFonts w:hint="default"/>
                <w:color w:val="auto"/>
                <w:highlight w:val="none"/>
                <w:lang w:val="en-US" w:eastAsia="zh-CN"/>
              </w:rPr>
            </w:pPr>
            <w:r>
              <w:rPr>
                <w:rFonts w:hint="eastAsia"/>
                <w:color w:val="auto"/>
                <w:highlight w:val="none"/>
                <w:lang w:val="en-US" w:eastAsia="zh-CN"/>
              </w:rPr>
              <w:t>2..输入电压：220V+20％、50HZ+2HZ</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3.功率因数：</w:t>
            </w:r>
            <w:r>
              <w:rPr>
                <w:rFonts w:hint="default"/>
                <w:color w:val="auto"/>
                <w:highlight w:val="none"/>
                <w:lang w:val="en-US" w:eastAsia="zh-CN"/>
              </w:rPr>
              <w:t>≥</w:t>
            </w:r>
            <w:r>
              <w:rPr>
                <w:rFonts w:hint="eastAsia"/>
                <w:color w:val="auto"/>
                <w:highlight w:val="none"/>
                <w:lang w:val="en-US" w:eastAsia="zh-CN"/>
              </w:rPr>
              <w:t>0.85</w:t>
            </w:r>
          </w:p>
          <w:p>
            <w:pPr>
              <w:rPr>
                <w:rFonts w:hint="eastAsia"/>
                <w:color w:val="auto"/>
                <w:highlight w:val="none"/>
                <w:lang w:val="en-US" w:eastAsia="zh-CN"/>
              </w:rPr>
            </w:pPr>
            <w:r>
              <w:rPr>
                <w:rFonts w:hint="eastAsia"/>
                <w:color w:val="auto"/>
                <w:highlight w:val="none"/>
                <w:lang w:val="en-US" w:eastAsia="zh-CN"/>
              </w:rPr>
              <w:t>4.环境温度：-40°C-+80°C</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5.环境湿度：10％-95％</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6.高亮LED灯珠</w:t>
            </w:r>
          </w:p>
          <w:p>
            <w:pPr>
              <w:rPr>
                <w:rFonts w:hint="eastAsia"/>
                <w:color w:val="auto"/>
                <w:highlight w:val="none"/>
                <w:lang w:val="en-US" w:eastAsia="zh-CN"/>
              </w:rPr>
            </w:pPr>
            <w:r>
              <w:rPr>
                <w:rFonts w:hint="eastAsia"/>
                <w:color w:val="auto"/>
                <w:highlight w:val="none"/>
                <w:lang w:val="en-US" w:eastAsia="zh-CN"/>
              </w:rPr>
              <w:t>7.光源使用寿命：</w:t>
            </w:r>
            <w:r>
              <w:rPr>
                <w:rFonts w:hint="default"/>
                <w:color w:val="auto"/>
                <w:highlight w:val="none"/>
                <w:lang w:val="en-US" w:eastAsia="zh-CN"/>
              </w:rPr>
              <w:t>≥</w:t>
            </w:r>
            <w:r>
              <w:rPr>
                <w:rFonts w:hint="eastAsia"/>
                <w:color w:val="auto"/>
                <w:highlight w:val="none"/>
                <w:lang w:val="en-US" w:eastAsia="zh-CN"/>
              </w:rPr>
              <w:t>10万小时</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8.额定功率：&lt;15W</w:t>
            </w:r>
          </w:p>
          <w:p>
            <w:pPr>
              <w:pStyle w:val="2"/>
              <w:ind w:left="0" w:leftChars="0" w:firstLine="0" w:firstLineChars="0"/>
              <w:rPr>
                <w:rFonts w:hint="eastAsia"/>
                <w:color w:val="auto"/>
                <w:highlight w:val="none"/>
                <w:lang w:val="en-US" w:eastAsia="zh-CN"/>
              </w:rPr>
            </w:pPr>
            <w:r>
              <w:rPr>
                <w:rFonts w:hint="eastAsia" w:ascii="宋体" w:hAnsi="宋体" w:cs="宋体"/>
                <w:color w:val="auto"/>
                <w:highlight w:val="none"/>
                <w:lang w:val="en-US" w:eastAsia="zh-CN"/>
              </w:rPr>
              <w:t>9.人行：绿色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cs="Times New Roman"/>
                <w:color w:val="auto"/>
                <w:sz w:val="21"/>
                <w:szCs w:val="21"/>
                <w:highlight w:val="none"/>
                <w:lang w:val="en-US" w:eastAsia="zh-CN"/>
              </w:rPr>
              <w:t>530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37</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重型复合材料井座</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1.内径φ770</w:t>
            </w:r>
          </w:p>
          <w:p>
            <w:pPr>
              <w:pStyle w:val="2"/>
              <w:ind w:left="0" w:leftChars="0" w:firstLine="0" w:firstLineChars="0"/>
              <w:rPr>
                <w:color w:val="auto"/>
                <w:highlight w:val="none"/>
                <w:lang w:val="en-US" w:eastAsia="zh-CN"/>
              </w:rPr>
            </w:pPr>
            <w:r>
              <w:rPr>
                <w:rFonts w:hint="eastAsia" w:ascii="宋体" w:hAnsi="宋体" w:eastAsia="宋体" w:cs="Times New Roman"/>
                <w:color w:val="auto"/>
                <w:sz w:val="21"/>
                <w:szCs w:val="21"/>
                <w:highlight w:val="none"/>
                <w:lang w:val="en-US" w:eastAsia="zh-CN"/>
              </w:rPr>
              <w:t>2.外径</w:t>
            </w:r>
            <w:r>
              <w:rPr>
                <w:rFonts w:hint="eastAsia" w:ascii="仿宋" w:hAnsi="仿宋" w:eastAsia="仿宋" w:cs="仿宋"/>
                <w:color w:val="auto"/>
                <w:sz w:val="21"/>
                <w:szCs w:val="21"/>
                <w:highlight w:val="none"/>
                <w:lang w:val="en-US" w:eastAsia="zh-CN"/>
              </w:rPr>
              <w:t>Ф930</w:t>
            </w:r>
          </w:p>
          <w:p>
            <w:pPr>
              <w:pStyle w:val="2"/>
              <w:numPr>
                <w:ilvl w:val="0"/>
                <w:numId w:val="0"/>
              </w:numPr>
              <w:rPr>
                <w:rFonts w:hint="eastAsia"/>
                <w:color w:val="auto"/>
                <w:highlight w:val="none"/>
                <w:lang w:val="en-US" w:eastAsia="zh-CN"/>
              </w:rPr>
            </w:pPr>
            <w:r>
              <w:rPr>
                <w:rFonts w:hint="eastAsia"/>
                <w:color w:val="auto"/>
                <w:highlight w:val="none"/>
                <w:lang w:val="en-US" w:eastAsia="zh-CN"/>
              </w:rPr>
              <w:t>3.承载等级：D400</w:t>
            </w:r>
          </w:p>
          <w:p>
            <w:pPr>
              <w:pStyle w:val="2"/>
              <w:numPr>
                <w:ilvl w:val="0"/>
                <w:numId w:val="0"/>
              </w:numPr>
              <w:rPr>
                <w:rFonts w:hint="default"/>
                <w:color w:val="auto"/>
                <w:highlight w:val="none"/>
                <w:lang w:val="en-US" w:eastAsia="zh-CN"/>
              </w:rPr>
            </w:pPr>
            <w:r>
              <w:rPr>
                <w:rFonts w:hint="eastAsia"/>
                <w:color w:val="auto"/>
                <w:highlight w:val="none"/>
                <w:lang w:val="en-US" w:eastAsia="zh-CN"/>
              </w:rPr>
              <w:t>4.供货时提供：合格证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3300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38</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明沟铸铁雨水篦子</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1.规格：500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*300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*40</w:t>
            </w:r>
            <w:r>
              <w:rPr>
                <w:rFonts w:hint="eastAsia" w:ascii="宋体" w:hAnsi="宋体" w:eastAsia="宋体" w:cs="宋体"/>
                <w:color w:val="auto"/>
                <w:highlight w:val="none"/>
              </w:rPr>
              <w:t>㎜</w:t>
            </w:r>
          </w:p>
          <w:p>
            <w:pPr>
              <w:pStyle w:val="2"/>
              <w:numPr>
                <w:ilvl w:val="0"/>
                <w:numId w:val="0"/>
              </w:numPr>
              <w:rPr>
                <w:rFonts w:hint="eastAsia"/>
                <w:color w:val="auto"/>
                <w:highlight w:val="none"/>
                <w:lang w:val="en-US" w:eastAsia="zh-CN"/>
              </w:rPr>
            </w:pPr>
            <w:r>
              <w:rPr>
                <w:rFonts w:hint="eastAsia"/>
                <w:color w:val="auto"/>
                <w:highlight w:val="none"/>
                <w:lang w:val="en-US" w:eastAsia="zh-CN"/>
              </w:rPr>
              <w:t>2.材质：铸铁</w:t>
            </w:r>
          </w:p>
          <w:p>
            <w:pPr>
              <w:rPr>
                <w:rFonts w:hint="eastAsia"/>
                <w:color w:val="auto"/>
                <w:highlight w:val="none"/>
                <w:lang w:val="en-US" w:eastAsia="zh-CN"/>
              </w:rPr>
            </w:pPr>
            <w:r>
              <w:rPr>
                <w:rFonts w:hint="eastAsia"/>
                <w:color w:val="auto"/>
                <w:highlight w:val="none"/>
                <w:lang w:val="en-US" w:eastAsia="zh-CN"/>
              </w:rPr>
              <w:t>3.承载等级：D400</w:t>
            </w:r>
          </w:p>
          <w:p>
            <w:pPr>
              <w:pStyle w:val="2"/>
              <w:ind w:left="0" w:leftChars="0" w:firstLine="0" w:firstLineChars="0"/>
              <w:rPr>
                <w:rFonts w:hint="default"/>
                <w:color w:val="auto"/>
                <w:highlight w:val="none"/>
                <w:lang w:val="en-US" w:eastAsia="zh-CN"/>
              </w:rPr>
            </w:pPr>
            <w:r>
              <w:rPr>
                <w:rFonts w:hint="eastAsia"/>
                <w:color w:val="auto"/>
                <w:highlight w:val="none"/>
                <w:lang w:val="en-US" w:eastAsia="zh-CN"/>
              </w:rPr>
              <w:t>4.供货时提供：合格证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1600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39</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复合材料雨水篦子</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30块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1.规格：600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*400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*100</w:t>
            </w:r>
            <w:r>
              <w:rPr>
                <w:rFonts w:hint="eastAsia" w:ascii="宋体" w:hAnsi="宋体" w:eastAsia="宋体" w:cs="宋体"/>
                <w:color w:val="auto"/>
                <w:highlight w:val="none"/>
              </w:rPr>
              <w:t>㎜</w:t>
            </w:r>
          </w:p>
          <w:p>
            <w:pPr>
              <w:pStyle w:val="2"/>
              <w:numPr>
                <w:ilvl w:val="0"/>
                <w:numId w:val="0"/>
              </w:numPr>
              <w:ind w:left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2.聚合物</w:t>
            </w:r>
          </w:p>
          <w:p>
            <w:pPr>
              <w:numPr>
                <w:ilvl w:val="0"/>
                <w:numId w:val="0"/>
              </w:numPr>
              <w:ind w:leftChars="0"/>
              <w:rPr>
                <w:rFonts w:hint="eastAsia"/>
                <w:color w:val="auto"/>
                <w:highlight w:val="none"/>
                <w:lang w:val="en-US" w:eastAsia="zh-CN"/>
              </w:rPr>
            </w:pPr>
            <w:r>
              <w:rPr>
                <w:rFonts w:hint="eastAsia"/>
                <w:color w:val="auto"/>
                <w:highlight w:val="none"/>
                <w:lang w:val="en-US" w:eastAsia="zh-CN"/>
              </w:rPr>
              <w:t>3.承载等级：D400</w:t>
            </w:r>
          </w:p>
          <w:p>
            <w:pPr>
              <w:pStyle w:val="2"/>
              <w:ind w:left="0" w:leftChars="0" w:firstLine="0" w:firstLineChars="0"/>
              <w:rPr>
                <w:rFonts w:hint="default"/>
                <w:color w:val="auto"/>
                <w:highlight w:val="none"/>
                <w:lang w:val="en-US" w:eastAsia="zh-CN"/>
              </w:rPr>
            </w:pPr>
            <w:r>
              <w:rPr>
                <w:rFonts w:hint="eastAsia"/>
                <w:color w:val="auto"/>
                <w:highlight w:val="none"/>
                <w:lang w:val="en-US" w:eastAsia="zh-CN"/>
              </w:rPr>
              <w:t>4.供货时提供：合格证</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3600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40</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电</w:t>
            </w:r>
            <w:r>
              <w:rPr>
                <w:rFonts w:hint="eastAsia" w:ascii="宋体" w:hAnsi="宋体" w:cs="Times New Roman"/>
                <w:color w:val="auto"/>
                <w:sz w:val="21"/>
                <w:szCs w:val="21"/>
                <w:highlight w:val="none"/>
                <w:lang w:val="en-US" w:eastAsia="zh-CN"/>
              </w:rPr>
              <w:t>镐</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1台</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cs="Times New Roman"/>
                <w:color w:val="auto"/>
                <w:sz w:val="21"/>
                <w:szCs w:val="21"/>
                <w:highlight w:val="none"/>
                <w:lang w:val="en-US" w:eastAsia="zh-CN"/>
              </w:rPr>
              <w:t>额定电压</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 xml:space="preserve">220V </w:t>
            </w:r>
          </w:p>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额定功率</w:t>
            </w:r>
            <w:r>
              <w:rPr>
                <w:rFonts w:hint="eastAsia" w:ascii="宋体" w:hAnsi="宋体" w:eastAsia="宋体" w:cs="Times New Roman"/>
                <w:color w:val="auto"/>
                <w:sz w:val="21"/>
                <w:szCs w:val="21"/>
                <w:highlight w:val="none"/>
                <w:lang w:val="en-US" w:eastAsia="zh-CN"/>
              </w:rPr>
              <w:t>2200W</w:t>
            </w:r>
          </w:p>
          <w:p>
            <w:pPr>
              <w:pStyle w:val="2"/>
              <w:ind w:left="0" w:leftChars="0" w:firstLine="0" w:firstLineChars="0"/>
              <w:rPr>
                <w:color w:val="auto"/>
                <w:highlight w:val="none"/>
                <w:lang w:val="en-US" w:eastAsia="zh-CN"/>
              </w:rPr>
            </w:pPr>
            <w:r>
              <w:rPr>
                <w:rFonts w:hint="eastAsia" w:ascii="宋体" w:hAnsi="宋体" w:eastAsia="宋体" w:cs="Times New Roman"/>
                <w:color w:val="auto"/>
                <w:sz w:val="21"/>
                <w:szCs w:val="21"/>
                <w:highlight w:val="none"/>
                <w:lang w:val="en-US" w:eastAsia="zh-CN"/>
              </w:rPr>
              <w:t>3.锤击次数：1450min－１</w:t>
            </w:r>
          </w:p>
          <w:p>
            <w:pPr>
              <w:pStyle w:val="2"/>
              <w:numPr>
                <w:ilvl w:val="0"/>
                <w:numId w:val="0"/>
              </w:numPr>
              <w:ind w:left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3.配尖头、扁头各一把</w:t>
            </w:r>
          </w:p>
          <w:p>
            <w:pPr>
              <w:rPr>
                <w:color w:val="auto"/>
                <w:highlight w:val="none"/>
                <w:lang w:val="en-US" w:eastAsia="zh-CN"/>
              </w:rPr>
            </w:pPr>
            <w:r>
              <w:rPr>
                <w:rFonts w:hint="eastAsia" w:ascii="宋体" w:hAnsi="宋体" w:eastAsia="宋体" w:cs="Times New Roman"/>
                <w:color w:val="auto"/>
                <w:sz w:val="21"/>
                <w:szCs w:val="21"/>
                <w:highlight w:val="none"/>
                <w:lang w:val="en-US" w:eastAsia="zh-CN"/>
              </w:rPr>
              <w:t>4.符合国家标准</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850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41</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马路切割机</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1台</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1.发动机（手动）</w:t>
            </w:r>
            <w:r>
              <w:rPr>
                <w:rFonts w:hint="eastAsia"/>
                <w:color w:val="auto"/>
                <w:highlight w:val="none"/>
                <w:lang w:val="en-US" w:eastAsia="zh-CN"/>
              </w:rPr>
              <w:t>单缸四冲程风冷OHV</w:t>
            </w:r>
          </w:p>
          <w:p>
            <w:pPr>
              <w:keepNext w:val="0"/>
              <w:keepLines w:val="0"/>
              <w:pageBreakBefore w:val="0"/>
              <w:numPr>
                <w:ilvl w:val="0"/>
                <w:numId w:val="0"/>
              </w:numPr>
              <w:kinsoku/>
              <w:wordWrap/>
              <w:overflowPunct/>
              <w:topLinePunct w:val="0"/>
              <w:autoSpaceDE/>
              <w:autoSpaceDN/>
              <w:bidi w:val="0"/>
              <w:spacing w:line="240" w:lineRule="auto"/>
              <w:rPr>
                <w:color w:val="auto"/>
                <w:highlight w:val="none"/>
                <w:lang w:val="en-US" w:eastAsia="zh-CN"/>
              </w:rPr>
            </w:pPr>
            <w:r>
              <w:rPr>
                <w:rFonts w:hint="eastAsia"/>
                <w:color w:val="auto"/>
                <w:highlight w:val="none"/>
                <w:lang w:val="en-US" w:eastAsia="zh-CN"/>
              </w:rPr>
              <w:t>功率：13Ｐ</w:t>
            </w:r>
          </w:p>
          <w:p>
            <w:pPr>
              <w:pStyle w:val="2"/>
              <w:numPr>
                <w:ilvl w:val="0"/>
                <w:numId w:val="0"/>
              </w:numPr>
              <w:rPr>
                <w:rFonts w:hint="eastAsia"/>
                <w:color w:val="auto"/>
                <w:highlight w:val="none"/>
                <w:lang w:val="en-US" w:eastAsia="zh-CN"/>
              </w:rPr>
            </w:pPr>
            <w:r>
              <w:rPr>
                <w:rFonts w:hint="eastAsia"/>
                <w:color w:val="auto"/>
                <w:highlight w:val="none"/>
                <w:lang w:val="en-US" w:eastAsia="zh-CN"/>
              </w:rPr>
              <w:t>2.切割速度：３６－４５Ｍ／Ｈ</w:t>
            </w:r>
          </w:p>
          <w:p>
            <w:pPr>
              <w:rPr>
                <w:rFonts w:hint="eastAsia"/>
                <w:color w:val="auto"/>
                <w:highlight w:val="none"/>
                <w:lang w:val="en-US" w:eastAsia="zh-CN"/>
              </w:rPr>
            </w:pPr>
            <w:r>
              <w:rPr>
                <w:rFonts w:hint="eastAsia"/>
                <w:color w:val="auto"/>
                <w:highlight w:val="none"/>
                <w:lang w:val="en-US" w:eastAsia="zh-CN"/>
              </w:rPr>
              <w:t>３．最大切深１８ｃｍ</w:t>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4、适配刀片：12寸–20寸</w:t>
            </w:r>
          </w:p>
          <w:p>
            <w:pPr>
              <w:rPr>
                <w:rFonts w:hint="eastAsia"/>
                <w:color w:val="auto"/>
                <w:highlight w:val="none"/>
                <w:lang w:val="en-US" w:eastAsia="zh-CN"/>
              </w:rPr>
            </w:pPr>
            <w:r>
              <w:rPr>
                <w:rFonts w:hint="eastAsia"/>
                <w:color w:val="auto"/>
                <w:highlight w:val="none"/>
                <w:lang w:val="en-US" w:eastAsia="zh-CN"/>
              </w:rPr>
              <w:t>5、水箱容量：35L</w:t>
            </w:r>
          </w:p>
          <w:p>
            <w:pPr>
              <w:pStyle w:val="2"/>
              <w:ind w:left="0" w:leftChars="0" w:firstLine="0" w:firstLineChars="0"/>
              <w:rPr>
                <w:rFonts w:hint="default"/>
                <w:color w:val="auto"/>
                <w:highlight w:val="none"/>
                <w:lang w:val="en-US" w:eastAsia="zh-CN"/>
              </w:rPr>
            </w:pPr>
            <w:r>
              <w:rPr>
                <w:rFonts w:hint="eastAsia"/>
                <w:color w:val="auto"/>
                <w:highlight w:val="none"/>
                <w:lang w:val="en-US" w:eastAsia="zh-CN"/>
              </w:rPr>
              <w:t>6、适用材质：混凝土、沥青路面、地面伸缩缝切割</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2800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42</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平板夯</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1台</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１发动机（手动）：</w:t>
            </w:r>
            <w:r>
              <w:rPr>
                <w:rFonts w:hint="eastAsia"/>
                <w:color w:val="auto"/>
                <w:highlight w:val="none"/>
                <w:lang w:val="en-US" w:eastAsia="zh-CN"/>
              </w:rPr>
              <w:t>4冲程、OHV、单缸、风冷、水平轴</w:t>
            </w:r>
          </w:p>
          <w:p>
            <w:pPr>
              <w:pStyle w:val="2"/>
              <w:numPr>
                <w:ilvl w:val="0"/>
                <w:numId w:val="0"/>
              </w:numPr>
              <w:ind w:leftChars="0"/>
              <w:jc w:val="left"/>
              <w:rPr>
                <w:rFonts w:hint="eastAsia"/>
                <w:color w:val="auto"/>
                <w:highlight w:val="none"/>
                <w:lang w:val="en-US" w:eastAsia="zh-CN"/>
              </w:rPr>
            </w:pPr>
            <w:r>
              <w:rPr>
                <w:rFonts w:hint="eastAsia"/>
                <w:color w:val="auto"/>
                <w:highlight w:val="none"/>
                <w:lang w:val="en-US" w:eastAsia="zh-CN"/>
              </w:rPr>
              <w:t>2、振动频率５５００ＲＰＭ／９２ＨＺ</w:t>
            </w:r>
          </w:p>
          <w:p>
            <w:pPr>
              <w:numPr>
                <w:ilvl w:val="0"/>
                <w:numId w:val="0"/>
              </w:numPr>
              <w:rPr>
                <w:rFonts w:hint="default"/>
                <w:color w:val="auto"/>
                <w:highlight w:val="none"/>
                <w:lang w:val="en-US" w:eastAsia="zh-CN"/>
              </w:rPr>
            </w:pPr>
            <w:r>
              <w:rPr>
                <w:rFonts w:hint="eastAsia"/>
                <w:color w:val="auto"/>
                <w:highlight w:val="none"/>
                <w:lang w:val="en-US" w:eastAsia="zh-CN"/>
              </w:rPr>
              <w:t>3、适用：砂土、砾石、回填土、沥青路面</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3900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43</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斑马线人行道标志牌</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20块</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*800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（双面）</w:t>
            </w:r>
          </w:p>
          <w:p>
            <w:pPr>
              <w:pStyle w:val="2"/>
              <w:numPr>
                <w:ilvl w:val="0"/>
                <w:numId w:val="0"/>
              </w:numPr>
              <w:ind w:leftChars="0"/>
              <w:rPr>
                <w:rFonts w:hint="eastAsia"/>
                <w:color w:val="auto"/>
                <w:highlight w:val="none"/>
                <w:lang w:val="en-US" w:eastAsia="zh-CN"/>
              </w:rPr>
            </w:pPr>
            <w:r>
              <w:rPr>
                <w:rFonts w:hint="eastAsia"/>
                <w:color w:val="auto"/>
                <w:highlight w:val="none"/>
                <w:lang w:val="en-US" w:eastAsia="zh-CN"/>
              </w:rPr>
              <w:t>2.材质：2.0</w:t>
            </w:r>
            <w:r>
              <w:rPr>
                <w:rFonts w:hint="eastAsia" w:ascii="宋体" w:hAnsi="宋体" w:eastAsia="宋体" w:cs="宋体"/>
                <w:color w:val="auto"/>
                <w:highlight w:val="none"/>
                <w:lang w:val="en-US" w:eastAsia="zh-CN"/>
              </w:rPr>
              <w:t>㎜</w:t>
            </w:r>
            <w:r>
              <w:rPr>
                <w:rFonts w:hint="eastAsia"/>
                <w:color w:val="auto"/>
                <w:highlight w:val="none"/>
                <w:lang w:val="en-US" w:eastAsia="zh-CN"/>
              </w:rPr>
              <w:t>铝合金板</w:t>
            </w:r>
          </w:p>
          <w:p>
            <w:pPr>
              <w:numPr>
                <w:ilvl w:val="0"/>
                <w:numId w:val="0"/>
              </w:numPr>
              <w:ind w:leftChars="0"/>
              <w:rPr>
                <w:color w:val="auto"/>
                <w:highlight w:val="none"/>
                <w:lang w:val="en-US" w:eastAsia="zh-CN"/>
              </w:rPr>
            </w:pPr>
            <w:r>
              <w:rPr>
                <w:rFonts w:hint="eastAsia"/>
                <w:color w:val="auto"/>
                <w:highlight w:val="none"/>
                <w:lang w:val="en-US" w:eastAsia="zh-CN"/>
              </w:rPr>
              <w:t>3.反光膜反光等级不低于</w:t>
            </w:r>
            <w:r>
              <w:rPr>
                <w:rFonts w:hint="eastAsia" w:ascii="宋体" w:hAnsi="宋体" w:eastAsia="宋体" w:cs="宋体"/>
                <w:color w:val="auto"/>
                <w:highlight w:val="none"/>
                <w:lang w:val="en-US" w:eastAsia="zh-CN"/>
              </w:rPr>
              <w:t>Ⅳ</w:t>
            </w:r>
            <w:r>
              <w:rPr>
                <w:rFonts w:hint="eastAsia"/>
                <w:color w:val="auto"/>
                <w:highlight w:val="none"/>
                <w:lang w:val="en-US" w:eastAsia="zh-CN"/>
              </w:rPr>
              <w:t>类</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eastAsia" w:ascii="宋体" w:hAnsi="宋体" w:cs="Times New Roman"/>
                <w:color w:val="auto"/>
                <w:sz w:val="21"/>
                <w:szCs w:val="21"/>
                <w:highlight w:val="none"/>
                <w:lang w:val="en-US" w:eastAsia="zh-CN"/>
              </w:rPr>
              <w:t>4</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防撞桶（加厚）</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D600</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H</w:t>
            </w:r>
            <w:r>
              <w:rPr>
                <w:rFonts w:hint="eastAsia" w:ascii="宋体" w:hAnsi="宋体" w:eastAsia="宋体" w:cs="Times New Roman"/>
                <w:color w:val="auto"/>
                <w:sz w:val="21"/>
                <w:szCs w:val="21"/>
                <w:highlight w:val="none"/>
                <w:lang w:val="en-US" w:eastAsia="zh-CN"/>
              </w:rPr>
              <w:t>800</w:t>
            </w:r>
            <w:r>
              <w:rPr>
                <w:rFonts w:hint="eastAsia" w:ascii="宋体" w:hAnsi="宋体" w:eastAsia="宋体" w:cs="宋体"/>
                <w:color w:val="auto"/>
                <w:sz w:val="21"/>
                <w:szCs w:val="21"/>
                <w:highlight w:val="none"/>
                <w:lang w:val="en-US" w:eastAsia="zh-CN"/>
              </w:rPr>
              <w:t>㎜</w:t>
            </w:r>
          </w:p>
          <w:p>
            <w:pPr>
              <w:pStyle w:val="2"/>
              <w:numPr>
                <w:ilvl w:val="0"/>
                <w:numId w:val="0"/>
              </w:numPr>
              <w:rPr>
                <w:rFonts w:hint="default"/>
                <w:color w:val="auto"/>
                <w:highlight w:val="none"/>
                <w:lang w:val="en-US" w:eastAsia="zh-CN"/>
              </w:rPr>
            </w:pPr>
            <w:r>
              <w:rPr>
                <w:rFonts w:hint="eastAsia"/>
                <w:color w:val="auto"/>
                <w:highlight w:val="none"/>
                <w:lang w:val="en-US" w:eastAsia="zh-CN"/>
              </w:rPr>
              <w:t>2.加厚型,壁厚</w:t>
            </w:r>
            <w:r>
              <w:rPr>
                <w:rFonts w:hint="default"/>
                <w:color w:val="auto"/>
                <w:highlight w:val="none"/>
                <w:lang w:val="en-US" w:eastAsia="zh-CN"/>
              </w:rPr>
              <w:t>≥</w:t>
            </w:r>
            <w:r>
              <w:rPr>
                <w:rFonts w:hint="eastAsia"/>
                <w:color w:val="auto"/>
                <w:highlight w:val="none"/>
                <w:lang w:val="en-US" w:eastAsia="zh-CN"/>
              </w:rPr>
              <w:t>3.5mm</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10500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eastAsia" w:ascii="宋体" w:hAnsi="宋体" w:cs="Times New Roman"/>
                <w:color w:val="auto"/>
                <w:sz w:val="21"/>
                <w:szCs w:val="21"/>
                <w:highlight w:val="none"/>
                <w:lang w:val="en-US" w:eastAsia="zh-CN"/>
              </w:rPr>
              <w:t>5</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三孔水码</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1.长：1250㎜*高：700㎜</w:t>
            </w:r>
          </w:p>
          <w:p>
            <w:pPr>
              <w:pStyle w:val="2"/>
              <w:numPr>
                <w:ilvl w:val="0"/>
                <w:numId w:val="0"/>
              </w:numPr>
              <w:rPr>
                <w:color w:val="auto"/>
                <w:highlight w:val="none"/>
                <w:lang w:val="en-US" w:eastAsia="zh-CN"/>
              </w:rPr>
            </w:pPr>
            <w:r>
              <w:rPr>
                <w:rFonts w:hint="eastAsia"/>
                <w:color w:val="auto"/>
                <w:highlight w:val="none"/>
                <w:lang w:val="en-US" w:eastAsia="zh-CN"/>
              </w:rPr>
              <w:t>2.加厚型，壁厚</w:t>
            </w:r>
            <w:r>
              <w:rPr>
                <w:rFonts w:hint="default"/>
                <w:color w:val="auto"/>
                <w:highlight w:val="none"/>
                <w:lang w:val="en-US" w:eastAsia="zh-CN"/>
              </w:rPr>
              <w:t>≥</w:t>
            </w:r>
            <w:r>
              <w:rPr>
                <w:rFonts w:hint="eastAsia"/>
                <w:color w:val="auto"/>
                <w:highlight w:val="none"/>
                <w:lang w:val="en-US" w:eastAsia="zh-CN"/>
              </w:rPr>
              <w:t>3.5mm</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9600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8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eastAsia" w:ascii="宋体" w:hAnsi="宋体" w:cs="Times New Roman"/>
                <w:color w:val="auto"/>
                <w:sz w:val="21"/>
                <w:szCs w:val="21"/>
                <w:highlight w:val="none"/>
                <w:lang w:val="en-US" w:eastAsia="zh-CN"/>
              </w:rPr>
              <w:t>6</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交通防撞护栏</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300米</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长：3000</w:t>
            </w:r>
            <w:r>
              <w:rPr>
                <w:rFonts w:hint="eastAsia" w:ascii="宋体" w:hAnsi="宋体" w:eastAsia="宋体" w:cs="宋体"/>
                <w:color w:val="auto"/>
                <w:highlight w:val="none"/>
              </w:rPr>
              <w:t>㎜</w:t>
            </w:r>
          </w:p>
          <w:p>
            <w:pPr>
              <w:pStyle w:val="2"/>
              <w:numPr>
                <w:ilvl w:val="0"/>
                <w:numId w:val="0"/>
              </w:numPr>
              <w:rPr>
                <w:color w:val="auto"/>
                <w:highlight w:val="none"/>
                <w:lang w:val="en-US" w:eastAsia="zh-CN"/>
              </w:rPr>
            </w:pPr>
            <w:r>
              <w:rPr>
                <w:rFonts w:hint="eastAsia"/>
                <w:color w:val="auto"/>
                <w:highlight w:val="none"/>
                <w:lang w:val="en-US" w:eastAsia="zh-CN"/>
              </w:rPr>
              <w:t>2.高度:1250上横管:70*45*1.5mm(面包)下横管:70*45*1.5mm(面包)竖支杆:65*45*1.2mm立柱:100*100*2mm底座:300*400*150 3.配件:连接件、道钉:8*150、反光标、</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56700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eastAsia" w:ascii="宋体" w:hAnsi="宋体" w:cs="Times New Roman"/>
                <w:color w:val="auto"/>
                <w:sz w:val="21"/>
                <w:szCs w:val="21"/>
                <w:highlight w:val="none"/>
                <w:lang w:val="en-US" w:eastAsia="zh-CN"/>
              </w:rPr>
              <w:t>7</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交通防撞护栏</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400米</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长：3000</w:t>
            </w:r>
            <w:r>
              <w:rPr>
                <w:rFonts w:hint="eastAsia" w:ascii="宋体" w:hAnsi="宋体" w:eastAsia="宋体" w:cs="宋体"/>
                <w:color w:val="auto"/>
                <w:highlight w:val="none"/>
              </w:rPr>
              <w:t>㎜</w:t>
            </w:r>
          </w:p>
          <w:p>
            <w:pPr>
              <w:pStyle w:val="2"/>
              <w:numPr>
                <w:ilvl w:val="0"/>
                <w:numId w:val="0"/>
              </w:numPr>
              <w:rPr>
                <w:rFonts w:hint="eastAsia"/>
                <w:color w:val="auto"/>
                <w:highlight w:val="none"/>
                <w:lang w:val="en-US" w:eastAsia="zh-CN"/>
              </w:rPr>
            </w:pPr>
            <w:r>
              <w:rPr>
                <w:rFonts w:hint="eastAsia"/>
                <w:color w:val="auto"/>
                <w:highlight w:val="none"/>
                <w:lang w:val="en-US" w:eastAsia="zh-CN"/>
              </w:rPr>
              <w:t>2.高度:850上横管:70*45*1.5mm(面包)下横管:70*45*1.5mm(面包)竖杆:65*45*1.2mm立柱:100*100*2mm底座:300*400*150 3.配件:连接件、道钉:8*150、反光标、</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62400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eastAsia" w:ascii="宋体" w:hAnsi="宋体" w:cs="Times New Roman"/>
                <w:color w:val="auto"/>
                <w:sz w:val="21"/>
                <w:szCs w:val="21"/>
                <w:highlight w:val="none"/>
                <w:lang w:val="en-US" w:eastAsia="zh-CN"/>
              </w:rPr>
              <w:t>8</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交通防撞护栏立柱</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120根</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8"/>
              </w:numPr>
              <w:kinsoku/>
              <w:wordWrap/>
              <w:overflowPunct/>
              <w:topLinePunct w:val="0"/>
              <w:autoSpaceDE/>
              <w:autoSpaceDN/>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高1250</w:t>
            </w:r>
            <w:r>
              <w:rPr>
                <w:rFonts w:hint="eastAsia" w:ascii="宋体" w:hAnsi="宋体" w:eastAsia="宋体" w:cs="宋体"/>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spacing w:line="240" w:lineRule="auto"/>
              <w:rPr>
                <w:color w:val="auto"/>
                <w:highlight w:val="none"/>
                <w:lang w:val="en-US" w:eastAsia="zh-CN"/>
              </w:rPr>
            </w:pPr>
            <w:r>
              <w:rPr>
                <w:rFonts w:hint="eastAsia"/>
                <w:color w:val="auto"/>
                <w:highlight w:val="none"/>
                <w:lang w:val="en-US" w:eastAsia="zh-CN"/>
              </w:rPr>
              <w:t>2.立柱:100</w:t>
            </w:r>
            <w:r>
              <w:rPr>
                <w:rFonts w:hint="eastAsia" w:ascii="宋体" w:hAnsi="宋体" w:eastAsia="宋体" w:cs="宋体"/>
                <w:color w:val="auto"/>
                <w:highlight w:val="none"/>
                <w:lang w:val="en-US" w:eastAsia="zh-CN"/>
              </w:rPr>
              <w:t>㎜</w:t>
            </w:r>
            <w:r>
              <w:rPr>
                <w:rFonts w:hint="eastAsia"/>
                <w:color w:val="auto"/>
                <w:highlight w:val="none"/>
                <w:lang w:val="en-US" w:eastAsia="zh-CN"/>
              </w:rPr>
              <w:t>*100</w:t>
            </w:r>
            <w:r>
              <w:rPr>
                <w:rFonts w:hint="eastAsia" w:ascii="宋体" w:hAnsi="宋体" w:eastAsia="宋体" w:cs="宋体"/>
                <w:color w:val="auto"/>
                <w:highlight w:val="none"/>
                <w:lang w:val="en-US" w:eastAsia="zh-CN"/>
              </w:rPr>
              <w:t>㎜</w:t>
            </w:r>
            <w:r>
              <w:rPr>
                <w:rFonts w:hint="eastAsia"/>
                <w:color w:val="auto"/>
                <w:highlight w:val="none"/>
                <w:lang w:val="en-US" w:eastAsia="zh-CN"/>
              </w:rPr>
              <w:t>*2mm</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16200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eastAsia" w:ascii="宋体" w:hAnsi="宋体" w:cs="Times New Roman"/>
                <w:color w:val="auto"/>
                <w:sz w:val="21"/>
                <w:szCs w:val="21"/>
                <w:highlight w:val="none"/>
                <w:lang w:val="en-US" w:eastAsia="zh-CN"/>
              </w:rPr>
              <w:t>9</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交通防撞护栏立柱</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150根</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9"/>
              </w:numPr>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 xml:space="preserve">高850㎜ </w:t>
            </w:r>
          </w:p>
          <w:p>
            <w:pPr>
              <w:keepNext w:val="0"/>
              <w:keepLines w:val="0"/>
              <w:pageBreakBefore w:val="0"/>
              <w:numPr>
                <w:ilvl w:val="0"/>
                <w:numId w:val="9"/>
              </w:numPr>
              <w:kinsoku/>
              <w:wordWrap/>
              <w:overflowPunct/>
              <w:topLinePunct w:val="0"/>
              <w:autoSpaceDE/>
              <w:autoSpaceDN/>
              <w:bidi w:val="0"/>
              <w:spacing w:line="240" w:lineRule="auto"/>
              <w:rPr>
                <w:color w:val="auto"/>
                <w:highlight w:val="none"/>
                <w:lang w:val="en-US" w:eastAsia="zh-CN"/>
              </w:rPr>
            </w:pPr>
            <w:r>
              <w:rPr>
                <w:rFonts w:hint="eastAsia"/>
                <w:color w:val="auto"/>
                <w:highlight w:val="none"/>
                <w:lang w:val="en-US" w:eastAsia="zh-CN"/>
              </w:rPr>
              <w:t>立柱:100</w:t>
            </w:r>
            <w:r>
              <w:rPr>
                <w:rFonts w:hint="eastAsia" w:ascii="宋体" w:hAnsi="宋体" w:eastAsia="宋体" w:cs="宋体"/>
                <w:color w:val="auto"/>
                <w:highlight w:val="none"/>
                <w:lang w:val="en-US" w:eastAsia="zh-CN"/>
              </w:rPr>
              <w:t>㎜</w:t>
            </w:r>
            <w:r>
              <w:rPr>
                <w:rFonts w:hint="eastAsia"/>
                <w:color w:val="auto"/>
                <w:highlight w:val="none"/>
                <w:lang w:val="en-US" w:eastAsia="zh-CN"/>
              </w:rPr>
              <w:t>*100</w:t>
            </w:r>
            <w:r>
              <w:rPr>
                <w:rFonts w:hint="eastAsia" w:ascii="宋体" w:hAnsi="宋体" w:eastAsia="宋体" w:cs="宋体"/>
                <w:color w:val="auto"/>
                <w:highlight w:val="none"/>
                <w:lang w:val="en-US" w:eastAsia="zh-CN"/>
              </w:rPr>
              <w:t>㎜</w:t>
            </w:r>
            <w:r>
              <w:rPr>
                <w:rFonts w:hint="eastAsia"/>
                <w:color w:val="auto"/>
                <w:highlight w:val="none"/>
                <w:lang w:val="en-US" w:eastAsia="zh-CN"/>
              </w:rPr>
              <w:t>*2mm</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18450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50</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底座</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200个</w:t>
            </w:r>
          </w:p>
        </w:tc>
        <w:tc>
          <w:tcPr>
            <w:tcW w:w="1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color w:val="auto"/>
                <w:highlight w:val="none"/>
                <w:lang w:val="en-US" w:eastAsia="zh-CN"/>
              </w:rPr>
            </w:pPr>
            <w:r>
              <w:rPr>
                <w:rFonts w:hint="eastAsia"/>
                <w:color w:val="auto"/>
                <w:highlight w:val="none"/>
                <w:lang w:val="en-US" w:eastAsia="zh-CN"/>
              </w:rPr>
              <w:t>底座:300</w:t>
            </w:r>
            <w:r>
              <w:rPr>
                <w:rFonts w:hint="eastAsia" w:ascii="宋体" w:hAnsi="宋体" w:eastAsia="宋体" w:cs="宋体"/>
                <w:color w:val="auto"/>
                <w:highlight w:val="none"/>
                <w:lang w:val="en-US" w:eastAsia="zh-CN"/>
              </w:rPr>
              <w:t>㎜</w:t>
            </w:r>
            <w:r>
              <w:rPr>
                <w:rFonts w:hint="eastAsia"/>
                <w:color w:val="auto"/>
                <w:highlight w:val="none"/>
                <w:lang w:val="en-US" w:eastAsia="zh-CN"/>
              </w:rPr>
              <w:t>*400</w:t>
            </w:r>
            <w:r>
              <w:rPr>
                <w:rFonts w:hint="eastAsia" w:ascii="宋体" w:hAnsi="宋体" w:eastAsia="宋体" w:cs="宋体"/>
                <w:color w:val="auto"/>
                <w:highlight w:val="none"/>
                <w:lang w:val="en-US" w:eastAsia="zh-CN"/>
              </w:rPr>
              <w:t>㎜</w:t>
            </w:r>
            <w:r>
              <w:rPr>
                <w:rFonts w:hint="eastAsia"/>
                <w:color w:val="auto"/>
                <w:highlight w:val="none"/>
                <w:lang w:val="en-US" w:eastAsia="zh-CN"/>
              </w:rPr>
              <w:t>*150</w:t>
            </w:r>
            <w:r>
              <w:rPr>
                <w:rFonts w:hint="eastAsia" w:ascii="宋体" w:hAnsi="宋体" w:eastAsia="宋体" w:cs="宋体"/>
                <w:color w:val="auto"/>
                <w:highlight w:val="none"/>
              </w:rPr>
              <w:t>㎜</w:t>
            </w:r>
            <w:r>
              <w:rPr>
                <w:rFonts w:hint="eastAsia"/>
                <w:color w:val="auto"/>
                <w:highlight w:val="none"/>
                <w:lang w:val="en-US" w:eastAsia="zh-CN"/>
              </w:rPr>
              <w:t xml:space="preserve"> </w:t>
            </w:r>
          </w:p>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color w:val="auto"/>
                <w:highlight w:val="none"/>
                <w:lang w:val="en-US" w:eastAsia="zh-CN"/>
              </w:rPr>
              <w:t xml:space="preserve">材质：铸铁  </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w:t>
            </w:r>
            <w:r>
              <w:rPr>
                <w:rFonts w:hint="eastAsia" w:ascii="宋体" w:hAnsi="宋体" w:cs="Times New Roman"/>
                <w:color w:val="auto"/>
                <w:sz w:val="21"/>
                <w:szCs w:val="21"/>
                <w:highlight w:val="none"/>
                <w:lang w:val="en-US" w:eastAsia="zh-CN"/>
              </w:rPr>
              <w:t>1</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地钉</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250根</w:t>
            </w:r>
          </w:p>
        </w:tc>
        <w:tc>
          <w:tcPr>
            <w:tcW w:w="19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仿宋" w:hAnsi="仿宋" w:eastAsia="仿宋" w:cs="仿宋"/>
                <w:color w:val="auto"/>
                <w:highlight w:val="none"/>
                <w:lang w:val="en-US" w:eastAsia="zh-CN"/>
              </w:rPr>
              <w:t>Ф</w:t>
            </w:r>
            <w:r>
              <w:rPr>
                <w:rFonts w:hint="eastAsia"/>
                <w:color w:val="auto"/>
                <w:highlight w:val="none"/>
                <w:lang w:val="en-US" w:eastAsia="zh-CN"/>
              </w:rPr>
              <w:t>8*150</w:t>
            </w:r>
            <w:r>
              <w:rPr>
                <w:rFonts w:hint="eastAsia" w:ascii="宋体" w:hAnsi="宋体" w:eastAsia="宋体" w:cs="宋体"/>
                <w:color w:val="auto"/>
                <w:highlight w:val="none"/>
                <w:lang w:val="en-US" w:eastAsia="zh-CN"/>
              </w:rPr>
              <w:t>㎜</w:t>
            </w:r>
            <w:r>
              <w:rPr>
                <w:rFonts w:hint="eastAsia"/>
                <w:color w:val="auto"/>
                <w:highlight w:val="none"/>
                <w:lang w:val="en-US" w:eastAsia="zh-CN"/>
              </w:rPr>
              <w:t>钢钉</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6250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52</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红色透水砖</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1500块</w:t>
            </w:r>
          </w:p>
        </w:tc>
        <w:tc>
          <w:tcPr>
            <w:tcW w:w="19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w:t>
            </w:r>
            <w:r>
              <w:rPr>
                <w:rFonts w:hint="eastAsia" w:ascii="宋体" w:hAnsi="宋体" w:cs="Times New Roman"/>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w:t>
            </w:r>
            <w:r>
              <w:rPr>
                <w:rFonts w:hint="eastAsia" w:ascii="宋体" w:hAnsi="宋体" w:cs="Times New Roman"/>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3600</w:t>
            </w:r>
          </w:p>
        </w:tc>
        <w:tc>
          <w:tcPr>
            <w:tcW w:w="17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color w:val="auto"/>
                <w:sz w:val="21"/>
                <w:szCs w:val="21"/>
                <w:highlight w:val="none"/>
                <w:lang w:val="en-US" w:eastAsia="zh-CN"/>
              </w:rPr>
            </w:pPr>
            <w:r>
              <w:rPr>
                <w:rFonts w:hint="eastAsia"/>
                <w:color w:val="auto"/>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商务条款</w:t>
            </w:r>
          </w:p>
        </w:tc>
        <w:tc>
          <w:tcPr>
            <w:tcW w:w="8722"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color="auto" w:fill="FFFFFF"/>
              <w:kinsoku/>
              <w:wordWrap/>
              <w:overflowPunct/>
              <w:topLinePunct w:val="0"/>
              <w:autoSpaceDE/>
              <w:autoSpaceDN/>
              <w:bidi w:val="0"/>
              <w:spacing w:line="240" w:lineRule="auto"/>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91440</wp:posOffset>
                      </wp:positionV>
                      <wp:extent cx="70485" cy="106680"/>
                      <wp:effectExtent l="4445" t="4445" r="16510" b="10795"/>
                      <wp:wrapNone/>
                      <wp:docPr id="7" name="000034"/>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000034" o:spid="_x0000_s1026" o:spt="202" type="#_x0000_t202" style="position:absolute;left:0pt;margin-left:3.95pt;margin-top:7.2pt;height:8.4pt;width:5.55pt;z-index:251662336;mso-width-relative:page;mso-height-relative:page;" filled="f" stroked="t" coordsize="21600,21600" o:gfxdata="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V9O53UAAAABgEAAA8AAAAAAAAAAQAgAAAAIgAAAGRycy9kb3ducmV2LnhtbFBLAQIUABQA&#10;AAAIAIdO4kDfgGqd9AEAAAYEAAAOAAAAAAAAAAEAIAAAACMBAABkcnMvZTJvRG9jLnhtbFBLBQYA&#10;AAAABgAGAFkBAACJBQ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color w:val="auto"/>
                <w:highlight w:val="none"/>
              </w:rPr>
              <w:t xml:space="preserve">▲一、合同签订期：自成交通知书发出之日起  </w:t>
            </w:r>
            <w:r>
              <w:rPr>
                <w:rFonts w:hint="eastAsia"/>
                <w:color w:val="auto"/>
                <w:highlight w:val="none"/>
                <w:lang w:val="en-US" w:eastAsia="zh-CN"/>
              </w:rPr>
              <w:t>15</w:t>
            </w:r>
            <w:r>
              <w:rPr>
                <w:rFonts w:hint="eastAsia"/>
                <w:color w:val="auto"/>
                <w:highlight w:val="none"/>
              </w:rPr>
              <w:t xml:space="preserve"> 日内</w:t>
            </w:r>
          </w:p>
          <w:p>
            <w:pPr>
              <w:keepNext w:val="0"/>
              <w:keepLines w:val="0"/>
              <w:pageBreakBefore w:val="0"/>
              <w:widowControl/>
              <w:shd w:val="clear" w:color="auto" w:fill="FFFFFF"/>
              <w:tabs>
                <w:tab w:val="left" w:pos="4769"/>
              </w:tabs>
              <w:kinsoku/>
              <w:wordWrap/>
              <w:overflowPunct/>
              <w:topLinePunct w:val="0"/>
              <w:autoSpaceDE/>
              <w:autoSpaceDN/>
              <w:bidi w:val="0"/>
              <w:spacing w:line="240" w:lineRule="auto"/>
              <w:rPr>
                <w:rFonts w:hint="eastAsia"/>
                <w:color w:val="auto"/>
                <w:highlight w:val="none"/>
              </w:rPr>
            </w:pPr>
            <w:r>
              <w:rPr>
                <w:rFonts w:hint="eastAsia"/>
                <w:color w:val="auto"/>
                <w:highlight w:val="none"/>
              </w:rPr>
              <w:t>□二、提交货物时间：</w:t>
            </w:r>
            <w:r>
              <w:rPr>
                <w:rFonts w:hint="eastAsia"/>
                <w:color w:val="auto"/>
                <w:highlight w:val="none"/>
                <w:lang w:val="en-US" w:eastAsia="zh-CN"/>
              </w:rPr>
              <w:t>自签订合同之日起10个工作日内</w:t>
            </w:r>
            <w:r>
              <w:rPr>
                <w:color w:val="auto"/>
                <w:highlight w:val="none"/>
              </w:rPr>
              <w:tab/>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rFonts w:hint="eastAsia"/>
                <w:color w:val="auto"/>
                <w:highlight w:val="none"/>
              </w:rPr>
              <w:t>□三、提交货物地点：</w:t>
            </w:r>
            <w:r>
              <w:rPr>
                <w:rFonts w:hint="eastAsia"/>
                <w:color w:val="auto"/>
                <w:highlight w:val="none"/>
                <w:lang w:val="en-US" w:eastAsia="zh-CN"/>
              </w:rPr>
              <w:t>江南区环卫站采购人指定地点（含装卸）</w:t>
            </w:r>
            <w:r>
              <w:rPr>
                <w:rFonts w:hint="eastAsia"/>
                <w:color w:val="auto"/>
                <w:highlight w:val="none"/>
              </w:rPr>
              <w:t>。</w:t>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rFonts w:hint="eastAsia"/>
                <w:color w:val="auto"/>
                <w:highlight w:val="none"/>
              </w:rPr>
              <w:t>□四、验收标准、规范：</w:t>
            </w:r>
          </w:p>
          <w:p>
            <w:pPr>
              <w:pStyle w:val="2"/>
              <w:rPr>
                <w:rFonts w:hint="eastAsia"/>
                <w:color w:val="auto"/>
                <w:highlight w:val="none"/>
                <w:lang w:val="en-US" w:eastAsia="zh-CN"/>
              </w:rPr>
            </w:pPr>
            <w:r>
              <w:rPr>
                <w:rFonts w:hint="eastAsia"/>
                <w:color w:val="auto"/>
                <w:highlight w:val="none"/>
                <w:lang w:val="en-US" w:eastAsia="zh-CN"/>
              </w:rPr>
              <w:t>1、验收标准：</w:t>
            </w:r>
          </w:p>
          <w:p>
            <w:pPr>
              <w:numPr>
                <w:ilvl w:val="0"/>
                <w:numId w:val="10"/>
              </w:numPr>
              <w:ind w:left="420" w:leftChars="0" w:firstLine="0" w:firstLineChars="0"/>
              <w:rPr>
                <w:rFonts w:hint="eastAsia"/>
                <w:color w:val="auto"/>
                <w:highlight w:val="none"/>
                <w:lang w:val="en-US" w:eastAsia="zh-CN"/>
              </w:rPr>
            </w:pPr>
            <w:r>
              <w:rPr>
                <w:rFonts w:hint="eastAsia"/>
                <w:color w:val="auto"/>
                <w:highlight w:val="none"/>
                <w:lang w:val="en-US" w:eastAsia="zh-CN"/>
              </w:rPr>
              <w:t>根据采购文件、竞标文件要求和国家标准或行业标准进行现场初步验收，对符合国家相关质量标准、行业标准及响应文件技术参数要求、且外观、说明书符合要求的给予验收，对不符合要求或有质量问题的货物不予签收，可立即要求退换，成交供应商不得拒绝和延误。</w:t>
            </w:r>
          </w:p>
          <w:p>
            <w:pPr>
              <w:pStyle w:val="2"/>
              <w:rPr>
                <w:rFonts w:hint="default"/>
                <w:color w:val="auto"/>
                <w:highlight w:val="none"/>
                <w:lang w:val="en-US" w:eastAsia="zh-CN"/>
              </w:rPr>
            </w:pPr>
            <w:r>
              <w:rPr>
                <w:rFonts w:hint="eastAsia"/>
                <w:color w:val="auto"/>
                <w:highlight w:val="none"/>
                <w:lang w:val="en-US" w:eastAsia="zh-CN"/>
              </w:rPr>
              <w:t>2、验收规范</w:t>
            </w:r>
          </w:p>
          <w:p>
            <w:pPr>
              <w:pStyle w:val="2"/>
              <w:numPr>
                <w:ilvl w:val="0"/>
                <w:numId w:val="0"/>
              </w:numPr>
              <w:ind w:left="420" w:leftChars="0"/>
              <w:rPr>
                <w:rFonts w:hint="eastAsia"/>
                <w:color w:val="auto"/>
                <w:highlight w:val="none"/>
                <w:lang w:val="en-US" w:eastAsia="zh-CN"/>
              </w:rPr>
            </w:pPr>
            <w:r>
              <w:rPr>
                <w:rFonts w:hint="eastAsia"/>
                <w:color w:val="auto"/>
                <w:highlight w:val="none"/>
                <w:lang w:val="en-US" w:eastAsia="zh-CN"/>
              </w:rPr>
              <w:t>（1）供应商对产品作出全面检查和对验收文件进行整理，并列出清单，作为验收和使用的技术条件依据，校验的结果应随货交采购人。</w:t>
            </w:r>
          </w:p>
          <w:p>
            <w:pPr>
              <w:ind w:firstLine="420" w:firstLineChars="200"/>
              <w:rPr>
                <w:rFonts w:hint="eastAsia"/>
                <w:color w:val="auto"/>
                <w:highlight w:val="none"/>
                <w:lang w:val="en-US" w:eastAsia="zh-CN"/>
              </w:rPr>
            </w:pPr>
            <w:r>
              <w:rPr>
                <w:rFonts w:hint="eastAsia"/>
                <w:color w:val="auto"/>
                <w:highlight w:val="none"/>
                <w:lang w:val="en-US" w:eastAsia="zh-CN"/>
              </w:rPr>
              <w:t>（2）采购的货物在使用前供应商应进行调试，需负责安装并培训采购方使用操作人员，协助调试，直到符合技术要求后，给予验收。</w:t>
            </w:r>
          </w:p>
          <w:p>
            <w:pPr>
              <w:pStyle w:val="2"/>
              <w:rPr>
                <w:rFonts w:hint="eastAsia"/>
                <w:color w:val="auto"/>
                <w:highlight w:val="none"/>
                <w:lang w:val="en-US" w:eastAsia="zh-CN"/>
              </w:rPr>
            </w:pPr>
            <w:r>
              <w:rPr>
                <w:rFonts w:hint="eastAsia"/>
                <w:color w:val="auto"/>
                <w:highlight w:val="none"/>
                <w:lang w:val="en-US" w:eastAsia="zh-CN"/>
              </w:rPr>
              <w:t>（3）验收时双方现场验收，验收完成后作出验收报告。</w:t>
            </w:r>
          </w:p>
          <w:p>
            <w:pPr>
              <w:rPr>
                <w:rFonts w:hint="default"/>
                <w:color w:val="auto"/>
                <w:highlight w:val="none"/>
                <w:lang w:val="en-US" w:eastAsia="zh-CN"/>
              </w:rPr>
            </w:pPr>
            <w:r>
              <w:rPr>
                <w:rFonts w:hint="eastAsia"/>
                <w:color w:val="auto"/>
                <w:highlight w:val="none"/>
                <w:lang w:val="en-US" w:eastAsia="zh-CN"/>
              </w:rPr>
              <w:t xml:space="preserve">    </w:t>
            </w:r>
            <w:bookmarkStart w:id="29" w:name="OLE_LINK1"/>
            <w:r>
              <w:rPr>
                <w:rFonts w:hint="eastAsia"/>
                <w:color w:val="auto"/>
                <w:highlight w:val="none"/>
                <w:lang w:val="en-US" w:eastAsia="zh-CN"/>
              </w:rPr>
              <w:t>（4）对技术复杂的货物，采购方有权请国家认可的专业检测机构对货物进行抽检，供应商需派人进行见证。如检测结果有10</w:t>
            </w:r>
            <w:r>
              <w:rPr>
                <w:rFonts w:hint="eastAsia" w:ascii="宋体" w:hAnsi="宋体" w:eastAsia="宋体" w:cs="宋体"/>
                <w:color w:val="auto"/>
                <w:highlight w:val="none"/>
                <w:lang w:val="en-US" w:eastAsia="zh-CN"/>
              </w:rPr>
              <w:t>％</w:t>
            </w:r>
            <w:r>
              <w:rPr>
                <w:rFonts w:hint="eastAsia"/>
                <w:color w:val="auto"/>
                <w:highlight w:val="none"/>
                <w:lang w:val="en-US" w:eastAsia="zh-CN"/>
              </w:rPr>
              <w:t>货物不合格的，采购方有权要求供应商限期无条件整改、换货并承担全部检测及相关费用；如检测结果不合格率达到50</w:t>
            </w:r>
            <w:r>
              <w:rPr>
                <w:rFonts w:hint="eastAsia" w:ascii="宋体" w:hAnsi="宋体" w:eastAsia="宋体" w:cs="宋体"/>
                <w:color w:val="auto"/>
                <w:highlight w:val="none"/>
                <w:lang w:val="en-US" w:eastAsia="zh-CN"/>
              </w:rPr>
              <w:t>％</w:t>
            </w:r>
            <w:r>
              <w:rPr>
                <w:rFonts w:hint="eastAsia"/>
                <w:color w:val="auto"/>
                <w:highlight w:val="none"/>
                <w:lang w:val="en-US" w:eastAsia="zh-CN"/>
              </w:rPr>
              <w:t>的，采购方有权退货并终止合同。</w:t>
            </w:r>
          </w:p>
          <w:bookmarkEnd w:id="29"/>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59055</wp:posOffset>
                      </wp:positionV>
                      <wp:extent cx="70485" cy="106680"/>
                      <wp:effectExtent l="4445" t="4445" r="16510" b="10795"/>
                      <wp:wrapNone/>
                      <wp:docPr id="8" name="000035"/>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000035" o:spid="_x0000_s1026" o:spt="202" type="#_x0000_t202" style="position:absolute;left:0pt;margin-left:2.6pt;margin-top:4.65pt;height:8.4pt;width:5.55pt;z-index:251661312;mso-width-relative:page;mso-height-relative:page;" filled="f" stroked="t" coordsize="21600,21600" o:gfxdata="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Ivsp0wAAAAUBAAAPAAAAAAAAAAEAIAAAACIAAABkcnMvZG93bnJldi54bWxQSwECFAAUAAAA&#10;CACHTuJAFlIfZvMBAAAGBAAADgAAAAAAAAABACAAAAAiAQAAZHJzL2Uyb0RvYy54bWxQSwUGAAAA&#10;AAYABgBZAQAAhwU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color w:val="auto"/>
                <w:highlight w:val="none"/>
              </w:rPr>
              <w:t>▲ 五、售后服务要求：</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1、质保期：按国家有关产品“三包”规定执行“三包”，质保期除特别注明外，最短不得少于</w:t>
            </w:r>
            <w:r>
              <w:rPr>
                <w:color w:val="auto"/>
                <w:highlight w:val="none"/>
              </w:rPr>
              <w:t xml:space="preserve"> </w:t>
            </w:r>
            <w:r>
              <w:rPr>
                <w:rFonts w:hint="eastAsia"/>
                <w:color w:val="auto"/>
                <w:highlight w:val="none"/>
                <w:lang w:val="en-US" w:eastAsia="zh-CN"/>
              </w:rPr>
              <w:t>1</w:t>
            </w:r>
            <w:r>
              <w:rPr>
                <w:color w:val="auto"/>
                <w:highlight w:val="none"/>
              </w:rPr>
              <w:t xml:space="preserve">  </w:t>
            </w:r>
            <w:r>
              <w:rPr>
                <w:rFonts w:hint="eastAsia"/>
                <w:color w:val="auto"/>
                <w:highlight w:val="none"/>
              </w:rPr>
              <w:t>年。保修期内，货物在正常使用、保管及安装条件下，出现因生产工艺缺陷、原材料质量问题、产品设计瑕疵等非</w:t>
            </w:r>
            <w:r>
              <w:rPr>
                <w:rFonts w:hint="eastAsia"/>
                <w:color w:val="auto"/>
                <w:highlight w:val="none"/>
                <w:lang w:eastAsia="zh-CN"/>
              </w:rPr>
              <w:t>采购</w:t>
            </w:r>
            <w:r>
              <w:rPr>
                <w:rFonts w:hint="eastAsia"/>
                <w:color w:val="auto"/>
                <w:highlight w:val="none"/>
              </w:rPr>
              <w:t>方人为因素导致的故障、损坏，</w:t>
            </w:r>
            <w:r>
              <w:rPr>
                <w:rFonts w:hint="eastAsia"/>
                <w:color w:val="auto"/>
                <w:highlight w:val="none"/>
                <w:lang w:eastAsia="zh-CN"/>
              </w:rPr>
              <w:t>供应商</w:t>
            </w:r>
            <w:r>
              <w:rPr>
                <w:rFonts w:hint="eastAsia"/>
                <w:color w:val="auto"/>
                <w:highlight w:val="none"/>
              </w:rPr>
              <w:t>方免费提供维修、更换零部件或整机更换服务，无需</w:t>
            </w:r>
            <w:r>
              <w:rPr>
                <w:rFonts w:hint="eastAsia"/>
                <w:color w:val="auto"/>
                <w:highlight w:val="none"/>
                <w:lang w:eastAsia="zh-CN"/>
              </w:rPr>
              <w:t>采购</w:t>
            </w:r>
            <w:r>
              <w:rPr>
                <w:rFonts w:hint="eastAsia"/>
                <w:color w:val="auto"/>
                <w:highlight w:val="none"/>
              </w:rPr>
              <w:t>方承担费用。（自提交成果并验收合格之日起计）</w:t>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、售后服务技术人员要求：</w:t>
            </w:r>
            <w:r>
              <w:rPr>
                <w:rFonts w:hint="eastAsia"/>
                <w:color w:val="auto"/>
                <w:highlight w:val="none"/>
              </w:rPr>
              <w:t>专职人员</w:t>
            </w:r>
          </w:p>
          <w:p>
            <w:pPr>
              <w:keepNext w:val="0"/>
              <w:keepLines w:val="0"/>
              <w:pageBreakBefore w:val="0"/>
              <w:kinsoku/>
              <w:wordWrap/>
              <w:overflowPunct/>
              <w:topLinePunct w:val="0"/>
              <w:autoSpaceDE/>
              <w:autoSpaceDN/>
              <w:bidi w:val="0"/>
              <w:spacing w:line="240" w:lineRule="auto"/>
              <w:rPr>
                <w:color w:val="auto"/>
                <w:highlight w:val="none"/>
              </w:rPr>
            </w:pPr>
            <w:r>
              <w:rPr>
                <w:rFonts w:hint="eastAsia"/>
                <w:color w:val="auto"/>
                <w:highlight w:val="none"/>
                <w:lang w:val="en-US" w:eastAsia="zh-CN"/>
              </w:rPr>
              <w:t>3</w:t>
            </w:r>
            <w:r>
              <w:rPr>
                <w:rFonts w:hint="eastAsia"/>
                <w:color w:val="auto"/>
                <w:highlight w:val="none"/>
              </w:rPr>
              <w:t>、售后服务费用包含在报价中，售后服务内容如下：</w:t>
            </w:r>
            <w:r>
              <w:rPr>
                <w:color w:val="auto"/>
                <w:highlight w:val="none"/>
              </w:rPr>
              <w:t xml:space="preserve"> </w:t>
            </w:r>
          </w:p>
          <w:p>
            <w:pPr>
              <w:keepNext w:val="0"/>
              <w:keepLines w:val="0"/>
              <w:pageBreakBefore w:val="0"/>
              <w:kinsoku/>
              <w:wordWrap/>
              <w:overflowPunct/>
              <w:topLinePunct w:val="0"/>
              <w:autoSpaceDE/>
              <w:autoSpaceDN/>
              <w:bidi w:val="0"/>
              <w:spacing w:line="240" w:lineRule="auto"/>
              <w:rPr>
                <w:rFonts w:hint="eastAsia"/>
                <w:color w:val="auto"/>
                <w:highlight w:val="none"/>
                <w:lang w:eastAsia="zh-CN"/>
              </w:rPr>
            </w:pPr>
            <w:r>
              <w:rPr>
                <w:rFonts w:hint="eastAsia"/>
                <w:color w:val="auto"/>
                <w:highlight w:val="none"/>
              </w:rPr>
              <w:t>（1）负责送货上门</w:t>
            </w:r>
            <w:r>
              <w:rPr>
                <w:rFonts w:hint="eastAsia"/>
                <w:color w:val="auto"/>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lang w:eastAsia="zh-CN"/>
              </w:rPr>
            </w:pPr>
            <w:r>
              <w:rPr>
                <w:rFonts w:hint="eastAsia"/>
                <w:color w:val="auto"/>
                <w:highlight w:val="none"/>
              </w:rPr>
              <w:t>（</w:t>
            </w:r>
            <w:r>
              <w:rPr>
                <w:color w:val="auto"/>
                <w:highlight w:val="none"/>
              </w:rPr>
              <w:t>2</w:t>
            </w:r>
            <w:r>
              <w:rPr>
                <w:rFonts w:hint="eastAsia"/>
                <w:color w:val="auto"/>
                <w:highlight w:val="none"/>
              </w:rPr>
              <w:t>）退换货服务</w:t>
            </w:r>
            <w:r>
              <w:rPr>
                <w:rFonts w:hint="eastAsia"/>
                <w:color w:val="auto"/>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default"/>
                <w:color w:val="auto"/>
                <w:highlight w:val="none"/>
              </w:rPr>
              <w:t>①</w:t>
            </w:r>
            <w:r>
              <w:rPr>
                <w:rFonts w:hint="eastAsia"/>
                <w:color w:val="auto"/>
                <w:highlight w:val="none"/>
              </w:rPr>
              <w:t>无条件退换货情形</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货物交付后7日内，发现货物存在严重质量问题、与合同约定规格/型号/数量不符、错发漏发、包装严重破损且货物受损的，可无条件申请退货或换货，供</w:t>
            </w:r>
            <w:r>
              <w:rPr>
                <w:rFonts w:hint="eastAsia"/>
                <w:color w:val="auto"/>
                <w:highlight w:val="none"/>
                <w:lang w:eastAsia="zh-CN"/>
              </w:rPr>
              <w:t>货</w:t>
            </w:r>
            <w:r>
              <w:rPr>
                <w:rFonts w:hint="eastAsia"/>
                <w:color w:val="auto"/>
                <w:highlight w:val="none"/>
              </w:rPr>
              <w:t>方需在收到退换货申请后24小时内响应，5个工作日内完成上门取货、重新发货或退款流程，往返物流费用由供</w:t>
            </w:r>
            <w:r>
              <w:rPr>
                <w:rFonts w:hint="eastAsia"/>
                <w:color w:val="auto"/>
                <w:highlight w:val="none"/>
                <w:lang w:eastAsia="zh-CN"/>
              </w:rPr>
              <w:t>货</w:t>
            </w:r>
            <w:r>
              <w:rPr>
                <w:rFonts w:hint="eastAsia"/>
                <w:color w:val="auto"/>
                <w:highlight w:val="none"/>
              </w:rPr>
              <w:t>方承担。</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default"/>
                <w:color w:val="auto"/>
                <w:highlight w:val="none"/>
              </w:rPr>
              <w:t>②</w:t>
            </w:r>
            <w:r>
              <w:rPr>
                <w:rFonts w:hint="eastAsia"/>
                <w:color w:val="auto"/>
                <w:highlight w:val="none"/>
              </w:rPr>
              <w:t>保修期内退换货</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保修期内，</w:t>
            </w:r>
            <w:r>
              <w:rPr>
                <w:rFonts w:hint="eastAsia"/>
                <w:color w:val="auto"/>
                <w:highlight w:val="none"/>
              </w:rPr>
              <w:t>货物出现质量问题，经</w:t>
            </w:r>
            <w:r>
              <w:rPr>
                <w:rFonts w:hint="eastAsia"/>
                <w:color w:val="auto"/>
                <w:highlight w:val="none"/>
                <w:lang w:eastAsia="zh-CN"/>
              </w:rPr>
              <w:t>过</w:t>
            </w:r>
            <w:r>
              <w:rPr>
                <w:rFonts w:hint="eastAsia"/>
                <w:color w:val="auto"/>
                <w:highlight w:val="none"/>
              </w:rPr>
              <w:t>维修仍无法正常使用，或无法修复的，</w:t>
            </w:r>
            <w:r>
              <w:rPr>
                <w:rFonts w:hint="eastAsia"/>
                <w:color w:val="auto"/>
                <w:highlight w:val="none"/>
                <w:lang w:eastAsia="zh-CN"/>
              </w:rPr>
              <w:t>采购人</w:t>
            </w:r>
            <w:r>
              <w:rPr>
                <w:rFonts w:hint="eastAsia"/>
                <w:color w:val="auto"/>
                <w:highlight w:val="none"/>
              </w:rPr>
              <w:t>有权要求换货或退货，供方需无条件配合，换货需提供全新同规格、同型号货物，相关物流、拆装费用由供</w:t>
            </w:r>
            <w:r>
              <w:rPr>
                <w:rFonts w:hint="eastAsia"/>
                <w:color w:val="auto"/>
                <w:highlight w:val="none"/>
                <w:lang w:eastAsia="zh-CN"/>
              </w:rPr>
              <w:t>货</w:t>
            </w:r>
            <w:r>
              <w:rPr>
                <w:rFonts w:hint="eastAsia"/>
                <w:color w:val="auto"/>
                <w:highlight w:val="none"/>
              </w:rPr>
              <w:t>方承担。</w:t>
            </w:r>
          </w:p>
          <w:p>
            <w:pPr>
              <w:keepNext w:val="0"/>
              <w:keepLines w:val="0"/>
              <w:pageBreakBefore w:val="0"/>
              <w:widowControl/>
              <w:shd w:val="clear" w:color="auto" w:fill="FFFFFF"/>
              <w:tabs>
                <w:tab w:val="left" w:pos="3580"/>
              </w:tabs>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4</w:t>
            </w:r>
            <w:r>
              <w:rPr>
                <w:rFonts w:hint="eastAsia"/>
                <w:color w:val="auto"/>
                <w:highlight w:val="none"/>
              </w:rPr>
              <w:t>、</w:t>
            </w:r>
            <w:r>
              <w:rPr>
                <w:rFonts w:hint="eastAsia" w:ascii="宋体" w:hAnsi="宋体" w:cs="宋体"/>
                <w:color w:val="auto"/>
                <w:szCs w:val="21"/>
                <w:highlight w:val="none"/>
              </w:rPr>
              <w:t>故障响应时间：接到采购人处理问题通知后，维修技术人员须在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分钟内响应，提供电话指导；若电话指导无法解决，须在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小时内</w:t>
            </w:r>
            <w:r>
              <w:rPr>
                <w:rFonts w:hint="eastAsia" w:ascii="宋体" w:hAnsi="宋体" w:cs="宋体"/>
                <w:color w:val="auto"/>
                <w:szCs w:val="21"/>
                <w:highlight w:val="none"/>
                <w:lang w:val="en-US" w:eastAsia="zh-CN"/>
              </w:rPr>
              <w:t>到</w:t>
            </w:r>
            <w:r>
              <w:rPr>
                <w:rFonts w:hint="eastAsia" w:ascii="宋体" w:hAnsi="宋体" w:cs="宋体"/>
                <w:color w:val="auto"/>
                <w:szCs w:val="21"/>
                <w:highlight w:val="none"/>
              </w:rPr>
              <w:t>达现场提供维修服务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以保证采购单位的正常使用，所发生的一切费用由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w:t>
            </w:r>
            <w:r>
              <w:rPr>
                <w:rFonts w:hint="eastAsia" w:ascii="宋体" w:hAnsi="宋体" w:cs="宋体"/>
                <w:color w:val="auto"/>
                <w:szCs w:val="21"/>
                <w:highlight w:val="none"/>
                <w:lang w:eastAsia="zh-CN"/>
              </w:rPr>
              <w:t>。</w:t>
            </w:r>
            <w:r>
              <w:rPr>
                <w:rFonts w:hint="eastAsia"/>
                <w:color w:val="auto"/>
                <w:highlight w:val="none"/>
              </w:rPr>
              <w:t xml:space="preserve">                         </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□六、其他要求：</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1、报价必须含以下部分，包括：</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（1）货物的价格；</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（2）必要的保险费用和各项税金；</w:t>
            </w:r>
          </w:p>
          <w:p>
            <w:pPr>
              <w:keepNext w:val="0"/>
              <w:keepLines w:val="0"/>
              <w:pageBreakBefore w:val="0"/>
              <w:tabs>
                <w:tab w:val="left" w:pos="3490"/>
                <w:tab w:val="left" w:pos="3670"/>
                <w:tab w:val="left" w:pos="3895"/>
              </w:tabs>
              <w:kinsoku/>
              <w:wordWrap/>
              <w:overflowPunct/>
              <w:topLinePunct w:val="0"/>
              <w:autoSpaceDE/>
              <w:autoSpaceDN/>
              <w:bidi w:val="0"/>
              <w:spacing w:line="240" w:lineRule="auto"/>
              <w:rPr>
                <w:rFonts w:hint="eastAsia" w:eastAsia="宋体"/>
                <w:color w:val="auto"/>
                <w:highlight w:val="none"/>
                <w:lang w:eastAsia="zh-CN"/>
              </w:rPr>
            </w:pPr>
            <w:r>
              <w:rPr>
                <w:rFonts w:hint="eastAsia"/>
                <w:color w:val="auto"/>
                <w:highlight w:val="none"/>
              </w:rPr>
              <w:t>（3）其他（如运输、装卸、安装、调试、培训、技术支持、售后服务、</w:t>
            </w:r>
            <w:r>
              <w:rPr>
                <w:rFonts w:hint="eastAsia" w:ascii="宋体" w:hAnsi="宋体" w:cs="宋体"/>
                <w:color w:val="auto"/>
                <w:szCs w:val="21"/>
                <w:highlight w:val="none"/>
              </w:rPr>
              <w:t>备品备件、</w:t>
            </w:r>
            <w:r>
              <w:rPr>
                <w:rFonts w:hint="eastAsia"/>
                <w:color w:val="auto"/>
                <w:highlight w:val="none"/>
              </w:rPr>
              <w:t>更新升级</w:t>
            </w:r>
            <w:r>
              <w:rPr>
                <w:rFonts w:hint="eastAsia"/>
                <w:color w:val="auto"/>
                <w:highlight w:val="none"/>
                <w:lang w:eastAsia="zh-CN"/>
              </w:rPr>
              <w:t>、</w:t>
            </w:r>
            <w:r>
              <w:rPr>
                <w:rFonts w:hint="eastAsia" w:ascii="宋体" w:hAnsi="宋体" w:cs="宋体"/>
                <w:color w:val="auto"/>
                <w:szCs w:val="21"/>
                <w:highlight w:val="none"/>
              </w:rPr>
              <w:t>验收等完成本项目所需的一切费用。采购人不再支付任何额外费用。</w:t>
            </w: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70485</wp:posOffset>
                      </wp:positionV>
                      <wp:extent cx="70485" cy="106680"/>
                      <wp:effectExtent l="4445" t="4445" r="16510" b="10795"/>
                      <wp:wrapNone/>
                      <wp:docPr id="9" name="000036"/>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000036" o:spid="_x0000_s1026" o:spt="202" type="#_x0000_t202" style="position:absolute;left:0pt;margin-left:3.95pt;margin-top:5.55pt;height:8.4pt;width:5.55pt;z-index:251662336;mso-width-relative:page;mso-height-relative:page;" filled="f" stroked="t" coordsize="21600,21600" o:gfxdata="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jARxtIAAAAGAQAADwAAAAAAAAABACAAAAAiAAAAZHJzL2Rvd25yZXYueG1sUEsBAhQAFAAAAAgA&#10;h07iQFuIfiLyAQAABgQAAA4AAAAAAAAAAQAgAAAAIQEAAGRycy9lMm9Eb2MueG1sUEsFBgAAAAAG&#10;AAYAWQEAAIUFA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color w:val="auto"/>
                <w:highlight w:val="none"/>
              </w:rPr>
              <w:t>▲2、付款方式：</w:t>
            </w:r>
          </w:p>
          <w:p>
            <w:pPr>
              <w:spacing w:line="360" w:lineRule="auto"/>
              <w:rPr>
                <w:rFonts w:hint="eastAsia" w:eastAsia="宋体"/>
                <w:color w:val="auto"/>
                <w:highlight w:val="none"/>
                <w:lang w:val="en-US" w:eastAsia="zh-CN"/>
              </w:rPr>
            </w:pPr>
            <w:r>
              <w:rPr>
                <w:rFonts w:hint="eastAsia"/>
                <w:color w:val="auto"/>
                <w:highlight w:val="none"/>
                <w:lang w:eastAsia="zh-CN"/>
              </w:rPr>
              <w:t>☑</w:t>
            </w:r>
            <w:r>
              <w:rPr>
                <w:rFonts w:hint="eastAsia" w:ascii="Times New Roman" w:hAnsi="Times New Roman" w:eastAsia="宋体" w:cs="Times New Roman"/>
                <w:color w:val="auto"/>
                <w:highlight w:val="none"/>
              </w:rPr>
              <w:t>本项目无预付款，供</w:t>
            </w:r>
            <w:r>
              <w:rPr>
                <w:rFonts w:hint="eastAsia" w:ascii="Times New Roman" w:hAnsi="Times New Roman" w:eastAsia="宋体" w:cs="Times New Roman"/>
                <w:color w:val="auto"/>
                <w:highlight w:val="none"/>
                <w:lang w:eastAsia="zh-CN"/>
              </w:rPr>
              <w:t>货方</w:t>
            </w:r>
            <w:r>
              <w:rPr>
                <w:rFonts w:hint="eastAsia" w:ascii="Times New Roman" w:hAnsi="Times New Roman" w:eastAsia="宋体" w:cs="Times New Roman"/>
                <w:color w:val="auto"/>
                <w:highlight w:val="none"/>
              </w:rPr>
              <w:t>所提交的货物经采购人书面验收合格后，</w:t>
            </w:r>
            <w:r>
              <w:rPr>
                <w:rFonts w:hint="eastAsia" w:ascii="Times New Roman" w:hAnsi="Times New Roman" w:eastAsia="宋体" w:cs="Times New Roman"/>
                <w:color w:val="auto"/>
                <w:highlight w:val="none"/>
                <w:lang w:eastAsia="zh-CN"/>
              </w:rPr>
              <w:t>采购方向上级财政部门申请支付货物款，待款项下拨后</w:t>
            </w:r>
            <w:r>
              <w:rPr>
                <w:rFonts w:hint="eastAsia" w:ascii="Times New Roman" w:hAnsi="Times New Roman" w:eastAsia="宋体" w:cs="Times New Roman"/>
                <w:color w:val="auto"/>
                <w:highlight w:val="none"/>
                <w:lang w:val="en-US" w:eastAsia="zh-CN"/>
              </w:rPr>
              <w:t>5个工作日内</w:t>
            </w:r>
            <w:r>
              <w:rPr>
                <w:rFonts w:hint="eastAsia" w:ascii="Times New Roman" w:hAnsi="Times New Roman" w:eastAsia="宋体" w:cs="Times New Roman"/>
                <w:color w:val="auto"/>
                <w:highlight w:val="none"/>
              </w:rPr>
              <w:t>一次性支付合同款。采购人付款前，供应商应开具相应额度的合法有效发票。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其他说明</w:t>
            </w:r>
          </w:p>
        </w:tc>
        <w:tc>
          <w:tcPr>
            <w:tcW w:w="8722"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rFonts w:hint="eastAsia"/>
                <w:color w:val="auto"/>
                <w:highlight w:val="none"/>
              </w:rPr>
              <w:t>一、进口产品说明（根据项目实际情况选择）</w:t>
            </w:r>
          </w:p>
          <w:p>
            <w:pPr>
              <w:keepNext w:val="0"/>
              <w:keepLines w:val="0"/>
              <w:pageBreakBefore w:val="0"/>
              <w:tabs>
                <w:tab w:val="left" w:pos="180"/>
                <w:tab w:val="left" w:pos="1620"/>
              </w:tabs>
              <w:kinsoku/>
              <w:wordWrap/>
              <w:overflowPunct/>
              <w:topLinePunct w:val="0"/>
              <w:autoSpaceDE/>
              <w:autoSpaceDN/>
              <w:bidi w:val="0"/>
              <w:spacing w:line="240" w:lineRule="auto"/>
              <w:ind w:firstLine="420"/>
              <w:rPr>
                <w:rFonts w:hint="eastAsia"/>
                <w:color w:val="auto"/>
                <w:highlight w:val="none"/>
              </w:rPr>
            </w:pPr>
            <w:r>
              <w:rPr>
                <w:rFonts w:hint="eastAsia"/>
                <w:color w:val="auto"/>
                <w:highlight w:val="none"/>
              </w:rPr>
              <w:t>本分标货物不接受进口产品（即通过中国海关报关验放进入中国境内且产自关境外的产品）参与响应，如有进口产品参与竞标的，其响应文件作无效处理。</w:t>
            </w:r>
          </w:p>
          <w:p>
            <w:pPr>
              <w:keepNext w:val="0"/>
              <w:keepLines w:val="0"/>
              <w:pageBreakBefore w:val="0"/>
              <w:tabs>
                <w:tab w:val="left" w:pos="180"/>
                <w:tab w:val="left" w:pos="1620"/>
              </w:tabs>
              <w:kinsoku/>
              <w:wordWrap/>
              <w:overflowPunct/>
              <w:topLinePunct w:val="0"/>
              <w:autoSpaceDE/>
              <w:autoSpaceDN/>
              <w:bidi w:val="0"/>
              <w:spacing w:line="240" w:lineRule="auto"/>
              <w:rPr>
                <w:rFonts w:hint="eastAsia"/>
                <w:color w:val="auto"/>
                <w:highlight w:val="none"/>
              </w:rPr>
            </w:pPr>
            <w:r>
              <w:rPr>
                <w:rFonts w:hint="eastAsia"/>
                <w:color w:val="auto"/>
                <w:highlight w:val="none"/>
                <w:lang w:eastAsia="zh-CN"/>
              </w:rPr>
              <w:t>二</w:t>
            </w:r>
            <w:r>
              <w:rPr>
                <w:rFonts w:hint="eastAsia"/>
                <w:color w:val="auto"/>
                <w:highlight w:val="none"/>
              </w:rPr>
              <w:t>、核心产品</w:t>
            </w:r>
          </w:p>
          <w:p>
            <w:pPr>
              <w:keepNext w:val="0"/>
              <w:keepLines w:val="0"/>
              <w:pageBreakBefore w:val="0"/>
              <w:tabs>
                <w:tab w:val="left" w:pos="180"/>
                <w:tab w:val="left" w:pos="1620"/>
              </w:tabs>
              <w:kinsoku/>
              <w:wordWrap/>
              <w:overflowPunct/>
              <w:topLinePunct w:val="0"/>
              <w:autoSpaceDE/>
              <w:autoSpaceDN/>
              <w:bidi w:val="0"/>
              <w:spacing w:line="240" w:lineRule="auto"/>
              <w:rPr>
                <w:rFonts w:hint="eastAsia" w:eastAsia="宋体"/>
                <w:color w:val="auto"/>
                <w:highlight w:val="none"/>
                <w:lang w:val="en-US" w:eastAsia="zh-CN"/>
              </w:rPr>
            </w:pPr>
            <w:r>
              <w:rPr>
                <w:rFonts w:hint="eastAsia"/>
                <w:color w:val="auto"/>
                <w:highlight w:val="none"/>
              </w:rPr>
              <w:t>“采购清单及技术参数”表中的核心产品为</w:t>
            </w:r>
            <w:r>
              <w:rPr>
                <w:rFonts w:hint="eastAsia"/>
                <w:color w:val="auto"/>
                <w:highlight w:val="none"/>
                <w:lang w:eastAsia="zh-CN"/>
              </w:rPr>
              <w:t>序号第</w:t>
            </w:r>
            <w:r>
              <w:rPr>
                <w:rFonts w:hint="eastAsia"/>
                <w:color w:val="auto"/>
                <w:highlight w:val="none"/>
                <w:lang w:val="en-US" w:eastAsia="zh-CN"/>
              </w:rPr>
              <w:t>3项产品：</w:t>
            </w:r>
            <w:r>
              <w:rPr>
                <w:rFonts w:hint="eastAsia" w:ascii="宋体" w:hAnsi="宋体"/>
                <w:color w:val="auto"/>
                <w:sz w:val="21"/>
                <w:szCs w:val="21"/>
                <w:highlight w:val="none"/>
              </w:rPr>
              <w:t>模组LED灯</w:t>
            </w:r>
            <w:r>
              <w:rPr>
                <w:rFonts w:hint="eastAsia" w:ascii="宋体" w:hAnsi="宋体"/>
                <w:color w:val="auto"/>
                <w:sz w:val="21"/>
                <w:szCs w:val="21"/>
                <w:highlight w:val="none"/>
                <w:lang w:eastAsia="zh-CN"/>
              </w:rPr>
              <w:t>（</w:t>
            </w:r>
            <w:r>
              <w:rPr>
                <w:rFonts w:hint="eastAsia"/>
                <w:color w:val="auto"/>
                <w:highlight w:val="none"/>
                <w:lang w:val="en-US" w:eastAsia="zh-CN"/>
              </w:rPr>
              <w:t>1</w:t>
            </w:r>
            <w:r>
              <w:rPr>
                <w:rFonts w:hint="eastAsia"/>
                <w:color w:val="auto"/>
                <w:highlight w:val="none"/>
              </w:rPr>
              <w:t>50W</w:t>
            </w:r>
            <w:r>
              <w:rPr>
                <w:rFonts w:hint="eastAsia" w:ascii="宋体" w:hAnsi="宋体"/>
                <w:color w:val="auto"/>
                <w:sz w:val="21"/>
                <w:szCs w:val="21"/>
                <w:highlight w:val="none"/>
                <w:lang w:eastAsia="zh-CN"/>
              </w:rPr>
              <w:t>）</w:t>
            </w:r>
            <w:r>
              <w:rPr>
                <w:rFonts w:hint="eastAsia" w:ascii="宋体" w:hAnsi="宋体"/>
                <w:color w:val="auto"/>
                <w:sz w:val="21"/>
                <w:szCs w:val="21"/>
                <w:highlight w:val="none"/>
                <w:lang w:eastAsia="zh-CN"/>
              </w:rPr>
              <w:t>。</w:t>
            </w:r>
          </w:p>
          <w:p>
            <w:pPr>
              <w:pStyle w:val="2"/>
              <w:numPr>
                <w:ilvl w:val="0"/>
                <w:numId w:val="11"/>
              </w:numPr>
              <w:spacing w:line="360" w:lineRule="auto"/>
              <w:ind w:left="0" w:leftChars="0" w:firstLine="0" w:firstLineChars="0"/>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严格执行《财政部 发展改革委 生态环境部 市场监管总局关于调整优化节能产品、环境标志产品政府采购执行机制的通知》（财库〔2019〕9号）及《关于印发节能产品政府采购品目清单的通知》（财库〔2019〕19号），本次</w:t>
            </w:r>
            <w:r>
              <w:rPr>
                <w:rFonts w:hint="eastAsia"/>
                <w:color w:val="auto"/>
                <w:highlight w:val="none"/>
                <w:lang w:val="en-US" w:eastAsia="zh-CN"/>
              </w:rPr>
              <w:t>竞标</w:t>
            </w:r>
            <w:r>
              <w:rPr>
                <w:rFonts w:hint="default"/>
                <w:color w:val="auto"/>
                <w:highlight w:val="none"/>
                <w:lang w:val="en-US" w:eastAsia="zh-CN"/>
              </w:rPr>
              <w:t>产品类别属于政府强制采购产品类别的(在清单内以★项标注)，须按照《市场监管总局关于发布参与实施政府采购节能产品、环境标志产品认证机构名录的公告》（2019年第16号）要求提供依据国家确定的认证机构出具的、处于有效期之内的节能产品认证证书原件扫描件并加盖</w:t>
            </w:r>
            <w:r>
              <w:rPr>
                <w:rFonts w:hint="eastAsia"/>
                <w:color w:val="auto"/>
                <w:highlight w:val="none"/>
                <w:lang w:val="en-US" w:eastAsia="zh-CN"/>
              </w:rPr>
              <w:t>竞标</w:t>
            </w:r>
            <w:r>
              <w:rPr>
                <w:rFonts w:hint="default"/>
                <w:color w:val="auto"/>
                <w:highlight w:val="none"/>
                <w:lang w:val="en-US" w:eastAsia="zh-CN"/>
              </w:rPr>
              <w:t>人公章，否则</w:t>
            </w:r>
            <w:r>
              <w:rPr>
                <w:rFonts w:hint="eastAsia"/>
                <w:color w:val="auto"/>
                <w:highlight w:val="none"/>
                <w:lang w:val="en-US" w:eastAsia="zh-CN"/>
              </w:rPr>
              <w:t>竞标</w:t>
            </w:r>
            <w:r>
              <w:rPr>
                <w:rFonts w:hint="default"/>
                <w:color w:val="auto"/>
                <w:highlight w:val="none"/>
                <w:lang w:val="en-US" w:eastAsia="zh-CN"/>
              </w:rPr>
              <w:t>无效。请投标人认真核定本次采购货物内容，若属于国家实施强制性产品认证目录范围内的，须获得国家认可有效期内强制性产品认证证书（必要时提供证明材料）</w:t>
            </w:r>
            <w:r>
              <w:rPr>
                <w:rFonts w:hint="eastAsia"/>
                <w:color w:val="auto"/>
                <w:highlight w:val="none"/>
                <w:lang w:val="en-US" w:eastAsia="zh-CN"/>
              </w:rPr>
              <w:t>。</w:t>
            </w:r>
          </w:p>
          <w:p>
            <w:pPr>
              <w:pStyle w:val="2"/>
              <w:rPr>
                <w:rFonts w:hint="eastAsia" w:eastAsia="宋体"/>
                <w:color w:val="auto"/>
                <w:highlight w:val="none"/>
                <w:lang w:eastAsia="zh-CN"/>
              </w:rPr>
            </w:pPr>
            <w:r>
              <w:rPr>
                <w:rFonts w:hint="default"/>
                <w:b w:val="0"/>
                <w:bCs w:val="0"/>
                <w:color w:val="auto"/>
                <w:highlight w:val="none"/>
                <w:lang w:val="en-US" w:eastAsia="zh-CN"/>
              </w:rPr>
              <w:t>2、本项目采购标的对应的中小企业划分标准所属行业：</w:t>
            </w:r>
            <w:r>
              <w:rPr>
                <w:rFonts w:hint="eastAsia"/>
                <w:color w:val="auto"/>
                <w:highlight w:val="none"/>
                <w:lang w:eastAsia="zh-CN"/>
              </w:rPr>
              <w:t>工业</w:t>
            </w:r>
          </w:p>
        </w:tc>
      </w:tr>
    </w:tbl>
    <w:p>
      <w:pPr>
        <w:spacing w:line="428" w:lineRule="exact"/>
        <w:rPr>
          <w:rFonts w:hint="eastAsia" w:ascii="Arial Unicode MS" w:hAnsi="Arial Unicode MS" w:eastAsia="Arial Unicode MS" w:cs="Arial Unicode MS"/>
          <w:color w:val="auto"/>
          <w:sz w:val="17"/>
          <w:szCs w:val="17"/>
          <w:highlight w:val="none"/>
        </w:rPr>
      </w:pPr>
      <w:r>
        <w:rPr>
          <w:rFonts w:ascii="宋体" w:hAnsi="宋体"/>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pPr>
        <w:spacing w:line="528" w:lineRule="exact"/>
        <w:ind w:left="1871"/>
        <w:rPr>
          <w:rFonts w:hint="eastAsia" w:ascii="Arial Unicode MS" w:hAnsi="Arial Unicode MS" w:eastAsia="Arial Unicode MS" w:cs="Arial Unicode MS"/>
          <w:color w:val="auto"/>
          <w:sz w:val="20"/>
          <w:szCs w:val="2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0"/>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rPr>
          <w:rFonts w:hint="eastAsia" w:ascii="Arial Unicode MS" w:hAnsi="Arial Unicode MS" w:eastAsia="Arial Unicode MS" w:cs="Arial Unicode MS"/>
          <w:color w:val="auto"/>
          <w:sz w:val="20"/>
          <w:szCs w:val="20"/>
          <w:highlight w:val="none"/>
        </w:rPr>
      </w:pPr>
      <w:r>
        <w:rPr>
          <w:rFonts w:hint="eastAsia"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p>
    <w:p>
      <w:pPr>
        <w:rPr>
          <w:rFonts w:hint="eastAsia" w:ascii="Arial Unicode MS" w:hAnsi="Arial Unicode MS" w:eastAsia="Arial Unicode MS" w:cs="Arial Unicode MS"/>
          <w:color w:val="auto"/>
          <w:sz w:val="20"/>
          <w:szCs w:val="20"/>
          <w:highlight w:val="none"/>
        </w:rPr>
      </w:pPr>
    </w:p>
    <w:p>
      <w:pPr>
        <w:pStyle w:val="2"/>
        <w:rPr>
          <w:rFonts w:hint="eastAsia" w:ascii="Arial Unicode MS" w:hAnsi="Arial Unicode MS" w:eastAsia="Arial Unicode MS" w:cs="Arial Unicode MS"/>
          <w:color w:val="auto"/>
          <w:sz w:val="20"/>
          <w:szCs w:val="20"/>
          <w:highlight w:val="none"/>
        </w:rPr>
      </w:pPr>
    </w:p>
    <w:p>
      <w:pPr>
        <w:rPr>
          <w:rFonts w:hint="eastAsia" w:ascii="Arial Unicode MS" w:hAnsi="Arial Unicode MS" w:eastAsia="Arial Unicode MS" w:cs="Arial Unicode MS"/>
          <w:color w:val="auto"/>
          <w:sz w:val="20"/>
          <w:szCs w:val="20"/>
          <w:highlight w:val="none"/>
        </w:rPr>
      </w:pPr>
    </w:p>
    <w:p>
      <w:pPr>
        <w:pStyle w:val="2"/>
        <w:rPr>
          <w:rFonts w:hint="eastAsia" w:ascii="Arial Unicode MS" w:hAnsi="Arial Unicode MS" w:eastAsia="Arial Unicode MS" w:cs="Arial Unicode MS"/>
          <w:color w:val="auto"/>
          <w:sz w:val="20"/>
          <w:szCs w:val="20"/>
          <w:highlight w:val="none"/>
        </w:rPr>
      </w:pPr>
    </w:p>
    <w:p>
      <w:pPr>
        <w:rPr>
          <w:rFonts w:hint="eastAsia" w:ascii="Arial Unicode MS" w:hAnsi="Arial Unicode MS" w:eastAsia="Arial Unicode MS" w:cs="Arial Unicode MS"/>
          <w:color w:val="auto"/>
          <w:sz w:val="20"/>
          <w:szCs w:val="20"/>
          <w:highlight w:val="none"/>
        </w:rPr>
      </w:pPr>
    </w:p>
    <w:p>
      <w:pPr>
        <w:pStyle w:val="14"/>
        <w:jc w:val="left"/>
        <w:rPr>
          <w:rFonts w:hint="eastAsia" w:ascii="Arial Unicode MS" w:hAnsi="Arial Unicode MS" w:eastAsia="Arial Unicode MS" w:cs="Arial Unicode MS"/>
          <w:color w:val="auto"/>
          <w:sz w:val="32"/>
          <w:szCs w:val="32"/>
          <w:highlight w:val="none"/>
        </w:rPr>
      </w:pPr>
      <w:r>
        <w:rPr>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14"/>
        <w:jc w:val="center"/>
        <w:outlineLvl w:val="0"/>
        <w:rPr>
          <w:rFonts w:hAnsi="宋体"/>
          <w:color w:val="auto"/>
          <w:highlight w:val="none"/>
        </w:rPr>
        <w:sectPr>
          <w:pgSz w:w="11906" w:h="16838"/>
          <w:pgMar w:top="1134" w:right="1134" w:bottom="1134" w:left="1134" w:header="720" w:footer="720" w:gutter="0"/>
          <w:cols w:space="720" w:num="1"/>
          <w:docGrid w:type="lines" w:linePitch="331" w:charSpace="0"/>
        </w:sectPr>
      </w:pPr>
    </w:p>
    <w:p>
      <w:pPr>
        <w:pStyle w:val="3"/>
        <w:jc w:val="center"/>
        <w:rPr>
          <w:rFonts w:hint="eastAsia"/>
          <w:color w:val="auto"/>
          <w:highlight w:val="none"/>
        </w:rPr>
      </w:pPr>
      <w:bookmarkStart w:id="30" w:name="_Toc80205922"/>
      <w:r>
        <w:rPr>
          <w:rFonts w:hint="eastAsia" w:ascii="Cambria" w:hAnsi="Cambria"/>
          <w:bCs w:val="0"/>
          <w:color w:val="auto"/>
          <w:sz w:val="32"/>
          <w:szCs w:val="32"/>
          <w:highlight w:val="none"/>
        </w:rPr>
        <w:t>第三章 供应商须知</w:t>
      </w:r>
      <w:bookmarkEnd w:id="30"/>
    </w:p>
    <w:p>
      <w:pPr>
        <w:pStyle w:val="4"/>
        <w:jc w:val="center"/>
        <w:rPr>
          <w:rFonts w:hint="eastAsia" w:ascii="宋体" w:hAnsi="宋体"/>
          <w:b w:val="0"/>
          <w:color w:val="auto"/>
          <w:sz w:val="32"/>
          <w:szCs w:val="32"/>
          <w:highlight w:val="none"/>
        </w:rPr>
      </w:pPr>
      <w:bookmarkStart w:id="31" w:name="_Toc80205923"/>
      <w:r>
        <w:rPr>
          <w:rFonts w:hint="eastAsia" w:ascii="宋体" w:hAnsi="宋体"/>
          <w:b w:val="0"/>
          <w:color w:val="auto"/>
          <w:highlight w:val="none"/>
          <w:lang w:eastAsia="zh-CN"/>
        </w:rPr>
        <w:t xml:space="preserve">第一节 </w:t>
      </w:r>
      <w:r>
        <w:rPr>
          <w:rFonts w:hint="eastAsia" w:ascii="宋体" w:hAnsi="宋体"/>
          <w:b w:val="0"/>
          <w:color w:val="auto"/>
          <w:highlight w:val="none"/>
        </w:rPr>
        <w:t>供应商须知前附表</w:t>
      </w:r>
      <w:bookmarkEnd w:id="31"/>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6"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3"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3" w:type="dxa"/>
            <w:noWrap w:val="0"/>
            <w:vAlign w:val="top"/>
          </w:tcPr>
          <w:p>
            <w:pPr>
              <w:spacing w:line="400" w:lineRule="exact"/>
              <w:rPr>
                <w:rFonts w:hint="eastAsia" w:ascii="宋体" w:hAnsi="宋体" w:cs="宋体"/>
                <w:b/>
                <w:color w:val="auto"/>
                <w:szCs w:val="21"/>
                <w:highlight w:val="none"/>
              </w:rPr>
            </w:pPr>
            <w:r>
              <w:rPr>
                <w:rFonts w:hint="eastAsia" w:ascii="宋体" w:hAnsi="宋体"/>
                <w:color w:val="auto"/>
                <w:szCs w:val="21"/>
                <w:highlight w:val="none"/>
              </w:rPr>
              <w:t xml:space="preserve">供应商资格条件要求详见公告.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3" w:type="dxa"/>
            <w:noWrap w:val="0"/>
            <w:vAlign w:val="center"/>
          </w:tcPr>
          <w:p>
            <w:pPr>
              <w:spacing w:line="360" w:lineRule="auto"/>
              <w:rPr>
                <w:rFonts w:hint="eastAsia" w:ascii="宋体" w:hAnsi="宋体" w:cs="宋体"/>
                <w:color w:val="auto"/>
                <w:szCs w:val="21"/>
                <w:highlight w:val="none"/>
              </w:rPr>
            </w:pPr>
            <w:r>
              <w:rPr>
                <w:rFonts w:hint="eastAsia" w:ascii="宋体" w:hAnsi="宋体"/>
                <w:color w:val="auto"/>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3" w:type="dxa"/>
            <w:noWrap w:val="0"/>
            <w:vAlign w:val="center"/>
          </w:tcPr>
          <w:p>
            <w:pPr>
              <w:pStyle w:val="8"/>
              <w:spacing w:line="380" w:lineRule="exact"/>
              <w:rPr>
                <w:rFonts w:hint="eastAsia" w:ascii="宋体" w:hAnsi="宋体" w:cs="宋体"/>
                <w:color w:val="auto"/>
                <w:szCs w:val="21"/>
                <w:highlight w:val="none"/>
              </w:rPr>
            </w:pPr>
            <w:r>
              <w:rPr>
                <w:rFonts w:hint="eastAsia" w:ascii="宋体" w:hAnsi="宋体"/>
                <w:color w:val="auto"/>
                <w:szCs w:val="21"/>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3" w:type="dxa"/>
            <w:noWrap w:val="0"/>
            <w:vAlign w:val="center"/>
          </w:tcPr>
          <w:p>
            <w:pPr>
              <w:pStyle w:val="8"/>
              <w:spacing w:line="360" w:lineRule="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2786" w:type="dxa"/>
            <w:noWrap w:val="0"/>
            <w:vAlign w:val="center"/>
          </w:tcPr>
          <w:p>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pPr>
              <w:spacing w:line="360" w:lineRule="auto"/>
              <w:jc w:val="center"/>
              <w:rPr>
                <w:rFonts w:hint="eastAsia" w:ascii="宋体" w:hAnsi="宋体" w:cs="宋体"/>
                <w:color w:val="auto"/>
                <w:szCs w:val="21"/>
                <w:highlight w:val="none"/>
              </w:rPr>
            </w:pPr>
          </w:p>
        </w:tc>
        <w:tc>
          <w:tcPr>
            <w:tcW w:w="6853" w:type="dxa"/>
            <w:noWrap w:val="0"/>
            <w:vAlign w:val="center"/>
          </w:tcPr>
          <w:p>
            <w:pPr>
              <w:pStyle w:val="8"/>
              <w:spacing w:line="360" w:lineRule="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w:t>
            </w:r>
            <w:r>
              <w:rPr>
                <w:rFonts w:hint="eastAsia" w:ascii="宋体" w:hAnsi="宋体" w:cs="宋体"/>
                <w:b/>
                <w:bCs/>
                <w:color w:val="auto"/>
                <w:szCs w:val="21"/>
                <w:highlight w:val="none"/>
                <w:lang w:val="en-US" w:eastAsia="zh-CN"/>
              </w:rPr>
              <w:t>原件扫描件或其他电子文件</w:t>
            </w:r>
            <w:r>
              <w:rPr>
                <w:rFonts w:hint="eastAsia" w:ascii="宋体" w:hAnsi="宋体" w:cs="宋体"/>
                <w:color w:val="auto"/>
                <w:szCs w:val="21"/>
                <w:highlight w:val="none"/>
                <w:lang w:val="en-US" w:eastAsia="zh-CN"/>
              </w:rPr>
              <w:t>（如营业执照或者事业单位法人证书或者执业许可证等），供应商为自然人的提供其身份证</w:t>
            </w:r>
            <w:r>
              <w:rPr>
                <w:rFonts w:hint="eastAsia" w:ascii="宋体" w:hAnsi="宋体" w:cs="宋体"/>
                <w:b/>
                <w:bCs/>
                <w:color w:val="auto"/>
                <w:szCs w:val="21"/>
                <w:highlight w:val="none"/>
                <w:lang w:val="en-US" w:eastAsia="zh-CN"/>
              </w:rPr>
              <w:t>原件扫描件或其他电子文件</w:t>
            </w:r>
            <w:r>
              <w:rPr>
                <w:rFonts w:hint="eastAsia" w:ascii="宋体" w:hAnsi="宋体" w:cs="宋体"/>
                <w:color w:val="auto"/>
                <w:szCs w:val="21"/>
                <w:highlight w:val="none"/>
                <w:lang w:val="en-US" w:eastAsia="zh-CN"/>
              </w:rPr>
              <w:t>；（</w:t>
            </w:r>
            <w:r>
              <w:rPr>
                <w:rFonts w:hint="eastAsia" w:ascii="宋体" w:hAnsi="宋体" w:cs="宋体"/>
                <w:b/>
                <w:color w:val="auto"/>
                <w:szCs w:val="21"/>
                <w:highlight w:val="none"/>
                <w:lang w:val="en-US" w:eastAsia="zh-CN"/>
              </w:rPr>
              <w:t>必须提供，否则谈判文件按无效响应处理</w:t>
            </w:r>
            <w:r>
              <w:rPr>
                <w:rFonts w:hint="eastAsia" w:ascii="宋体" w:hAnsi="宋体" w:cs="宋体"/>
                <w:color w:val="auto"/>
                <w:szCs w:val="21"/>
                <w:highlight w:val="none"/>
                <w:lang w:val="en-US" w:eastAsia="zh-CN"/>
              </w:rPr>
              <w:t>）</w:t>
            </w:r>
          </w:p>
          <w:p>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lang w:val="en-US" w:eastAsia="zh-CN"/>
              </w:rPr>
              <w:t xml:space="preserve"> 三 </w:t>
            </w:r>
            <w:r>
              <w:rPr>
                <w:rFonts w:hint="eastAsia" w:ascii="宋体" w:hAnsi="宋体" w:cs="宋体"/>
                <w:color w:val="auto"/>
                <w:szCs w:val="21"/>
                <w:highlight w:val="none"/>
              </w:rPr>
              <w:t>个月的依法缴纳社会保障资金的缴费凭证（专用收据或者社会保险缴纳清单）</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80" w:lineRule="exact"/>
              <w:jc w:val="left"/>
              <w:rPr>
                <w:rFonts w:hint="eastAsia" w:ascii="宋体" w:hAnsi="宋体"/>
                <w:color w:val="auto"/>
                <w:szCs w:val="21"/>
                <w:highlight w:val="none"/>
                <w:lang w:eastAsia="zh-CN"/>
              </w:rPr>
            </w:pPr>
            <w:r>
              <w:rPr>
                <w:rFonts w:hint="eastAsia" w:ascii="宋体" w:hAnsi="宋体" w:cs="宋体"/>
                <w:color w:val="auto"/>
                <w:szCs w:val="21"/>
                <w:highlight w:val="none"/>
              </w:rPr>
              <w:t>4.供应商财务状况报告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2024 </w:t>
            </w:r>
            <w:r>
              <w:rPr>
                <w:rFonts w:hint="eastAsia" w:ascii="宋体" w:hAnsi="宋体"/>
                <w:color w:val="auto"/>
                <w:szCs w:val="21"/>
                <w:highlight w:val="none"/>
              </w:rPr>
              <w:t>年</w:t>
            </w:r>
            <w:r>
              <w:rPr>
                <w:rFonts w:hint="eastAsia" w:ascii="宋体" w:hAnsi="宋体"/>
                <w:color w:val="auto"/>
                <w:szCs w:val="21"/>
                <w:highlight w:val="none"/>
                <w:lang w:eastAsia="zh-CN"/>
              </w:rPr>
              <w:t>或</w:t>
            </w:r>
            <w:r>
              <w:rPr>
                <w:rFonts w:hint="eastAsia" w:ascii="宋体" w:hAnsi="宋体"/>
                <w:color w:val="auto"/>
                <w:szCs w:val="21"/>
                <w:highlight w:val="none"/>
                <w:u w:val="single"/>
                <w:lang w:val="en-US" w:eastAsia="zh-CN"/>
              </w:rPr>
              <w:t>2025</w:t>
            </w:r>
            <w:r>
              <w:rPr>
                <w:rFonts w:hint="eastAsia" w:ascii="宋体" w:hAnsi="宋体"/>
                <w:color w:val="auto"/>
                <w:szCs w:val="21"/>
                <w:highlight w:val="none"/>
                <w:lang w:val="en-US" w:eastAsia="zh-CN"/>
              </w:rPr>
              <w:t>年</w:t>
            </w:r>
            <w:r>
              <w:rPr>
                <w:rFonts w:hint="eastAsia" w:ascii="宋体" w:hAnsi="宋体"/>
                <w:color w:val="auto"/>
                <w:szCs w:val="21"/>
                <w:highlight w:val="none"/>
              </w:rPr>
              <w:t>财务状况报告</w:t>
            </w:r>
            <w:r>
              <w:rPr>
                <w:rFonts w:hint="eastAsia" w:ascii="宋体" w:hAnsi="宋体" w:cs="宋体"/>
                <w:b/>
                <w:bCs/>
                <w:color w:val="auto"/>
                <w:szCs w:val="21"/>
                <w:highlight w:val="none"/>
              </w:rPr>
              <w:t>原件扫描件或其他电子文件</w:t>
            </w:r>
            <w:r>
              <w:rPr>
                <w:rFonts w:hint="eastAsia" w:ascii="宋体" w:hAnsi="宋体"/>
                <w:color w:val="auto"/>
                <w:szCs w:val="21"/>
                <w:highlight w:val="none"/>
                <w:lang w:eastAsia="zh-CN"/>
              </w:rPr>
              <w:t>；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执行《政府会计制度》的，提供资产负债表、收入费用表和净资产变动表及其附注或者其基本开户银行出具的资信证明。</w:t>
            </w:r>
          </w:p>
          <w:p>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供应商是其他组织或者自然人的，应提供经审计的财务报告（含第三方审计机构评估的财务报告）（包括“四表一注”或“三表一注”)或者银行出具的资信证明。（供应商成立不满一年的应按提供截标之日上一个月的财务状况报告原件扫描件或其他电子文件）]；</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eastAsia="宋体" w:cs="宋体"/>
                <w:b/>
                <w:bCs/>
                <w:strike w:val="0"/>
                <w:dstrike w:val="0"/>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strike w:val="0"/>
                <w:dstrike w:val="0"/>
                <w:color w:val="auto"/>
                <w:szCs w:val="21"/>
                <w:highlight w:val="none"/>
              </w:rPr>
              <w:t>本项目专门面向中小企业采购，供应商请提</w:t>
            </w:r>
            <w:r>
              <w:rPr>
                <w:rFonts w:hint="eastAsia" w:ascii="宋体" w:hAnsi="宋体" w:cs="宋体"/>
                <w:b w:val="0"/>
                <w:bCs w:val="0"/>
                <w:strike w:val="0"/>
                <w:dstrike w:val="0"/>
                <w:color w:val="auto"/>
                <w:szCs w:val="21"/>
                <w:highlight w:val="none"/>
              </w:rPr>
              <w:t>供中小企业声明函或其他证明材料（</w:t>
            </w:r>
            <w:r>
              <w:rPr>
                <w:rFonts w:hint="eastAsia" w:ascii="宋体" w:hAnsi="宋体" w:eastAsia="宋体" w:cs="宋体"/>
                <w:strike w:val="0"/>
                <w:dstrike w:val="0"/>
                <w:color w:val="auto"/>
                <w:szCs w:val="21"/>
                <w:highlight w:val="none"/>
              </w:rPr>
              <w:t>监狱企业、残疾人福利性单位视同小型、微型企业）；</w:t>
            </w:r>
            <w:r>
              <w:rPr>
                <w:rFonts w:hint="eastAsia" w:ascii="宋体" w:hAnsi="宋体" w:eastAsia="宋体" w:cs="宋体"/>
                <w:b/>
                <w:bCs/>
                <w:strike w:val="0"/>
                <w:dstrike w:val="0"/>
                <w:color w:val="auto"/>
                <w:szCs w:val="21"/>
                <w:highlight w:val="none"/>
              </w:rPr>
              <w:t>（必须提供，否则作无效投标处理）</w:t>
            </w:r>
          </w:p>
          <w:p>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pPr>
              <w:snapToGrid w:val="0"/>
              <w:spacing w:line="360" w:lineRule="auto"/>
              <w:ind w:firstLine="413" w:firstLineChars="196"/>
              <w:jc w:val="left"/>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1.以上标明“必须提供”的材料，必须加盖供应商电子公章，否则响应文件按无效响应处理。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3"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6.联合体协议书；</w:t>
            </w:r>
            <w:r>
              <w:rPr>
                <w:rFonts w:hint="eastAsia" w:ascii="宋体" w:hAnsi="宋体" w:cs="宋体"/>
                <w:b/>
                <w:color w:val="auto"/>
                <w:szCs w:val="21"/>
                <w:highlight w:val="none"/>
              </w:rPr>
              <w:t>（联合体竞标时必须提供，否则作无效响应处理）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7.供应商认为需要提供的其他有关资料。（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法定代表人授权委托书必须由法定代表人及委托代理人亲笔签名，不得使用印章、签名章或者其他电子制版签名代替</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并加盖</w:t>
            </w:r>
            <w:r>
              <w:rPr>
                <w:rFonts w:hint="eastAsia" w:ascii="宋体" w:hAnsi="宋体"/>
                <w:b/>
                <w:bCs/>
                <w:color w:val="auto"/>
                <w:szCs w:val="21"/>
                <w:highlight w:val="none"/>
                <w:lang w:val="en-US" w:eastAsia="zh-CN"/>
              </w:rPr>
              <w:t>竞标</w:t>
            </w:r>
            <w:r>
              <w:rPr>
                <w:rFonts w:hint="eastAsia" w:ascii="宋体" w:hAnsi="宋体"/>
                <w:b/>
                <w:bCs/>
                <w:color w:val="auto"/>
                <w:szCs w:val="21"/>
                <w:highlight w:val="none"/>
              </w:rPr>
              <w:t>人公章，否则作无效投标处理。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.以上标明“必须提供”的材料，必须加盖</w:t>
            </w:r>
            <w:r>
              <w:rPr>
                <w:rFonts w:hint="eastAsia" w:ascii="宋体" w:hAnsi="宋体" w:cs="宋体"/>
                <w:b/>
                <w:color w:val="auto"/>
                <w:szCs w:val="21"/>
                <w:highlight w:val="none"/>
                <w:lang w:val="en-US" w:eastAsia="zh-CN"/>
              </w:rPr>
              <w:t>竞标人</w:t>
            </w:r>
            <w:r>
              <w:rPr>
                <w:rFonts w:hint="eastAsia" w:ascii="宋体" w:hAnsi="宋体" w:cs="宋体"/>
                <w:b/>
                <w:color w:val="auto"/>
                <w:szCs w:val="21"/>
                <w:highlight w:val="none"/>
              </w:rPr>
              <w:t>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3" w:type="dxa"/>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1.货物需求偏离表；（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配置清单（均不含报价）；（</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w:t>
            </w:r>
            <w:r>
              <w:rPr>
                <w:rFonts w:ascii="宋体" w:hAnsi="宋体" w:cs="宋体"/>
                <w:b/>
                <w:color w:val="auto"/>
                <w:szCs w:val="21"/>
                <w:highlight w:val="none"/>
              </w:rPr>
              <w:t>有请提供</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5.对应采购需求的货物需求、商务条款提供的其他文件资料；（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注：1.以上标明“必须提供”的材料，必须加盖</w:t>
            </w:r>
            <w:r>
              <w:rPr>
                <w:rFonts w:hint="eastAsia" w:ascii="宋体" w:hAnsi="宋体" w:cs="宋体"/>
                <w:b/>
                <w:color w:val="auto"/>
                <w:szCs w:val="21"/>
                <w:highlight w:val="none"/>
                <w:lang w:val="en-US" w:eastAsia="zh-CN"/>
              </w:rPr>
              <w:t>竞标人</w:t>
            </w:r>
            <w:r>
              <w:rPr>
                <w:rFonts w:hint="eastAsia" w:ascii="宋体" w:hAnsi="宋体" w:cs="宋体"/>
                <w:b/>
                <w:color w:val="auto"/>
                <w:szCs w:val="21"/>
                <w:highlight w:val="none"/>
              </w:rPr>
              <w:t>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3" w:type="dxa"/>
            <w:noWrap w:val="0"/>
            <w:vAlign w:val="center"/>
          </w:tcPr>
          <w:p>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pPr>
              <w:spacing w:line="360" w:lineRule="auto"/>
              <w:rPr>
                <w:rFonts w:hint="eastAsia" w:ascii="宋体" w:hAnsi="宋体" w:cs="宋体"/>
                <w:color w:val="auto"/>
                <w:szCs w:val="21"/>
                <w:highlight w:val="none"/>
              </w:rPr>
            </w:pPr>
            <w:r>
              <w:rPr>
                <w:rFonts w:hint="eastAsia" w:ascii="宋体" w:hAnsi="宋体" w:cs="宋体"/>
                <w:color w:val="auto"/>
                <w:sz w:val="24"/>
                <w:highlight w:val="none"/>
              </w:rPr>
              <w:t>2.</w:t>
            </w:r>
            <w:r>
              <w:rPr>
                <w:rFonts w:hint="eastAsia" w:ascii="宋体" w:hAnsi="宋体" w:cs="宋体"/>
                <w:color w:val="auto"/>
                <w:szCs w:val="21"/>
                <w:highlight w:val="none"/>
              </w:rPr>
              <w:t>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olor w:val="auto"/>
                <w:szCs w:val="21"/>
                <w:highlight w:val="none"/>
              </w:rPr>
              <w:t>3.中小企业声明函。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3" w:type="dxa"/>
            <w:noWrap w:val="0"/>
            <w:vAlign w:val="center"/>
          </w:tcPr>
          <w:p>
            <w:pPr>
              <w:pStyle w:val="6"/>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w:t>
            </w:r>
            <w:r>
              <w:rPr>
                <w:rFonts w:hint="eastAsia" w:ascii="宋体" w:hAnsi="宋体" w:cs="宋体"/>
                <w:color w:val="auto"/>
                <w:kern w:val="2"/>
                <w:sz w:val="21"/>
                <w:szCs w:val="21"/>
                <w:highlight w:val="none"/>
              </w:rPr>
              <w:t>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lang w:val="en-US" w:eastAsia="zh-CN"/>
              </w:rPr>
              <w:t>日历天</w:t>
            </w:r>
            <w:r>
              <w:rPr>
                <w:rFonts w:hint="eastAsia" w:ascii="宋体" w:hAnsi="宋体" w:cs="宋体"/>
                <w:color w:val="auto"/>
                <w:kern w:val="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谈判保证金</w:t>
            </w:r>
          </w:p>
        </w:tc>
        <w:tc>
          <w:tcPr>
            <w:tcW w:w="6853" w:type="dxa"/>
            <w:noWrap w:val="0"/>
            <w:vAlign w:val="center"/>
          </w:tcPr>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3"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3"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26.2</w:t>
            </w:r>
          </w:p>
        </w:tc>
        <w:tc>
          <w:tcPr>
            <w:tcW w:w="2786"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谈判的顺序</w:t>
            </w:r>
          </w:p>
          <w:p>
            <w:pPr>
              <w:spacing w:line="360" w:lineRule="auto"/>
              <w:jc w:val="center"/>
              <w:rPr>
                <w:rFonts w:hint="eastAsia" w:ascii="宋体" w:hAnsi="宋体" w:cs="宋体"/>
                <w:color w:val="auto"/>
                <w:szCs w:val="21"/>
                <w:highlight w:val="none"/>
              </w:rPr>
            </w:pP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系统自动提取的顺序</w:t>
            </w:r>
          </w:p>
          <w:p>
            <w:pPr>
              <w:pStyle w:val="8"/>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参与谈判前，供应商法定代表人或者委托代理人必须通过电脑摄像头向谈判小组出示本人有效证件原件</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评审价相同时成交原则</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5</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2786" w:type="dxa"/>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ascii="宋体" w:hAnsi="宋体" w:eastAsia="宋体"/>
                <w:b/>
                <w:bCs/>
                <w:color w:val="auto"/>
                <w:szCs w:val="21"/>
                <w:highlight w:val="none"/>
              </w:rPr>
              <w:t>以书面形式</w:t>
            </w:r>
            <w:r>
              <w:rPr>
                <w:rFonts w:hint="eastAsia" w:ascii="宋体" w:hAnsi="宋体" w:eastAsia="宋体"/>
                <w:b/>
                <w:bCs/>
                <w:color w:val="auto"/>
                <w:szCs w:val="21"/>
                <w:highlight w:val="none"/>
                <w:lang w:eastAsia="zh-CN"/>
              </w:rPr>
              <w:t>，只接受</w:t>
            </w:r>
            <w:r>
              <w:rPr>
                <w:rFonts w:hint="eastAsia" w:ascii="宋体" w:hAnsi="宋体" w:eastAsia="宋体"/>
                <w:b/>
                <w:bCs/>
                <w:color w:val="auto"/>
                <w:szCs w:val="21"/>
                <w:highlight w:val="none"/>
                <w:lang w:val="en-US" w:eastAsia="zh-CN"/>
              </w:rPr>
              <w:t>EMS邮寄纸质质疑材料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南宁市江南区政府采购中心</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pPr>
              <w:snapToGrid w:val="0"/>
              <w:spacing w:line="38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val="en-US" w:eastAsia="zh-CN"/>
              </w:rPr>
              <w:t>0771-4950239</w:t>
            </w:r>
            <w:r>
              <w:rPr>
                <w:rFonts w:hint="eastAsia" w:ascii="宋体" w:hAnsi="宋体"/>
                <w:color w:val="auto"/>
                <w:szCs w:val="21"/>
                <w:highlight w:val="none"/>
              </w:rPr>
              <w:t>，</w:t>
            </w:r>
          </w:p>
          <w:p>
            <w:pPr>
              <w:snapToGrid w:val="0"/>
              <w:spacing w:line="380" w:lineRule="exact"/>
              <w:rPr>
                <w:rFonts w:hint="default" w:ascii="宋体" w:hAnsi="宋体"/>
                <w:color w:val="auto"/>
                <w:szCs w:val="21"/>
                <w:highlight w:val="none"/>
                <w:lang w:val="en-US"/>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val="en-US" w:eastAsia="zh-CN"/>
              </w:rPr>
              <w:t>南宁市江南区壮锦大道19号江南区人民政府B座</w:t>
            </w:r>
          </w:p>
          <w:p>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（2）南宁市江南区</w:t>
            </w:r>
            <w:r>
              <w:rPr>
                <w:rFonts w:hint="eastAsia" w:ascii="宋体" w:hAnsi="宋体"/>
                <w:color w:val="auto"/>
                <w:szCs w:val="21"/>
                <w:highlight w:val="none"/>
                <w:u w:val="single"/>
                <w:lang w:val="en-US" w:eastAsia="zh-CN"/>
              </w:rPr>
              <w:t>市政环卫工作站</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pPr>
              <w:snapToGrid w:val="0"/>
              <w:spacing w:line="38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w:t>
            </w:r>
            <w:r>
              <w:rPr>
                <w:rFonts w:hint="eastAsia" w:ascii="宋体" w:hAnsi="宋体"/>
                <w:color w:val="auto"/>
                <w:szCs w:val="21"/>
                <w:highlight w:val="none"/>
                <w:lang w:val="en-US" w:eastAsia="zh-CN"/>
              </w:rPr>
              <w:t>4831092</w:t>
            </w:r>
            <w:r>
              <w:rPr>
                <w:rFonts w:hint="eastAsia" w:ascii="宋体" w:hAnsi="宋体"/>
                <w:color w:val="auto"/>
                <w:szCs w:val="21"/>
                <w:highlight w:val="none"/>
              </w:rPr>
              <w:t>，</w:t>
            </w:r>
          </w:p>
          <w:p>
            <w:pPr>
              <w:snapToGrid w:val="0"/>
              <w:spacing w:line="380" w:lineRule="exact"/>
              <w:rPr>
                <w:rFonts w:hint="eastAsia" w:ascii="宋体" w:hAnsi="宋体" w:eastAsia="宋体"/>
                <w:color w:val="auto"/>
                <w:szCs w:val="21"/>
                <w:highlight w:val="none"/>
                <w:lang w:eastAsia="zh-CN"/>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南宁市江南区</w:t>
            </w:r>
            <w:r>
              <w:rPr>
                <w:rFonts w:hint="eastAsia" w:ascii="宋体" w:hAnsi="宋体"/>
                <w:color w:val="auto"/>
                <w:szCs w:val="21"/>
                <w:highlight w:val="none"/>
                <w:u w:val="single"/>
                <w:lang w:eastAsia="zh-CN"/>
              </w:rPr>
              <w:t>五一路南三里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ascii="宋体" w:hAnsi="宋体" w:cs="宋体"/>
                <w:color w:val="auto"/>
                <w:szCs w:val="21"/>
                <w:highlight w:val="none"/>
              </w:rPr>
            </w:pPr>
          </w:p>
        </w:tc>
        <w:tc>
          <w:tcPr>
            <w:tcW w:w="2786" w:type="dxa"/>
            <w:noWrap w:val="0"/>
            <w:vAlign w:val="center"/>
          </w:tcPr>
          <w:p>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lang w:val="en-US" w:eastAsia="zh-CN"/>
              </w:rPr>
              <w:t>08</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分到</w:t>
            </w:r>
            <w:r>
              <w:rPr>
                <w:rFonts w:hint="eastAsia" w:hAnsi="宋体"/>
                <w:color w:val="auto"/>
                <w:highlight w:val="none"/>
                <w:u w:val="single"/>
                <w:lang w:val="en-US" w:eastAsia="zh-CN"/>
              </w:rPr>
              <w:t>11</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w:t>
            </w:r>
            <w:r>
              <w:rPr>
                <w:rFonts w:hint="eastAsia" w:hAnsi="宋体"/>
                <w:color w:val="auto"/>
                <w:highlight w:val="none"/>
                <w:u w:val="single"/>
                <w:lang w:val="en-US" w:eastAsia="zh-CN"/>
              </w:rPr>
              <w:t>15</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分到</w:t>
            </w:r>
            <w:r>
              <w:rPr>
                <w:rFonts w:hint="eastAsia" w:hAnsi="宋体"/>
                <w:color w:val="auto"/>
                <w:highlight w:val="none"/>
                <w:u w:val="single"/>
                <w:lang w:val="en-US" w:eastAsia="zh-CN"/>
              </w:rPr>
              <w:t>17</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3" w:type="dxa"/>
            <w:noWrap w:val="0"/>
            <w:vAlign w:val="center"/>
          </w:tcPr>
          <w:p>
            <w:pPr>
              <w:snapToGrid w:val="0"/>
              <w:spacing w:line="380" w:lineRule="exact"/>
              <w:rPr>
                <w:rFonts w:hint="eastAsia" w:hAnsi="宋体"/>
                <w:color w:val="auto"/>
                <w:highlight w:val="none"/>
              </w:rPr>
            </w:pPr>
            <w:r>
              <w:rPr>
                <w:rFonts w:hint="eastAsia" w:hAnsi="宋体"/>
                <w:color w:val="auto"/>
                <w:highlight w:val="none"/>
              </w:rPr>
              <w:t>1、受理方式：以书面形式</w:t>
            </w:r>
            <w:r>
              <w:rPr>
                <w:rFonts w:hint="eastAsia" w:hAnsi="宋体"/>
                <w:color w:val="auto"/>
                <w:highlight w:val="none"/>
                <w:lang w:eastAsia="zh-CN"/>
              </w:rPr>
              <w:t>，</w:t>
            </w:r>
            <w:r>
              <w:rPr>
                <w:rFonts w:hint="eastAsia" w:hAnsi="宋体"/>
                <w:color w:val="auto"/>
                <w:highlight w:val="none"/>
                <w:lang w:val="en-US" w:eastAsia="zh-CN"/>
              </w:rPr>
              <w:t>接收EMS邮寄纸质质疑材料</w:t>
            </w:r>
            <w:r>
              <w:rPr>
                <w:rFonts w:hint="eastAsia" w:hAnsi="宋体"/>
                <w:color w:val="auto"/>
                <w:highlight w:val="none"/>
              </w:rPr>
              <w:t>，投诉书正、副本（经过质疑的事项才可投诉）。</w:t>
            </w:r>
          </w:p>
          <w:p>
            <w:pPr>
              <w:snapToGrid w:val="0"/>
              <w:spacing w:line="380" w:lineRule="exact"/>
              <w:rPr>
                <w:rFonts w:hint="eastAsia" w:hAnsi="宋体"/>
                <w:color w:val="auto"/>
                <w:highlight w:val="none"/>
              </w:rPr>
            </w:pPr>
            <w:r>
              <w:rPr>
                <w:rFonts w:hint="eastAsia" w:hAnsi="宋体"/>
                <w:color w:val="auto"/>
                <w:highlight w:val="none"/>
              </w:rPr>
              <w:t>2、邮寄地址：</w:t>
            </w:r>
          </w:p>
          <w:p>
            <w:pPr>
              <w:snapToGrid w:val="0"/>
              <w:spacing w:line="380" w:lineRule="exac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eastAsia="zh-CN"/>
              </w:rPr>
              <w:t>名称：南宁市江南区财政局政府采购监督管理办公室</w:t>
            </w:r>
          </w:p>
          <w:p>
            <w:pPr>
              <w:snapToGrid w:val="0"/>
              <w:spacing w:line="380" w:lineRule="exact"/>
              <w:rPr>
                <w:rFonts w:hint="default"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lang w:eastAsia="zh-CN"/>
              </w:rPr>
              <w:t>地址：南宁市壮锦大道</w:t>
            </w:r>
            <w:r>
              <w:rPr>
                <w:rFonts w:hint="eastAsia" w:ascii="Times New Roman" w:hAnsi="宋体" w:eastAsia="宋体" w:cs="Times New Roman"/>
                <w:color w:val="auto"/>
                <w:highlight w:val="none"/>
                <w:lang w:val="en-US" w:eastAsia="zh-CN"/>
              </w:rPr>
              <w:t>19号A座10层1017室</w:t>
            </w:r>
          </w:p>
          <w:p>
            <w:pPr>
              <w:snapToGrid w:val="0"/>
              <w:spacing w:line="380" w:lineRule="exact"/>
              <w:rPr>
                <w:rFonts w:hint="eastAsia" w:hAnsi="宋体" w:cs="宋体"/>
                <w:color w:val="auto"/>
                <w:sz w:val="21"/>
                <w:highlight w:val="none"/>
                <w:lang w:val="en-US" w:eastAsia="zh-CN"/>
              </w:rPr>
            </w:pPr>
            <w:r>
              <w:rPr>
                <w:rFonts w:hint="eastAsia" w:ascii="Times New Roman" w:hAnsi="宋体" w:eastAsia="宋体" w:cs="Times New Roman"/>
                <w:color w:val="auto"/>
                <w:highlight w:val="none"/>
                <w:lang w:eastAsia="zh-CN"/>
              </w:rPr>
              <w:t>联系电话：0771-</w:t>
            </w:r>
            <w:r>
              <w:rPr>
                <w:rFonts w:hint="eastAsia" w:ascii="Times New Roman" w:hAnsi="宋体" w:eastAsia="宋体" w:cs="Times New Roman"/>
                <w:color w:val="auto"/>
                <w:highlight w:val="none"/>
                <w:lang w:val="en-US" w:eastAsia="zh-CN"/>
              </w:rPr>
              <w:t>4802805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3" w:type="dxa"/>
            <w:noWrap w:val="0"/>
            <w:vAlign w:val="center"/>
          </w:tcPr>
          <w:p>
            <w:pPr>
              <w:pStyle w:val="14"/>
              <w:snapToGrid w:val="0"/>
              <w:spacing w:line="360" w:lineRule="auto"/>
              <w:rPr>
                <w:rFonts w:hint="eastAsia" w:hAnsi="宋体" w:cs="宋体"/>
                <w:color w:val="auto"/>
                <w:sz w:val="21"/>
                <w:highlight w:val="none"/>
                <w:lang w:val="en-US" w:eastAsia="zh-CN"/>
              </w:rPr>
            </w:pPr>
            <w:r>
              <w:rPr>
                <w:rFonts w:hint="eastAsia" w:ascii="Times New Roman" w:hAnsi="宋体" w:eastAsia="宋体" w:cs="Times New Roman"/>
                <w:color w:val="auto"/>
                <w:kern w:val="2"/>
                <w:sz w:val="21"/>
                <w:szCs w:val="24"/>
                <w:highlight w:val="none"/>
                <w:lang w:val="en-US" w:eastAsia="zh-CN" w:bidi="ar-SA"/>
              </w:rPr>
              <w:t>本项目不收取采购代理费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lang w:val="en-US" w:eastAsia="zh-CN"/>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Times New Roman" w:hAnsi="宋体" w:eastAsia="宋体" w:cs="Times New Roman"/>
                <w:b/>
                <w:bCs/>
                <w:color w:val="auto"/>
                <w:highlight w:val="none"/>
                <w:lang w:val="en-US" w:eastAsia="zh-CN"/>
              </w:rPr>
              <w:t>由采购人或者采购代理机构负责解释</w:t>
            </w:r>
            <w:r>
              <w:rPr>
                <w:rFonts w:hint="eastAsia" w:ascii="Times New Roman" w:hAnsi="宋体" w:eastAsia="宋体"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highlight w:val="none"/>
              </w:rPr>
            </w:pPr>
            <w:r>
              <w:rPr>
                <w:rFonts w:hint="eastAsia" w:ascii="Times New Roman" w:hAnsi="宋体" w:eastAsia="宋体" w:cs="Times New Roman"/>
                <w:color w:val="auto"/>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3" w:type="dxa"/>
            <w:noWrap w:val="0"/>
            <w:vAlign w:val="center"/>
          </w:tcPr>
          <w:p>
            <w:pPr>
              <w:pStyle w:val="1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w:t>
            </w:r>
            <w:r>
              <w:rPr>
                <w:rFonts w:hint="eastAsia" w:hAnsi="宋体" w:cs="宋体"/>
                <w:color w:val="auto"/>
                <w:sz w:val="21"/>
                <w:highlight w:val="none"/>
                <w:lang w:val="en-US" w:eastAsia="zh-CN"/>
              </w:rPr>
              <w:t>指供应商通过指定电子化政府采购平台办理数字证书（CA认证）获得的以法定主体行为名称制作的电子印章。</w:t>
            </w:r>
          </w:p>
          <w:p>
            <w:pPr>
              <w:pStyle w:val="14"/>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2.本谈判文件中描述供应商的“签字”是</w:t>
            </w:r>
            <w:r>
              <w:rPr>
                <w:rFonts w:hint="eastAsia" w:hAnsi="宋体" w:cs="宋体"/>
                <w:color w:val="auto"/>
                <w:sz w:val="21"/>
                <w:highlight w:val="none"/>
                <w:lang w:val="en-US" w:eastAsia="zh-CN"/>
              </w:rPr>
              <w:t>指供应商通过指定电子化政府采购平台办理数字证书（CA认证）获得的以供应商法定代表人或者委托代理人姓名制作的电子印章或手写签字。</w:t>
            </w:r>
          </w:p>
          <w:p>
            <w:pPr>
              <w:pStyle w:val="14"/>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4"/>
              <w:snapToGrid w:val="0"/>
              <w:spacing w:line="360" w:lineRule="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自然人竞标的，谈判文件规定盖公章处由自然人摁手指指印。</w:t>
            </w:r>
          </w:p>
          <w:p>
            <w:pPr>
              <w:pStyle w:val="1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本谈判文件所称的“以上”“以下”“以内”“届满”，包括本数；所称的“不满”“超过”“以外”，不包括本数。</w:t>
            </w:r>
          </w:p>
        </w:tc>
      </w:tr>
    </w:tbl>
    <w:p>
      <w:pPr>
        <w:pStyle w:val="4"/>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32" w:name="_Toc80205924"/>
      <w:r>
        <w:rPr>
          <w:rFonts w:hint="eastAsia" w:ascii="宋体" w:hAnsi="宋体"/>
          <w:b w:val="0"/>
          <w:color w:val="auto"/>
          <w:highlight w:val="none"/>
        </w:rPr>
        <w:t>第二节 供应商须知正文</w:t>
      </w:r>
      <w:bookmarkEnd w:id="32"/>
    </w:p>
    <w:p>
      <w:pPr>
        <w:pStyle w:val="5"/>
        <w:spacing w:before="0" w:after="0" w:line="360" w:lineRule="auto"/>
        <w:ind w:firstLine="640" w:firstLineChars="200"/>
        <w:rPr>
          <w:rFonts w:hint="eastAsia" w:ascii="宋体" w:hAnsi="宋体"/>
          <w:b w:val="0"/>
          <w:color w:val="auto"/>
          <w:highlight w:val="none"/>
        </w:rPr>
      </w:pPr>
      <w:bookmarkStart w:id="33" w:name="_Toc80205925"/>
      <w:r>
        <w:rPr>
          <w:rFonts w:hint="eastAsia" w:ascii="宋体" w:hAnsi="宋体"/>
          <w:b w:val="0"/>
          <w:color w:val="auto"/>
          <w:highlight w:val="none"/>
        </w:rPr>
        <w:t>一、总则</w:t>
      </w:r>
      <w:bookmarkEnd w:id="33"/>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cs="宋体"/>
          <w:color w:val="auto"/>
          <w:szCs w:val="21"/>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2.3“供应商”是指向采购人提供货物、工程或者货物的法人、其他组织或者自然人。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“实质性要求”是指采购需求中带“▲”的条款或者不能负偏离的条款或者已经指明不满足按响应文件作无效处理的条款。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4.谈判费用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w:t>
      </w:r>
      <w:r>
        <w:rPr>
          <w:rFonts w:hint="eastAsia" w:ascii="宋体" w:hAnsi="宋体"/>
          <w:bCs/>
          <w:color w:val="auto"/>
          <w:szCs w:val="21"/>
          <w:highlight w:val="none"/>
        </w:rPr>
        <w:t>根据《政府采购促进中小企业发展</w:t>
      </w:r>
      <w:r>
        <w:rPr>
          <w:rFonts w:hint="eastAsia"/>
          <w:color w:val="auto"/>
          <w:highlight w:val="none"/>
        </w:rPr>
        <w:t>管理</w:t>
      </w:r>
      <w:r>
        <w:rPr>
          <w:rFonts w:hint="eastAsia" w:ascii="宋体" w:hAnsi="宋体"/>
          <w:bCs/>
          <w:color w:val="auto"/>
          <w:szCs w:val="21"/>
          <w:highlight w:val="none"/>
        </w:rPr>
        <w:t>办法》（财库[2020]46号）</w:t>
      </w:r>
      <w:r>
        <w:rPr>
          <w:rFonts w:ascii="宋体" w:hAnsi="宋体"/>
          <w:bCs/>
          <w:color w:val="auto"/>
          <w:szCs w:val="21"/>
          <w:highlight w:val="none"/>
        </w:rPr>
        <w:t>第九条</w:t>
      </w:r>
      <w:r>
        <w:rPr>
          <w:rFonts w:hint="eastAsia" w:ascii="宋体" w:hAnsi="宋体"/>
          <w:bCs/>
          <w:color w:val="auto"/>
          <w:szCs w:val="21"/>
          <w:highlight w:val="none"/>
        </w:rPr>
        <w:t>及《广西壮族自治区财政厅关于进一步发挥政府采购政策功能促进企业发展的通知》（桂财采〔2022〕30号）、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w:t>
      </w:r>
      <w:r>
        <w:rPr>
          <w:rFonts w:ascii="宋体" w:hAnsi="宋体"/>
          <w:bCs/>
          <w:color w:val="auto"/>
          <w:szCs w:val="21"/>
          <w:highlight w:val="none"/>
        </w:rPr>
        <w:t xml:space="preserve">接受大中型企业与小微企业组成联合体的采购项目，对于联合协议约定小微企业的合同份额占到合同总金额 30%以上的，采购人、采购代理机构应当对联合体的报价给予 </w:t>
      </w:r>
      <w:r>
        <w:rPr>
          <w:rFonts w:hint="eastAsia" w:ascii="宋体" w:hAnsi="宋体"/>
          <w:bCs/>
          <w:color w:val="auto"/>
          <w:szCs w:val="21"/>
          <w:highlight w:val="none"/>
          <w:lang w:val="en-US" w:eastAsia="zh-CN"/>
        </w:rPr>
        <w:t>4</w:t>
      </w:r>
      <w:r>
        <w:rPr>
          <w:rFonts w:ascii="宋体" w:hAnsi="宋体"/>
          <w:bCs/>
          <w:color w:val="auto"/>
          <w:szCs w:val="21"/>
          <w:highlight w:val="none"/>
        </w:rPr>
        <w:t>%-</w:t>
      </w:r>
      <w:r>
        <w:rPr>
          <w:rFonts w:hint="eastAsia" w:ascii="宋体" w:hAnsi="宋体"/>
          <w:bCs/>
          <w:color w:val="auto"/>
          <w:szCs w:val="21"/>
          <w:highlight w:val="none"/>
          <w:lang w:val="en-US" w:eastAsia="zh-CN"/>
        </w:rPr>
        <w:t>6</w:t>
      </w:r>
      <w:r>
        <w:rPr>
          <w:rFonts w:ascii="宋体" w:hAnsi="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w:t>
      </w:r>
      <w:r>
        <w:rPr>
          <w:rFonts w:hint="eastAsia"/>
          <w:color w:val="auto"/>
          <w:highlight w:val="none"/>
        </w:rPr>
        <w:t>管理</w:t>
      </w:r>
      <w:r>
        <w:rPr>
          <w:rFonts w:hint="eastAsia" w:ascii="宋体" w:hAnsi="宋体"/>
          <w:bCs/>
          <w:color w:val="auto"/>
          <w:szCs w:val="21"/>
          <w:highlight w:val="none"/>
        </w:rPr>
        <w:t>办法》（财库[2020]46号）</w:t>
      </w:r>
      <w:r>
        <w:rPr>
          <w:rFonts w:ascii="宋体" w:hAnsi="宋体"/>
          <w:bCs/>
          <w:color w:val="auto"/>
          <w:szCs w:val="21"/>
          <w:highlight w:val="none"/>
        </w:rPr>
        <w:t>第九条</w:t>
      </w:r>
      <w:r>
        <w:rPr>
          <w:rFonts w:hint="eastAsia" w:ascii="宋体" w:hAnsi="宋体"/>
          <w:bCs/>
          <w:color w:val="auto"/>
          <w:szCs w:val="21"/>
          <w:highlight w:val="none"/>
        </w:rPr>
        <w:t>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w:t>
      </w:r>
      <w:r>
        <w:rPr>
          <w:rFonts w:ascii="宋体" w:hAnsi="宋体"/>
          <w:bCs/>
          <w:color w:val="auto"/>
          <w:szCs w:val="21"/>
          <w:highlight w:val="none"/>
        </w:rPr>
        <w:t xml:space="preserve">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bCs/>
          <w:color w:val="auto"/>
          <w:szCs w:val="21"/>
          <w:highlight w:val="none"/>
          <w:lang w:val="en-US" w:eastAsia="zh-CN"/>
        </w:rPr>
        <w:t>4</w:t>
      </w:r>
      <w:r>
        <w:rPr>
          <w:rFonts w:ascii="宋体" w:hAnsi="宋体"/>
          <w:bCs/>
          <w:color w:val="auto"/>
          <w:szCs w:val="21"/>
          <w:highlight w:val="none"/>
        </w:rPr>
        <w:t>%-</w:t>
      </w:r>
      <w:r>
        <w:rPr>
          <w:rFonts w:hint="eastAsia" w:ascii="宋体" w:hAnsi="宋体"/>
          <w:bCs/>
          <w:color w:val="auto"/>
          <w:szCs w:val="21"/>
          <w:highlight w:val="none"/>
          <w:lang w:val="en-US" w:eastAsia="zh-CN"/>
        </w:rPr>
        <w:t>6</w:t>
      </w:r>
      <w:r>
        <w:rPr>
          <w:rFonts w:ascii="宋体" w:hAnsi="宋体"/>
          <w:bCs/>
          <w:color w:val="auto"/>
          <w:szCs w:val="21"/>
          <w:highlight w:val="none"/>
        </w:rPr>
        <w:t>%的扣除，用扣除后的价格参加评审。接受分包的小微企业与分包企业之间存在直接控股、管理关系的，不享受价格扣除优惠政策。</w:t>
      </w:r>
    </w:p>
    <w:p>
      <w:pPr>
        <w:spacing w:line="360" w:lineRule="auto"/>
        <w:ind w:firstLine="482" w:firstLineChars="200"/>
        <w:rPr>
          <w:rFonts w:hint="eastAsia" w:ascii="黑体" w:hAnsi="黑体" w:eastAsia="黑体" w:cs="宋体"/>
          <w:b/>
          <w:bCs/>
          <w:color w:val="auto"/>
          <w:sz w:val="24"/>
          <w:highlight w:val="none"/>
        </w:rPr>
      </w:pPr>
      <w:bookmarkStart w:id="34" w:name="_Toc254970673"/>
      <w:bookmarkStart w:id="35" w:name="_Toc254970532"/>
      <w:r>
        <w:rPr>
          <w:rFonts w:hint="eastAsia" w:ascii="黑体" w:hAnsi="黑体" w:eastAsia="黑体" w:cs="宋体"/>
          <w:b/>
          <w:bCs/>
          <w:color w:val="auto"/>
          <w:sz w:val="24"/>
          <w:highlight w:val="none"/>
        </w:rPr>
        <w:t>7.特别说明</w:t>
      </w:r>
      <w:bookmarkEnd w:id="34"/>
      <w:bookmarkEnd w:id="35"/>
    </w:p>
    <w:p>
      <w:pPr>
        <w:spacing w:line="360" w:lineRule="auto"/>
        <w:ind w:firstLine="420" w:firstLineChars="200"/>
        <w:rPr>
          <w:rFonts w:hint="eastAsia" w:ascii="宋体" w:hAnsi="宋体" w:cs="宋体"/>
          <w:color w:val="auto"/>
          <w:szCs w:val="21"/>
          <w:highlight w:val="none"/>
        </w:rPr>
      </w:pPr>
      <w:bookmarkStart w:id="36" w:name="_8.1提供相同品牌产品且通过资格审查、符合性审查的不同投标人参加同一合"/>
      <w:bookmarkEnd w:id="36"/>
      <w:r>
        <w:rPr>
          <w:rFonts w:hint="eastAsia" w:ascii="宋体" w:hAnsi="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bookmarkStart w:id="37" w:name="_Hlk54682620"/>
      <w:r>
        <w:rPr>
          <w:rFonts w:hint="eastAsia" w:ascii="宋体" w:hAnsi="宋体" w:cs="宋体"/>
          <w:color w:val="auto"/>
          <w:szCs w:val="21"/>
          <w:highlight w:val="none"/>
        </w:rPr>
        <w:t>，将报同级监督管理部门</w:t>
      </w:r>
      <w:bookmarkEnd w:id="37"/>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hint="eastAsia"/>
          <w:color w:val="auto"/>
          <w:highlight w:val="none"/>
        </w:rPr>
      </w:pPr>
      <w:r>
        <w:rPr>
          <w:rFonts w:hint="eastAsia"/>
          <w:color w:val="auto"/>
          <w:highlight w:val="none"/>
        </w:rPr>
        <w:t>（7）供应商与采购人或者采购代理机构之间、供应商相互之间，为谋求特定供应商成交或者排斥其他供应商的其他串通行为。</w:t>
      </w:r>
      <w:bookmarkStart w:id="38" w:name="_Toc254970534"/>
      <w:bookmarkStart w:id="39" w:name="_Toc254970675"/>
    </w:p>
    <w:p>
      <w:pPr>
        <w:pStyle w:val="5"/>
        <w:spacing w:before="0" w:after="0" w:line="360" w:lineRule="auto"/>
        <w:ind w:firstLine="640" w:firstLineChars="200"/>
        <w:rPr>
          <w:rFonts w:hint="eastAsia" w:ascii="宋体" w:hAnsi="宋体"/>
          <w:b w:val="0"/>
          <w:bCs w:val="0"/>
          <w:color w:val="auto"/>
          <w:highlight w:val="none"/>
        </w:rPr>
      </w:pPr>
      <w:bookmarkStart w:id="40" w:name="_Toc80205926"/>
      <w:r>
        <w:rPr>
          <w:rFonts w:hint="eastAsia" w:ascii="宋体" w:hAnsi="宋体"/>
          <w:b w:val="0"/>
          <w:bCs w:val="0"/>
          <w:color w:val="auto"/>
          <w:highlight w:val="none"/>
        </w:rPr>
        <w:t>二、谈判文件</w:t>
      </w:r>
      <w:bookmarkEnd w:id="38"/>
      <w:bookmarkEnd w:id="39"/>
      <w:bookmarkEnd w:id="40"/>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竞争性谈判公告；</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评审程序、评审方法和成交标准；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3</w:t>
      </w: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w:t>
      </w:r>
      <w:r>
        <w:rPr>
          <w:rFonts w:ascii="宋体" w:hAnsi="宋体"/>
          <w:color w:val="auto"/>
          <w:szCs w:val="21"/>
          <w:highlight w:val="none"/>
        </w:rPr>
        <w:t>改的内容可能影响响应文件编制的，采购人、采购代理机构或者谈判小组在提交首次响应文件截止之日</w:t>
      </w:r>
      <w:r>
        <w:rPr>
          <w:rFonts w:hint="eastAsia" w:ascii="宋体" w:hAnsi="宋体"/>
          <w:color w:val="auto"/>
          <w:szCs w:val="21"/>
          <w:highlight w:val="none"/>
        </w:rPr>
        <w:t>3</w:t>
      </w:r>
      <w:r>
        <w:rPr>
          <w:rFonts w:ascii="宋体" w:hAnsi="宋体"/>
          <w:color w:val="auto"/>
          <w:szCs w:val="21"/>
          <w:highlight w:val="none"/>
        </w:rPr>
        <w:t>个工作日前，以</w:t>
      </w:r>
      <w:r>
        <w:rPr>
          <w:rFonts w:hint="eastAsia" w:ascii="宋体" w:hAnsi="宋体"/>
          <w:color w:val="auto"/>
          <w:szCs w:val="21"/>
          <w:highlight w:val="none"/>
        </w:rPr>
        <w:t>书面形式（目前为网上公告和系统短信等形式）</w:t>
      </w:r>
      <w:r>
        <w:rPr>
          <w:rFonts w:ascii="宋体" w:hAnsi="宋体"/>
          <w:color w:val="auto"/>
          <w:szCs w:val="21"/>
          <w:highlight w:val="none"/>
        </w:rPr>
        <w:t>通知所有</w:t>
      </w:r>
      <w:r>
        <w:rPr>
          <w:rFonts w:hint="eastAsia" w:ascii="宋体" w:hAnsi="宋体"/>
          <w:color w:val="auto"/>
          <w:szCs w:val="21"/>
          <w:highlight w:val="none"/>
        </w:rPr>
        <w:t>获取</w:t>
      </w:r>
      <w:r>
        <w:rPr>
          <w:rFonts w:ascii="宋体" w:hAnsi="宋体"/>
          <w:color w:val="auto"/>
          <w:szCs w:val="21"/>
          <w:highlight w:val="none"/>
        </w:rPr>
        <w:t>谈判文件的供应商，不足</w:t>
      </w:r>
      <w:r>
        <w:rPr>
          <w:rFonts w:hint="eastAsia" w:ascii="宋体" w:hAnsi="宋体"/>
          <w:color w:val="auto"/>
          <w:szCs w:val="21"/>
          <w:highlight w:val="none"/>
        </w:rPr>
        <w:t>3</w:t>
      </w:r>
      <w:r>
        <w:rPr>
          <w:rFonts w:ascii="宋体" w:hAnsi="宋体"/>
          <w:color w:val="auto"/>
          <w:szCs w:val="21"/>
          <w:highlight w:val="none"/>
        </w:rPr>
        <w:t>个工作日的</w:t>
      </w:r>
      <w:r>
        <w:rPr>
          <w:rFonts w:ascii="宋体" w:hAnsi="宋体"/>
          <w:color w:val="auto"/>
          <w:szCs w:val="21"/>
          <w:highlight w:val="none"/>
        </w:rPr>
        <w:t>，应当顺延提交首次响应文件截止之日。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w:t>
      </w:r>
      <w:r>
        <w:rPr>
          <w:rFonts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color w:val="auto"/>
          <w:highlight w:val="none"/>
        </w:rPr>
      </w:pPr>
      <w:r>
        <w:rPr>
          <w:rFonts w:hint="eastAsia" w:hAnsi="宋体"/>
          <w:color w:val="auto"/>
          <w:highlight w:val="none"/>
        </w:rPr>
        <w:t xml:space="preserve">10.5  </w:t>
      </w:r>
      <w:r>
        <w:rPr>
          <w:rFonts w:hint="eastAsia"/>
          <w:color w:val="auto"/>
          <w:highlight w:val="none"/>
        </w:rPr>
        <w:t>采购人和采购代理机构可以视采购具体情况，变更</w:t>
      </w:r>
      <w:r>
        <w:rPr>
          <w:rFonts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w:t>
      </w:r>
      <w:r>
        <w:rPr>
          <w:rFonts w:hAnsi="宋体"/>
          <w:color w:val="auto"/>
          <w:highlight w:val="none"/>
        </w:rPr>
        <w:t>”</w:t>
      </w:r>
      <w:r>
        <w:rPr>
          <w:rFonts w:hint="eastAsia" w:hAnsi="宋体"/>
          <w:color w:val="auto"/>
          <w:highlight w:val="none"/>
        </w:rPr>
        <w:t>中“七、其他补充事宜3.网上查询地址”</w:t>
      </w:r>
      <w:r>
        <w:rPr>
          <w:rFonts w:hint="eastAsia" w:cs="宋体"/>
          <w:color w:val="auto"/>
          <w:highlight w:val="none"/>
        </w:rPr>
        <w:t>规定的政府采购信息发布媒体上</w:t>
      </w:r>
      <w:r>
        <w:rPr>
          <w:rFonts w:hint="eastAsia"/>
          <w:color w:val="auto"/>
          <w:highlight w:val="none"/>
        </w:rPr>
        <w:t>发布更正公告。</w:t>
      </w:r>
    </w:p>
    <w:p>
      <w:pPr>
        <w:spacing w:line="360" w:lineRule="auto"/>
        <w:ind w:firstLine="400" w:firstLineChars="200"/>
        <w:rPr>
          <w:rFonts w:hint="eastAsia"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响应文件未按谈判文件的澄清、修改的内容编制，又不符合实质性要求的，其响应文件作无效处理。</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1" w:name="_Toc80205927"/>
      <w:r>
        <w:rPr>
          <w:rFonts w:hint="eastAsia" w:ascii="宋体" w:hAnsi="宋体"/>
          <w:b w:val="0"/>
          <w:bCs w:val="0"/>
          <w:color w:val="auto"/>
          <w:highlight w:val="none"/>
        </w:rPr>
        <w:t>三、响应文件的编制</w:t>
      </w:r>
      <w:bookmarkEnd w:id="41"/>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3报价文件：详见须知前附表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供应商的响应报价应符合以下要求，否则响应文件按无效响应处理：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42"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2"/>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17.谈判保证金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3"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43"/>
      <w:r>
        <w:rPr>
          <w:rFonts w:hint="eastAsia" w:ascii="宋体" w:hAnsi="宋体" w:cs="宋体"/>
          <w:color w:val="auto"/>
          <w:szCs w:val="21"/>
          <w:highlight w:val="none"/>
        </w:rPr>
        <w:t>，否则其响应文件按无效响应处理。骑缝盖公章不视为在规定位置盖章。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pPr>
        <w:pStyle w:val="14"/>
        <w:spacing w:line="360" w:lineRule="auto"/>
        <w:ind w:firstLine="420" w:firstLineChars="200"/>
        <w:rPr>
          <w:rFonts w:hAnsi="宋体" w:cs="仿宋_GB2312"/>
          <w:color w:val="auto"/>
          <w:sz w:val="21"/>
          <w:highlight w:val="none"/>
        </w:rPr>
      </w:pPr>
      <w:r>
        <w:rPr>
          <w:rFonts w:hint="eastAsia" w:hAnsi="宋体" w:cs="仿宋_GB2312"/>
          <w:color w:val="auto"/>
          <w:sz w:val="21"/>
          <w:highlight w:val="none"/>
          <w:lang w:eastAsia="zh-CN"/>
        </w:rPr>
        <w:t>19</w:t>
      </w:r>
      <w:r>
        <w:rPr>
          <w:rFonts w:hint="eastAsia" w:hAnsi="宋体" w:cs="仿宋_GB2312"/>
          <w:color w:val="auto"/>
          <w:sz w:val="21"/>
          <w:highlight w:val="none"/>
        </w:rPr>
        <w:t>.</w:t>
      </w:r>
      <w:r>
        <w:rPr>
          <w:rFonts w:hint="eastAsia" w:hAnsi="宋体" w:cs="仿宋_GB2312"/>
          <w:color w:val="auto"/>
          <w:sz w:val="21"/>
          <w:highlight w:val="none"/>
          <w:lang w:eastAsia="zh-CN"/>
        </w:rPr>
        <w:t>3</w:t>
      </w:r>
      <w:r>
        <w:rPr>
          <w:rFonts w:hint="eastAsia" w:hAnsi="宋体" w:cs="仿宋_GB2312"/>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在提交“最后报价”后，供应商不能退出谈判。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pStyle w:val="24"/>
        <w:spacing w:before="0"/>
        <w:ind w:firstLine="420"/>
        <w:rPr>
          <w:rFonts w:ascii="宋体" w:hAnsi="宋体" w:cs="仿宋_GB2312"/>
          <w:color w:val="auto"/>
          <w:sz w:val="21"/>
          <w:szCs w:val="21"/>
          <w:highlight w:val="none"/>
        </w:rPr>
      </w:pPr>
      <w:r>
        <w:rPr>
          <w:rFonts w:hint="eastAsia" w:ascii="宋体" w:hAnsi="宋体" w:cs="仿宋_GB2312"/>
          <w:color w:val="auto"/>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ascii="黑体" w:hAnsi="黑体" w:eastAsia="黑体" w:cs="宋体"/>
          <w:b/>
          <w:bCs/>
          <w:color w:val="auto"/>
          <w:sz w:val="24"/>
          <w:highlight w:val="none"/>
        </w:rPr>
      </w:pPr>
      <w:bookmarkStart w:id="44" w:name="_Hlk45702405"/>
      <w:r>
        <w:rPr>
          <w:rFonts w:hint="eastAsia" w:ascii="黑体" w:hAnsi="黑体" w:eastAsia="黑体" w:cs="宋体"/>
          <w:b/>
          <w:bCs/>
          <w:color w:val="auto"/>
          <w:sz w:val="24"/>
          <w:highlight w:val="none"/>
        </w:rPr>
        <w:t>22. 首次响应文件的退回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本项目不收取谈判保证金，供应商在首次响应文件提交截止时间后可向采购人、采购代理机构书面申请撤回响应文件。</w:t>
      </w:r>
      <w:bookmarkEnd w:id="44"/>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5" w:name="_Toc80205928"/>
      <w:r>
        <w:rPr>
          <w:rFonts w:hint="eastAsia" w:ascii="宋体" w:hAnsi="宋体"/>
          <w:b w:val="0"/>
          <w:bCs w:val="0"/>
          <w:color w:val="auto"/>
          <w:highlight w:val="none"/>
        </w:rPr>
        <w:t>四、评审及谈判</w:t>
      </w:r>
      <w:bookmarkEnd w:id="45"/>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首次响应文件由谈判小组或者采购代理机构在“供应商须知前附表”规定的时间开启。</w:t>
      </w:r>
    </w:p>
    <w:p>
      <w:pPr>
        <w:pStyle w:val="14"/>
        <w:spacing w:line="360" w:lineRule="auto"/>
        <w:ind w:firstLine="400" w:firstLineChars="200"/>
        <w:rPr>
          <w:rFonts w:hint="eastAsia" w:hAnsi="宋体"/>
          <w:bCs/>
          <w:color w:val="auto"/>
          <w:highlight w:val="none"/>
        </w:rPr>
      </w:pPr>
      <w:r>
        <w:rPr>
          <w:rFonts w:hAnsi="宋体" w:cs="宋体"/>
          <w:color w:val="auto"/>
          <w:highlight w:val="none"/>
        </w:rPr>
        <w:t xml:space="preserve">25.2 </w:t>
      </w:r>
      <w:r>
        <w:rPr>
          <w:rFonts w:hint="eastAsia" w:hAnsi="宋体"/>
          <w:bCs/>
          <w:color w:val="auto"/>
          <w:highlight w:val="none"/>
          <w:lang w:eastAsia="zh-CN"/>
        </w:rPr>
        <w:t>响应</w:t>
      </w:r>
      <w:r>
        <w:rPr>
          <w:rFonts w:hint="eastAsia" w:hAnsi="宋体"/>
          <w:bCs/>
          <w:color w:val="auto"/>
          <w:highlight w:val="none"/>
        </w:rPr>
        <w:t>文件解密</w:t>
      </w:r>
    </w:p>
    <w:p>
      <w:pPr>
        <w:pStyle w:val="14"/>
        <w:snapToGrid w:val="0"/>
        <w:spacing w:line="440" w:lineRule="exact"/>
        <w:ind w:firstLine="400" w:firstLineChars="200"/>
        <w:rPr>
          <w:rFonts w:hint="eastAsia" w:ascii="宋体" w:hAnsi="宋体" w:eastAsia="宋体" w:cs="Times New Roman"/>
          <w:color w:val="auto"/>
          <w:highlight w:val="none"/>
          <w:lang w:eastAsia="zh-CN"/>
        </w:rPr>
      </w:pPr>
      <w:r>
        <w:rPr>
          <w:rFonts w:hint="eastAsia" w:hAnsi="宋体"/>
          <w:bCs/>
          <w:color w:val="auto"/>
          <w:highlight w:val="none"/>
        </w:rPr>
        <w:t>采购代理机构将在“</w:t>
      </w:r>
      <w:r>
        <w:rPr>
          <w:rFonts w:hint="eastAsia" w:hAnsi="宋体"/>
          <w:bCs/>
          <w:color w:val="auto"/>
          <w:highlight w:val="none"/>
          <w:lang w:eastAsia="zh-CN"/>
        </w:rPr>
        <w:t>供应商</w:t>
      </w:r>
      <w:r>
        <w:rPr>
          <w:rFonts w:hint="eastAsia" w:hAnsi="宋体"/>
          <w:bCs/>
          <w:color w:val="auto"/>
          <w:highlight w:val="none"/>
        </w:rPr>
        <w:t>须知前附表”规定的时</w:t>
      </w:r>
      <w:r>
        <w:rPr>
          <w:rFonts w:hint="eastAsia" w:hAnsi="宋体"/>
          <w:color w:val="auto"/>
          <w:highlight w:val="none"/>
        </w:rPr>
        <w:t>间通过电子交易平台组织响应文件开启，采购机构依托电子交易平台发起开始解密指令，</w:t>
      </w:r>
      <w:r>
        <w:rPr>
          <w:rFonts w:hint="eastAsia" w:hAnsi="宋体"/>
          <w:color w:val="auto"/>
          <w:highlight w:val="none"/>
          <w:lang w:eastAsia="zh-CN"/>
        </w:rPr>
        <w:t>供应商</w:t>
      </w:r>
      <w:r>
        <w:rPr>
          <w:rFonts w:hint="eastAsia" w:hAnsi="宋体"/>
          <w:color w:val="auto"/>
          <w:highlight w:val="none"/>
        </w:rPr>
        <w:t>的法定代表人或其委托代理人</w:t>
      </w:r>
      <w:r>
        <w:rPr>
          <w:rFonts w:hint="eastAsia" w:hAnsi="宋体"/>
          <w:b/>
          <w:color w:val="auto"/>
          <w:highlight w:val="none"/>
        </w:rPr>
        <w:t>须携带加密时所用的CA锁</w:t>
      </w:r>
      <w:r>
        <w:rPr>
          <w:rFonts w:hint="eastAsia" w:hAnsi="宋体"/>
          <w:b/>
          <w:color w:val="auto"/>
          <w:highlight w:val="none"/>
          <w:lang w:eastAsia="zh-CN"/>
        </w:rPr>
        <w:t>按平台提示和采购文件的规定</w:t>
      </w:r>
      <w:r>
        <w:rPr>
          <w:rFonts w:hint="eastAsia" w:hAnsi="宋体"/>
          <w:b/>
          <w:color w:val="auto"/>
          <w:highlight w:val="none"/>
        </w:rPr>
        <w:t>登录到“政采云”平台电子开标大厅签到并</w:t>
      </w:r>
      <w:r>
        <w:rPr>
          <w:rFonts w:hint="eastAsia" w:hAnsi="宋体"/>
          <w:b/>
          <w:color w:val="auto"/>
          <w:highlight w:val="none"/>
          <w:lang w:eastAsia="zh-CN"/>
        </w:rPr>
        <w:t>在</w:t>
      </w:r>
      <w:r>
        <w:rPr>
          <w:rFonts w:hint="eastAsia" w:hAnsi="宋体"/>
          <w:b/>
          <w:color w:val="auto"/>
          <w:highlight w:val="none"/>
        </w:rPr>
        <w:t>发起解密指令之时起30分钟</w:t>
      </w:r>
      <w:r>
        <w:rPr>
          <w:rFonts w:hint="eastAsia" w:hAnsi="宋体"/>
          <w:b/>
          <w:color w:val="auto"/>
          <w:highlight w:val="none"/>
          <w:lang w:eastAsia="zh-CN"/>
        </w:rPr>
        <w:t>内完成</w:t>
      </w:r>
      <w:r>
        <w:rPr>
          <w:rFonts w:hint="eastAsia" w:hAnsi="宋体"/>
          <w:b/>
          <w:color w:val="auto"/>
          <w:highlight w:val="none"/>
        </w:rPr>
        <w:t>对电子</w:t>
      </w:r>
      <w:r>
        <w:rPr>
          <w:rFonts w:hint="eastAsia" w:hAnsi="宋体"/>
          <w:b/>
          <w:color w:val="auto"/>
          <w:highlight w:val="none"/>
          <w:lang w:eastAsia="zh-CN"/>
        </w:rPr>
        <w:t>响应</w:t>
      </w:r>
      <w:r>
        <w:rPr>
          <w:rFonts w:hint="eastAsia" w:hAnsi="宋体"/>
          <w:b/>
          <w:color w:val="auto"/>
          <w:highlight w:val="none"/>
        </w:rPr>
        <w:t>文件</w:t>
      </w:r>
      <w:r>
        <w:rPr>
          <w:rFonts w:hint="eastAsia" w:hAnsi="宋体"/>
          <w:b/>
          <w:color w:val="auto"/>
          <w:highlight w:val="none"/>
          <w:lang w:eastAsia="zh-CN"/>
        </w:rPr>
        <w:t>在线</w:t>
      </w:r>
      <w:r>
        <w:rPr>
          <w:rFonts w:hint="eastAsia" w:hAnsi="宋体"/>
          <w:b/>
          <w:color w:val="auto"/>
          <w:highlight w:val="none"/>
        </w:rPr>
        <w:t>解密</w:t>
      </w:r>
      <w:r>
        <w:rPr>
          <w:rFonts w:hint="eastAsia" w:hAnsi="宋体"/>
          <w:color w:val="auto"/>
          <w:highlight w:val="none"/>
        </w:rPr>
        <w:t>。发起解密指令</w:t>
      </w:r>
      <w:r>
        <w:rPr>
          <w:rFonts w:hint="eastAsia" w:hAnsi="宋体"/>
          <w:color w:val="auto"/>
          <w:highlight w:val="none"/>
          <w:lang w:val="en-US" w:eastAsia="zh-CN"/>
        </w:rPr>
        <w:t>之时起</w:t>
      </w:r>
      <w:r>
        <w:rPr>
          <w:rFonts w:hint="eastAsia" w:hAnsi="宋体"/>
          <w:color w:val="auto"/>
          <w:highlight w:val="none"/>
        </w:rPr>
        <w:t>5分钟</w:t>
      </w:r>
      <w:r>
        <w:rPr>
          <w:rFonts w:hint="eastAsia" w:hAnsi="宋体"/>
          <w:color w:val="auto"/>
          <w:highlight w:val="none"/>
          <w:lang w:eastAsia="zh-CN"/>
        </w:rPr>
        <w:t>内供应商</w:t>
      </w:r>
      <w:r>
        <w:rPr>
          <w:rFonts w:hint="eastAsia" w:hAnsi="宋体"/>
          <w:color w:val="auto"/>
          <w:highlight w:val="none"/>
        </w:rPr>
        <w:t>还未进行解密的，代理机构要通知</w:t>
      </w:r>
      <w:r>
        <w:rPr>
          <w:rFonts w:hint="eastAsia" w:hAnsi="宋体"/>
          <w:color w:val="auto"/>
          <w:highlight w:val="none"/>
          <w:lang w:eastAsia="zh-CN"/>
        </w:rPr>
        <w:t>供应商</w:t>
      </w:r>
      <w:r>
        <w:rPr>
          <w:rFonts w:hint="eastAsia" w:hAnsi="宋体"/>
          <w:color w:val="auto"/>
          <w:highlight w:val="none"/>
        </w:rPr>
        <w:t>，</w:t>
      </w:r>
      <w:r>
        <w:rPr>
          <w:rFonts w:hint="eastAsia" w:hAnsi="宋体"/>
          <w:color w:val="auto"/>
          <w:highlight w:val="none"/>
          <w:lang w:eastAsia="zh-CN"/>
        </w:rPr>
        <w:t>供应商</w:t>
      </w:r>
      <w:r>
        <w:rPr>
          <w:rFonts w:hint="eastAsia" w:hAnsi="宋体"/>
          <w:color w:val="auto"/>
          <w:highlight w:val="none"/>
        </w:rPr>
        <w:t>没预留联系方式或预留联系方式无效，导致代理机构无法联系到</w:t>
      </w:r>
      <w:r>
        <w:rPr>
          <w:rFonts w:hint="eastAsia" w:hAnsi="宋体"/>
          <w:color w:val="auto"/>
          <w:highlight w:val="none"/>
          <w:lang w:eastAsia="zh-CN"/>
        </w:rPr>
        <w:t>供应商</w:t>
      </w:r>
      <w:r>
        <w:rPr>
          <w:rFonts w:hint="eastAsia" w:hAnsi="宋体"/>
          <w:color w:val="auto"/>
          <w:highlight w:val="none"/>
        </w:rPr>
        <w:t>进行解密的，</w:t>
      </w:r>
      <w:r>
        <w:rPr>
          <w:rFonts w:hint="eastAsia" w:hAnsi="宋体"/>
          <w:b/>
          <w:color w:val="auto"/>
          <w:highlight w:val="none"/>
        </w:rPr>
        <w:t>视为</w:t>
      </w:r>
      <w:r>
        <w:rPr>
          <w:rFonts w:hint="eastAsia" w:hAnsi="宋体"/>
          <w:b/>
          <w:color w:val="auto"/>
          <w:highlight w:val="none"/>
          <w:lang w:eastAsia="zh-CN"/>
        </w:rPr>
        <w:t>响应文件无效</w:t>
      </w:r>
      <w:r>
        <w:rPr>
          <w:rFonts w:hint="eastAsia" w:hAnsi="宋体"/>
          <w:b/>
          <w:color w:val="auto"/>
          <w:highlight w:val="none"/>
        </w:rPr>
        <w:t>。</w:t>
      </w:r>
      <w:r>
        <w:rPr>
          <w:rFonts w:hint="eastAsia" w:ascii="宋体" w:hAnsi="宋体" w:eastAsia="宋体" w:cs="Times New Roman"/>
          <w:color w:val="auto"/>
          <w:highlight w:val="none"/>
        </w:rPr>
        <w:t>（解密异常情况处理：详见本章</w:t>
      </w:r>
      <w:r>
        <w:rPr>
          <w:rFonts w:hint="eastAsia" w:ascii="宋体" w:hAnsi="宋体" w:eastAsia="宋体" w:cs="Times New Roman"/>
          <w:color w:val="auto"/>
          <w:highlight w:val="none"/>
          <w:lang w:eastAsia="zh-CN"/>
        </w:rPr>
        <w:t>26.3</w:t>
      </w:r>
      <w:r>
        <w:rPr>
          <w:rFonts w:hint="eastAsia" w:ascii="宋体" w:hAnsi="宋体" w:eastAsia="宋体" w:cs="Times New Roman"/>
          <w:color w:val="auto"/>
          <w:highlight w:val="none"/>
        </w:rPr>
        <w:t xml:space="preserve"> 电子交易活动的中止。）</w:t>
      </w:r>
    </w:p>
    <w:p>
      <w:pPr>
        <w:pStyle w:val="14"/>
        <w:snapToGrid w:val="0"/>
        <w:spacing w:line="440" w:lineRule="exact"/>
        <w:ind w:firstLine="400" w:firstLineChars="200"/>
        <w:rPr>
          <w:rFonts w:hint="eastAsia"/>
          <w:color w:val="auto"/>
          <w:highlight w:val="none"/>
          <w:lang w:eastAsia="zh-CN"/>
        </w:rPr>
      </w:pPr>
      <w:r>
        <w:rPr>
          <w:rFonts w:hint="eastAsia" w:ascii="宋体" w:hAnsi="宋体" w:eastAsia="宋体" w:cs="Times New Roman"/>
          <w:color w:val="auto"/>
          <w:highlight w:val="none"/>
        </w:rPr>
        <w:t>如</w:t>
      </w:r>
      <w:r>
        <w:rPr>
          <w:rFonts w:hint="eastAsia" w:ascii="宋体" w:hAnsi="宋体" w:eastAsia="宋体" w:cs="Times New Roman"/>
          <w:color w:val="auto"/>
          <w:highlight w:val="none"/>
          <w:lang w:eastAsia="zh-CN"/>
        </w:rPr>
        <w:t>供应商</w:t>
      </w:r>
      <w:r>
        <w:rPr>
          <w:rFonts w:hint="eastAsia" w:ascii="宋体" w:hAnsi="宋体" w:eastAsia="宋体" w:cs="Times New Roman"/>
          <w:color w:val="auto"/>
          <w:highlight w:val="none"/>
        </w:rPr>
        <w:t>成功解密</w:t>
      </w:r>
      <w:r>
        <w:rPr>
          <w:rFonts w:hint="eastAsia" w:ascii="宋体" w:hAnsi="宋体" w:eastAsia="宋体" w:cs="Times New Roman"/>
          <w:color w:val="auto"/>
          <w:highlight w:val="none"/>
          <w:lang w:eastAsia="zh-CN"/>
        </w:rPr>
        <w:t>响应</w:t>
      </w:r>
      <w:r>
        <w:rPr>
          <w:rFonts w:hint="eastAsia" w:ascii="宋体" w:hAnsi="宋体" w:eastAsia="宋体" w:cs="Times New Roman"/>
          <w:color w:val="auto"/>
          <w:highlight w:val="none"/>
        </w:rPr>
        <w:t>文件，但未在“政采云”电子开标大厅参加</w:t>
      </w:r>
      <w:r>
        <w:rPr>
          <w:rFonts w:hint="eastAsia" w:ascii="宋体" w:hAnsi="宋体" w:eastAsia="宋体" w:cs="Times New Roman"/>
          <w:color w:val="auto"/>
          <w:highlight w:val="none"/>
          <w:lang w:eastAsia="zh-CN"/>
        </w:rPr>
        <w:t>谈判</w:t>
      </w:r>
      <w:r>
        <w:rPr>
          <w:rFonts w:hint="eastAsia" w:ascii="宋体" w:hAnsi="宋体" w:eastAsia="宋体" w:cs="Times New Roman"/>
          <w:color w:val="auto"/>
          <w:highlight w:val="none"/>
        </w:rPr>
        <w:t>的，视同认可</w:t>
      </w:r>
      <w:r>
        <w:rPr>
          <w:rFonts w:hint="eastAsia" w:ascii="宋体" w:hAnsi="宋体" w:eastAsia="宋体" w:cs="Times New Roman"/>
          <w:color w:val="auto"/>
          <w:highlight w:val="none"/>
          <w:lang w:eastAsia="zh-CN"/>
        </w:rPr>
        <w:t>谈判</w:t>
      </w:r>
      <w:r>
        <w:rPr>
          <w:rFonts w:hint="eastAsia" w:ascii="宋体" w:hAnsi="宋体" w:eastAsia="宋体" w:cs="Times New Roman"/>
          <w:color w:val="auto"/>
          <w:highlight w:val="none"/>
        </w:rPr>
        <w:t>过程和</w:t>
      </w:r>
      <w:r>
        <w:rPr>
          <w:rFonts w:hint="eastAsia" w:hAnsi="宋体"/>
          <w:bCs/>
          <w:color w:val="auto"/>
          <w:highlight w:val="none"/>
        </w:rPr>
        <w:t>结果，</w:t>
      </w:r>
      <w:r>
        <w:rPr>
          <w:rFonts w:hint="eastAsia" w:hAnsi="宋体"/>
          <w:color w:val="auto"/>
          <w:highlight w:val="none"/>
        </w:rPr>
        <w:t>由此产生的后果由供应商自行负责。参与谈判的供应商</w:t>
      </w:r>
      <w:r>
        <w:rPr>
          <w:rFonts w:hint="eastAsia"/>
          <w:color w:val="auto"/>
          <w:highlight w:val="none"/>
        </w:rPr>
        <w:t>不足3家的，不得</w:t>
      </w:r>
      <w:r>
        <w:rPr>
          <w:rFonts w:hint="eastAsia"/>
          <w:color w:val="auto"/>
          <w:highlight w:val="none"/>
          <w:lang w:eastAsia="zh-CN"/>
        </w:rPr>
        <w:t>谈判</w:t>
      </w:r>
      <w:r>
        <w:rPr>
          <w:rFonts w:hint="eastAsia"/>
          <w:color w:val="auto"/>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.评审程序、评审方法和成交标准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谈判小组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评审程序、评审方法和成交标准”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采购需求负偏离要求及谈判顺序详见 “供应商须知前附表”。</w:t>
      </w:r>
    </w:p>
    <w:p>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6.3</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pPr>
        <w:spacing w:line="360" w:lineRule="auto"/>
        <w:ind w:firstLine="420" w:firstLineChars="200"/>
        <w:rPr>
          <w:rFonts w:hint="eastAsia" w:hAnsi="宋体"/>
          <w:color w:val="auto"/>
          <w:highlight w:val="none"/>
        </w:rPr>
      </w:pPr>
      <w:r>
        <w:rPr>
          <w:rFonts w:hint="eastAsia" w:hAnsi="宋体"/>
          <w:color w:val="auto"/>
          <w:highlight w:val="none"/>
        </w:rPr>
        <w:t>（4）其他无法保证电子交易的公平、公正和安全的情况。</w:t>
      </w:r>
    </w:p>
    <w:p>
      <w:pPr>
        <w:spacing w:line="360" w:lineRule="auto"/>
        <w:ind w:firstLine="420" w:firstLineChars="200"/>
        <w:rPr>
          <w:rFonts w:hint="eastAsia" w:hAnsi="宋体"/>
          <w:color w:val="auto"/>
          <w:highlight w:val="none"/>
        </w:rPr>
      </w:pPr>
      <w:r>
        <w:rPr>
          <w:rFonts w:hint="eastAsia" w:hAnsi="宋体"/>
          <w:color w:val="auto"/>
          <w:highlight w:val="none"/>
        </w:rPr>
        <w:t>26.4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6" w:name="_Toc80205929"/>
      <w:r>
        <w:rPr>
          <w:rFonts w:hint="eastAsia" w:ascii="宋体" w:hAnsi="宋体"/>
          <w:b w:val="0"/>
          <w:bCs w:val="0"/>
          <w:color w:val="auto"/>
          <w:highlight w:val="none"/>
        </w:rPr>
        <w:t>五、成交及合同</w:t>
      </w:r>
      <w:bookmarkEnd w:id="46"/>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w:t>
      </w:r>
      <w:r>
        <w:rPr>
          <w:rFonts w:hint="eastAsia" w:ascii="宋体" w:hAnsi="宋体" w:cs="宋体"/>
          <w:color w:val="auto"/>
          <w:szCs w:val="21"/>
          <w:highlight w:val="none"/>
        </w:rPr>
        <w:t>成交结果（成交通知及成交</w:t>
      </w:r>
      <w:r>
        <w:rPr>
          <w:rFonts w:ascii="宋体" w:hAnsi="宋体" w:cs="宋体"/>
          <w:color w:val="auto"/>
          <w:szCs w:val="21"/>
          <w:highlight w:val="none"/>
        </w:rPr>
        <w:t>结果公告</w:t>
      </w:r>
      <w:r>
        <w:rPr>
          <w:rFonts w:hint="eastAsia" w:ascii="宋体" w:hAnsi="宋体" w:cs="宋体"/>
          <w:color w:val="auto"/>
          <w:szCs w:val="21"/>
          <w:highlight w:val="none"/>
        </w:rPr>
        <w:t>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4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4采购人、采购代理机构认为供应商对采购过程、成交结果提出的质疑成立且影响或者可能</w:t>
      </w:r>
      <w:r>
        <w:rPr>
          <w:rFonts w:hint="eastAsia" w:ascii="宋体" w:hAnsi="宋体" w:cs="宋体"/>
          <w:color w:val="auto"/>
          <w:szCs w:val="21"/>
          <w:highlight w:val="none"/>
        </w:rPr>
        <w:t>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szCs w:val="21"/>
          <w:highlight w:val="none"/>
        </w:rPr>
      </w:pPr>
      <w:r>
        <w:rPr>
          <w:rFonts w:ascii="宋体" w:hAnsi="宋体"/>
          <w:bCs/>
          <w:color w:val="auto"/>
          <w:szCs w:val="21"/>
          <w:highlight w:val="none"/>
        </w:rPr>
        <w:t>27.</w:t>
      </w:r>
      <w:r>
        <w:rPr>
          <w:rFonts w:hint="eastAsia" w:ascii="宋体" w:hAnsi="宋体"/>
          <w:bCs/>
          <w:color w:val="auto"/>
          <w:szCs w:val="21"/>
          <w:highlight w:val="none"/>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0" w:firstLineChars="200"/>
        <w:rPr>
          <w:rFonts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pStyle w:val="24"/>
        <w:snapToGrid w:val="0"/>
        <w:spacing w:before="0"/>
        <w:ind w:firstLine="420"/>
        <w:rPr>
          <w:rFonts w:hint="eastAsia" w:ascii="宋体" w:hAnsi="宋体"/>
          <w:color w:val="auto"/>
          <w:sz w:val="21"/>
          <w:szCs w:val="21"/>
          <w:highlight w:val="none"/>
          <w:lang w:val="zh-CN"/>
        </w:rPr>
      </w:pPr>
      <w:r>
        <w:rPr>
          <w:rFonts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，按照谈判文件确定的合同文本以及采购标的、货物技术、采购金额、采购数量、技术和货物要求等事项签订政府采购合同。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29.3成交供应商拒绝签订政府采购合同的，</w:t>
      </w:r>
      <w:r>
        <w:rPr>
          <w:rFonts w:hint="eastAsia" w:ascii="宋体" w:hAnsi="宋体" w:cs="宋体"/>
          <w:color w:val="auto"/>
          <w:szCs w:val="21"/>
          <w:highlight w:val="none"/>
        </w:rPr>
        <w:t>采购人可以按照评审报告推荐的成交候选人名单排序，确定下一候选人为成交供应商</w:t>
      </w:r>
      <w:r>
        <w:rPr>
          <w:rFonts w:hint="eastAsia" w:ascii="宋体" w:hAnsi="宋体"/>
          <w:color w:val="auto"/>
          <w:szCs w:val="21"/>
          <w:highlight w:val="none"/>
        </w:rPr>
        <w:t>，也可以重新开展采购活动。拒绝签订政府采购合同的成交供应商不得参加对该项目重新开展的采购活动。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pPr>
        <w:pStyle w:val="24"/>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w:t>
      </w:r>
      <w:r>
        <w:rPr>
          <w:rFonts w:ascii="宋体" w:hAnsi="宋体" w:cs="仿宋_GB2312"/>
          <w:color w:val="auto"/>
          <w:sz w:val="21"/>
          <w:szCs w:val="21"/>
          <w:highlight w:val="none"/>
        </w:rPr>
        <w:t>.5采购合同由采购人与</w:t>
      </w:r>
      <w:r>
        <w:rPr>
          <w:rFonts w:hint="eastAsia" w:ascii="宋体" w:hAnsi="宋体" w:cs="仿宋_GB2312"/>
          <w:color w:val="auto"/>
          <w:sz w:val="21"/>
          <w:szCs w:val="21"/>
          <w:highlight w:val="none"/>
        </w:rPr>
        <w:t>成交</w:t>
      </w:r>
      <w:r>
        <w:rPr>
          <w:rFonts w:ascii="宋体" w:hAnsi="宋体" w:cs="仿宋_GB2312"/>
          <w:color w:val="auto"/>
          <w:sz w:val="21"/>
          <w:szCs w:val="21"/>
          <w:highlight w:val="none"/>
        </w:rPr>
        <w:t>供应商根据</w:t>
      </w:r>
      <w:r>
        <w:rPr>
          <w:rFonts w:hint="eastAsia" w:ascii="宋体" w:hAnsi="宋体"/>
          <w:color w:val="auto"/>
          <w:sz w:val="21"/>
          <w:szCs w:val="21"/>
          <w:highlight w:val="none"/>
        </w:rPr>
        <w:t>谈判</w:t>
      </w:r>
      <w:r>
        <w:rPr>
          <w:rFonts w:hint="eastAsia" w:ascii="宋体" w:hAnsi="宋体" w:cs="仿宋_GB2312"/>
          <w:color w:val="auto"/>
          <w:sz w:val="21"/>
          <w:szCs w:val="21"/>
          <w:highlight w:val="none"/>
        </w:rPr>
        <w:t>文件、响应文件等内容通过政府采购电子交易平台在线签订，自动备案，在线签订须携带的材料见“</w:t>
      </w:r>
      <w:r>
        <w:rPr>
          <w:rFonts w:hint="eastAsia"/>
          <w:color w:val="auto"/>
          <w:highlight w:val="none"/>
          <w:lang w:val="en-US" w:eastAsia="zh-CN"/>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w:t>
      </w:r>
      <w:r>
        <w:rPr>
          <w:rFonts w:hint="eastAsia" w:ascii="宋体" w:hAnsi="宋体" w:cs="宋体"/>
          <w:color w:val="auto"/>
          <w:highlight w:val="none"/>
          <w:lang w:val="en-US" w:eastAsia="zh-CN"/>
        </w:rPr>
        <w:t>及处理方式</w:t>
      </w:r>
      <w:r>
        <w:rPr>
          <w:rFonts w:hint="eastAsia" w:ascii="宋体" w:hAnsi="宋体" w:cs="宋体"/>
          <w:color w:val="auto"/>
          <w:highlight w:val="none"/>
        </w:rPr>
        <w:t>如下：</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（1）潜在供应商依法获取采购文件后，认为</w:t>
      </w:r>
      <w:r>
        <w:rPr>
          <w:rFonts w:hint="eastAsia" w:ascii="宋体" w:hAnsi="宋体" w:cs="宋体"/>
          <w:color w:val="auto"/>
          <w:highlight w:val="none"/>
          <w:lang w:val="en-US" w:eastAsia="zh-CN"/>
        </w:rPr>
        <w:t>谈判</w:t>
      </w:r>
      <w:r>
        <w:rPr>
          <w:rFonts w:hint="eastAsia" w:ascii="宋体" w:hAnsi="宋体" w:cs="宋体"/>
          <w:color w:val="auto"/>
          <w:highlight w:val="none"/>
        </w:rPr>
        <w:t>文件使自己的权益受到损害的，应当在竞争性</w:t>
      </w:r>
      <w:r>
        <w:rPr>
          <w:rFonts w:hint="eastAsia" w:ascii="宋体" w:hAnsi="宋体" w:cs="宋体"/>
          <w:color w:val="auto"/>
          <w:highlight w:val="none"/>
          <w:lang w:val="en-US" w:eastAsia="zh-CN"/>
        </w:rPr>
        <w:t>谈判</w:t>
      </w:r>
      <w:r>
        <w:rPr>
          <w:rFonts w:hint="eastAsia" w:ascii="宋体" w:hAnsi="宋体" w:cs="宋体"/>
          <w:color w:val="auto"/>
          <w:highlight w:val="none"/>
        </w:rPr>
        <w:t>采购文件公告期限届满之日起7个工作日内提出质疑。委托代理协议无特殊约定的，对竞争性</w:t>
      </w:r>
      <w:r>
        <w:rPr>
          <w:rFonts w:hint="eastAsia" w:ascii="宋体" w:hAnsi="宋体" w:cs="宋体"/>
          <w:color w:val="auto"/>
          <w:highlight w:val="none"/>
          <w:lang w:val="en-US" w:eastAsia="zh-CN"/>
        </w:rPr>
        <w:t>谈判</w:t>
      </w:r>
      <w:r>
        <w:rPr>
          <w:rFonts w:hint="eastAsia" w:ascii="宋体" w:hAnsi="宋体" w:cs="宋体"/>
          <w:color w:val="auto"/>
          <w:highlight w:val="none"/>
        </w:rPr>
        <w:t>文件中采购需求（含资格要求、采购预算和评分办法）的质疑由采购人受理并负责答</w:t>
      </w:r>
    </w:p>
    <w:p>
      <w:pPr>
        <w:spacing w:line="360" w:lineRule="auto"/>
        <w:rPr>
          <w:rFonts w:hint="eastAsia" w:ascii="宋体" w:hAnsi="宋体" w:cs="宋体"/>
          <w:color w:val="auto"/>
          <w:highlight w:val="none"/>
          <w:lang w:eastAsia="zh-CN"/>
        </w:rPr>
      </w:pPr>
      <w:r>
        <w:rPr>
          <w:rFonts w:hint="eastAsia" w:ascii="宋体" w:hAnsi="宋体" w:cs="宋体"/>
          <w:color w:val="auto"/>
          <w:highlight w:val="none"/>
        </w:rPr>
        <w:t>复；对竞争性</w:t>
      </w:r>
      <w:r>
        <w:rPr>
          <w:rFonts w:hint="eastAsia" w:ascii="宋体" w:hAnsi="宋体" w:cs="宋体"/>
          <w:color w:val="auto"/>
          <w:highlight w:val="none"/>
          <w:lang w:val="en-US" w:eastAsia="zh-CN"/>
        </w:rPr>
        <w:t>谈判</w:t>
      </w:r>
      <w:r>
        <w:rPr>
          <w:rFonts w:hint="eastAsia" w:ascii="宋体" w:hAnsi="宋体" w:cs="宋体"/>
          <w:color w:val="auto"/>
          <w:highlight w:val="none"/>
        </w:rPr>
        <w:t>文件中的采购执行程序的质疑由采购代理机构受理并负责答复</w:t>
      </w:r>
      <w:r>
        <w:rPr>
          <w:rFonts w:hint="eastAsia" w:ascii="宋体" w:hAnsi="宋体" w:cs="宋体"/>
          <w:color w:val="auto"/>
          <w:highlight w:val="none"/>
          <w:lang w:eastAsia="zh-CN"/>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供应商为自然人的，应当由本人签字；供应商为法人或者其他组织的，应当由法定代表人、主要负责人，或者其委托代理人签字，并加盖公章。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spacing w:before="0" w:after="0" w:line="360" w:lineRule="auto"/>
        <w:ind w:firstLine="643" w:firstLineChars="200"/>
        <w:rPr>
          <w:rFonts w:ascii="宋体" w:hAnsi="宋体"/>
          <w:b w:val="0"/>
          <w:color w:val="auto"/>
          <w:highlight w:val="none"/>
        </w:rPr>
      </w:pPr>
      <w:bookmarkStart w:id="48" w:name="_Toc80205930"/>
      <w:r>
        <w:rPr>
          <w:rFonts w:hint="eastAsia" w:ascii="宋体" w:hAnsi="宋体"/>
          <w:color w:val="auto"/>
          <w:highlight w:val="none"/>
        </w:rPr>
        <w:t>六</w:t>
      </w:r>
      <w:r>
        <w:rPr>
          <w:rFonts w:hint="eastAsia" w:ascii="宋体" w:hAnsi="宋体"/>
          <w:b w:val="0"/>
          <w:color w:val="auto"/>
          <w:highlight w:val="none"/>
        </w:rPr>
        <w:t>、验收</w:t>
      </w:r>
      <w:bookmarkEnd w:id="48"/>
    </w:p>
    <w:p>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9" w:name="_Toc80205931"/>
      <w:r>
        <w:rPr>
          <w:rFonts w:hint="eastAsia" w:ascii="宋体" w:hAnsi="宋体"/>
          <w:b w:val="0"/>
          <w:bCs w:val="0"/>
          <w:color w:val="auto"/>
          <w:highlight w:val="none"/>
          <w:lang w:eastAsia="zh-CN"/>
        </w:rPr>
        <w:t>七</w:t>
      </w:r>
      <w:r>
        <w:rPr>
          <w:rFonts w:hint="eastAsia" w:ascii="宋体" w:hAnsi="宋体"/>
          <w:b w:val="0"/>
          <w:bCs w:val="0"/>
          <w:color w:val="auto"/>
          <w:highlight w:val="none"/>
        </w:rPr>
        <w:t>、其他事项</w:t>
      </w:r>
      <w:bookmarkEnd w:id="49"/>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3.代理货物费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代理货物收费标准及缴费账户详见“供应商须知前附表”，供应商为联合体的，可以由联合体中的一方或者多方共同交纳代理货物费。</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pPr>
        <w:pStyle w:val="14"/>
        <w:spacing w:line="360" w:lineRule="auto"/>
        <w:ind w:firstLine="420" w:firstLineChars="200"/>
        <w:contextualSpacing/>
        <w:rPr>
          <w:rFonts w:hAnsi="宋体"/>
          <w:color w:val="auto"/>
          <w:sz w:val="21"/>
          <w:highlight w:val="none"/>
        </w:rPr>
      </w:pPr>
      <w:r>
        <w:rPr>
          <w:rFonts w:hAnsi="宋体"/>
          <w:color w:val="auto"/>
          <w:sz w:val="21"/>
          <w:highlight w:val="none"/>
        </w:rPr>
        <w:t>3</w:t>
      </w:r>
      <w:r>
        <w:rPr>
          <w:rFonts w:hint="eastAsia" w:hAnsi="宋体"/>
          <w:color w:val="auto"/>
          <w:sz w:val="21"/>
          <w:highlight w:val="none"/>
          <w:lang w:eastAsia="zh-CN"/>
        </w:rPr>
        <w:t>4</w:t>
      </w:r>
      <w:r>
        <w:rPr>
          <w:rFonts w:hAnsi="宋体"/>
          <w:color w:val="auto"/>
          <w:sz w:val="21"/>
          <w:highlight w:val="none"/>
        </w:rPr>
        <w:t>.1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pPr>
        <w:pStyle w:val="14"/>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int="eastAsia" w:hAnsi="宋体"/>
          <w:color w:val="auto"/>
          <w:highlight w:val="none"/>
          <w:lang w:eastAsia="zh-CN"/>
        </w:rPr>
        <w:t>4</w:t>
      </w:r>
      <w:r>
        <w:rPr>
          <w:rFonts w:hAnsi="宋体"/>
          <w:color w:val="auto"/>
          <w:highlight w:val="none"/>
        </w:rPr>
        <w:t>.3</w:t>
      </w:r>
      <w:bookmarkStart w:id="50" w:name="_Hlk65857140"/>
      <w:r>
        <w:rPr>
          <w:rFonts w:hint="eastAsia" w:hAnsi="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（1）在货物采购项目中，货物由中小企业制造，即货物由中小企业生产且使用该中小企业商号或者注册商标，不对其中涉及的工程承建商和货物的承接商作出要求；</w:t>
      </w:r>
    </w:p>
    <w:p>
      <w:pPr>
        <w:pStyle w:val="1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（2）在工程采购项目中，工程由中小企业承建，即工程施工单位为中小企业，不对其中涉及的货物的制造商和货物的承接商作出要求；</w:t>
      </w:r>
    </w:p>
    <w:p>
      <w:pPr>
        <w:pStyle w:val="1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pPr>
        <w:pStyle w:val="1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4"/>
        <w:spacing w:line="360" w:lineRule="auto"/>
        <w:ind w:firstLine="400" w:firstLineChars="200"/>
        <w:textAlignment w:val="center"/>
        <w:rPr>
          <w:rFonts w:hint="eastAsia" w:hAnsi="宋体"/>
          <w:color w:val="auto"/>
          <w:highlight w:val="none"/>
          <w:lang w:eastAsia="zh-CN"/>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50"/>
    </w:p>
    <w:p>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 政采贷相关说明</w:t>
      </w:r>
    </w:p>
    <w:p>
      <w:pPr>
        <w:spacing w:line="360" w:lineRule="auto"/>
        <w:ind w:firstLine="420" w:firstLineChars="200"/>
        <w:rPr>
          <w:rFonts w:hint="eastAsia"/>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bookmarkStart w:id="51" w:name="_Toc80205932"/>
    </w:p>
    <w:p>
      <w:pPr>
        <w:pStyle w:val="3"/>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jc w:val="center"/>
        <w:rPr>
          <w:rFonts w:hint="eastAsia"/>
          <w:color w:val="auto"/>
          <w:highlight w:val="none"/>
        </w:rPr>
      </w:pPr>
      <w:r>
        <w:rPr>
          <w:rFonts w:hint="eastAsia"/>
          <w:color w:val="auto"/>
          <w:highlight w:val="none"/>
        </w:rPr>
        <w:t>第四章  评审程序、评审方法和成交标准</w:t>
      </w:r>
      <w:bookmarkEnd w:id="51"/>
    </w:p>
    <w:p>
      <w:pPr>
        <w:pStyle w:val="4"/>
        <w:spacing w:before="0" w:after="0" w:line="360" w:lineRule="auto"/>
        <w:ind w:firstLine="640" w:firstLineChars="200"/>
        <w:jc w:val="center"/>
        <w:rPr>
          <w:rFonts w:hint="eastAsia" w:ascii="宋体" w:hAnsi="宋体"/>
          <w:b w:val="0"/>
          <w:color w:val="auto"/>
          <w:highlight w:val="none"/>
        </w:rPr>
      </w:pPr>
      <w:bookmarkStart w:id="52" w:name="_Toc80205933"/>
      <w:r>
        <w:rPr>
          <w:rFonts w:hint="eastAsia" w:ascii="宋体" w:hAnsi="宋体"/>
          <w:b w:val="0"/>
          <w:color w:val="auto"/>
          <w:highlight w:val="none"/>
        </w:rPr>
        <w:t>第一节 评审程序和评审方法</w:t>
      </w:r>
      <w:bookmarkEnd w:id="52"/>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响应文件开启后，谈判小组依法对供应商的资格证明文件进行审查。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（1）查询渠道：“政采云”平台“信用中国”网站(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www.creditchina.gov.cn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3"/>
          <w:rFonts w:hint="eastAsia" w:ascii="宋体" w:hAnsi="宋体" w:cs="宋体"/>
          <w:color w:val="auto"/>
          <w:szCs w:val="21"/>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www.ccgp.gov.cn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3"/>
          <w:rFonts w:hint="eastAsia"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auto"/>
          <w:szCs w:val="21"/>
          <w:highlight w:val="none"/>
        </w:rPr>
      </w:pPr>
      <w:bookmarkStart w:id="53"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3"/>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pPr>
        <w:spacing w:line="360" w:lineRule="auto"/>
        <w:ind w:firstLine="420" w:firstLineChars="200"/>
        <w:rPr>
          <w:rFonts w:hint="eastAsia" w:ascii="宋体" w:hAnsi="宋体" w:cs="宋体"/>
          <w:color w:val="auto"/>
          <w:szCs w:val="21"/>
          <w:highlight w:val="none"/>
        </w:rPr>
      </w:pPr>
      <w:bookmarkStart w:id="54" w:name="_Hlk42528882"/>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由谈判小组对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的响应文件的响应报价、商务、技术等实质性要求进行符合性审查，以确定其是否满足谈判文件的实质性要求。</w:t>
      </w:r>
    </w:p>
    <w:bookmarkEnd w:id="54"/>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12）竞标技术方案不明确，谈判文件未允许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14）未响应谈判文件实质性要求；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15）法律、法规和谈判文件规定的其他无效情形。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报价文件中规定的“响应报价表”；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w:t>
      </w:r>
      <w:bookmarkStart w:id="55" w:name="_Hlk42596405"/>
      <w:r>
        <w:rPr>
          <w:rFonts w:hint="eastAsia" w:ascii="宋体" w:hAnsi="宋体" w:cs="宋体"/>
          <w:color w:val="auto"/>
          <w:szCs w:val="21"/>
          <w:highlight w:val="none"/>
        </w:rPr>
        <w:t>响应报价（包含首次报价、最后报价）</w:t>
      </w:r>
      <w:bookmarkEnd w:id="55"/>
      <w:bookmarkStart w:id="56" w:name="_Hlk42596276"/>
      <w:r>
        <w:rPr>
          <w:rFonts w:hint="eastAsia" w:ascii="宋体" w:hAnsi="宋体" w:cs="宋体"/>
          <w:color w:val="auto"/>
          <w:szCs w:val="21"/>
          <w:highlight w:val="none"/>
        </w:rPr>
        <w:t>超过谈判文件分项采购预算金额或者最高限价的</w:t>
      </w:r>
      <w:bookmarkEnd w:id="56"/>
      <w:r>
        <w:rPr>
          <w:rFonts w:hint="eastAsia" w:ascii="宋体" w:hAnsi="宋体" w:cs="宋体"/>
          <w:color w:val="auto"/>
          <w:szCs w:val="21"/>
          <w:highlight w:val="none"/>
        </w:rPr>
        <w:t>（如本项目公布了最高限价）；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w:t>
      </w:r>
      <w:r>
        <w:rPr>
          <w:rFonts w:hint="eastAsia" w:ascii="宋体" w:hAnsi="宋体" w:cs="宋体"/>
          <w:color w:val="auto"/>
          <w:szCs w:val="21"/>
          <w:highlight w:val="none"/>
        </w:rPr>
        <w:t>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.7通过符合性审查的合格供应商不足3家的，不得进入谈判环节，应当重新开展采购活动。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4.谈判程序</w:t>
      </w:r>
    </w:p>
    <w:p>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谈判中，</w:t>
      </w:r>
      <w:r>
        <w:rPr>
          <w:rFonts w:hint="eastAsia" w:ascii="宋体" w:hAnsi="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谈判小组应对谈判过程和重要谈判内容进行记录，作为评标报告一部分，谈判小组在记录上签字确认。</w:t>
      </w:r>
      <w:r>
        <w:rPr>
          <w:rFonts w:hint="eastAsia" w:ascii="仿宋" w:hAnsi="仿宋" w:eastAsia="仿宋" w:cs="仿宋_GB2312"/>
          <w:b/>
          <w:color w:val="auto"/>
          <w:highlight w:val="none"/>
        </w:rPr>
        <w:t>主要内容包括：</w:t>
      </w:r>
    </w:p>
    <w:p>
      <w:pPr>
        <w:pStyle w:val="24"/>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pPr>
        <w:pStyle w:val="24"/>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（2）谈判日期和地点，谈判人员名单；</w:t>
      </w:r>
    </w:p>
    <w:p>
      <w:pPr>
        <w:pStyle w:val="24"/>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谈判过程中重新提交的响应文件，供应商可以在开启前补充、修改。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最后报价是供应商响应文件的有效组成部分。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w:t>
      </w:r>
      <w:r>
        <w:rPr>
          <w:rFonts w:hint="eastAsia" w:ascii="宋体" w:hAnsi="宋体" w:cs="宋体"/>
          <w:b/>
          <w:color w:val="auto"/>
          <w:szCs w:val="21"/>
          <w:highlight w:val="none"/>
        </w:rPr>
        <w:t>，视同放弃报价权利退出谈判。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6最终响应文件的报价出现前后不一致的，按照本章第3</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7修正后的最终报价出现下列情形的，按无效响应处理：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8经供应商确认修正后的最后报价作为评审及签订合同的依据。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10最后报价结束后，谈判小组不得再与供应商进行任何形式的商谈。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根据《政府采购促进中小企业发展管理办法》（财库〔2020〕46号）的规定，供应商在其响应文件中提供《中小企业声明函》，</w:t>
      </w:r>
      <w:r>
        <w:rPr>
          <w:rFonts w:hint="eastAsia" w:ascii="宋体" w:hAnsi="宋体"/>
          <w:bCs/>
          <w:color w:val="auto"/>
          <w:szCs w:val="21"/>
          <w:highlight w:val="none"/>
        </w:rPr>
        <w:t>且其竞标全部货物均由小微企业提供的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w:t>
      </w:r>
      <w:r>
        <w:rPr>
          <w:rFonts w:hint="eastAsia" w:ascii="宋体" w:hAnsi="宋体"/>
          <w:bCs/>
          <w:color w:val="auto"/>
          <w:szCs w:val="21"/>
          <w:highlight w:val="none"/>
          <w:lang w:val="en-US" w:eastAsia="zh-CN"/>
        </w:rPr>
        <w:t>20</w:t>
      </w:r>
      <w:r>
        <w:rPr>
          <w:rFonts w:hint="eastAsia" w:ascii="宋体" w:hAnsi="宋体"/>
          <w:bCs/>
          <w:color w:val="auto"/>
          <w:szCs w:val="21"/>
          <w:highlight w:val="none"/>
        </w:rPr>
        <w:t>%的扣除，扣除后的价格为评审价，即评审价=竞标报价×（1-</w:t>
      </w:r>
      <w:r>
        <w:rPr>
          <w:rFonts w:hint="eastAsia" w:ascii="宋体" w:hAnsi="宋体"/>
          <w:bCs/>
          <w:color w:val="auto"/>
          <w:szCs w:val="21"/>
          <w:highlight w:val="none"/>
          <w:lang w:val="en-US" w:eastAsia="zh-CN"/>
        </w:rPr>
        <w:t>20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的扣除，用扣除后的价格参加评审，扣除后的价格为评审价，即评审价=竞标报价×（1-</w:t>
      </w:r>
      <w:r>
        <w:rPr>
          <w:rFonts w:ascii="宋体" w:hAnsi="宋体"/>
          <w:bCs/>
          <w:color w:val="auto"/>
          <w:szCs w:val="21"/>
          <w:highlight w:val="none"/>
          <w:u w:val="single"/>
        </w:rPr>
        <w:t xml:space="preserve">   </w:t>
      </w:r>
      <w:r>
        <w:rPr>
          <w:rFonts w:hint="eastAsia" w:ascii="宋体" w:hAnsi="宋体"/>
          <w:bCs/>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rPr>
        <w:t>5除上述情况外，评审价＝最后报价。</w:t>
      </w:r>
    </w:p>
    <w:p>
      <w:pPr>
        <w:pStyle w:val="4"/>
        <w:spacing w:before="0" w:after="0" w:line="360" w:lineRule="auto"/>
        <w:ind w:firstLine="640" w:firstLineChars="200"/>
        <w:jc w:val="center"/>
        <w:rPr>
          <w:rFonts w:ascii="宋体" w:hAnsi="宋体"/>
          <w:b w:val="0"/>
          <w:color w:val="auto"/>
          <w:highlight w:val="none"/>
        </w:rPr>
      </w:pPr>
      <w:bookmarkStart w:id="57" w:name="_Toc80205934"/>
      <w:r>
        <w:rPr>
          <w:rFonts w:hint="eastAsia" w:ascii="宋体" w:hAnsi="宋体"/>
          <w:b w:val="0"/>
          <w:color w:val="auto"/>
          <w:highlight w:val="none"/>
        </w:rPr>
        <w:t>第二节 评审原则</w:t>
      </w:r>
      <w:bookmarkEnd w:id="57"/>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1.2根据</w:t>
      </w:r>
      <w:r>
        <w:rPr>
          <w:rFonts w:hint="eastAsia"/>
          <w:color w:val="auto"/>
          <w:highlight w:val="none"/>
        </w:rPr>
        <w:t>《政府采购非招标采购方式管理办法》（财政部令第74号）第二十一条</w:t>
      </w:r>
      <w:r>
        <w:rPr>
          <w:rFonts w:hint="eastAsia" w:ascii="宋体" w:hAnsi="宋体" w:cs="宋体"/>
          <w:color w:val="auto"/>
          <w:highlight w:val="none"/>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58" w:name="_Toc432194885"/>
      <w:bookmarkStart w:id="59" w:name="_Toc321836413"/>
      <w:bookmarkStart w:id="60" w:name="_Toc432106535"/>
    </w:p>
    <w:bookmarkEnd w:id="58"/>
    <w:bookmarkEnd w:id="59"/>
    <w:bookmarkEnd w:id="60"/>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（1）因情况变化，不再符合规定的竞争性谈判采购方式适用情形的； </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（2）出现影响采购公正的违法、违规行为的；</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（3）在采购过程中符合竞争要求的供应商或者报价未超过采购预算的供应商不足3家的，但《政府采购非招标采购方式管理办法》第二十七条第二款规定的情形除外。</w:t>
      </w:r>
    </w:p>
    <w:p>
      <w:pPr>
        <w:pStyle w:val="4"/>
        <w:spacing w:before="0" w:after="0" w:line="360" w:lineRule="auto"/>
        <w:ind w:firstLine="640" w:firstLineChars="200"/>
        <w:jc w:val="center"/>
        <w:rPr>
          <w:rFonts w:hint="eastAsia" w:ascii="宋体" w:hAnsi="宋体"/>
          <w:b w:val="0"/>
          <w:color w:val="auto"/>
          <w:highlight w:val="none"/>
          <w:lang w:eastAsia="zh-CN"/>
        </w:rPr>
      </w:pPr>
      <w:bookmarkStart w:id="61" w:name="_Toc80205935"/>
      <w:r>
        <w:rPr>
          <w:rFonts w:hint="eastAsia" w:ascii="宋体" w:hAnsi="宋体"/>
          <w:b w:val="0"/>
          <w:color w:val="auto"/>
          <w:highlight w:val="none"/>
        </w:rPr>
        <w:t>第</w:t>
      </w:r>
      <w:r>
        <w:rPr>
          <w:rFonts w:hint="eastAsia" w:ascii="宋体" w:hAnsi="宋体"/>
          <w:b w:val="0"/>
          <w:color w:val="auto"/>
          <w:highlight w:val="none"/>
          <w:lang w:eastAsia="zh-CN"/>
        </w:rPr>
        <w:t>三</w:t>
      </w:r>
      <w:r>
        <w:rPr>
          <w:rFonts w:hint="eastAsia" w:ascii="宋体" w:hAnsi="宋体"/>
          <w:b w:val="0"/>
          <w:color w:val="auto"/>
          <w:highlight w:val="none"/>
        </w:rPr>
        <w:t xml:space="preserve">节 </w:t>
      </w:r>
      <w:r>
        <w:rPr>
          <w:rFonts w:hint="eastAsia" w:ascii="宋体" w:hAnsi="宋体"/>
          <w:b w:val="0"/>
          <w:color w:val="auto"/>
          <w:highlight w:val="none"/>
          <w:lang w:eastAsia="zh-CN"/>
        </w:rPr>
        <w:t>评标报告</w:t>
      </w:r>
      <w:bookmarkEnd w:id="61"/>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.2条规定的顺序推荐）,并在线编写电子评审报告。</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采用最低评标价法的采购项目，提供相同品牌产品的不同</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标人参加同一合同项下</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标的，以其中通过资格审查、符合性审查且报价最低的参加评标；报价相同的，由谈判小组按照</w:t>
      </w:r>
      <w:r>
        <w:rPr>
          <w:rFonts w:hint="eastAsia" w:ascii="宋体" w:hAnsi="宋体" w:cs="宋体"/>
          <w:color w:val="auto"/>
          <w:kern w:val="2"/>
          <w:sz w:val="21"/>
          <w:szCs w:val="24"/>
          <w:highlight w:val="none"/>
          <w:lang w:val="en-US" w:eastAsia="zh-CN" w:bidi="ar-SA"/>
        </w:rPr>
        <w:t>采购</w:t>
      </w:r>
      <w:r>
        <w:rPr>
          <w:rFonts w:hint="eastAsia" w:ascii="宋体" w:hAnsi="宋体" w:eastAsia="宋体" w:cs="宋体"/>
          <w:color w:val="auto"/>
          <w:kern w:val="2"/>
          <w:sz w:val="21"/>
          <w:szCs w:val="24"/>
          <w:highlight w:val="none"/>
          <w:lang w:val="en-US" w:eastAsia="zh-CN" w:bidi="ar-SA"/>
        </w:rPr>
        <w:t>文件规定的方式确定一个参加评标的</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标人，</w:t>
      </w:r>
      <w:r>
        <w:rPr>
          <w:rFonts w:hint="eastAsia" w:ascii="宋体" w:hAnsi="宋体" w:cs="宋体"/>
          <w:color w:val="auto"/>
          <w:kern w:val="2"/>
          <w:sz w:val="21"/>
          <w:szCs w:val="24"/>
          <w:highlight w:val="none"/>
          <w:lang w:val="en-US" w:eastAsia="zh-CN" w:bidi="ar-SA"/>
        </w:rPr>
        <w:t>采购</w:t>
      </w:r>
      <w:r>
        <w:rPr>
          <w:rFonts w:hint="eastAsia" w:ascii="宋体" w:hAnsi="宋体" w:eastAsia="宋体" w:cs="宋体"/>
          <w:color w:val="auto"/>
          <w:kern w:val="2"/>
          <w:sz w:val="21"/>
          <w:szCs w:val="24"/>
          <w:highlight w:val="none"/>
          <w:lang w:val="en-US" w:eastAsia="zh-CN" w:bidi="ar-SA"/>
        </w:rPr>
        <w:t>文件未规定的采取随机抽取方式确定，其他</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标无效。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ascii="宋体" w:hAnsi="宋体" w:eastAsia="宋体" w:cs="宋体"/>
          <w:color w:val="auto"/>
          <w:kern w:val="2"/>
          <w:sz w:val="21"/>
          <w:szCs w:val="24"/>
          <w:highlight w:val="none"/>
          <w:lang w:val="en-US" w:eastAsia="zh-CN" w:bidi="ar-SA"/>
        </w:rPr>
        <w:t>非单一产品采购项目，采购人应当根据采购项目技术构成、产品价格比重等合理确定核心产品，并在招标文件中载明。多家竞标人提供的核心产品品牌相同的，按上述规定处理。</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pStyle w:val="24"/>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谈判小组</w:t>
      </w:r>
      <w:r>
        <w:rPr>
          <w:rFonts w:ascii="宋体" w:hAnsi="宋体" w:cs="宋体"/>
          <w:color w:val="auto"/>
          <w:kern w:val="2"/>
          <w:sz w:val="21"/>
          <w:szCs w:val="24"/>
          <w:highlight w:val="none"/>
        </w:rPr>
        <w:t>成员对需要共同认定的事项存在争议的，应当按照少数服从多数的原则作出结论。持不同意见的</w:t>
      </w:r>
      <w:r>
        <w:rPr>
          <w:rFonts w:hint="eastAsia" w:ascii="宋体" w:hAnsi="宋体" w:cs="宋体"/>
          <w:color w:val="auto"/>
          <w:kern w:val="2"/>
          <w:sz w:val="21"/>
          <w:szCs w:val="24"/>
          <w:highlight w:val="none"/>
        </w:rPr>
        <w:t>谈判小组</w:t>
      </w:r>
      <w:r>
        <w:rPr>
          <w:rFonts w:ascii="宋体" w:hAnsi="宋体" w:cs="宋体"/>
          <w:color w:val="auto"/>
          <w:kern w:val="2"/>
          <w:sz w:val="21"/>
          <w:szCs w:val="24"/>
          <w:highlight w:val="none"/>
        </w:rPr>
        <w:t>成员应当在评标报告上签署不同意见及理由，否则视为同意评标报告。</w:t>
      </w:r>
    </w:p>
    <w:p>
      <w:pPr>
        <w:pStyle w:val="4"/>
        <w:spacing w:before="0" w:after="0" w:line="360" w:lineRule="auto"/>
        <w:ind w:firstLine="640" w:firstLineChars="200"/>
        <w:jc w:val="center"/>
        <w:rPr>
          <w:rFonts w:ascii="宋体" w:hAnsi="宋体"/>
          <w:b w:val="0"/>
          <w:color w:val="auto"/>
          <w:highlight w:val="none"/>
        </w:rPr>
      </w:pPr>
      <w:bookmarkStart w:id="62" w:name="_Toc80205936"/>
      <w:r>
        <w:rPr>
          <w:rFonts w:hint="eastAsia" w:ascii="宋体" w:hAnsi="宋体"/>
          <w:b w:val="0"/>
          <w:color w:val="auto"/>
          <w:highlight w:val="none"/>
        </w:rPr>
        <w:t>第四节 评审过程的保密与录像</w:t>
      </w:r>
      <w:bookmarkEnd w:id="62"/>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ascii="宋体" w:hAnsi="宋体" w:cs="宋体"/>
          <w:color w:val="auto"/>
          <w:highlight w:val="none"/>
        </w:rPr>
      </w:pPr>
      <w:r>
        <w:rPr>
          <w:rFonts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color w:val="auto"/>
          <w:highlight w:val="none"/>
        </w:rPr>
        <w:br w:type="page"/>
      </w: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3"/>
        <w:jc w:val="center"/>
        <w:rPr>
          <w:rFonts w:hint="eastAsia"/>
          <w:color w:val="auto"/>
          <w:highlight w:val="none"/>
          <w:lang w:eastAsia="zh-CN"/>
        </w:rPr>
      </w:pPr>
      <w:bookmarkStart w:id="63" w:name="_Toc80205937"/>
      <w:r>
        <w:rPr>
          <w:rFonts w:hint="eastAsia"/>
          <w:color w:val="auto"/>
          <w:highlight w:val="none"/>
        </w:rPr>
        <w:t>第五章 响应文件格式</w:t>
      </w:r>
      <w:bookmarkEnd w:id="63"/>
      <w:r>
        <w:rPr>
          <w:color w:val="auto"/>
          <w:highlight w:val="none"/>
        </w:rPr>
        <w:br w:type="page"/>
      </w:r>
    </w:p>
    <w:p>
      <w:pPr>
        <w:pStyle w:val="4"/>
        <w:jc w:val="center"/>
        <w:rPr>
          <w:rFonts w:hint="eastAsia" w:ascii="宋体" w:hAnsi="宋体"/>
          <w:b w:val="0"/>
          <w:color w:val="auto"/>
          <w:highlight w:val="none"/>
          <w:lang w:val="en-US" w:eastAsia="zh-CN"/>
        </w:rPr>
      </w:pPr>
      <w:bookmarkStart w:id="64" w:name="_Toc80205938"/>
      <w:r>
        <w:rPr>
          <w:rFonts w:hint="eastAsia" w:ascii="宋体" w:hAnsi="宋体"/>
          <w:b w:val="0"/>
          <w:color w:val="auto"/>
          <w:highlight w:val="none"/>
          <w:lang w:val="en-US" w:eastAsia="zh-CN"/>
        </w:rPr>
        <w:t>第一节 封面格式</w:t>
      </w:r>
      <w:bookmarkEnd w:id="64"/>
    </w:p>
    <w:p>
      <w:pPr>
        <w:rPr>
          <w:rFonts w:hint="eastAsia" w:ascii="宋体" w:hAnsi="宋体"/>
          <w:b/>
          <w:bCs/>
          <w:color w:val="auto"/>
          <w:sz w:val="32"/>
          <w:szCs w:val="32"/>
          <w:highlight w:val="none"/>
        </w:rPr>
      </w:pPr>
      <w:bookmarkStart w:id="65" w:name="_Toc44229898"/>
      <w:r>
        <w:rPr>
          <w:rFonts w:hint="eastAsia" w:ascii="宋体" w:hAnsi="宋体"/>
          <w:b/>
          <w:color w:val="auto"/>
          <w:sz w:val="32"/>
          <w:szCs w:val="32"/>
          <w:highlight w:val="none"/>
        </w:rPr>
        <w:t>（</w:t>
      </w:r>
      <w:bookmarkStart w:id="66" w:name="_Toc35611437"/>
      <w:bookmarkStart w:id="67" w:name="_Toc35611515"/>
      <w:r>
        <w:rPr>
          <w:rFonts w:hint="eastAsia" w:ascii="宋体" w:hAnsi="宋体"/>
          <w:b/>
          <w:bCs/>
          <w:color w:val="auto"/>
          <w:sz w:val="32"/>
          <w:szCs w:val="32"/>
          <w:highlight w:val="none"/>
        </w:rPr>
        <w:t>响应文件外层包装封面格式</w:t>
      </w:r>
      <w:bookmarkEnd w:id="66"/>
      <w:bookmarkEnd w:id="67"/>
      <w:r>
        <w:rPr>
          <w:rFonts w:hint="eastAsia" w:ascii="宋体" w:hAnsi="宋体"/>
          <w:b/>
          <w:color w:val="auto"/>
          <w:sz w:val="32"/>
          <w:szCs w:val="32"/>
          <w:highlight w:val="none"/>
        </w:rPr>
        <w:t xml:space="preserve"> ）</w:t>
      </w:r>
      <w:bookmarkEnd w:id="65"/>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宋体" w:hAnsi="宋体"/>
          <w:bCs/>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仿宋_GB2312" w:hAnsi="仿宋_GB2312" w:eastAsia="仿宋_GB2312"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480" w:firstLineChars="1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480" w:firstLineChars="1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snapToGrid w:val="0"/>
        <w:spacing w:before="120" w:beforeLines="50" w:after="50"/>
        <w:rPr>
          <w:rFonts w:hint="eastAsia" w:ascii="宋体" w:hAnsi="宋体" w:cs="仿宋_GB2312"/>
          <w:bCs/>
          <w:color w:val="auto"/>
          <w:sz w:val="32"/>
          <w:szCs w:val="32"/>
          <w:highlight w:val="none"/>
        </w:rPr>
      </w:pPr>
    </w:p>
    <w:p>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pPr>
        <w:snapToGrid w:val="0"/>
        <w:spacing w:before="120" w:beforeLines="50" w:after="50"/>
        <w:ind w:firstLine="5440" w:firstLineChars="1700"/>
        <w:jc w:val="center"/>
        <w:rPr>
          <w:rFonts w:hint="eastAsia" w:ascii="宋体" w:hAnsi="宋体" w:cs="仿宋_GB2312"/>
          <w:bCs/>
          <w:color w:val="auto"/>
          <w:sz w:val="32"/>
          <w:szCs w:val="32"/>
          <w:highlight w:val="none"/>
        </w:rPr>
      </w:pPr>
    </w:p>
    <w:p>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pPr>
        <w:spacing w:line="240" w:lineRule="atLeast"/>
        <w:rPr>
          <w:rFonts w:ascii="宋体" w:hAnsi="宋体"/>
          <w:b/>
          <w:bCs/>
          <w:color w:val="auto"/>
          <w:highlight w:val="none"/>
        </w:rPr>
      </w:pPr>
      <w:r>
        <w:rPr>
          <w:rFonts w:ascii="宋体" w:hAnsi="宋体"/>
          <w:bCs/>
          <w:color w:val="auto"/>
          <w:sz w:val="24"/>
          <w:highlight w:val="none"/>
        </w:rPr>
        <w:br w:type="page"/>
      </w:r>
    </w:p>
    <w:p>
      <w:pPr>
        <w:snapToGrid w:val="0"/>
        <w:spacing w:before="120" w:beforeLines="50" w:after="50" w:line="360" w:lineRule="auto"/>
        <w:jc w:val="center"/>
        <w:outlineLvl w:val="1"/>
        <w:rPr>
          <w:rFonts w:hint="eastAsia" w:ascii="宋体" w:hAnsi="宋体"/>
          <w:bCs/>
          <w:color w:val="auto"/>
          <w:sz w:val="32"/>
          <w:szCs w:val="32"/>
          <w:highlight w:val="none"/>
        </w:rPr>
      </w:pPr>
      <w:bookmarkStart w:id="68" w:name="_Toc80205939"/>
      <w:r>
        <w:rPr>
          <w:rFonts w:hint="eastAsia" w:ascii="宋体" w:hAnsi="宋体"/>
          <w:bCs/>
          <w:color w:val="auto"/>
          <w:sz w:val="32"/>
          <w:szCs w:val="32"/>
          <w:highlight w:val="none"/>
        </w:rPr>
        <w:t>第二节 资格证明文件格式</w:t>
      </w:r>
      <w:bookmarkEnd w:id="68"/>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360" w:lineRule="auto"/>
        <w:ind w:left="142" w:firstLine="480" w:firstLineChars="200"/>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二、资格证明文件目录</w:t>
      </w:r>
    </w:p>
    <w:p>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pPr>
        <w:snapToGrid w:val="0"/>
        <w:spacing w:line="360" w:lineRule="auto"/>
        <w:rPr>
          <w:rFonts w:hint="eastAsia" w:ascii="仿宋_GB2312" w:hAnsi="仿宋" w:eastAsia="仿宋_GB2312" w:cs="仿宋_GB2312"/>
          <w:color w:val="auto"/>
          <w:kern w:val="0"/>
          <w:sz w:val="2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w:t>
      </w:r>
      <w:r>
        <w:rPr>
          <w:rFonts w:hint="eastAsia" w:ascii="仿宋_GB2312" w:hAnsi="仿宋" w:eastAsia="仿宋_GB2312"/>
          <w:color w:val="auto"/>
          <w:sz w:val="24"/>
          <w:highlight w:val="none"/>
          <w:lang w:val="en-US" w:eastAsia="zh-CN"/>
        </w:rPr>
        <w:t>原件扫描件</w:t>
      </w:r>
      <w:r>
        <w:rPr>
          <w:rFonts w:hint="eastAsia" w:ascii="仿宋_GB2312" w:hAnsi="仿宋" w:eastAsia="仿宋_GB2312"/>
          <w:color w:val="auto"/>
          <w:sz w:val="24"/>
          <w:highlight w:val="none"/>
        </w:rPr>
        <w:t>（供应商为自然人的，须提供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七、</w:t>
      </w:r>
      <w:r>
        <w:rPr>
          <w:rFonts w:hint="eastAsia" w:ascii="仿宋_GB2312" w:hAnsi="仿宋" w:eastAsia="仿宋_GB2312" w:cs="仿宋_GB2312"/>
          <w:color w:val="auto"/>
          <w:spacing w:val="-6"/>
          <w:kern w:val="0"/>
          <w:sz w:val="24"/>
          <w:highlight w:val="none"/>
        </w:rPr>
        <w:t>本项目专门面向中小企业采购，供应商请提供中小企业声明函或其他证明材料（监狱企业、残疾人福利性单位视同小型、微型企业）（格式自拟）</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八</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pacing w:val="-11"/>
          <w:sz w:val="24"/>
          <w:highlight w:val="none"/>
        </w:rPr>
        <w:t>除谈判文件规定必须提供以外，供应商认为需要提供的其他证明材料</w:t>
      </w:r>
      <w:r>
        <w:rPr>
          <w:rFonts w:hint="eastAsia" w:ascii="仿宋_GB2312" w:hAnsi="仿宋" w:eastAsia="仿宋_GB2312" w:cs="仿宋_GB2312"/>
          <w:color w:val="auto"/>
          <w:kern w:val="0"/>
          <w:sz w:val="24"/>
          <w:highlight w:val="none"/>
        </w:rPr>
        <w:t>…………（页码）</w:t>
      </w:r>
    </w:p>
    <w:p>
      <w:pPr>
        <w:spacing w:line="360" w:lineRule="auto"/>
        <w:rPr>
          <w:rFonts w:hint="eastAsia"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pPr>
        <w:snapToGrid w:val="0"/>
        <w:spacing w:before="120" w:beforeLines="50" w:after="50"/>
        <w:rPr>
          <w:rFonts w:ascii="宋体" w:hAnsi="宋体"/>
          <w:color w:val="auto"/>
          <w:sz w:val="24"/>
          <w:szCs w:val="20"/>
          <w:highlight w:val="none"/>
        </w:rPr>
        <w:sectPr>
          <w:footerReference r:id="rId8" w:type="first"/>
          <w:footerReference r:id="rId7" w:type="default"/>
          <w:pgSz w:w="11910" w:h="16840"/>
          <w:pgMar w:top="1340" w:right="1500" w:bottom="280" w:left="1680" w:header="720" w:footer="720" w:gutter="0"/>
          <w:cols w:space="720" w:num="1"/>
        </w:sectPr>
      </w:pPr>
    </w:p>
    <w:p>
      <w:pPr>
        <w:pStyle w:val="14"/>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一、营业执照(或事业法人登记证或其他工商等登记证明材料)</w:t>
      </w:r>
      <w:r>
        <w:rPr>
          <w:rFonts w:hint="eastAsia" w:ascii="仿宋" w:hAnsi="仿宋" w:eastAsia="仿宋" w:cs="仿宋_GB2312"/>
          <w:b/>
          <w:color w:val="auto"/>
          <w:sz w:val="30"/>
          <w:szCs w:val="30"/>
          <w:highlight w:val="none"/>
          <w:lang w:val="en-US" w:eastAsia="zh-CN"/>
        </w:rPr>
        <w:t>原件扫描件</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lang w:eastAsia="zh-CN"/>
        </w:rPr>
        <w:t>供应商</w:t>
      </w:r>
      <w:r>
        <w:rPr>
          <w:rFonts w:hint="eastAsia" w:ascii="仿宋" w:hAnsi="仿宋" w:eastAsia="仿宋" w:cs="仿宋_GB2312"/>
          <w:b/>
          <w:color w:val="auto"/>
          <w:sz w:val="30"/>
          <w:szCs w:val="30"/>
          <w:highlight w:val="none"/>
        </w:rPr>
        <w:t>为自然人的，提供自然人的身份证明）</w:t>
      </w:r>
    </w:p>
    <w:p>
      <w:pPr>
        <w:pStyle w:val="14"/>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spacing w:before="120" w:beforeLines="50" w:after="50"/>
        <w:rPr>
          <w:rFonts w:ascii="宋体" w:hAnsi="宋体"/>
          <w:color w:val="auto"/>
          <w:sz w:val="24"/>
          <w:szCs w:val="20"/>
          <w:highlight w:val="none"/>
        </w:rPr>
      </w:pPr>
    </w:p>
    <w:p>
      <w:pPr>
        <w:pStyle w:val="14"/>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二、</w:t>
      </w:r>
      <w:r>
        <w:rPr>
          <w:rFonts w:hint="eastAsia" w:ascii="仿宋" w:hAnsi="仿宋" w:eastAsia="仿宋" w:cs="仿宋_GB2312"/>
          <w:b/>
          <w:color w:val="auto"/>
          <w:sz w:val="30"/>
          <w:szCs w:val="30"/>
          <w:highlight w:val="none"/>
        </w:rPr>
        <w:t>符合参与政府采购活动的资格条件依法缴纳税收、社会保障资金等方面的材料</w:t>
      </w:r>
    </w:p>
    <w:p>
      <w:pPr>
        <w:spacing w:line="300" w:lineRule="auto"/>
        <w:rPr>
          <w:rFonts w:hint="eastAsia" w:ascii="宋体" w:hAnsi="宋体"/>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00" w:lineRule="auto"/>
        <w:rPr>
          <w:rFonts w:hint="eastAsia" w:ascii="宋体" w:hAnsi="宋体"/>
          <w:color w:val="auto"/>
          <w:szCs w:val="21"/>
          <w:highlight w:val="none"/>
        </w:rPr>
      </w:pPr>
    </w:p>
    <w:p>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pPr>
        <w:spacing w:line="300" w:lineRule="auto"/>
        <w:rPr>
          <w:rFonts w:hint="eastAsia" w:ascii="宋体" w:hAnsi="宋体"/>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pPr>
        <w:snapToGrid w:val="0"/>
        <w:spacing w:before="120" w:beforeLines="50" w:after="50" w:line="360" w:lineRule="auto"/>
        <w:jc w:val="center"/>
        <w:rPr>
          <w:rFonts w:hint="eastAsia" w:ascii="宋体" w:hAnsi="宋体"/>
          <w:b/>
          <w:color w:val="auto"/>
          <w:sz w:val="24"/>
          <w:highlight w:val="none"/>
        </w:rPr>
      </w:pPr>
    </w:p>
    <w:p>
      <w:pPr>
        <w:spacing w:line="360" w:lineRule="auto"/>
        <w:ind w:firstLine="596" w:firstLineChars="198"/>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pPr>
        <w:spacing w:line="360" w:lineRule="auto"/>
        <w:contextualSpacing/>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bl>
    <w:p>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pPr>
        <w:snapToGrid w:val="0"/>
        <w:spacing w:line="360" w:lineRule="auto"/>
        <w:jc w:val="left"/>
        <w:rPr>
          <w:rFonts w:hint="eastAsia" w:ascii="宋体" w:hAnsi="宋体" w:cs="宋体"/>
          <w:color w:val="auto"/>
          <w:sz w:val="24"/>
          <w:highlight w:val="none"/>
        </w:rPr>
      </w:pPr>
    </w:p>
    <w:p>
      <w:pPr>
        <w:snapToGrid w:val="0"/>
        <w:spacing w:line="360" w:lineRule="auto"/>
        <w:jc w:val="left"/>
        <w:rPr>
          <w:rFonts w:hint="eastAsia" w:ascii="宋体" w:hAnsi="宋体" w:cs="宋体"/>
          <w:color w:val="auto"/>
          <w:sz w:val="24"/>
          <w:highlight w:val="none"/>
        </w:rPr>
      </w:pPr>
    </w:p>
    <w:p>
      <w:pPr>
        <w:snapToGrid w:val="0"/>
        <w:spacing w:line="360" w:lineRule="auto"/>
        <w:jc w:val="left"/>
        <w:rPr>
          <w:rFonts w:hint="eastAsia" w:ascii="宋体" w:hAnsi="宋体" w:cs="宋体"/>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rPr>
          <w:rFonts w:hint="eastAsia" w:ascii="仿宋" w:hAnsi="仿宋" w:eastAsia="仿宋" w:cs="仿宋_GB2312"/>
          <w:b/>
          <w:color w:val="auto"/>
          <w:kern w:val="0"/>
          <w:sz w:val="30"/>
          <w:szCs w:val="30"/>
          <w:highlight w:val="none"/>
        </w:rPr>
      </w:pPr>
    </w:p>
    <w:p>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pPr>
        <w:snapToGrid w:val="0"/>
        <w:spacing w:line="360" w:lineRule="auto"/>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pPr>
        <w:spacing w:line="360" w:lineRule="auto"/>
        <w:contextualSpacing/>
        <w:jc w:val="left"/>
        <w:rPr>
          <w:rFonts w:hint="eastAsia"/>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pPr>
        <w:spacing w:line="320" w:lineRule="exact"/>
        <w:ind w:firstLine="560" w:firstLineChars="200"/>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pPr>
        <w:spacing w:line="320" w:lineRule="exact"/>
        <w:jc w:val="center"/>
        <w:rPr>
          <w:rFonts w:hint="eastAsia" w:ascii="宋体" w:hAnsi="宋体"/>
          <w:b/>
          <w:color w:val="auto"/>
          <w:sz w:val="32"/>
          <w:szCs w:val="32"/>
          <w:highlight w:val="none"/>
        </w:rPr>
      </w:pPr>
    </w:p>
    <w:p>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pPr>
        <w:spacing w:line="320" w:lineRule="exact"/>
        <w:jc w:val="center"/>
        <w:rPr>
          <w:rFonts w:hint="eastAsia" w:ascii="宋体" w:hAnsi="宋体"/>
          <w:color w:val="auto"/>
          <w:sz w:val="24"/>
          <w:szCs w:val="20"/>
          <w:highlight w:val="none"/>
        </w:rPr>
      </w:pPr>
    </w:p>
    <w:p>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r>
        <w:rPr>
          <w:rFonts w:hint="eastAsia" w:ascii="仿宋_GB2312" w:hAnsi="宋体" w:eastAsia="仿宋_GB2312" w:cs="宋体"/>
          <w:color w:val="auto"/>
          <w:sz w:val="24"/>
          <w:highlight w:val="none"/>
        </w:rPr>
        <w:t>：</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项目的竞标，为便于贵方公正、择优地确定成交供应商及其竞标产品和货物，我方就本次竞标有关事项郑重声明如下：</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w:t>
      </w: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lang w:val="en-US" w:eastAsia="zh-CN"/>
        </w:rPr>
        <w:t>有效的</w:t>
      </w:r>
      <w:r>
        <w:rPr>
          <w:rFonts w:hint="eastAsia" w:ascii="仿宋_GB2312" w:hAnsi="宋体" w:eastAsia="仿宋_GB2312" w:cs="宋体"/>
          <w:color w:val="auto"/>
          <w:sz w:val="24"/>
          <w:highlight w:val="none"/>
        </w:rPr>
        <w:t>和真实的。</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（1）将按谈判文件的约定履行合同责任和义务；</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（2）已详细审查全部谈判文件，包括澄清或者更正公告（如有）；</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（4）响应谈判文件规定的竞标有效期。</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4.我方承诺符合《中华人民共和国政府采购法》第二十二条规定：</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仿宋_GB2312" w:hAnsi="宋体" w:eastAsia="仿宋_GB2312" w:cs="宋体"/>
          <w:color w:val="auto"/>
          <w:sz w:val="24"/>
          <w:highlight w:val="none"/>
          <w:lang w:val="en-US" w:eastAsia="zh-CN"/>
        </w:rPr>
        <w:t>失信主体</w:t>
      </w:r>
      <w:r>
        <w:rPr>
          <w:rFonts w:hint="eastAsia" w:ascii="仿宋_GB2312" w:hAnsi="宋体" w:eastAsia="仿宋_GB2312" w:cs="宋体"/>
          <w:color w:val="auto"/>
          <w:sz w:val="24"/>
          <w:highlight w:val="none"/>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pPr>
        <w:pStyle w:val="14"/>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7.与本谈判有关的一切正式往来信函请寄：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pPr>
        <w:pStyle w:val="14"/>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pPr>
        <w:pStyle w:val="12"/>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pPr>
        <w:pStyle w:val="12"/>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pPr>
        <w:pStyle w:val="12"/>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pPr>
        <w:pStyle w:val="12"/>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pPr>
        <w:pStyle w:val="12"/>
        <w:tabs>
          <w:tab w:val="left" w:pos="939"/>
        </w:tabs>
        <w:spacing w:line="360" w:lineRule="auto"/>
        <w:ind w:left="0" w:leftChars="0" w:firstLine="480" w:firstLineChars="200"/>
        <w:rPr>
          <w:rFonts w:hint="eastAsia" w:ascii="宋体" w:hAnsi="宋体" w:cs="宋体"/>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日期：  年  月   日</w:t>
      </w:r>
    </w:p>
    <w:p>
      <w:pPr>
        <w:keepNext w:val="0"/>
        <w:keepLines w:val="0"/>
        <w:pageBreakBefore w:val="0"/>
        <w:widowControl w:val="0"/>
        <w:kinsoku/>
        <w:wordWrap/>
        <w:overflowPunct/>
        <w:topLinePunct w:val="0"/>
        <w:autoSpaceDE/>
        <w:autoSpaceDN/>
        <w:bidi w:val="0"/>
        <w:adjustRightInd/>
        <w:snapToGrid w:val="0"/>
        <w:spacing w:before="50" w:after="165" w:afterLines="50"/>
        <w:ind w:firstLine="602" w:firstLineChars="200"/>
        <w:jc w:val="left"/>
        <w:textAlignment w:val="auto"/>
        <w:rPr>
          <w:rFonts w:hint="eastAsia" w:ascii="宋体" w:hAnsi="宋体" w:eastAsia="宋体" w:cs="Times New Roman"/>
          <w:b/>
          <w:color w:val="auto"/>
          <w:sz w:val="32"/>
          <w:szCs w:val="32"/>
          <w:highlight w:val="none"/>
        </w:rPr>
      </w:pPr>
      <w:r>
        <w:rPr>
          <w:rFonts w:hint="eastAsia" w:ascii="仿宋_GB2312" w:hAnsi="仿宋" w:eastAsia="仿宋_GB2312" w:cs="仿宋_GB2312"/>
          <w:b/>
          <w:color w:val="auto"/>
          <w:sz w:val="30"/>
          <w:szCs w:val="30"/>
          <w:highlight w:val="none"/>
        </w:rPr>
        <w:t>七、本项目专门面向中小企业采购，供应商请提供中小企业声明函或其他证明材料（监狱企业、残疾人福利性单位视同小型、微型企业）</w:t>
      </w:r>
      <w:r>
        <w:rPr>
          <w:rFonts w:hint="eastAsia" w:ascii="仿宋_GB2312" w:hAnsi="仿宋" w:eastAsia="仿宋_GB2312" w:cs="仿宋_GB2312"/>
          <w:color w:val="auto"/>
          <w:sz w:val="24"/>
          <w:highlight w:val="none"/>
        </w:rPr>
        <w:t>（格式自拟）</w:t>
      </w:r>
    </w:p>
    <w:p>
      <w:pPr>
        <w:pStyle w:val="14"/>
        <w:spacing w:line="600" w:lineRule="exact"/>
        <w:jc w:val="center"/>
        <w:rPr>
          <w:rFonts w:hint="eastAsia" w:ascii="Times New Roman" w:hAnsi="Times New Roman"/>
          <w:b/>
          <w:bCs/>
          <w:color w:val="auto"/>
          <w:sz w:val="30"/>
          <w:szCs w:val="30"/>
          <w:highlight w:val="none"/>
        </w:rPr>
      </w:pPr>
    </w:p>
    <w:p>
      <w:pPr>
        <w:rPr>
          <w:rFonts w:hint="eastAsia"/>
          <w:color w:val="auto"/>
          <w:highlight w:val="none"/>
        </w:rPr>
      </w:pP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供应商名称（电子签章）：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pPr>
        <w:snapToGrid w:val="0"/>
        <w:spacing w:line="360" w:lineRule="auto"/>
        <w:rPr>
          <w:rFonts w:hint="eastAsia" w:ascii="仿宋" w:hAnsi="仿宋" w:eastAsia="仿宋" w:cs="仿宋_GB2312"/>
          <w:b/>
          <w:color w:val="auto"/>
          <w:kern w:val="0"/>
          <w:sz w:val="30"/>
          <w:szCs w:val="30"/>
          <w:highlight w:val="none"/>
        </w:rPr>
      </w:pPr>
    </w:p>
    <w:p>
      <w:pPr>
        <w:snapToGrid w:val="0"/>
        <w:spacing w:line="360" w:lineRule="auto"/>
        <w:rPr>
          <w:rFonts w:hint="eastAsia" w:ascii="仿宋" w:hAnsi="仿宋" w:eastAsia="仿宋" w:cs="仿宋_GB2312"/>
          <w:b/>
          <w:color w:val="auto"/>
          <w:kern w:val="0"/>
          <w:sz w:val="30"/>
          <w:szCs w:val="30"/>
          <w:highlight w:val="none"/>
        </w:rPr>
      </w:pPr>
    </w:p>
    <w:p>
      <w:pPr>
        <w:snapToGrid w:val="0"/>
        <w:spacing w:line="360" w:lineRule="auto"/>
        <w:ind w:firstLine="602" w:firstLineChars="200"/>
        <w:rPr>
          <w:rFonts w:hint="eastAsia" w:ascii="仿宋" w:hAnsi="仿宋" w:eastAsia="仿宋" w:cs="仿宋_GB2312"/>
          <w:b/>
          <w:color w:val="auto"/>
          <w:kern w:val="0"/>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kern w:val="0"/>
          <w:sz w:val="30"/>
          <w:szCs w:val="30"/>
          <w:highlight w:val="none"/>
          <w:lang w:val="en-US" w:eastAsia="zh-CN"/>
        </w:rPr>
        <w:t>八</w:t>
      </w:r>
      <w:r>
        <w:rPr>
          <w:rFonts w:hint="eastAsia" w:ascii="仿宋" w:hAnsi="仿宋" w:eastAsia="仿宋" w:cs="仿宋_GB2312"/>
          <w:b/>
          <w:color w:val="auto"/>
          <w:kern w:val="0"/>
          <w:sz w:val="30"/>
          <w:szCs w:val="30"/>
          <w:highlight w:val="none"/>
        </w:rPr>
        <w:t>、</w:t>
      </w:r>
      <w:bookmarkStart w:id="69" w:name="_Toc80205940"/>
      <w:r>
        <w:rPr>
          <w:rFonts w:hint="eastAsia" w:ascii="仿宋" w:hAnsi="仿宋" w:eastAsia="仿宋" w:cs="仿宋_GB2312"/>
          <w:b/>
          <w:color w:val="auto"/>
          <w:sz w:val="30"/>
          <w:szCs w:val="30"/>
          <w:highlight w:val="none"/>
        </w:rPr>
        <w:t>除谈判文件规定必须提供以外，供应商认为需要提供的其他证明材料</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宋体" w:hAnsi="宋体"/>
          <w:color w:val="auto"/>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日期：  年  月 </w:t>
      </w:r>
      <w:r>
        <w:rPr>
          <w:rFonts w:hint="eastAsia" w:ascii="仿宋_GB2312" w:hAnsi="仿宋" w:eastAsia="仿宋_GB2312" w:cs="仿宋_GB2312"/>
          <w:color w:val="auto"/>
          <w:kern w:val="0"/>
          <w:sz w:val="24"/>
          <w:highlight w:val="none"/>
          <w:lang w:val="en-US" w:eastAsia="zh-CN"/>
        </w:rPr>
        <w:t xml:space="preserve"> 日</w:t>
      </w:r>
      <w:r>
        <w:rPr>
          <w:rFonts w:hint="eastAsia" w:ascii="仿宋_GB2312" w:hAnsi="仿宋" w:eastAsia="仿宋_GB2312" w:cs="仿宋_GB2312"/>
          <w:color w:val="auto"/>
          <w:kern w:val="0"/>
          <w:sz w:val="24"/>
          <w:highlight w:val="none"/>
          <w:lang w:val="zh-CN"/>
        </w:rPr>
        <w:t xml:space="preserve">  </w:t>
      </w:r>
    </w:p>
    <w:p>
      <w:pPr>
        <w:pStyle w:val="4"/>
        <w:jc w:val="center"/>
        <w:rPr>
          <w:rFonts w:hint="eastAsia" w:ascii="宋体" w:hAnsi="宋体"/>
          <w:b w:val="0"/>
          <w:color w:val="auto"/>
          <w:highlight w:val="none"/>
        </w:rPr>
      </w:pPr>
      <w:r>
        <w:rPr>
          <w:rFonts w:hint="eastAsia" w:ascii="宋体" w:hAnsi="宋体"/>
          <w:b w:val="0"/>
          <w:bCs w:val="0"/>
          <w:color w:val="auto"/>
          <w:highlight w:val="none"/>
        </w:rPr>
        <w:t>第</w:t>
      </w:r>
      <w:r>
        <w:rPr>
          <w:rFonts w:hint="eastAsia" w:ascii="宋体" w:hAnsi="宋体"/>
          <w:b w:val="0"/>
          <w:bCs w:val="0"/>
          <w:color w:val="auto"/>
          <w:highlight w:val="none"/>
          <w:lang w:eastAsia="zh-CN"/>
        </w:rPr>
        <w:t>二</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69"/>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center"/>
        <w:rPr>
          <w:rFonts w:hint="eastAsia" w:ascii="仿宋_GB2312" w:hAnsi="仿宋" w:eastAsia="仿宋_GB2312" w:cs="仿宋_GB2312"/>
          <w:b/>
          <w:color w:val="auto"/>
          <w:kern w:val="0"/>
          <w:sz w:val="28"/>
          <w:szCs w:val="28"/>
          <w:highlight w:val="none"/>
        </w:rPr>
      </w:pPr>
      <w:r>
        <w:rPr>
          <w:rFonts w:ascii="宋体" w:hAnsi="宋体"/>
          <w:color w:val="auto"/>
          <w:sz w:val="24"/>
          <w:highlight w:val="none"/>
        </w:rPr>
        <w:br w:type="page"/>
      </w:r>
      <w:r>
        <w:rPr>
          <w:rFonts w:hint="eastAsia" w:ascii="仿宋_GB2312" w:hAnsi="仿宋" w:eastAsia="仿宋_GB2312" w:cs="仿宋_GB2312"/>
          <w:b/>
          <w:color w:val="auto"/>
          <w:kern w:val="0"/>
          <w:sz w:val="28"/>
          <w:szCs w:val="28"/>
          <w:highlight w:val="none"/>
        </w:rPr>
        <w:t>商务技术文件目录</w:t>
      </w:r>
    </w:p>
    <w:p>
      <w:pPr>
        <w:pStyle w:val="25"/>
        <w:spacing w:line="360" w:lineRule="auto"/>
        <w:rPr>
          <w:rFonts w:hint="eastAsia" w:cs="仿宋_GB2312"/>
          <w:color w:val="auto"/>
          <w:highlight w:val="none"/>
        </w:rPr>
      </w:pPr>
      <w:r>
        <w:rPr>
          <w:rFonts w:hint="eastAsia" w:cs="仿宋_GB2312"/>
          <w:color w:val="auto"/>
          <w:highlight w:val="none"/>
        </w:rPr>
        <w:t>一、无串标行为承诺函………………………………………………………（页码）</w:t>
      </w:r>
    </w:p>
    <w:p>
      <w:pPr>
        <w:pStyle w:val="25"/>
        <w:spacing w:line="360" w:lineRule="auto"/>
        <w:rPr>
          <w:rFonts w:hint="eastAsia" w:cs="仿宋_GB2312"/>
          <w:color w:val="auto"/>
          <w:spacing w:val="-11"/>
          <w:sz w:val="24"/>
          <w:highlight w:val="none"/>
        </w:rPr>
      </w:pPr>
      <w:r>
        <w:rPr>
          <w:rFonts w:hint="eastAsia" w:cs="仿宋_GB2312"/>
          <w:color w:val="auto"/>
          <w:highlight w:val="none"/>
        </w:rPr>
        <w:t>二、</w:t>
      </w:r>
      <w:r>
        <w:rPr>
          <w:rFonts w:hint="eastAsia" w:cs="仿宋_GB2312"/>
          <w:color w:val="auto"/>
          <w:spacing w:val="-11"/>
          <w:sz w:val="24"/>
          <w:highlight w:val="none"/>
        </w:rPr>
        <w:t>法定代表人身份证明及法定代表人有效身份证正反面</w:t>
      </w:r>
      <w:r>
        <w:rPr>
          <w:rFonts w:hint="eastAsia" w:cs="仿宋_GB2312"/>
          <w:color w:val="auto"/>
          <w:spacing w:val="-11"/>
          <w:sz w:val="24"/>
          <w:highlight w:val="none"/>
          <w:lang w:val="en-US" w:eastAsia="zh-CN"/>
        </w:rPr>
        <w:t>原件扫描件</w:t>
      </w:r>
      <w:r>
        <w:rPr>
          <w:rFonts w:hint="eastAsia" w:cs="仿宋_GB2312"/>
          <w:color w:val="auto"/>
          <w:spacing w:val="-11"/>
          <w:sz w:val="24"/>
          <w:highlight w:val="none"/>
        </w:rPr>
        <w:t>………（页码）</w:t>
      </w:r>
    </w:p>
    <w:p>
      <w:pPr>
        <w:pStyle w:val="25"/>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pPr>
        <w:pStyle w:val="25"/>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pPr>
        <w:pStyle w:val="25"/>
        <w:spacing w:line="360" w:lineRule="auto"/>
        <w:rPr>
          <w:rFonts w:hint="eastAsia" w:cs="仿宋_GB2312"/>
          <w:color w:val="auto"/>
          <w:highlight w:val="none"/>
        </w:rPr>
      </w:pPr>
      <w:bookmarkStart w:id="70" w:name="OLE_LINK7"/>
      <w:bookmarkStart w:id="71" w:name="OLE_LINK6"/>
      <w:bookmarkStart w:id="72"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pPr>
        <w:pStyle w:val="25"/>
        <w:spacing w:line="360" w:lineRule="auto"/>
        <w:rPr>
          <w:rFonts w:hint="eastAsia"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70"/>
      <w:bookmarkEnd w:id="71"/>
    </w:p>
    <w:bookmarkEnd w:id="72"/>
    <w:p>
      <w:pPr>
        <w:pStyle w:val="25"/>
        <w:spacing w:line="360" w:lineRule="auto"/>
        <w:rPr>
          <w:rFonts w:hint="eastAsia" w:cs="仿宋_GB2312"/>
          <w:color w:val="auto"/>
          <w:highlight w:val="none"/>
        </w:rPr>
      </w:pPr>
      <w:r>
        <w:rPr>
          <w:rFonts w:hint="eastAsia" w:cs="仿宋_GB2312"/>
          <w:color w:val="auto"/>
          <w:highlight w:val="none"/>
        </w:rPr>
        <w:t>七、货物需求偏离表…………………………………………………………（页码）</w:t>
      </w:r>
    </w:p>
    <w:p>
      <w:pPr>
        <w:pStyle w:val="25"/>
        <w:spacing w:line="360" w:lineRule="auto"/>
        <w:rPr>
          <w:rFonts w:hint="eastAsia" w:cs="仿宋_GB2312"/>
          <w:color w:val="auto"/>
          <w:highlight w:val="none"/>
        </w:rPr>
      </w:pPr>
      <w:r>
        <w:rPr>
          <w:rFonts w:hint="eastAsia" w:cs="仿宋_GB2312"/>
          <w:color w:val="auto"/>
          <w:highlight w:val="none"/>
        </w:rPr>
        <w:t>八、配置清单…………………………………………………………………（页码）</w:t>
      </w:r>
    </w:p>
    <w:p>
      <w:pPr>
        <w:pStyle w:val="25"/>
        <w:spacing w:line="360" w:lineRule="auto"/>
        <w:rPr>
          <w:rFonts w:hint="eastAsia" w:cs="仿宋_GB2312"/>
          <w:color w:val="auto"/>
          <w:highlight w:val="none"/>
        </w:rPr>
      </w:pPr>
      <w:r>
        <w:rPr>
          <w:rFonts w:hint="eastAsia" w:cs="仿宋_GB2312"/>
          <w:color w:val="auto"/>
          <w:highlight w:val="none"/>
        </w:rPr>
        <w:t>九、售后服务方案………………………………</w:t>
      </w:r>
      <w:r>
        <w:rPr>
          <w:rFonts w:hint="eastAsia" w:cs="仿宋_GB2312"/>
          <w:color w:val="auto"/>
          <w:highlight w:val="none"/>
          <w:lang w:val="zh-CN"/>
        </w:rPr>
        <w:t>………</w:t>
      </w:r>
      <w:r>
        <w:rPr>
          <w:rFonts w:hint="eastAsia" w:cs="仿宋_GB2312"/>
          <w:color w:val="auto"/>
          <w:highlight w:val="none"/>
        </w:rPr>
        <w:t>……………………（页码）</w:t>
      </w:r>
    </w:p>
    <w:p>
      <w:pPr>
        <w:pStyle w:val="25"/>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zh-CN"/>
        </w:rPr>
        <w:t>项目实施人员一览表（如有要求）…………………………</w:t>
      </w:r>
      <w:r>
        <w:rPr>
          <w:rFonts w:hint="eastAsia" w:cs="仿宋_GB2312"/>
          <w:color w:val="auto"/>
          <w:highlight w:val="none"/>
        </w:rPr>
        <w:t>…………（页码）</w:t>
      </w:r>
    </w:p>
    <w:p>
      <w:pPr>
        <w:pStyle w:val="25"/>
        <w:spacing w:line="360" w:lineRule="auto"/>
        <w:rPr>
          <w:rFonts w:hint="eastAsia" w:cs="仿宋_GB2312"/>
          <w:color w:val="auto"/>
          <w:highlight w:val="none"/>
        </w:rPr>
      </w:pPr>
      <w:r>
        <w:rPr>
          <w:rFonts w:hint="eastAsia" w:cs="仿宋_GB2312"/>
          <w:color w:val="auto"/>
          <w:highlight w:val="none"/>
        </w:rPr>
        <w:t>十一、货物需求、商务条款要求提供的其他材料</w:t>
      </w:r>
      <w:r>
        <w:rPr>
          <w:rFonts w:hint="eastAsia" w:cs="仿宋_GB2312"/>
          <w:color w:val="auto"/>
          <w:highlight w:val="none"/>
          <w:lang w:val="zh-CN"/>
        </w:rPr>
        <w:t>…………………</w:t>
      </w:r>
      <w:r>
        <w:rPr>
          <w:rFonts w:hint="eastAsia" w:cs="仿宋_GB2312"/>
          <w:color w:val="auto"/>
          <w:highlight w:val="none"/>
        </w:rPr>
        <w:t>………（页码）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pPr>
        <w:spacing w:line="52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contextualSpacing/>
        <w:rPr>
          <w:rFonts w:hint="eastAsia" w:ascii="仿宋_GB2312" w:hAnsi="仿宋_GB2312" w:eastAsia="仿宋_GB2312" w:cs="仿宋_GB2312"/>
          <w:color w:val="auto"/>
          <w:sz w:val="32"/>
          <w:szCs w:val="32"/>
          <w:highlight w:val="none"/>
        </w:rPr>
      </w:pP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spacing w:line="520" w:lineRule="exact"/>
        <w:ind w:firstLine="6360" w:firstLineChars="2650"/>
        <w:jc w:val="left"/>
        <w:rPr>
          <w:rFonts w:hint="eastAsia" w:ascii="方正小标宋简体" w:hAnsi="方正小标宋简体" w:eastAsia="仿宋" w:cs="方正小标宋简体"/>
          <w:bCs/>
          <w:color w:val="auto"/>
          <w:spacing w:val="-11"/>
          <w:sz w:val="44"/>
          <w:szCs w:val="44"/>
          <w:highlight w:val="none"/>
          <w:lang w:eastAsia="zh-CN"/>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w:t>
      </w:r>
      <w:r>
        <w:rPr>
          <w:rFonts w:hint="eastAsia" w:ascii="仿宋" w:hAnsi="仿宋" w:eastAsia="仿宋" w:cs="仿宋_GB2312"/>
          <w:b/>
          <w:color w:val="auto"/>
          <w:spacing w:val="-11"/>
          <w:sz w:val="30"/>
          <w:szCs w:val="30"/>
          <w:highlight w:val="none"/>
        </w:rPr>
        <w:t>法定代表人身份证明及法定代表人有效身份证正反面</w:t>
      </w:r>
      <w:r>
        <w:rPr>
          <w:rFonts w:hint="eastAsia" w:ascii="仿宋" w:hAnsi="仿宋" w:eastAsia="仿宋" w:cs="仿宋_GB2312"/>
          <w:b/>
          <w:color w:val="auto"/>
          <w:spacing w:val="-11"/>
          <w:sz w:val="30"/>
          <w:szCs w:val="30"/>
          <w:highlight w:val="none"/>
          <w:lang w:val="en-US" w:eastAsia="zh-CN"/>
        </w:rPr>
        <w:t>原件扫描件</w:t>
      </w: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附件：法定代表人有效身份证正反面</w:t>
      </w:r>
      <w:r>
        <w:rPr>
          <w:rFonts w:hint="eastAsia" w:ascii="宋体" w:hAnsi="宋体" w:cs="仿宋_GB2312"/>
          <w:color w:val="auto"/>
          <w:sz w:val="24"/>
          <w:highlight w:val="none"/>
          <w:lang w:val="en-US" w:eastAsia="zh-CN"/>
        </w:rPr>
        <w:t>原件扫描件</w:t>
      </w:r>
    </w:p>
    <w:p>
      <w:pPr>
        <w:spacing w:line="360" w:lineRule="auto"/>
        <w:ind w:left="540"/>
        <w:contextualSpacing/>
        <w:rPr>
          <w:rFonts w:hint="eastAsia" w:ascii="宋体" w:hAnsi="宋体" w:cs="仿宋_GB2312"/>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cols w:space="720" w:num="1"/>
        </w:sect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pPr>
              <w:spacing w:line="360" w:lineRule="auto"/>
              <w:rPr>
                <w:rFonts w:ascii="宋体"/>
                <w:b/>
                <w:color w:val="auto"/>
                <w:sz w:val="24"/>
                <w:highlight w:val="none"/>
              </w:rPr>
            </w:pPr>
          </w:p>
          <w:p>
            <w:pPr>
              <w:spacing w:line="360" w:lineRule="auto"/>
              <w:rPr>
                <w:rFonts w:ascii="宋体"/>
                <w:b/>
                <w:color w:val="auto"/>
                <w:sz w:val="24"/>
                <w:highlight w:val="none"/>
              </w:rPr>
            </w:pPr>
            <w:r>
              <w:rPr>
                <w:rFonts w:hint="eastAsia" w:ascii="宋体"/>
                <w:b/>
                <w:color w:val="auto"/>
                <w:sz w:val="24"/>
                <w:highlight w:val="none"/>
              </w:rPr>
              <w:t>法定代表身份证</w:t>
            </w:r>
            <w:r>
              <w:rPr>
                <w:rFonts w:hint="eastAsia" w:ascii="宋体"/>
                <w:b/>
                <w:color w:val="auto"/>
                <w:sz w:val="24"/>
                <w:highlight w:val="none"/>
                <w:lang w:val="en-US" w:eastAsia="zh-CN"/>
              </w:rPr>
              <w:t>原件扫描件</w:t>
            </w:r>
            <w:r>
              <w:rPr>
                <w:rFonts w:hint="eastAsia" w:ascii="宋体"/>
                <w:b/>
                <w:color w:val="auto"/>
                <w:sz w:val="24"/>
                <w:highlight w:val="none"/>
              </w:rPr>
              <w:t>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pPr>
        <w:adjustRightInd w:val="0"/>
        <w:snapToGrid w:val="0"/>
        <w:spacing w:line="300" w:lineRule="auto"/>
        <w:jc w:val="left"/>
        <w:rPr>
          <w:rFonts w:hint="eastAsia" w:ascii="宋体" w:hAnsi="宋体"/>
          <w:b/>
          <w:color w:val="auto"/>
          <w:szCs w:val="21"/>
          <w:highlight w:val="none"/>
        </w:rPr>
      </w:pPr>
    </w:p>
    <w:p>
      <w:pPr>
        <w:snapToGrid w:val="0"/>
        <w:spacing w:line="360" w:lineRule="auto"/>
        <w:ind w:firstLine="880" w:firstLineChars="200"/>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pacing w:line="360" w:lineRule="auto"/>
        <w:rPr>
          <w:rFonts w:hint="eastAsia"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color w:val="auto"/>
          <w:szCs w:val="21"/>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hint="eastAsia" w:ascii="仿宋_GB2312" w:hAnsi="仿宋_GB2312" w:eastAsia="仿宋_GB2312" w:cs="仿宋_GB2312"/>
          <w:color w:val="auto"/>
          <w:sz w:val="32"/>
          <w:szCs w:val="32"/>
          <w:highlight w:val="none"/>
        </w:rPr>
      </w:pP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pPr>
        <w:spacing w:line="360" w:lineRule="auto"/>
        <w:ind w:firstLine="3000" w:firstLineChars="125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rPr>
          <w:rFonts w:hint="eastAsia" w:ascii="宋体" w:hAnsi="宋体" w:cs="仿宋_GB2312"/>
          <w:color w:val="auto"/>
          <w:sz w:val="24"/>
          <w:highlight w:val="none"/>
        </w:rPr>
      </w:pPr>
    </w:p>
    <w:p>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pPr>
        <w:snapToGrid w:val="0"/>
        <w:spacing w:line="360" w:lineRule="auto"/>
        <w:ind w:firstLine="640" w:firstLineChars="200"/>
        <w:rPr>
          <w:rFonts w:hint="eastAsia" w:ascii="宋体" w:hAnsi="宋体"/>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商务条款偏离表（格式）</w:t>
      </w:r>
    </w:p>
    <w:p>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pPr>
        <w:pStyle w:val="11"/>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1"/>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1.说明：应对照谈判文件“第</w:t>
      </w:r>
      <w:r>
        <w:rPr>
          <w:rFonts w:hint="eastAsia" w:ascii="宋体" w:hAnsi="宋体" w:eastAsia="宋体" w:cs="仿宋_GB2312"/>
          <w:color w:val="auto"/>
          <w:sz w:val="24"/>
          <w:szCs w:val="24"/>
          <w:highlight w:val="none"/>
          <w:lang w:eastAsia="zh-CN"/>
        </w:rPr>
        <w:t>二</w:t>
      </w:r>
      <w:r>
        <w:rPr>
          <w:rFonts w:hint="eastAsia" w:ascii="宋体" w:hAnsi="宋体" w:eastAsia="宋体" w:cs="仿宋_GB2312"/>
          <w:color w:val="auto"/>
          <w:sz w:val="24"/>
          <w:szCs w:val="24"/>
          <w:highlight w:val="none"/>
        </w:rPr>
        <w:t>章 采购需求”中的</w:t>
      </w:r>
      <w:r>
        <w:rPr>
          <w:rFonts w:hint="eastAsia" w:ascii="宋体" w:hAnsi="宋体" w:eastAsia="宋体" w:cs="仿宋_GB2312"/>
          <w:color w:val="auto"/>
          <w:sz w:val="24"/>
          <w:szCs w:val="24"/>
          <w:highlight w:val="none"/>
          <w:lang w:eastAsia="zh-CN"/>
        </w:rPr>
        <w:t>商务条款</w:t>
      </w:r>
      <w:r>
        <w:rPr>
          <w:rFonts w:hint="eastAsia" w:ascii="宋体" w:hAnsi="宋体" w:eastAsia="宋体" w:cs="仿宋_GB2312"/>
          <w:color w:val="auto"/>
          <w:sz w:val="24"/>
          <w:szCs w:val="24"/>
          <w:highlight w:val="none"/>
        </w:rPr>
        <w:t>逐条作出明确响应，并作出偏离说明。</w:t>
      </w:r>
    </w:p>
    <w:p>
      <w:pPr>
        <w:pStyle w:val="11"/>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2.供应商应根据自身的承诺，对照谈判文件要求，在“偏离说明”中注明“正偏离”、“负偏离”或者“无偏离”。既不属于“正偏离”也不属于“负偏离”即为“无偏离”。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商务内容低于竞争性谈判采购文件要求时，竞标人应当如实写明“负偏离”，否则视为虚假应标</w:t>
      </w:r>
    </w:p>
    <w:p>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w:t>
      </w:r>
      <w:r>
        <w:rPr>
          <w:rFonts w:ascii="宋体" w:hAnsi="宋体" w:cs="仿宋_GB2312"/>
          <w:color w:val="auto"/>
          <w:kern w:val="0"/>
          <w:sz w:val="24"/>
          <w:highlight w:val="none"/>
        </w:rPr>
        <w:t>.</w:t>
      </w:r>
      <w:r>
        <w:rPr>
          <w:rFonts w:hint="eastAsia" w:ascii="宋体" w:hAnsi="宋体" w:cs="仿宋_GB2312"/>
          <w:color w:val="auto"/>
          <w:kern w:val="0"/>
          <w:sz w:val="24"/>
          <w:highlight w:val="none"/>
        </w:rPr>
        <w:t>表格内容均需按要求填写并盖章，不得留空，否则按竞标无效处理。</w:t>
      </w:r>
    </w:p>
    <w:p>
      <w:pPr>
        <w:pStyle w:val="14"/>
        <w:spacing w:line="400" w:lineRule="exact"/>
        <w:contextualSpacing/>
        <w:rPr>
          <w:rFonts w:hAnsi="宋体" w:cs="仿宋_GB2312"/>
          <w:color w:val="auto"/>
          <w:sz w:val="24"/>
          <w:szCs w:val="24"/>
          <w:highlight w:val="none"/>
        </w:rPr>
      </w:pPr>
      <w:r>
        <w:rPr>
          <w:rFonts w:hint="eastAsia" w:hAnsi="宋体" w:cs="仿宋_GB2312"/>
          <w:color w:val="auto"/>
          <w:sz w:val="24"/>
          <w:szCs w:val="24"/>
          <w:highlight w:val="none"/>
          <w:lang w:eastAsia="zh-CN"/>
        </w:rPr>
        <w:t>4</w:t>
      </w:r>
      <w:r>
        <w:rPr>
          <w:rFonts w:hAnsi="宋体" w:cs="仿宋_GB2312"/>
          <w:color w:val="auto"/>
          <w:sz w:val="24"/>
          <w:szCs w:val="24"/>
          <w:highlight w:val="none"/>
          <w:lang w:eastAsia="zh-CN"/>
        </w:rPr>
        <w:t>.</w:t>
      </w:r>
      <w:r>
        <w:rPr>
          <w:rFonts w:hint="eastAsia" w:hAnsi="宋体" w:cs="仿宋_GB2312"/>
          <w:color w:val="auto"/>
          <w:sz w:val="24"/>
          <w:szCs w:val="24"/>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宋体" w:hAnsi="宋体" w:cs="仿宋_GB2312"/>
          <w:color w:val="auto"/>
          <w:sz w:val="24"/>
          <w:highlight w:val="none"/>
        </w:rPr>
      </w:pPr>
    </w:p>
    <w:p>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pPr>
        <w:pStyle w:val="18"/>
        <w:snapToGrid w:val="0"/>
        <w:rPr>
          <w:rFonts w:hint="eastAsia" w:ascii="宋体" w:hAnsi="宋体"/>
          <w:color w:val="auto"/>
          <w:sz w:val="24"/>
          <w:highlight w:val="none"/>
        </w:rPr>
      </w:pPr>
    </w:p>
    <w:tbl>
      <w:tblPr>
        <w:tblStyle w:val="20"/>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bl>
    <w:p>
      <w:pPr>
        <w:pStyle w:val="18"/>
        <w:snapToGrid w:val="0"/>
        <w:ind w:left="0" w:leftChars="0" w:firstLine="0" w:firstLineChars="0"/>
        <w:rPr>
          <w:rFonts w:hint="eastAsia" w:ascii="宋体" w:hAnsi="宋体"/>
          <w:color w:val="auto"/>
          <w:sz w:val="24"/>
          <w:highlight w:val="none"/>
        </w:rPr>
      </w:pPr>
    </w:p>
    <w:p>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、用户验收报告、用户评价意见格式自拟）</w:t>
      </w:r>
    </w:p>
    <w:p>
      <w:pPr>
        <w:pStyle w:val="14"/>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w:t>
      </w:r>
      <w:r>
        <w:rPr>
          <w:rFonts w:hint="eastAsia" w:ascii="Times New Roman" w:hAnsi="Times New Roman"/>
          <w:color w:val="auto"/>
          <w:highlight w:val="none"/>
          <w:lang w:eastAsia="zh-CN"/>
        </w:rPr>
        <w:t>供应商</w:t>
      </w:r>
      <w:r>
        <w:rPr>
          <w:rFonts w:hint="eastAsia" w:ascii="Times New Roman" w:hAnsi="Times New Roman"/>
          <w:color w:val="auto"/>
          <w:highlight w:val="none"/>
        </w:rPr>
        <w:t>可按上述的格式自行编制，须随表提交相应的合同复印件和用户单位验收证明并注明所在供应商商务技术文件页码。</w:t>
      </w:r>
    </w:p>
    <w:p>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pPr>
        <w:snapToGrid w:val="0"/>
        <w:spacing w:line="360" w:lineRule="auto"/>
        <w:ind w:firstLine="4935" w:firstLineChars="2350"/>
        <w:rPr>
          <w:rFonts w:hint="eastAsia" w:hAnsi="宋体"/>
          <w:color w:val="auto"/>
          <w:szCs w:val="21"/>
          <w:highlight w:val="none"/>
        </w:rPr>
      </w:pPr>
    </w:p>
    <w:p>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七、货物需求偏离表</w:t>
      </w:r>
    </w:p>
    <w:p>
      <w:pPr>
        <w:spacing w:line="500" w:lineRule="exact"/>
        <w:jc w:val="center"/>
        <w:rPr>
          <w:rFonts w:hint="eastAsia" w:ascii="仿宋_GB2312" w:hAnsi="仿宋_GB2312" w:eastAsia="仿宋_GB2312" w:cs="仿宋_GB2312"/>
          <w:color w:val="auto"/>
          <w:sz w:val="32"/>
          <w:szCs w:val="32"/>
          <w:highlight w:val="none"/>
        </w:rPr>
      </w:pPr>
    </w:p>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货物需求偏离表</w:t>
      </w:r>
    </w:p>
    <w:p>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pPr>
        <w:spacing w:line="360" w:lineRule="auto"/>
        <w:contextualSpacing/>
        <w:jc w:val="left"/>
        <w:rPr>
          <w:rFonts w:hint="eastAsia" w:ascii="宋体" w:hAnsi="宋体"/>
          <w:color w:val="auto"/>
          <w:sz w:val="24"/>
          <w:highlight w:val="none"/>
        </w:rPr>
      </w:pPr>
    </w:p>
    <w:p>
      <w:pPr>
        <w:pStyle w:val="14"/>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pPr>
        <w:pStyle w:val="9"/>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1.说明：应对照谈判文件“第</w:t>
      </w:r>
      <w:r>
        <w:rPr>
          <w:rFonts w:hint="eastAsia" w:ascii="宋体" w:hAnsi="宋体" w:cs="仿宋_GB2312"/>
          <w:color w:val="auto"/>
          <w:kern w:val="0"/>
          <w:sz w:val="21"/>
          <w:szCs w:val="21"/>
          <w:highlight w:val="none"/>
          <w:lang w:eastAsia="zh-CN"/>
        </w:rPr>
        <w:t>二</w:t>
      </w:r>
      <w:r>
        <w:rPr>
          <w:rFonts w:hint="eastAsia" w:ascii="宋体" w:hAnsi="宋体" w:cs="仿宋_GB2312"/>
          <w:color w:val="auto"/>
          <w:kern w:val="0"/>
          <w:sz w:val="21"/>
          <w:szCs w:val="21"/>
          <w:highlight w:val="none"/>
        </w:rPr>
        <w:t>章”中</w:t>
      </w:r>
      <w:r>
        <w:rPr>
          <w:rFonts w:hint="eastAsia" w:ascii="宋体" w:hAnsi="宋体" w:cs="仿宋_GB2312"/>
          <w:color w:val="auto"/>
          <w:kern w:val="0"/>
          <w:sz w:val="21"/>
          <w:szCs w:val="21"/>
          <w:highlight w:val="none"/>
          <w:lang w:eastAsia="zh-CN"/>
        </w:rPr>
        <w:t>“货物需求一览表”</w:t>
      </w:r>
      <w:r>
        <w:rPr>
          <w:rFonts w:hint="eastAsia" w:ascii="宋体" w:hAnsi="宋体" w:cs="仿宋_GB2312"/>
          <w:color w:val="auto"/>
          <w:kern w:val="0"/>
          <w:sz w:val="21"/>
          <w:szCs w:val="21"/>
          <w:highlight w:val="none"/>
        </w:rPr>
        <w:t>的采购清单及技术参数条款逐条作出明确响应，并作出偏离说明。</w:t>
      </w:r>
    </w:p>
    <w:p>
      <w:pPr>
        <w:pStyle w:val="11"/>
        <w:spacing w:line="400" w:lineRule="exact"/>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表格内容均需按要求填写并盖章，不得留空，否则按竞标无效处理。</w:t>
      </w:r>
    </w:p>
    <w:p>
      <w:pPr>
        <w:pStyle w:val="14"/>
        <w:spacing w:line="400" w:lineRule="exact"/>
        <w:contextualSpacing/>
        <w:rPr>
          <w:rFonts w:hint="eastAsia" w:hAnsi="宋体" w:cs="仿宋_GB2312"/>
          <w:color w:val="auto"/>
          <w:sz w:val="21"/>
          <w:highlight w:val="none"/>
        </w:rPr>
      </w:pPr>
      <w:r>
        <w:rPr>
          <w:rFonts w:hint="eastAsia" w:hAnsi="宋体" w:cs="仿宋_GB2312"/>
          <w:color w:val="auto"/>
          <w:sz w:val="21"/>
          <w:highlight w:val="none"/>
          <w:lang w:eastAsia="zh-CN"/>
        </w:rPr>
        <w:t>4</w:t>
      </w:r>
      <w:r>
        <w:rPr>
          <w:rFonts w:hAnsi="宋体" w:cs="仿宋_GB2312"/>
          <w:color w:val="auto"/>
          <w:sz w:val="21"/>
          <w:highlight w:val="none"/>
          <w:lang w:eastAsia="zh-CN"/>
        </w:rPr>
        <w:t>.</w:t>
      </w:r>
      <w:r>
        <w:rPr>
          <w:rFonts w:hint="eastAsia" w:hAnsi="宋体" w:cs="仿宋_GB2312"/>
          <w:color w:val="auto"/>
          <w:sz w:val="21"/>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pStyle w:val="11"/>
        <w:spacing w:line="360" w:lineRule="auto"/>
        <w:ind w:firstLine="0" w:firstLineChars="0"/>
        <w:contextualSpacing/>
        <w:rPr>
          <w:rFonts w:hint="eastAsia" w:ascii="宋体" w:hAnsi="宋体" w:cs="仿宋_GB2312"/>
          <w:color w:val="auto"/>
          <w:sz w:val="24"/>
          <w:highlight w:val="none"/>
        </w:rPr>
      </w:pPr>
      <w:r>
        <w:rPr>
          <w:rFonts w:hint="eastAsia" w:ascii="宋体" w:hAnsi="宋体" w:eastAsia="宋体" w:cs="仿宋_GB2312"/>
          <w:color w:val="auto"/>
          <w:sz w:val="21"/>
          <w:szCs w:val="21"/>
          <w:highlight w:val="none"/>
        </w:rPr>
        <w:t>5</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 xml:space="preserve"> 如技术偏离表中的竞标响应与佐证材料不一致的，以佐证材料为准。</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八、配置清单</w:t>
      </w:r>
    </w:p>
    <w:p>
      <w:pPr>
        <w:spacing w:line="500" w:lineRule="exact"/>
        <w:jc w:val="center"/>
        <w:rPr>
          <w:rFonts w:ascii="仿宋_GB2312" w:hAnsi="仿宋_GB2312" w:eastAsia="仿宋_GB2312" w:cs="仿宋_GB2312"/>
          <w:color w:val="auto"/>
          <w:sz w:val="32"/>
          <w:szCs w:val="32"/>
          <w:highlight w:val="none"/>
        </w:rPr>
      </w:pPr>
    </w:p>
    <w:p>
      <w:pP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pPr>
        <w:spacing w:line="300" w:lineRule="auto"/>
        <w:rPr>
          <w:rFonts w:hint="eastAsia" w:ascii="宋体" w:hAnsi="宋体"/>
          <w:color w:val="auto"/>
          <w:szCs w:val="21"/>
          <w:highlight w:val="none"/>
        </w:rPr>
      </w:pPr>
    </w:p>
    <w:p>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bl>
    <w:p>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货物名称、数量及单位、品牌必须与“货物需求一览表”一致，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pPr>
        <w:adjustRightInd w:val="0"/>
        <w:spacing w:line="360" w:lineRule="auto"/>
        <w:contextualSpacing/>
        <w:jc w:val="left"/>
        <w:rPr>
          <w:rFonts w:hint="eastAsia" w:ascii="宋体" w:hAnsi="宋体" w:cs="仿宋_GB2312"/>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500" w:lineRule="exact"/>
        <w:rPr>
          <w:rFonts w:hint="eastAsia" w:ascii="仿宋_GB2312" w:hAnsi="仿宋_GB2312" w:eastAsia="仿宋_GB2312" w:cs="仿宋_GB2312"/>
          <w:color w:val="auto"/>
          <w:sz w:val="32"/>
          <w:szCs w:val="32"/>
          <w:highlight w:val="none"/>
        </w:rPr>
      </w:pPr>
    </w:p>
    <w:p>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九、售后服务方案</w:t>
      </w:r>
    </w:p>
    <w:p>
      <w:pPr>
        <w:snapToGrid w:val="0"/>
        <w:spacing w:before="120" w:beforeLines="50" w:after="50"/>
        <w:ind w:left="143" w:leftChars="68" w:firstLine="420" w:firstLineChars="200"/>
        <w:rPr>
          <w:rFonts w:hint="eastAsia" w:hAnsi="宋体"/>
          <w:color w:val="auto"/>
          <w:highlight w:val="none"/>
        </w:rPr>
      </w:pPr>
      <w:r>
        <w:rPr>
          <w:rFonts w:hint="eastAsia" w:hAnsi="宋体"/>
          <w:color w:val="auto"/>
          <w:highlight w:val="none"/>
        </w:rPr>
        <w:t>由竞标人按本项目竞争性谈判采购文件第二章“货物需求一览表”中商务条款部分的售后服务要求自行填写，其中要包含售后服务承诺书。</w:t>
      </w:r>
    </w:p>
    <w:p>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货物技术人员数量</w:t>
            </w:r>
          </w:p>
        </w:tc>
        <w:tc>
          <w:tcPr>
            <w:tcW w:w="126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注：关于项目涉及的所有售后服务机构均在本表注明，包括供应商本单位和符合条件的第三方货物机构；</w:t>
      </w:r>
    </w:p>
    <w:p>
      <w:pPr>
        <w:autoSpaceDE w:val="0"/>
        <w:autoSpaceDN w:val="0"/>
        <w:spacing w:line="360" w:lineRule="auto"/>
        <w:rPr>
          <w:rFonts w:hint="eastAsia" w:ascii="仿宋_GB2312" w:hAnsi="仿宋" w:eastAsia="仿宋_GB2312" w:cs="仿宋_GB2312"/>
          <w:color w:val="auto"/>
          <w:kern w:val="0"/>
          <w:sz w:val="24"/>
          <w:highlight w:val="none"/>
        </w:rPr>
      </w:pPr>
    </w:p>
    <w:p>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0"/>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pStyle w:val="14"/>
        <w:spacing w:line="440" w:lineRule="exact"/>
        <w:ind w:firstLine="396" w:firstLineChars="198"/>
        <w:rPr>
          <w:rFonts w:hAnsi="宋体"/>
          <w:color w:val="auto"/>
          <w:highlight w:val="none"/>
        </w:rPr>
      </w:pPr>
    </w:p>
    <w:p>
      <w:pPr>
        <w:spacing w:line="500" w:lineRule="exact"/>
        <w:rPr>
          <w:rFonts w:hint="eastAsia" w:ascii="仿宋_GB2312" w:hAnsi="仿宋_GB2312" w:eastAsia="仿宋_GB2312" w:cs="仿宋_GB2312"/>
          <w:color w:val="auto"/>
          <w:sz w:val="32"/>
          <w:szCs w:val="32"/>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十、项目实施人员一览表（如有要求）</w:t>
      </w:r>
    </w:p>
    <w:p>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pPr>
        <w:pStyle w:val="14"/>
        <w:rPr>
          <w:rFonts w:hint="eastAsia"/>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分标：</w:t>
      </w:r>
      <w:r>
        <w:rPr>
          <w:rFonts w:hint="eastAsia"/>
          <w:color w:val="auto"/>
          <w:sz w:val="24"/>
          <w:szCs w:val="24"/>
          <w:highlight w:val="none"/>
          <w:u w:val="single"/>
        </w:rPr>
        <w:t xml:space="preserve">     </w:t>
      </w:r>
      <w:r>
        <w:rPr>
          <w:rFonts w:hint="eastAsia"/>
          <w:color w:val="auto"/>
          <w:sz w:val="24"/>
          <w:szCs w:val="24"/>
          <w:highlight w:val="none"/>
        </w:rPr>
        <w:t>分标</w:t>
      </w:r>
    </w:p>
    <w:p>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并注明所在响应技术文件页码。</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并注明所在响应技术文件页码。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firstLine="6505" w:firstLineChars="2700"/>
        <w:rPr>
          <w:rFonts w:ascii="仿宋_GB2312" w:hAnsi="仿宋" w:eastAsia="仿宋_GB2312" w:cs="仿宋_GB2312"/>
          <w:b/>
          <w:bCs/>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pacing w:line="500" w:lineRule="exact"/>
        <w:rPr>
          <w:rFonts w:hint="eastAsia" w:ascii="仿宋_GB2312" w:hAnsi="仿宋_GB2312" w:eastAsia="仿宋_GB2312" w:cs="仿宋_GB2312"/>
          <w:color w:val="auto"/>
          <w:sz w:val="32"/>
          <w:szCs w:val="32"/>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十一、货物需求、商务条款要求提供的其他材料</w:t>
      </w:r>
    </w:p>
    <w:p>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p>
    <w:p>
      <w:pPr>
        <w:spacing w:line="500" w:lineRule="exact"/>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pPr>
        <w:adjustRightInd w:val="0"/>
        <w:snapToGrid w:val="0"/>
        <w:spacing w:line="300" w:lineRule="auto"/>
        <w:rPr>
          <w:rFonts w:hint="eastAsia" w:ascii="宋体" w:hAnsi="宋体"/>
          <w:color w:val="auto"/>
          <w:szCs w:val="21"/>
          <w:highlight w:val="none"/>
          <w:u w:val="single"/>
        </w:rPr>
      </w:pPr>
    </w:p>
    <w:p>
      <w:pPr>
        <w:pStyle w:val="4"/>
        <w:jc w:val="center"/>
        <w:rPr>
          <w:rFonts w:hint="eastAsia" w:ascii="宋体" w:hAnsi="宋体"/>
          <w:color w:val="auto"/>
          <w:highlight w:val="none"/>
          <w:lang w:val="en-US" w:eastAsia="zh-CN"/>
        </w:rPr>
      </w:pPr>
      <w:bookmarkStart w:id="73" w:name="_Toc80205941"/>
      <w:r>
        <w:rPr>
          <w:rFonts w:hint="eastAsia" w:ascii="宋体" w:hAnsi="宋体"/>
          <w:color w:val="auto"/>
          <w:highlight w:val="none"/>
          <w:lang w:val="en-US" w:eastAsia="zh-CN"/>
        </w:rPr>
        <w:t>第三节 报价文件格式</w:t>
      </w:r>
      <w:bookmarkEnd w:id="73"/>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pPr>
        <w:rPr>
          <w:rFonts w:hint="eastAsia" w:ascii="宋体" w:hAnsi="宋体" w:cs="宋体"/>
          <w:color w:val="auto"/>
          <w:highlight w:val="none"/>
        </w:rPr>
      </w:pPr>
    </w:p>
    <w:p>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pStyle w:val="14"/>
        <w:spacing w:line="500" w:lineRule="exact"/>
        <w:ind w:firstLine="480" w:firstLineChars="200"/>
        <w:rPr>
          <w:rFonts w:hAnsi="宋体" w:cs="仿宋_GB2312"/>
          <w:color w:val="auto"/>
          <w:sz w:val="24"/>
          <w:highlight w:val="none"/>
        </w:rPr>
      </w:pPr>
      <w:r>
        <w:rPr>
          <w:rFonts w:hAnsi="宋体" w:cs="仿宋_GB2312"/>
          <w:color w:val="auto"/>
          <w:sz w:val="24"/>
          <w:highlight w:val="none"/>
        </w:rPr>
        <w:br w:type="page"/>
      </w:r>
      <w:r>
        <w:rPr>
          <w:rFonts w:hint="eastAsia" w:ascii="仿宋" w:hAnsi="仿宋" w:eastAsia="仿宋" w:cs="仿宋_GB2312"/>
          <w:b/>
          <w:color w:val="auto"/>
          <w:kern w:val="2"/>
          <w:sz w:val="30"/>
          <w:szCs w:val="30"/>
          <w:highlight w:val="none"/>
          <w:lang w:val="en-US" w:eastAsia="zh-CN"/>
        </w:rPr>
        <w:t>一、响应函</w:t>
      </w:r>
    </w:p>
    <w:p>
      <w:pPr>
        <w:pStyle w:val="14"/>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pPr>
        <w:pStyle w:val="14"/>
        <w:spacing w:line="500" w:lineRule="exact"/>
        <w:rPr>
          <w:rFonts w:ascii="Times New Roman" w:hAnsi="Times New Roman"/>
          <w:color w:val="auto"/>
          <w:sz w:val="32"/>
          <w:highlight w:val="none"/>
        </w:rPr>
      </w:pP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项目的竞标，为便于贵方公正、择优地确定成交供应商及其竞标产品和货物，我方就本次竞标有关事项郑重声明如下：</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有效的</w:t>
      </w:r>
      <w:r>
        <w:rPr>
          <w:rFonts w:hint="eastAsia" w:ascii="宋体" w:hAnsi="宋体" w:cs="宋体"/>
          <w:color w:val="auto"/>
          <w:szCs w:val="21"/>
          <w:highlight w:val="none"/>
        </w:rPr>
        <w:t>和真实的。</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(4)响应谈判文件规定的竞标有效期。</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14"/>
        <w:spacing w:line="360" w:lineRule="auto"/>
        <w:ind w:firstLine="400" w:firstLineChars="200"/>
        <w:contextualSpacing/>
        <w:rPr>
          <w:rFonts w:hint="eastAsia" w:hAnsi="宋体" w:cs="宋体"/>
          <w:color w:val="auto"/>
          <w:highlight w:val="none"/>
        </w:rPr>
      </w:pPr>
      <w:r>
        <w:rPr>
          <w:rFonts w:hint="eastAsia" w:hAnsi="宋体" w:cs="宋体"/>
          <w:color w:val="auto"/>
          <w:highlight w:val="none"/>
          <w:lang w:eastAsia="zh-CN"/>
        </w:rPr>
        <w:t>7</w:t>
      </w:r>
      <w:r>
        <w:rPr>
          <w:rFonts w:hint="eastAsia" w:hAnsi="宋体" w:cs="宋体"/>
          <w:color w:val="auto"/>
          <w:highlight w:val="none"/>
        </w:rPr>
        <w:t>.以上事项如有虚假或者隐瞒，我方愿意承担一切后果，并不再寻求任何旨在减轻或者免除法律责任的辩解。</w:t>
      </w:r>
    </w:p>
    <w:p>
      <w:pPr>
        <w:pStyle w:val="14"/>
        <w:spacing w:line="360" w:lineRule="auto"/>
        <w:ind w:firstLine="420"/>
        <w:rPr>
          <w:rFonts w:hint="eastAsia"/>
          <w:color w:val="auto"/>
          <w:highlight w:val="none"/>
        </w:rPr>
      </w:pPr>
      <w:r>
        <w:rPr>
          <w:rFonts w:hint="eastAsia" w:hAnsi="宋体" w:cs="宋体"/>
          <w:color w:val="auto"/>
          <w:sz w:val="21"/>
          <w:highlight w:val="none"/>
          <w:lang w:eastAsia="zh-CN"/>
        </w:rPr>
        <w:t>8</w:t>
      </w:r>
      <w:r>
        <w:rPr>
          <w:rFonts w:hint="eastAsia" w:hAnsi="宋体" w:cs="宋体"/>
          <w:color w:val="auto"/>
          <w:sz w:val="21"/>
          <w:highlight w:val="none"/>
        </w:rPr>
        <w:t>.与本谈判有关的一切正式往来信函请寄</w:t>
      </w:r>
      <w:r>
        <w:rPr>
          <w:rFonts w:hint="eastAsia"/>
          <w:color w:val="auto"/>
          <w:highlight w:val="none"/>
        </w:rPr>
        <w:t>：</w:t>
      </w:r>
      <w:r>
        <w:rPr>
          <w:rFonts w:hint="eastAsia"/>
          <w:color w:val="auto"/>
          <w:highlight w:val="none"/>
          <w:u w:val="single"/>
        </w:rPr>
        <w:t xml:space="preserve"> </w:t>
      </w:r>
    </w:p>
    <w:p>
      <w:pPr>
        <w:pStyle w:val="14"/>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pPr>
        <w:pStyle w:val="14"/>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pPr>
        <w:pStyle w:val="14"/>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pPr>
        <w:pStyle w:val="14"/>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pPr>
        <w:pStyle w:val="14"/>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pPr>
        <w:pStyle w:val="14"/>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pPr>
        <w:pStyle w:val="14"/>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pPr>
        <w:pStyle w:val="12"/>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60" w:lineRule="auto"/>
        <w:contextualSpacing/>
        <w:jc w:val="left"/>
        <w:rPr>
          <w:rFonts w:hint="eastAsia" w:ascii="宋体" w:hAnsi="宋体" w:cs="宋体"/>
          <w:color w:val="auto"/>
          <w:szCs w:val="21"/>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14"/>
        <w:spacing w:line="360" w:lineRule="auto"/>
        <w:ind w:firstLine="420"/>
        <w:rPr>
          <w:color w:val="auto"/>
          <w:highlight w:val="none"/>
        </w:rPr>
      </w:pPr>
    </w:p>
    <w:p>
      <w:pPr>
        <w:spacing w:line="520" w:lineRule="exact"/>
        <w:ind w:firstLine="420" w:firstLineChars="200"/>
        <w:rPr>
          <w:color w:val="auto"/>
          <w:highlight w:val="none"/>
        </w:rPr>
        <w:sectPr>
          <w:pgSz w:w="11910" w:h="16840"/>
          <w:pgMar w:top="1340" w:right="1500" w:bottom="280" w:left="1680" w:header="720" w:footer="720" w:gutter="0"/>
          <w:cols w:space="720" w:num="1"/>
        </w:sectPr>
      </w:pPr>
    </w:p>
    <w:p>
      <w:pPr>
        <w:pStyle w:val="14"/>
        <w:spacing w:line="500" w:lineRule="exact"/>
        <w:ind w:firstLine="602" w:firstLineChars="200"/>
        <w:rPr>
          <w:rFonts w:hint="eastAsia" w:ascii="仿宋" w:hAnsi="仿宋" w:eastAsia="仿宋" w:cs="仿宋_GB2312"/>
          <w:b/>
          <w:color w:val="auto"/>
          <w:kern w:val="2"/>
          <w:sz w:val="30"/>
          <w:szCs w:val="30"/>
          <w:highlight w:val="none"/>
          <w:lang w:val="en-US" w:eastAsia="zh-CN"/>
        </w:rPr>
      </w:pPr>
      <w:r>
        <w:rPr>
          <w:rFonts w:hint="eastAsia" w:ascii="仿宋" w:hAnsi="仿宋" w:eastAsia="仿宋" w:cs="仿宋_GB2312"/>
          <w:b/>
          <w:color w:val="auto"/>
          <w:kern w:val="2"/>
          <w:sz w:val="30"/>
          <w:szCs w:val="30"/>
          <w:highlight w:val="none"/>
          <w:lang w:val="en-US" w:eastAsia="zh-CN"/>
        </w:rPr>
        <w:t xml:space="preserve">二、响应报价表 </w:t>
      </w:r>
    </w:p>
    <w:p>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pPr>
        <w:snapToGrid w:val="0"/>
        <w:spacing w:before="50" w:after="50" w:line="360" w:lineRule="auto"/>
        <w:rPr>
          <w:rFonts w:hint="eastAsia" w:ascii="宋体" w:hAnsi="宋体"/>
          <w:color w:val="auto"/>
          <w:sz w:val="24"/>
          <w:highlight w:val="none"/>
          <w:u w:val="single"/>
        </w:rPr>
      </w:pPr>
      <w:r>
        <w:rPr>
          <w:rFonts w:hint="eastAsia" w:hAnsi="宋体"/>
          <w:color w:val="auto"/>
          <w:sz w:val="24"/>
          <w:highlight w:val="none"/>
        </w:rPr>
        <w:t>供应商名称：</w:t>
      </w:r>
      <w:r>
        <w:rPr>
          <w:rFonts w:hint="eastAsia" w:hAnsi="宋体"/>
          <w:color w:val="auto"/>
          <w:sz w:val="24"/>
          <w:highlight w:val="none"/>
          <w:u w:val="single"/>
        </w:rPr>
        <w:t xml:space="preserve">                     </w:t>
      </w:r>
      <w:r>
        <w:rPr>
          <w:rFonts w:hint="eastAsia" w:hAnsi="宋体"/>
          <w:color w:val="auto"/>
          <w:sz w:val="24"/>
          <w:highlight w:val="none"/>
        </w:rPr>
        <w:t xml:space="preserve">  </w:t>
      </w:r>
      <w:r>
        <w:rPr>
          <w:rFonts w:hint="eastAsia" w:ascii="宋体" w:hAnsi="宋体" w:cs="仿宋_GB2312"/>
          <w:color w:val="auto"/>
          <w:sz w:val="24"/>
          <w:highlight w:val="none"/>
        </w:rPr>
        <w:t xml:space="preserve">                    </w:t>
      </w:r>
    </w:p>
    <w:tbl>
      <w:tblPr>
        <w:tblStyle w:val="2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货物名称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具体货物内容</w:t>
            </w:r>
          </w:p>
          <w:p>
            <w:pPr>
              <w:pStyle w:val="2"/>
              <w:ind w:left="0" w:leftChars="0" w:firstLine="0" w:firstLineChars="0"/>
              <w:rPr>
                <w:color w:val="auto"/>
                <w:highlight w:val="none"/>
              </w:rPr>
            </w:pPr>
            <w:r>
              <w:rPr>
                <w:rFonts w:hint="eastAsia" w:ascii="宋体" w:hAnsi="宋体"/>
                <w:color w:val="auto"/>
                <w:szCs w:val="22"/>
                <w:highlight w:val="none"/>
                <w:lang w:eastAsia="zh-CN"/>
              </w:rPr>
              <w:t>（</w:t>
            </w:r>
            <w:r>
              <w:rPr>
                <w:rFonts w:hint="eastAsia" w:ascii="宋体" w:hAnsi="宋体"/>
                <w:color w:val="auto"/>
                <w:szCs w:val="22"/>
                <w:highlight w:val="none"/>
                <w:lang w:val="en-US" w:eastAsia="zh-CN"/>
              </w:rPr>
              <w:t>品牌、型号、参数</w:t>
            </w:r>
            <w:r>
              <w:rPr>
                <w:rFonts w:hint="eastAsia" w:ascii="宋体" w:hAnsi="宋体"/>
                <w:color w:val="auto"/>
                <w:szCs w:val="22"/>
                <w:highlight w:val="none"/>
                <w:lang w:eastAsia="zh-CN"/>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单项合价（元）</w:t>
            </w:r>
          </w:p>
          <w:p>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olor w:val="auto"/>
                <w:szCs w:val="22"/>
                <w:highlight w:val="none"/>
              </w:rPr>
            </w:pPr>
            <w:r>
              <w:rPr>
                <w:rFonts w:hint="eastAsia" w:ascii="宋体" w:hAnsi="宋体"/>
                <w:color w:val="auto"/>
                <w:szCs w:val="22"/>
                <w:highlight w:val="none"/>
              </w:rPr>
              <w:t>货物要求（年限）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ascii="宋体" w:hAnsi="宋体"/>
                <w:color w:val="auto"/>
                <w:szCs w:val="22"/>
                <w:highlight w:val="none"/>
              </w:rPr>
              <w:t xml:space="preserve">                </w:t>
            </w:r>
            <w:r>
              <w:rPr>
                <w:rFonts w:hint="eastAsia" w:ascii="宋体" w:hAnsi="宋体"/>
                <w:color w:val="auto"/>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2"/>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Cs w:val="22"/>
                <w:highlight w:val="none"/>
              </w:rPr>
            </w:pPr>
            <w:r>
              <w:rPr>
                <w:rFonts w:hint="eastAsia" w:ascii="宋体" w:hAnsi="宋体"/>
                <w:color w:val="auto"/>
                <w:szCs w:val="22"/>
                <w:highlight w:val="none"/>
              </w:rPr>
              <w:t>优惠及其它：</w:t>
            </w:r>
          </w:p>
        </w:tc>
      </w:tr>
    </w:tbl>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否则其响应作无效响应处理。</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3、以上表格要求细分项目及报价，在“具体货物内容”一栏中，填写具体货物，</w:t>
      </w:r>
      <w:r>
        <w:rPr>
          <w:rFonts w:hint="eastAsia" w:ascii="仿宋_GB2312" w:hAnsi="仿宋" w:eastAsia="仿宋_GB2312" w:cs="仿宋_GB2312"/>
          <w:b/>
          <w:color w:val="auto"/>
          <w:kern w:val="0"/>
          <w:sz w:val="24"/>
          <w:highlight w:val="none"/>
          <w:lang w:val="zh-CN"/>
        </w:rPr>
        <w:t>否则其响应作无效响应处理。</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4、特别提示：采购机构将对项目名称和项目编号，成交供应商名称、地址和成交金额，主要成交标的的名称、规格型号、数量、单价、货物要求等予以公示。</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pacing w:line="360" w:lineRule="auto"/>
        <w:ind w:right="-817" w:rightChars="-389" w:firstLine="5461" w:firstLineChars="1700"/>
        <w:contextualSpacing/>
        <w:rPr>
          <w:rFonts w:hint="eastAsia" w:ascii="仿宋_GB2312" w:hAnsi="仿宋_GB2312" w:eastAsia="仿宋_GB2312" w:cs="仿宋_GB2312"/>
          <w:b/>
          <w:color w:val="auto"/>
          <w:sz w:val="32"/>
          <w:szCs w:val="32"/>
          <w:highlight w:val="none"/>
        </w:rPr>
      </w:pPr>
    </w:p>
    <w:p>
      <w:pPr>
        <w:pStyle w:val="14"/>
        <w:spacing w:line="500" w:lineRule="exact"/>
        <w:ind w:firstLine="602" w:firstLineChars="200"/>
        <w:rPr>
          <w:rFonts w:hint="eastAsia" w:ascii="仿宋" w:hAnsi="仿宋" w:eastAsia="仿宋" w:cs="仿宋_GB2312"/>
          <w:b/>
          <w:color w:val="auto"/>
          <w:kern w:val="2"/>
          <w:sz w:val="30"/>
          <w:szCs w:val="30"/>
          <w:highlight w:val="none"/>
          <w:lang w:val="en-US" w:eastAsia="zh-CN"/>
        </w:rPr>
      </w:pPr>
      <w:r>
        <w:rPr>
          <w:rFonts w:hint="eastAsia" w:ascii="仿宋" w:hAnsi="仿宋" w:eastAsia="仿宋" w:cs="仿宋_GB2312"/>
          <w:b/>
          <w:color w:val="auto"/>
          <w:kern w:val="2"/>
          <w:sz w:val="30"/>
          <w:szCs w:val="30"/>
          <w:highlight w:val="none"/>
          <w:lang w:val="en-US" w:eastAsia="zh-CN"/>
        </w:rPr>
        <w:t>三、中小企业声明函</w:t>
      </w:r>
    </w:p>
    <w:p>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44"/>
          <w:szCs w:val="44"/>
          <w:highlight w:val="none"/>
        </w:rPr>
        <w:t>货物</w:t>
      </w:r>
      <w:r>
        <w:rPr>
          <w:rFonts w:ascii="方正小标宋简体" w:hAnsi="方正小标宋简体" w:eastAsia="方正小标宋简体" w:cs="方正小标宋简体"/>
          <w:color w:val="auto"/>
          <w:sz w:val="44"/>
          <w:szCs w:val="44"/>
          <w:highlight w:val="none"/>
        </w:rPr>
        <w:t>）</w:t>
      </w:r>
    </w:p>
    <w:p>
      <w:pPr>
        <w:pStyle w:val="10"/>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pPr>
        <w:pStyle w:val="10"/>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pPr>
        <w:pStyle w:val="10"/>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10"/>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10"/>
        <w:spacing w:after="0" w:line="360" w:lineRule="auto"/>
        <w:ind w:left="3960" w:right="1808"/>
        <w:contextualSpacing/>
        <w:rPr>
          <w:rFonts w:hint="eastAsia" w:ascii="宋体" w:hAnsi="宋体"/>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10"/>
        <w:spacing w:after="0" w:line="360" w:lineRule="auto"/>
        <w:ind w:left="3960" w:right="1808"/>
        <w:contextualSpacing/>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color w:val="auto"/>
          <w:sz w:val="24"/>
          <w:highlight w:val="none"/>
          <w:lang w:eastAsia="zh-CN"/>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仿宋_GB2312"/>
          <w:color w:val="auto"/>
          <w:sz w:val="24"/>
          <w:highlight w:val="none"/>
          <w:lang w:eastAsia="zh-CN"/>
        </w:rPr>
        <w:sectPr>
          <w:pgSz w:w="11906" w:h="16838"/>
          <w:pgMar w:top="1134" w:right="1134" w:bottom="1134" w:left="1134" w:header="720" w:footer="720" w:gutter="0"/>
          <w:cols w:space="720" w:num="1"/>
          <w:docGrid w:type="lines" w:linePitch="331" w:charSpace="0"/>
        </w:sectPr>
      </w:pPr>
      <w:r>
        <w:rPr>
          <w:rFonts w:hint="eastAsia" w:ascii="宋体" w:hAnsi="宋体" w:cs="仿宋_GB2312"/>
          <w:color w:val="auto"/>
          <w:sz w:val="24"/>
          <w:highlight w:val="none"/>
        </w:rPr>
        <w:t>2、请根据自己的真实情况出具《中小企业声明函》</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zh-CN" w:eastAsia="zh-CN"/>
        </w:rPr>
        <w:t>按本表格式填写，不得自行更改</w:t>
      </w:r>
      <w:r>
        <w:rPr>
          <w:rFonts w:hint="eastAsia" w:ascii="宋体" w:hAnsi="宋体" w:cs="仿宋_GB2312"/>
          <w:color w:val="auto"/>
          <w:sz w:val="24"/>
          <w:highlight w:val="none"/>
        </w:rPr>
        <w:t>。依法享受中小企业优惠政策的，采购人、采购代理机构应当随成交结果公开成交供应商的《中小企业声明函》，接受社会监督</w:t>
      </w:r>
      <w:r>
        <w:rPr>
          <w:rFonts w:hint="eastAsia" w:ascii="宋体" w:hAnsi="宋体" w:cs="仿宋_GB2312"/>
          <w:color w:val="auto"/>
          <w:sz w:val="24"/>
          <w:highlight w:val="none"/>
          <w:lang w:eastAsia="zh-CN"/>
        </w:rPr>
        <w:t>。</w:t>
      </w:r>
    </w:p>
    <w:p>
      <w:pPr>
        <w:pStyle w:val="4"/>
        <w:jc w:val="center"/>
        <w:rPr>
          <w:rFonts w:ascii="宋体" w:hAnsi="宋体"/>
          <w:b w:val="0"/>
          <w:color w:val="auto"/>
          <w:highlight w:val="none"/>
        </w:rPr>
      </w:pPr>
      <w:bookmarkStart w:id="74" w:name="_Toc80205942"/>
      <w:r>
        <w:rPr>
          <w:rFonts w:hint="eastAsia" w:ascii="宋体" w:hAnsi="宋体"/>
          <w:color w:val="auto"/>
          <w:highlight w:val="none"/>
          <w:lang w:val="en-US" w:eastAsia="zh-CN"/>
        </w:rPr>
        <w:t>第四节 其他文书、文件格式</w:t>
      </w:r>
      <w:bookmarkEnd w:id="74"/>
    </w:p>
    <w:p>
      <w:pPr>
        <w:spacing w:line="320" w:lineRule="exact"/>
        <w:jc w:val="center"/>
        <w:rPr>
          <w:rFonts w:hint="eastAsia" w:ascii="宋体" w:hAnsi="宋体" w:eastAsia="宋体" w:cs="Times New Roman"/>
          <w:b/>
          <w:color w:val="auto"/>
          <w:sz w:val="32"/>
          <w:szCs w:val="32"/>
          <w:highlight w:val="none"/>
          <w:lang w:val="en"/>
        </w:rPr>
      </w:pPr>
      <w:r>
        <w:rPr>
          <w:rFonts w:hint="eastAsia" w:ascii="宋体" w:hAnsi="宋体" w:eastAsia="宋体" w:cs="Times New Roman"/>
          <w:b/>
          <w:color w:val="auto"/>
          <w:sz w:val="32"/>
          <w:szCs w:val="32"/>
          <w:highlight w:val="none"/>
          <w:lang w:val="en"/>
        </w:rPr>
        <w:t>知识产权合规性声明</w:t>
      </w:r>
    </w:p>
    <w:p>
      <w:pPr>
        <w:spacing w:line="24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pPr>
        <w:spacing w:line="360" w:lineRule="auto"/>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val="en-US" w:eastAsia="zh-CN"/>
        </w:rPr>
        <w:t xml:space="preserve">             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 xml:space="preserve">          </w:t>
      </w: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p>
    <w:p>
      <w:pPr>
        <w:autoSpaceDE w:val="0"/>
        <w:autoSpaceDN w:val="0"/>
        <w:spacing w:line="360" w:lineRule="auto"/>
        <w:ind w:left="4276" w:leftChars="1950" w:hanging="181" w:hangingChars="100"/>
        <w:rPr>
          <w:rFonts w:ascii="仿宋_GB2312" w:hAnsi="仿宋" w:eastAsia="仿宋_GB2312" w:cs="仿宋_GB2312"/>
          <w:color w:val="auto"/>
          <w:kern w:val="0"/>
          <w:sz w:val="24"/>
          <w:highlight w:val="none"/>
        </w:rPr>
      </w:pPr>
      <w:r>
        <w:rPr>
          <w:rFonts w:hint="eastAsia" w:ascii="Times New Roman" w:hAnsi="Times New Roman" w:eastAsia="宋体" w:cs="Times New Roman"/>
          <w:b/>
          <w:color w:val="auto"/>
          <w:sz w:val="18"/>
          <w:szCs w:val="18"/>
          <w:highlight w:val="none"/>
        </w:rPr>
        <w:t xml:space="preserve">      </w:t>
      </w: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lang w:val="zh-CN"/>
        </w:rPr>
      </w:pPr>
    </w:p>
    <w:p>
      <w:pPr>
        <w:spacing w:line="520" w:lineRule="exact"/>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rFonts w:ascii="宋体" w:hAnsi="宋体" w:cs="仿宋_GB2312"/>
          <w:color w:val="auto"/>
          <w:sz w:val="24"/>
          <w:highlight w:val="none"/>
        </w:rPr>
      </w:pPr>
    </w:p>
    <w:p>
      <w:pPr>
        <w:rPr>
          <w:rFonts w:ascii="宋体" w:hAnsi="宋体" w:cs="仿宋_GB2312"/>
          <w:color w:val="auto"/>
          <w:sz w:val="24"/>
          <w:highlight w:val="none"/>
        </w:rPr>
      </w:pPr>
    </w:p>
    <w:p>
      <w:pPr>
        <w:pStyle w:val="2"/>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pStyle w:val="3"/>
        <w:jc w:val="center"/>
        <w:rPr>
          <w:rFonts w:hint="eastAsia" w:ascii="仿宋_GB2312" w:hAnsi="楷体" w:eastAsia="仿宋_GB2312"/>
          <w:color w:val="auto"/>
          <w:sz w:val="24"/>
          <w:highlight w:val="none"/>
          <w:u w:val="single"/>
        </w:rPr>
      </w:pPr>
      <w:bookmarkStart w:id="75" w:name="_Toc80205943"/>
      <w:r>
        <w:rPr>
          <w:rFonts w:hint="eastAsia" w:ascii="宋体" w:hAnsi="宋体"/>
          <w:b w:val="0"/>
          <w:bCs w:val="0"/>
          <w:color w:val="auto"/>
          <w:highlight w:val="none"/>
        </w:rPr>
        <w:t xml:space="preserve">第六章 </w:t>
      </w:r>
      <w:r>
        <w:rPr>
          <w:rFonts w:ascii="宋体" w:hAnsi="宋体"/>
          <w:b w:val="0"/>
          <w:bCs w:val="0"/>
          <w:color w:val="auto"/>
          <w:highlight w:val="none"/>
        </w:rPr>
        <w:t xml:space="preserve"> </w:t>
      </w:r>
      <w:r>
        <w:rPr>
          <w:rFonts w:hint="eastAsia" w:ascii="宋体" w:hAnsi="宋体"/>
          <w:b w:val="0"/>
          <w:bCs w:val="0"/>
          <w:color w:val="auto"/>
          <w:highlight w:val="none"/>
        </w:rPr>
        <w:t>合同文本</w:t>
      </w:r>
      <w:bookmarkEnd w:id="75"/>
      <w:r>
        <w:rPr>
          <w:rFonts w:ascii="宋体" w:hAnsi="宋体"/>
          <w:b w:val="0"/>
          <w:bCs w:val="0"/>
          <w:color w:val="auto"/>
          <w:highlight w:val="none"/>
        </w:rPr>
        <w:br w:type="page"/>
      </w:r>
    </w:p>
    <w:p>
      <w:pPr>
        <w:spacing w:line="360" w:lineRule="auto"/>
        <w:rPr>
          <w:rFonts w:hint="eastAsia" w:ascii="宋体" w:hAnsi="宋体"/>
          <w:b/>
          <w:bCs/>
          <w:color w:val="auto"/>
          <w:highlight w:val="none"/>
        </w:rPr>
      </w:pPr>
      <w:r>
        <w:rPr>
          <w:rFonts w:hint="eastAsia" w:ascii="仿宋_GB2312" w:hAnsi="楷体" w:eastAsia="仿宋_GB2312"/>
          <w:color w:val="auto"/>
          <w:sz w:val="24"/>
          <w:highlight w:val="none"/>
        </w:rPr>
        <w:t>“政采云”平台合同编号：</w:t>
      </w:r>
    </w:p>
    <w:p>
      <w:pPr>
        <w:spacing w:line="360" w:lineRule="auto"/>
        <w:jc w:val="center"/>
        <w:rPr>
          <w:rFonts w:hint="eastAsia" w:ascii="宋体"/>
          <w:b/>
          <w:bCs/>
          <w:color w:val="auto"/>
          <w:sz w:val="52"/>
          <w:highlight w:val="none"/>
        </w:rPr>
      </w:pPr>
      <w:r>
        <w:rPr>
          <w:rFonts w:hint="eastAsia" w:ascii="宋体"/>
          <w:b/>
          <w:bCs/>
          <w:color w:val="auto"/>
          <w:sz w:val="52"/>
          <w:highlight w:val="none"/>
        </w:rPr>
        <w:t>南宁市</w:t>
      </w:r>
      <w:r>
        <w:rPr>
          <w:rFonts w:hint="eastAsia" w:ascii="宋体"/>
          <w:b/>
          <w:bCs/>
          <w:color w:val="auto"/>
          <w:sz w:val="52"/>
          <w:highlight w:val="none"/>
          <w:lang w:eastAsia="zh-CN"/>
        </w:rPr>
        <w:t>江南区</w:t>
      </w:r>
      <w:r>
        <w:rPr>
          <w:rFonts w:hint="eastAsia" w:ascii="宋体"/>
          <w:b/>
          <w:bCs/>
          <w:color w:val="auto"/>
          <w:sz w:val="52"/>
          <w:highlight w:val="none"/>
        </w:rPr>
        <w:t>政府采购</w:t>
      </w:r>
    </w:p>
    <w:p>
      <w:pPr>
        <w:spacing w:line="360" w:lineRule="auto"/>
        <w:ind w:firstLine="420" w:firstLineChars="200"/>
        <w:rPr>
          <w:rFonts w:hint="eastAsia" w:ascii="宋体"/>
          <w:color w:val="auto"/>
          <w:highlight w:val="none"/>
        </w:rPr>
      </w:pPr>
    </w:p>
    <w:p>
      <w:pPr>
        <w:spacing w:line="360" w:lineRule="auto"/>
        <w:ind w:firstLine="420" w:firstLineChars="200"/>
        <w:rPr>
          <w:rFonts w:hint="eastAsia" w:ascii="宋体"/>
          <w:color w:val="auto"/>
          <w:highlight w:val="none"/>
        </w:rPr>
      </w:pPr>
      <w:r>
        <w:rPr>
          <w:rFonts w:hint="eastAsia" w:ascii="宋体"/>
          <w:color w:val="auto"/>
          <w:highlight w:val="none"/>
        </w:rPr>
        <w:t xml:space="preserve">                                                 </w:t>
      </w:r>
    </w:p>
    <w:p>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（项目名称）         </w:t>
      </w:r>
      <w:r>
        <w:rPr>
          <w:rFonts w:hint="eastAsia" w:ascii="宋体"/>
          <w:b/>
          <w:bCs/>
          <w:color w:val="auto"/>
          <w:sz w:val="44"/>
          <w:highlight w:val="none"/>
        </w:rPr>
        <w:t>合同</w:t>
      </w:r>
    </w:p>
    <w:p>
      <w:pPr>
        <w:spacing w:line="360" w:lineRule="auto"/>
        <w:jc w:val="center"/>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pPr>
        <w:ind w:firstLine="1308" w:firstLineChars="545"/>
        <w:rPr>
          <w:rFonts w:hint="eastAsia" w:ascii="宋体" w:hAnsi="宋体" w:cs="宋体"/>
          <w:color w:val="auto"/>
          <w:sz w:val="24"/>
          <w:highlight w:val="non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p>
    <w:p>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pPr>
        <w:tabs>
          <w:tab w:val="left" w:pos="7380"/>
        </w:tabs>
        <w:spacing w:line="360" w:lineRule="auto"/>
        <w:rPr>
          <w:rFonts w:hint="eastAsia" w:ascii="宋体"/>
          <w:b/>
          <w:bCs/>
          <w:color w:val="auto"/>
          <w:sz w:val="44"/>
          <w:highlight w:val="none"/>
        </w:rPr>
      </w:pPr>
    </w:p>
    <w:p>
      <w:pPr>
        <w:snapToGrid w:val="0"/>
        <w:spacing w:line="360" w:lineRule="auto"/>
        <w:jc w:val="center"/>
        <w:rPr>
          <w:rFonts w:hint="eastAsia" w:ascii="宋体"/>
          <w:b/>
          <w:bCs/>
          <w:color w:val="auto"/>
          <w:sz w:val="44"/>
          <w:highlight w:val="none"/>
        </w:rPr>
      </w:pPr>
    </w:p>
    <w:p>
      <w:pPr>
        <w:tabs>
          <w:tab w:val="left" w:pos="7380"/>
        </w:tabs>
        <w:spacing w:line="360" w:lineRule="auto"/>
        <w:jc w:val="center"/>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pPr>
        <w:snapToGrid w:val="0"/>
        <w:spacing w:line="360" w:lineRule="auto"/>
        <w:jc w:val="center"/>
        <w:rPr>
          <w:rFonts w:hint="eastAsia" w:ascii="宋体"/>
          <w:b/>
          <w:bCs/>
          <w:color w:val="auto"/>
          <w:sz w:val="4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4.2采购文件货物需求一览表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4.6响应货物技术资料表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pPr>
        <w:snapToGrid w:val="0"/>
        <w:spacing w:line="360" w:lineRule="auto"/>
        <w:rPr>
          <w:rFonts w:hint="eastAsia" w:ascii="仿宋_GB2312" w:hAnsi="仿宋" w:eastAsia="仿宋_GB2312" w:cs="仿宋_GB2312"/>
          <w:color w:val="auto"/>
          <w:kern w:val="0"/>
          <w:sz w:val="24"/>
          <w:highlight w:val="none"/>
        </w:rPr>
      </w:pPr>
    </w:p>
    <w:p>
      <w:pPr>
        <w:pStyle w:val="11"/>
        <w:ind w:firstLine="1126"/>
        <w:rPr>
          <w:color w:val="auto"/>
          <w:highlight w:val="none"/>
        </w:rPr>
        <w:sectPr>
          <w:pgSz w:w="11906" w:h="16838"/>
          <w:pgMar w:top="1134" w:right="1134" w:bottom="1134" w:left="1134" w:header="720" w:footer="720" w:gutter="0"/>
          <w:cols w:space="720" w:num="1"/>
          <w:docGrid w:type="lines" w:linePitch="331" w:charSpace="0"/>
        </w:sectPr>
      </w:pPr>
    </w:p>
    <w:p>
      <w:pPr>
        <w:pStyle w:val="26"/>
        <w:spacing w:after="0"/>
        <w:ind w:firstLine="562"/>
        <w:jc w:val="center"/>
        <w:outlineLvl w:val="1"/>
        <w:rPr>
          <w:rFonts w:hint="eastAsia" w:ascii="仿宋_GB2312" w:hAnsi="楷体" w:eastAsia="仿宋_GB2312"/>
          <w:b/>
          <w:color w:val="auto"/>
          <w:sz w:val="28"/>
          <w:szCs w:val="28"/>
          <w:highlight w:val="none"/>
        </w:rPr>
      </w:pPr>
      <w:bookmarkStart w:id="76" w:name="_Toc80205944"/>
      <w:r>
        <w:rPr>
          <w:rFonts w:hint="eastAsia" w:ascii="仿宋_GB2312" w:hAnsi="楷体" w:eastAsia="仿宋_GB2312"/>
          <w:b/>
          <w:color w:val="auto"/>
          <w:sz w:val="28"/>
          <w:szCs w:val="28"/>
          <w:highlight w:val="none"/>
        </w:rPr>
        <w:t>第一部分 合同书</w:t>
      </w:r>
      <w:bookmarkEnd w:id="7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（采购人名称）  </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竞争性谈判方式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r>
        <w:rPr>
          <w:rFonts w:hint="eastAsia" w:ascii="仿宋_GB2312" w:hAnsi="楷体" w:eastAsia="仿宋_GB2312"/>
          <w:color w:val="auto"/>
          <w:sz w:val="24"/>
          <w:highlight w:val="none"/>
        </w:rPr>
        <w:t>（时限根据项目情况而定，不得超过25日）</w:t>
      </w:r>
      <w:r>
        <w:rPr>
          <w:rFonts w:hint="eastAsia" w:ascii="仿宋_GB2312" w:hAnsi="楷体" w:eastAsia="仿宋_GB2312"/>
          <w:color w:val="auto"/>
          <w:sz w:val="24"/>
          <w:highlight w:val="none"/>
        </w:rPr>
        <w:t>内，按照采购文件确定的事项签订本合同。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pPr>
        <w:spacing w:line="360" w:lineRule="auto"/>
        <w:ind w:firstLine="482" w:firstLineChars="200"/>
        <w:rPr>
          <w:rFonts w:hint="eastAsia" w:ascii="仿宋_GB2312" w:hAnsi="楷体" w:eastAsia="仿宋_GB2312"/>
          <w:b/>
          <w:color w:val="auto"/>
          <w:sz w:val="24"/>
          <w:highlight w:val="none"/>
        </w:rPr>
      </w:pPr>
      <w:bookmarkStart w:id="77" w:name="_Toc24059"/>
      <w:bookmarkStart w:id="78" w:name="_Toc3029"/>
      <w:bookmarkStart w:id="79" w:name="_Toc2232"/>
      <w:r>
        <w:rPr>
          <w:rFonts w:hint="eastAsia" w:ascii="仿宋_GB2312" w:hAnsi="楷体" w:eastAsia="仿宋_GB2312"/>
          <w:b/>
          <w:color w:val="auto"/>
          <w:sz w:val="24"/>
          <w:highlight w:val="none"/>
        </w:rPr>
        <w:t>1.1 合同组成部分</w:t>
      </w:r>
      <w:bookmarkEnd w:id="77"/>
      <w:bookmarkEnd w:id="78"/>
      <w:bookmarkEnd w:id="7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pPr>
        <w:spacing w:line="360" w:lineRule="auto"/>
        <w:ind w:firstLine="482" w:firstLineChars="200"/>
        <w:rPr>
          <w:rFonts w:hint="eastAsia" w:ascii="仿宋_GB2312" w:hAnsi="楷体" w:eastAsia="仿宋_GB2312"/>
          <w:b/>
          <w:color w:val="auto"/>
          <w:sz w:val="24"/>
          <w:highlight w:val="none"/>
        </w:rPr>
      </w:pPr>
      <w:bookmarkStart w:id="80" w:name="_Toc21295"/>
      <w:bookmarkStart w:id="81" w:name="_Toc24300"/>
      <w:bookmarkStart w:id="82" w:name="_Toc27126"/>
      <w:r>
        <w:rPr>
          <w:rFonts w:hint="eastAsia" w:ascii="仿宋_GB2312" w:hAnsi="楷体" w:eastAsia="仿宋_GB2312"/>
          <w:b/>
          <w:color w:val="auto"/>
          <w:sz w:val="24"/>
          <w:highlight w:val="none"/>
        </w:rPr>
        <w:t>1.2 标的物</w:t>
      </w:r>
      <w:bookmarkEnd w:id="80"/>
      <w:bookmarkEnd w:id="81"/>
      <w:bookmarkEnd w:id="8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83" w:name="_Toc23292"/>
      <w:bookmarkStart w:id="84" w:name="_Toc21631"/>
      <w:bookmarkStart w:id="85" w:name="_Toc21551"/>
      <w:r>
        <w:rPr>
          <w:rFonts w:hint="eastAsia" w:ascii="仿宋_GB2312" w:hAnsi="楷体" w:eastAsia="仿宋_GB2312"/>
          <w:b/>
          <w:color w:val="auto"/>
          <w:sz w:val="24"/>
          <w:highlight w:val="none"/>
        </w:rPr>
        <w:t>1.3 价款</w:t>
      </w:r>
      <w:bookmarkEnd w:id="83"/>
      <w:bookmarkEnd w:id="84"/>
      <w:bookmarkEnd w:id="85"/>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bl>
    <w:p>
      <w:pPr>
        <w:spacing w:line="360" w:lineRule="auto"/>
        <w:ind w:firstLine="482" w:firstLineChars="200"/>
        <w:rPr>
          <w:rFonts w:hint="eastAsia" w:ascii="仿宋_GB2312" w:hAnsi="楷体" w:eastAsia="仿宋_GB2312"/>
          <w:b/>
          <w:color w:val="auto"/>
          <w:sz w:val="24"/>
          <w:highlight w:val="none"/>
        </w:rPr>
      </w:pPr>
      <w:bookmarkStart w:id="86" w:name="_Toc10340"/>
      <w:bookmarkStart w:id="87" w:name="_Toc1814"/>
      <w:bookmarkStart w:id="88" w:name="_Toc22618"/>
      <w:r>
        <w:rPr>
          <w:rFonts w:hint="eastAsia" w:ascii="仿宋_GB2312" w:hAnsi="楷体" w:eastAsia="仿宋_GB2312"/>
          <w:b/>
          <w:color w:val="auto"/>
          <w:sz w:val="24"/>
          <w:highlight w:val="none"/>
        </w:rPr>
        <w:t>1.4 付款方式和发票开具方式</w:t>
      </w:r>
      <w:bookmarkEnd w:id="86"/>
      <w:bookmarkEnd w:id="87"/>
      <w:bookmarkEnd w:id="8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89" w:name="_Toc2846"/>
      <w:bookmarkStart w:id="90" w:name="_Toc32071"/>
      <w:bookmarkStart w:id="91" w:name="_Toc19304"/>
      <w:r>
        <w:rPr>
          <w:rFonts w:hint="eastAsia" w:ascii="仿宋_GB2312" w:hAnsi="楷体" w:eastAsia="仿宋_GB2312"/>
          <w:b/>
          <w:color w:val="auto"/>
          <w:sz w:val="24"/>
          <w:highlight w:val="none"/>
        </w:rPr>
        <w:t>1.5 标的物交付期限、地点、方式</w:t>
      </w:r>
      <w:bookmarkEnd w:id="89"/>
      <w:bookmarkEnd w:id="90"/>
      <w:bookmarkEnd w:id="91"/>
      <w:r>
        <w:rPr>
          <w:rFonts w:hint="eastAsia" w:ascii="仿宋_GB2312" w:hAnsi="楷体" w:eastAsia="仿宋_GB2312"/>
          <w:b/>
          <w:color w:val="auto"/>
          <w:sz w:val="24"/>
          <w:highlight w:val="none"/>
        </w:rPr>
        <w:t>和货物期限</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 xml:space="preserve"> 货物及质保期限：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92" w:name="_Toc27250"/>
      <w:bookmarkStart w:id="93" w:name="_Toc19554"/>
      <w:bookmarkStart w:id="94" w:name="_Toc21423"/>
      <w:r>
        <w:rPr>
          <w:rFonts w:hint="eastAsia" w:ascii="仿宋_GB2312" w:hAnsi="楷体" w:eastAsia="仿宋_GB2312"/>
          <w:b/>
          <w:color w:val="auto"/>
          <w:sz w:val="24"/>
          <w:highlight w:val="none"/>
        </w:rPr>
        <w:t>1.6 违约责任</w:t>
      </w:r>
      <w:bookmarkEnd w:id="92"/>
      <w:bookmarkEnd w:id="93"/>
      <w:bookmarkEnd w:id="94"/>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rPr>
        <w:t>（根据项目实际填写，一般为20%）</w:t>
      </w:r>
      <w:r>
        <w:rPr>
          <w:rFonts w:hint="eastAsia" w:ascii="仿宋_GB2312" w:hAnsi="楷体" w:eastAsia="仿宋_GB2312"/>
          <w:color w:val="auto"/>
          <w:sz w:val="24"/>
          <w:highlight w:val="none"/>
        </w:rPr>
        <w:t xml:space="preserve">；迟延超过【 </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rPr>
        <w:t>（根据项目实际填写，一般为20%）</w:t>
      </w:r>
      <w:r>
        <w:rPr>
          <w:rFonts w:hint="eastAsia" w:ascii="仿宋_GB2312" w:hAnsi="楷体" w:eastAsia="仿宋_GB2312"/>
          <w:color w:val="auto"/>
          <w:sz w:val="24"/>
          <w:highlight w:val="none"/>
        </w:rPr>
        <w:t>向甲方支付违约金；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rPr>
        <w:t>（根据项目实际填写，一般为20%）</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w:t>
      </w:r>
      <w:r>
        <w:rPr>
          <w:rFonts w:hint="eastAsia" w:ascii="仿宋" w:hAnsi="仿宋" w:eastAsia="仿宋" w:cs="仿宋"/>
          <w:color w:val="auto"/>
          <w:sz w:val="24"/>
          <w:highlight w:val="none"/>
        </w:rPr>
        <w:t>乙方在质保期内未按承诺提供售后等货物的，每发生一次向甲方支付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_GB2312" w:hAnsi="楷体" w:eastAsia="仿宋_GB2312"/>
          <w:color w:val="auto"/>
          <w:sz w:val="24"/>
          <w:highlight w:val="none"/>
        </w:rPr>
        <w:t>（根据项目实际填写，一般为2000元）</w:t>
      </w:r>
      <w:r>
        <w:rPr>
          <w:rFonts w:hint="eastAsia" w:ascii="仿宋" w:hAnsi="仿宋" w:eastAsia="仿宋" w:cs="仿宋"/>
          <w:color w:val="auto"/>
          <w:sz w:val="24"/>
          <w:highlight w:val="none"/>
        </w:rPr>
        <w:t>的违约金。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仿宋_GB2312" w:hAnsi="楷体" w:eastAsia="仿宋_GB2312"/>
          <w:b/>
          <w:color w:val="auto"/>
          <w:sz w:val="24"/>
          <w:highlight w:val="none"/>
        </w:rPr>
      </w:pPr>
      <w:bookmarkStart w:id="95" w:name="_Toc16021"/>
      <w:bookmarkStart w:id="96" w:name="_Toc28375"/>
      <w:bookmarkStart w:id="97" w:name="_Toc15583"/>
      <w:r>
        <w:rPr>
          <w:rFonts w:hint="eastAsia" w:ascii="仿宋_GB2312" w:hAnsi="楷体" w:eastAsia="仿宋_GB2312"/>
          <w:b/>
          <w:color w:val="auto"/>
          <w:sz w:val="24"/>
          <w:highlight w:val="none"/>
        </w:rPr>
        <w:t>1.7 合同争议的解决</w:t>
      </w:r>
      <w:bookmarkEnd w:id="95"/>
      <w:bookmarkEnd w:id="96"/>
      <w:bookmarkEnd w:id="9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人民法院起诉。</w:t>
      </w:r>
    </w:p>
    <w:p>
      <w:pPr>
        <w:spacing w:line="360" w:lineRule="auto"/>
        <w:ind w:firstLine="482" w:firstLineChars="200"/>
        <w:rPr>
          <w:rFonts w:hint="eastAsia" w:ascii="仿宋_GB2312" w:hAnsi="楷体" w:eastAsia="仿宋_GB2312"/>
          <w:b/>
          <w:color w:val="auto"/>
          <w:sz w:val="24"/>
          <w:highlight w:val="none"/>
        </w:rPr>
      </w:pPr>
      <w:bookmarkStart w:id="98" w:name="_Toc11173"/>
      <w:bookmarkStart w:id="99" w:name="_Toc15322"/>
      <w:bookmarkStart w:id="100" w:name="_Toc7245"/>
      <w:r>
        <w:rPr>
          <w:rFonts w:hint="eastAsia" w:ascii="仿宋_GB2312" w:hAnsi="楷体" w:eastAsia="仿宋_GB2312"/>
          <w:b/>
          <w:color w:val="auto"/>
          <w:sz w:val="24"/>
          <w:highlight w:val="none"/>
        </w:rPr>
        <w:t>1.8 合同生效</w:t>
      </w:r>
      <w:bookmarkEnd w:id="98"/>
      <w:bookmarkEnd w:id="99"/>
      <w:bookmarkEnd w:id="100"/>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pPr>
        <w:spacing w:line="360" w:lineRule="auto"/>
        <w:ind w:firstLine="200"/>
        <w:rPr>
          <w:rFonts w:hint="eastAsia" w:ascii="仿宋_GB2312" w:hAnsi="楷体" w:eastAsia="仿宋_GB2312"/>
          <w:color w:val="auto"/>
          <w:sz w:val="24"/>
          <w:highlight w:val="none"/>
          <w:lang w:val="zh-CN"/>
        </w:rPr>
      </w:pP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pPr>
        <w:tabs>
          <w:tab w:val="left" w:pos="7380"/>
        </w:tabs>
        <w:spacing w:line="360" w:lineRule="auto"/>
        <w:jc w:val="left"/>
        <w:rPr>
          <w:rFonts w:hint="eastAsia" w:ascii="仿宋_GB2312" w:hAnsi="楷体" w:eastAsia="仿宋_GB2312"/>
          <w:color w:val="auto"/>
          <w:sz w:val="24"/>
          <w:highlight w:val="none"/>
          <w:lang w:val="zh-CN"/>
        </w:rPr>
      </w:pPr>
      <w:bookmarkStart w:id="101" w:name="_Toc331685783"/>
    </w:p>
    <w:p>
      <w:pPr>
        <w:tabs>
          <w:tab w:val="left" w:pos="7380"/>
        </w:tabs>
        <w:spacing w:line="360" w:lineRule="auto"/>
        <w:jc w:val="left"/>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pStyle w:val="26"/>
        <w:spacing w:after="0"/>
        <w:ind w:firstLine="482"/>
        <w:jc w:val="center"/>
        <w:outlineLvl w:val="1"/>
        <w:rPr>
          <w:rFonts w:hint="eastAsia" w:ascii="仿宋_GB2312" w:hAnsi="楷体" w:eastAsia="仿宋_GB2312"/>
          <w:b/>
          <w:color w:val="auto"/>
          <w:highlight w:val="none"/>
        </w:rPr>
      </w:pPr>
    </w:p>
    <w:p>
      <w:pPr>
        <w:pStyle w:val="26"/>
        <w:spacing w:after="0"/>
        <w:ind w:firstLine="482"/>
        <w:jc w:val="center"/>
        <w:outlineLvl w:val="1"/>
        <w:rPr>
          <w:rFonts w:hint="eastAsia" w:ascii="仿宋_GB2312" w:hAnsi="楷体" w:eastAsia="仿宋_GB2312"/>
          <w:b/>
          <w:color w:val="auto"/>
          <w:highlight w:val="none"/>
        </w:rPr>
      </w:pPr>
    </w:p>
    <w:p>
      <w:pPr>
        <w:pStyle w:val="26"/>
        <w:spacing w:after="0"/>
        <w:ind w:left="0" w:leftChars="0" w:firstLine="0" w:firstLineChars="0"/>
        <w:jc w:val="center"/>
        <w:outlineLvl w:val="1"/>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02" w:name="_Toc80205945"/>
      <w:r>
        <w:rPr>
          <w:rFonts w:hint="eastAsia" w:ascii="仿宋_GB2312" w:hAnsi="楷体" w:eastAsia="仿宋_GB2312"/>
          <w:b/>
          <w:color w:val="auto"/>
          <w:sz w:val="28"/>
          <w:szCs w:val="28"/>
          <w:highlight w:val="none"/>
        </w:rPr>
        <w:t>第二部分 合同一般条款</w:t>
      </w:r>
      <w:bookmarkEnd w:id="101"/>
      <w:bookmarkEnd w:id="102"/>
    </w:p>
    <w:p>
      <w:pPr>
        <w:spacing w:line="360" w:lineRule="auto"/>
        <w:ind w:firstLine="482" w:firstLineChars="200"/>
        <w:rPr>
          <w:rFonts w:hint="eastAsia" w:ascii="仿宋_GB2312" w:hAnsi="楷体" w:eastAsia="仿宋_GB2312"/>
          <w:b/>
          <w:color w:val="auto"/>
          <w:sz w:val="24"/>
          <w:highlight w:val="none"/>
        </w:rPr>
      </w:pPr>
      <w:bookmarkStart w:id="103" w:name="_Ref467379214"/>
      <w:bookmarkStart w:id="104" w:name="_Ref467378404"/>
      <w:bookmarkStart w:id="105" w:name="_Ref467379101"/>
      <w:bookmarkStart w:id="106" w:name="_Toc259093669"/>
      <w:bookmarkStart w:id="107" w:name="_Toc16917"/>
      <w:bookmarkStart w:id="108" w:name="_Ref467379225"/>
      <w:bookmarkStart w:id="109" w:name="_Ref467379109"/>
      <w:bookmarkStart w:id="110" w:name="_Ref467379094"/>
      <w:bookmarkStart w:id="111" w:name="_Toc279701240"/>
      <w:bookmarkStart w:id="112" w:name="_Toc28763"/>
      <w:bookmarkStart w:id="113" w:name="_Ref467379205"/>
      <w:bookmarkStart w:id="114" w:name="_Ref467378463"/>
      <w:bookmarkStart w:id="115" w:name="_Toc487900349"/>
      <w:bookmarkStart w:id="116" w:name="_Toc19614"/>
      <w:bookmarkStart w:id="117" w:name="_Ref467379195"/>
      <w:bookmarkStart w:id="118" w:name="_Ref467378499"/>
      <w:r>
        <w:rPr>
          <w:rFonts w:hint="eastAsia" w:ascii="仿宋_GB2312" w:hAnsi="楷体" w:eastAsia="仿宋_GB2312"/>
          <w:b/>
          <w:color w:val="auto"/>
          <w:sz w:val="24"/>
          <w:highlight w:val="none"/>
        </w:rPr>
        <w:t>2.1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仿宋_GB2312" w:hAnsi="楷体" w:eastAsia="仿宋_GB2312"/>
          <w:color w:val="auto"/>
          <w:sz w:val="24"/>
          <w:highlight w:val="none"/>
        </w:rPr>
      </w:pPr>
      <w:bookmarkStart w:id="119" w:name="_Ref467378840"/>
      <w:r>
        <w:rPr>
          <w:rFonts w:hint="eastAsia" w:ascii="仿宋_GB2312" w:hAnsi="楷体" w:eastAsia="仿宋_GB2312"/>
          <w:color w:val="auto"/>
          <w:sz w:val="24"/>
          <w:highlight w:val="none"/>
        </w:rPr>
        <w:t>2.1.4 “甲方”系指与中标人签署合同的采购人</w:t>
      </w:r>
      <w:bookmarkEnd w:id="119"/>
      <w:r>
        <w:rPr>
          <w:rFonts w:hint="eastAsia" w:ascii="仿宋_GB2312" w:hAnsi="楷体" w:eastAsia="仿宋_GB2312"/>
          <w:color w:val="auto"/>
          <w:sz w:val="24"/>
          <w:highlight w:val="none"/>
        </w:rPr>
        <w:t>；采购人委托采购机构代表其与乙方签订合同的，采购人的授权委托书作为合同附件。</w:t>
      </w:r>
    </w:p>
    <w:p>
      <w:pPr>
        <w:spacing w:line="360" w:lineRule="auto"/>
        <w:ind w:firstLine="480" w:firstLineChars="200"/>
        <w:rPr>
          <w:rFonts w:hint="eastAsia" w:ascii="仿宋_GB2312" w:hAnsi="楷体" w:eastAsia="仿宋_GB2312"/>
          <w:color w:val="auto"/>
          <w:sz w:val="24"/>
          <w:highlight w:val="none"/>
        </w:rPr>
      </w:pPr>
      <w:bookmarkStart w:id="120" w:name="_Ref467379400"/>
      <w:r>
        <w:rPr>
          <w:rFonts w:hint="eastAsia" w:ascii="仿宋_GB2312" w:hAnsi="楷体" w:eastAsia="仿宋_GB2312"/>
          <w:color w:val="auto"/>
          <w:sz w:val="24"/>
          <w:highlight w:val="none"/>
        </w:rPr>
        <w:t>2.1.5 “乙方”系指根据合同约定交付标的物的</w:t>
      </w:r>
      <w:bookmarkEnd w:id="120"/>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color w:val="auto"/>
          <w:sz w:val="24"/>
          <w:highlight w:val="none"/>
        </w:rPr>
      </w:pPr>
      <w:bookmarkStart w:id="121" w:name="_Ref467379436"/>
      <w:r>
        <w:rPr>
          <w:rFonts w:hint="eastAsia" w:ascii="仿宋_GB2312" w:hAnsi="楷体" w:eastAsia="仿宋_GB2312"/>
          <w:color w:val="auto"/>
          <w:sz w:val="24"/>
          <w:highlight w:val="none"/>
        </w:rPr>
        <w:t>2.1.6 “现场”系指合同约定标的物将要运至或者实施或者安装的地点。</w:t>
      </w:r>
      <w:bookmarkEnd w:id="121"/>
    </w:p>
    <w:p>
      <w:pPr>
        <w:spacing w:line="360" w:lineRule="auto"/>
        <w:ind w:firstLine="482" w:firstLineChars="200"/>
        <w:rPr>
          <w:rFonts w:hint="eastAsia" w:ascii="仿宋_GB2312" w:hAnsi="楷体" w:eastAsia="仿宋_GB2312"/>
          <w:b/>
          <w:color w:val="auto"/>
          <w:sz w:val="24"/>
          <w:highlight w:val="none"/>
        </w:rPr>
      </w:pPr>
      <w:bookmarkStart w:id="122" w:name="_Toc13336"/>
      <w:bookmarkStart w:id="123" w:name="_Toc27635"/>
      <w:bookmarkStart w:id="124" w:name="_Toc279701241"/>
      <w:bookmarkStart w:id="125" w:name="_Toc487900350"/>
      <w:bookmarkStart w:id="126" w:name="_Toc259093670"/>
      <w:bookmarkStart w:id="127" w:name="_Toc32504"/>
      <w:r>
        <w:rPr>
          <w:rFonts w:hint="eastAsia" w:ascii="仿宋_GB2312" w:hAnsi="楷体" w:eastAsia="仿宋_GB2312"/>
          <w:b/>
          <w:color w:val="auto"/>
          <w:sz w:val="24"/>
          <w:highlight w:val="none"/>
        </w:rPr>
        <w:t>2.2 技术规范</w:t>
      </w:r>
      <w:bookmarkEnd w:id="122"/>
      <w:bookmarkEnd w:id="123"/>
      <w:bookmarkEnd w:id="124"/>
      <w:bookmarkEnd w:id="125"/>
      <w:bookmarkEnd w:id="126"/>
      <w:bookmarkEnd w:id="12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color w:val="auto"/>
          <w:sz w:val="24"/>
          <w:highlight w:val="none"/>
        </w:rPr>
      </w:pPr>
      <w:bookmarkStart w:id="128" w:name="_Toc259093671"/>
      <w:bookmarkStart w:id="129" w:name="_Toc487900351"/>
      <w:bookmarkStart w:id="130" w:name="_Toc279701242"/>
      <w:bookmarkStart w:id="131" w:name="_Toc31634"/>
      <w:bookmarkStart w:id="132" w:name="_Toc9829"/>
      <w:bookmarkStart w:id="133" w:name="_Toc27853"/>
      <w:r>
        <w:rPr>
          <w:rFonts w:hint="eastAsia" w:ascii="仿宋_GB2312" w:hAnsi="楷体" w:eastAsia="仿宋_GB2312"/>
          <w:b/>
          <w:color w:val="auto"/>
          <w:sz w:val="24"/>
          <w:highlight w:val="none"/>
        </w:rPr>
        <w:t>2.3 知识产权</w:t>
      </w:r>
      <w:bookmarkEnd w:id="128"/>
      <w:bookmarkEnd w:id="129"/>
      <w:bookmarkEnd w:id="130"/>
      <w:bookmarkEnd w:id="131"/>
      <w:bookmarkEnd w:id="132"/>
      <w:bookmarkEnd w:id="13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34" w:name="_Toc4194"/>
      <w:bookmarkStart w:id="135" w:name="_Toc11932"/>
      <w:bookmarkStart w:id="136" w:name="_Toc29149"/>
      <w:r>
        <w:rPr>
          <w:rFonts w:hint="eastAsia" w:ascii="仿宋_GB2312" w:hAnsi="楷体" w:eastAsia="仿宋_GB2312"/>
          <w:b/>
          <w:color w:val="auto"/>
          <w:sz w:val="24"/>
          <w:highlight w:val="none"/>
        </w:rPr>
        <w:t>2.4 包装和装运</w:t>
      </w:r>
      <w:bookmarkEnd w:id="134"/>
      <w:bookmarkEnd w:id="135"/>
      <w:bookmarkEnd w:id="13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37" w:name="_Ref467379542"/>
      <w:bookmarkStart w:id="138" w:name="_Ref467379527"/>
      <w:bookmarkStart w:id="139" w:name="_Toc279701245"/>
      <w:bookmarkStart w:id="140" w:name="_Ref467378591"/>
      <w:bookmarkStart w:id="141" w:name="_Toc259093674"/>
      <w:bookmarkStart w:id="142" w:name="_Ref467379536"/>
      <w:bookmarkStart w:id="143" w:name="_Ref467378541"/>
      <w:bookmarkStart w:id="144" w:name="_Toc487900354"/>
      <w:bookmarkStart w:id="145" w:name="_Toc19074"/>
      <w:bookmarkStart w:id="146" w:name="_Toc26182"/>
      <w:bookmarkStart w:id="147" w:name="_Toc30272"/>
      <w:r>
        <w:rPr>
          <w:rFonts w:hint="eastAsia" w:ascii="仿宋_GB2312" w:hAnsi="楷体" w:eastAsia="仿宋_GB2312"/>
          <w:b/>
          <w:color w:val="auto"/>
          <w:sz w:val="24"/>
          <w:highlight w:val="none"/>
        </w:rPr>
        <w:t>2.</w:t>
      </w:r>
      <w:bookmarkEnd w:id="137"/>
      <w:bookmarkEnd w:id="138"/>
      <w:bookmarkEnd w:id="139"/>
      <w:bookmarkEnd w:id="140"/>
      <w:bookmarkEnd w:id="141"/>
      <w:bookmarkEnd w:id="142"/>
      <w:bookmarkEnd w:id="143"/>
      <w:bookmarkEnd w:id="144"/>
      <w:r>
        <w:rPr>
          <w:rFonts w:hint="eastAsia" w:ascii="仿宋_GB2312" w:hAnsi="楷体" w:eastAsia="仿宋_GB2312"/>
          <w:b/>
          <w:color w:val="auto"/>
          <w:sz w:val="24"/>
          <w:highlight w:val="none"/>
        </w:rPr>
        <w:t>5 履约检查和问题反馈</w:t>
      </w:r>
      <w:bookmarkEnd w:id="145"/>
      <w:bookmarkEnd w:id="146"/>
      <w:bookmarkEnd w:id="147"/>
    </w:p>
    <w:p>
      <w:pPr>
        <w:spacing w:line="360" w:lineRule="auto"/>
        <w:ind w:firstLine="480" w:firstLineChars="200"/>
        <w:rPr>
          <w:rFonts w:hint="eastAsia" w:ascii="仿宋_GB2312" w:hAnsi="楷体" w:eastAsia="仿宋_GB2312"/>
          <w:color w:val="auto"/>
          <w:sz w:val="24"/>
          <w:highlight w:val="none"/>
        </w:rPr>
      </w:pPr>
      <w:bookmarkStart w:id="148" w:name="_Ref467379657"/>
      <w:r>
        <w:rPr>
          <w:rFonts w:hint="eastAsia" w:ascii="仿宋_GB2312" w:hAnsi="楷体" w:eastAsia="仿宋_GB2312"/>
          <w:color w:val="auto"/>
          <w:sz w:val="24"/>
          <w:highlight w:val="none"/>
        </w:rPr>
        <w:t>2.5.1</w:t>
      </w:r>
      <w:bookmarkEnd w:id="148"/>
      <w:bookmarkStart w:id="149" w:name="_Toc186431854"/>
      <w:bookmarkStart w:id="150" w:name="_Ref467379807"/>
      <w:bookmarkStart w:id="151" w:name="_Toc259093676"/>
      <w:bookmarkStart w:id="152" w:name="_Toc487900357"/>
      <w:bookmarkStart w:id="153" w:name="_Ref467379793"/>
      <w:bookmarkStart w:id="154" w:name="_Toc27970124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49"/>
      <w:bookmarkStart w:id="155" w:name="_Toc186431855"/>
      <w:r>
        <w:rPr>
          <w:rFonts w:hint="eastAsia" w:ascii="仿宋_GB2312" w:hAnsi="楷体" w:eastAsia="仿宋_GB2312"/>
          <w:color w:val="auto"/>
          <w:sz w:val="24"/>
          <w:highlight w:val="none"/>
        </w:rPr>
        <w:t>。</w:t>
      </w:r>
    </w:p>
    <w:bookmarkEnd w:id="155"/>
    <w:p>
      <w:pPr>
        <w:spacing w:line="360" w:lineRule="auto"/>
        <w:ind w:firstLine="482" w:firstLineChars="200"/>
        <w:rPr>
          <w:rFonts w:hint="eastAsia" w:ascii="仿宋_GB2312" w:hAnsi="楷体" w:eastAsia="仿宋_GB2312"/>
          <w:b/>
          <w:color w:val="auto"/>
          <w:sz w:val="24"/>
          <w:highlight w:val="none"/>
        </w:rPr>
      </w:pPr>
      <w:bookmarkStart w:id="156" w:name="_Toc7836"/>
      <w:bookmarkStart w:id="157" w:name="_Toc28451"/>
      <w:bookmarkStart w:id="158" w:name="_Toc19219"/>
      <w:r>
        <w:rPr>
          <w:rFonts w:hint="eastAsia" w:ascii="仿宋_GB2312" w:hAnsi="楷体" w:eastAsia="仿宋_GB2312"/>
          <w:b/>
          <w:color w:val="auto"/>
          <w:sz w:val="24"/>
          <w:highlight w:val="none"/>
        </w:rPr>
        <w:t>2.6 结算方式和付款条件</w:t>
      </w:r>
      <w:bookmarkEnd w:id="150"/>
      <w:bookmarkEnd w:id="151"/>
      <w:bookmarkEnd w:id="152"/>
      <w:bookmarkEnd w:id="153"/>
      <w:bookmarkEnd w:id="154"/>
      <w:bookmarkEnd w:id="156"/>
      <w:bookmarkEnd w:id="157"/>
      <w:bookmarkEnd w:id="15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59" w:name="_Ref467379923"/>
      <w:bookmarkStart w:id="160" w:name="_Ref467379852"/>
      <w:bookmarkStart w:id="161" w:name="_Toc259093677"/>
      <w:bookmarkStart w:id="162" w:name="_Toc487900358"/>
      <w:bookmarkStart w:id="163" w:name="_Toc279701248"/>
      <w:bookmarkStart w:id="164" w:name="_Ref467379863"/>
      <w:bookmarkStart w:id="165" w:name="_Toc774"/>
      <w:bookmarkStart w:id="166" w:name="_Toc3225"/>
      <w:bookmarkStart w:id="167" w:name="_Toc16110"/>
      <w:r>
        <w:rPr>
          <w:rFonts w:hint="eastAsia" w:ascii="仿宋_GB2312" w:hAnsi="楷体" w:eastAsia="仿宋_GB2312"/>
          <w:b/>
          <w:color w:val="auto"/>
          <w:sz w:val="24"/>
          <w:highlight w:val="none"/>
        </w:rPr>
        <w:t>2.7 技术资料</w:t>
      </w:r>
      <w:bookmarkEnd w:id="159"/>
      <w:bookmarkEnd w:id="160"/>
      <w:bookmarkEnd w:id="161"/>
      <w:bookmarkEnd w:id="162"/>
      <w:bookmarkEnd w:id="163"/>
      <w:bookmarkEnd w:id="164"/>
      <w:r>
        <w:rPr>
          <w:rFonts w:hint="eastAsia" w:ascii="仿宋_GB2312" w:hAnsi="楷体" w:eastAsia="仿宋_GB2312"/>
          <w:b/>
          <w:color w:val="auto"/>
          <w:sz w:val="24"/>
          <w:highlight w:val="none"/>
        </w:rPr>
        <w:t>和保密义务</w:t>
      </w:r>
      <w:bookmarkEnd w:id="165"/>
      <w:bookmarkEnd w:id="166"/>
      <w:bookmarkEnd w:id="16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color w:val="auto"/>
          <w:sz w:val="24"/>
          <w:highlight w:val="none"/>
        </w:rPr>
      </w:pPr>
      <w:bookmarkStart w:id="168" w:name="_Toc7860"/>
      <w:r>
        <w:rPr>
          <w:rFonts w:hint="eastAsia" w:ascii="仿宋_GB2312" w:hAnsi="楷体" w:eastAsia="仿宋_GB2312"/>
          <w:b/>
          <w:color w:val="auto"/>
          <w:sz w:val="24"/>
          <w:highlight w:val="none"/>
        </w:rPr>
        <w:t>2.8 质量保证</w:t>
      </w:r>
      <w:bookmarkEnd w:id="16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r>
        <w:rPr>
          <w:rFonts w:hint="eastAsia" w:ascii="仿宋_GB2312" w:hAnsi="仿宋"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69" w:name="_Toc17244"/>
      <w:bookmarkStart w:id="170" w:name="_Toc487900362"/>
      <w:bookmarkStart w:id="171" w:name="_Toc279701252"/>
      <w:bookmarkStart w:id="172" w:name="_Toc259093681"/>
      <w:r>
        <w:rPr>
          <w:rFonts w:hint="eastAsia" w:ascii="仿宋_GB2312" w:hAnsi="楷体" w:eastAsia="仿宋_GB2312"/>
          <w:b/>
          <w:color w:val="auto"/>
          <w:sz w:val="24"/>
          <w:highlight w:val="none"/>
        </w:rPr>
        <w:t>2.9 标的物的风险负担</w:t>
      </w:r>
      <w:bookmarkEnd w:id="169"/>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73" w:name="_Toc14055"/>
      <w:r>
        <w:rPr>
          <w:rFonts w:hint="eastAsia" w:ascii="仿宋_GB2312" w:hAnsi="楷体" w:eastAsia="仿宋_GB2312"/>
          <w:b/>
          <w:color w:val="auto"/>
          <w:sz w:val="24"/>
          <w:highlight w:val="none"/>
        </w:rPr>
        <w:t>2.10 延迟交货</w:t>
      </w:r>
      <w:bookmarkEnd w:id="170"/>
      <w:bookmarkEnd w:id="171"/>
      <w:bookmarkEnd w:id="172"/>
      <w:bookmarkEnd w:id="173"/>
      <w:r>
        <w:rPr>
          <w:rFonts w:hint="eastAsia" w:ascii="仿宋_GB2312" w:hAnsi="楷体" w:eastAsia="仿宋_GB2312"/>
          <w:b/>
          <w:color w:val="auto"/>
          <w:sz w:val="24"/>
          <w:highlight w:val="none"/>
        </w:rPr>
        <w:t>/交付</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color w:val="auto"/>
          <w:sz w:val="24"/>
          <w:highlight w:val="none"/>
        </w:rPr>
      </w:pPr>
      <w:bookmarkStart w:id="174" w:name="_Toc7502"/>
      <w:bookmarkStart w:id="175" w:name="_Ref467378121"/>
      <w:bookmarkStart w:id="176" w:name="_Toc259093683"/>
      <w:bookmarkStart w:id="177" w:name="_Toc487900364"/>
      <w:bookmarkStart w:id="178" w:name="_Toc279701254"/>
      <w:r>
        <w:rPr>
          <w:rFonts w:hint="eastAsia" w:ascii="仿宋_GB2312" w:hAnsi="楷体" w:eastAsia="仿宋_GB2312"/>
          <w:b/>
          <w:color w:val="auto"/>
          <w:sz w:val="24"/>
          <w:highlight w:val="none"/>
        </w:rPr>
        <w:t>2.11 合同变更</w:t>
      </w:r>
      <w:bookmarkEnd w:id="174"/>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9" w:name="_Toc279701259"/>
      <w:bookmarkStart w:id="180" w:name="_Toc259093688"/>
      <w:bookmarkStart w:id="181" w:name="_Toc487900369"/>
    </w:p>
    <w:p>
      <w:pPr>
        <w:spacing w:line="360" w:lineRule="auto"/>
        <w:ind w:firstLine="482" w:firstLineChars="200"/>
        <w:rPr>
          <w:rFonts w:hint="eastAsia" w:ascii="仿宋_GB2312" w:hAnsi="楷体" w:eastAsia="仿宋_GB2312"/>
          <w:b/>
          <w:color w:val="auto"/>
          <w:sz w:val="24"/>
          <w:highlight w:val="none"/>
        </w:rPr>
      </w:pPr>
      <w:bookmarkStart w:id="182" w:name="_Toc22955"/>
      <w:bookmarkStart w:id="183" w:name="_Toc10366"/>
      <w:bookmarkStart w:id="184" w:name="_Toc15237"/>
      <w:r>
        <w:rPr>
          <w:rFonts w:hint="eastAsia" w:ascii="仿宋_GB2312" w:hAnsi="楷体" w:eastAsia="仿宋_GB2312"/>
          <w:b/>
          <w:color w:val="auto"/>
          <w:sz w:val="24"/>
          <w:highlight w:val="none"/>
        </w:rPr>
        <w:t>2.12 合同转让</w:t>
      </w:r>
      <w:bookmarkEnd w:id="179"/>
      <w:bookmarkEnd w:id="180"/>
      <w:bookmarkEnd w:id="181"/>
      <w:r>
        <w:rPr>
          <w:rFonts w:hint="eastAsia" w:ascii="仿宋_GB2312" w:hAnsi="楷体" w:eastAsia="仿宋_GB2312"/>
          <w:b/>
          <w:color w:val="auto"/>
          <w:sz w:val="24"/>
          <w:highlight w:val="none"/>
        </w:rPr>
        <w:t>和分包</w:t>
      </w:r>
      <w:bookmarkEnd w:id="182"/>
      <w:bookmarkEnd w:id="183"/>
      <w:bookmarkEnd w:id="184"/>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color w:val="auto"/>
          <w:sz w:val="24"/>
          <w:highlight w:val="none"/>
        </w:rPr>
      </w:pPr>
      <w:bookmarkStart w:id="185" w:name="_Toc13566"/>
      <w:bookmarkStart w:id="186" w:name="_Toc16508"/>
      <w:bookmarkStart w:id="187" w:name="_Toc14066"/>
      <w:r>
        <w:rPr>
          <w:rFonts w:hint="eastAsia" w:ascii="仿宋_GB2312" w:hAnsi="楷体" w:eastAsia="仿宋_GB2312"/>
          <w:b/>
          <w:color w:val="auto"/>
          <w:sz w:val="24"/>
          <w:highlight w:val="none"/>
        </w:rPr>
        <w:t>2.13 不可抗力</w:t>
      </w:r>
      <w:bookmarkEnd w:id="185"/>
      <w:bookmarkEnd w:id="186"/>
      <w:bookmarkEnd w:id="18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pPr>
        <w:spacing w:line="360" w:lineRule="auto"/>
        <w:ind w:firstLine="482" w:firstLineChars="200"/>
        <w:rPr>
          <w:rFonts w:hint="eastAsia" w:ascii="仿宋_GB2312" w:hAnsi="楷体" w:eastAsia="仿宋_GB2312"/>
          <w:b/>
          <w:color w:val="auto"/>
          <w:sz w:val="24"/>
          <w:highlight w:val="none"/>
        </w:rPr>
      </w:pPr>
      <w:bookmarkStart w:id="188" w:name="_Toc6969"/>
      <w:bookmarkStart w:id="189" w:name="_Toc30676"/>
      <w:bookmarkStart w:id="190" w:name="_Toc689"/>
      <w:bookmarkStart w:id="191" w:name="_Toc259093684"/>
      <w:bookmarkStart w:id="192" w:name="_Toc279701255"/>
      <w:bookmarkStart w:id="193" w:name="_Toc487900365"/>
      <w:r>
        <w:rPr>
          <w:rFonts w:hint="eastAsia" w:ascii="仿宋_GB2312" w:hAnsi="楷体" w:eastAsia="仿宋_GB2312"/>
          <w:b/>
          <w:color w:val="auto"/>
          <w:sz w:val="24"/>
          <w:highlight w:val="none"/>
        </w:rPr>
        <w:t>2.14 税费</w:t>
      </w:r>
      <w:bookmarkEnd w:id="188"/>
      <w:bookmarkEnd w:id="189"/>
      <w:bookmarkEnd w:id="190"/>
      <w:bookmarkEnd w:id="191"/>
      <w:bookmarkEnd w:id="192"/>
      <w:bookmarkEnd w:id="19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pPr>
        <w:spacing w:line="360" w:lineRule="auto"/>
        <w:ind w:firstLine="482" w:firstLineChars="200"/>
        <w:rPr>
          <w:rFonts w:hint="eastAsia" w:ascii="仿宋_GB2312" w:hAnsi="楷体" w:eastAsia="仿宋_GB2312"/>
          <w:b/>
          <w:color w:val="auto"/>
          <w:sz w:val="24"/>
          <w:highlight w:val="none"/>
        </w:rPr>
      </w:pPr>
      <w:bookmarkStart w:id="194" w:name="_Toc16959"/>
      <w:bookmarkStart w:id="195" w:name="_Toc279701258"/>
      <w:bookmarkStart w:id="196" w:name="_Toc7102"/>
      <w:bookmarkStart w:id="197" w:name="_Toc487900368"/>
      <w:bookmarkStart w:id="198" w:name="_Toc8298"/>
      <w:bookmarkStart w:id="199" w:name="_Toc259093687"/>
      <w:r>
        <w:rPr>
          <w:rFonts w:hint="eastAsia" w:ascii="仿宋_GB2312" w:hAnsi="楷体" w:eastAsia="仿宋_GB2312"/>
          <w:b/>
          <w:color w:val="auto"/>
          <w:sz w:val="24"/>
          <w:highlight w:val="none"/>
        </w:rPr>
        <w:t>2.15 乙方破产</w:t>
      </w:r>
      <w:bookmarkEnd w:id="194"/>
      <w:bookmarkEnd w:id="195"/>
      <w:bookmarkEnd w:id="196"/>
      <w:bookmarkEnd w:id="197"/>
      <w:bookmarkEnd w:id="198"/>
      <w:bookmarkEnd w:id="19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color w:val="auto"/>
          <w:sz w:val="24"/>
          <w:highlight w:val="none"/>
        </w:rPr>
      </w:pPr>
      <w:bookmarkStart w:id="200" w:name="_Toc6134"/>
      <w:bookmarkStart w:id="201" w:name="_Toc29333"/>
      <w:bookmarkStart w:id="202" w:name="_Toc15387"/>
      <w:r>
        <w:rPr>
          <w:rFonts w:hint="eastAsia" w:ascii="仿宋_GB2312" w:hAnsi="楷体" w:eastAsia="仿宋_GB2312"/>
          <w:b/>
          <w:color w:val="auto"/>
          <w:sz w:val="24"/>
          <w:highlight w:val="none"/>
        </w:rPr>
        <w:t>2.16 合同中止、终止</w:t>
      </w:r>
      <w:bookmarkEnd w:id="200"/>
      <w:bookmarkEnd w:id="201"/>
      <w:bookmarkEnd w:id="20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color w:val="auto"/>
          <w:sz w:val="24"/>
          <w:highlight w:val="none"/>
        </w:rPr>
      </w:pPr>
      <w:bookmarkStart w:id="203" w:name="_Toc1125"/>
      <w:bookmarkStart w:id="204" w:name="_Toc14563"/>
      <w:bookmarkStart w:id="205" w:name="_Toc6596"/>
      <w:r>
        <w:rPr>
          <w:rFonts w:hint="eastAsia" w:ascii="仿宋_GB2312" w:hAnsi="楷体" w:eastAsia="仿宋_GB2312"/>
          <w:b/>
          <w:color w:val="auto"/>
          <w:sz w:val="24"/>
          <w:highlight w:val="none"/>
        </w:rPr>
        <w:t>2.17 检验和验收</w:t>
      </w:r>
      <w:bookmarkEnd w:id="203"/>
      <w:bookmarkEnd w:id="204"/>
      <w:bookmarkEnd w:id="205"/>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175"/>
    <w:bookmarkEnd w:id="176"/>
    <w:bookmarkEnd w:id="177"/>
    <w:bookmarkEnd w:id="178"/>
    <w:p>
      <w:pPr>
        <w:spacing w:line="360" w:lineRule="auto"/>
        <w:ind w:firstLine="482" w:firstLineChars="200"/>
        <w:rPr>
          <w:rFonts w:hint="eastAsia" w:ascii="仿宋_GB2312" w:hAnsi="楷体" w:eastAsia="仿宋_GB2312"/>
          <w:b/>
          <w:color w:val="auto"/>
          <w:sz w:val="24"/>
          <w:highlight w:val="none"/>
        </w:rPr>
      </w:pPr>
      <w:bookmarkStart w:id="206" w:name="_Toc259093690"/>
      <w:bookmarkStart w:id="207" w:name="_Toc279701261"/>
      <w:bookmarkStart w:id="208" w:name="_Toc487900371"/>
      <w:bookmarkStart w:id="209" w:name="_Toc19604"/>
      <w:bookmarkStart w:id="210" w:name="_Toc25182"/>
      <w:bookmarkStart w:id="211" w:name="_Toc11284"/>
      <w:r>
        <w:rPr>
          <w:rFonts w:hint="eastAsia" w:ascii="仿宋_GB2312" w:hAnsi="楷体" w:eastAsia="仿宋_GB2312"/>
          <w:b/>
          <w:color w:val="auto"/>
          <w:sz w:val="24"/>
          <w:highlight w:val="none"/>
        </w:rPr>
        <w:t>2.18 通知</w:t>
      </w:r>
      <w:bookmarkEnd w:id="206"/>
      <w:bookmarkEnd w:id="207"/>
      <w:bookmarkEnd w:id="208"/>
      <w:r>
        <w:rPr>
          <w:rFonts w:hint="eastAsia" w:ascii="仿宋_GB2312" w:hAnsi="楷体" w:eastAsia="仿宋_GB2312"/>
          <w:b/>
          <w:color w:val="auto"/>
          <w:sz w:val="24"/>
          <w:highlight w:val="none"/>
        </w:rPr>
        <w:t>和送达</w:t>
      </w:r>
      <w:bookmarkEnd w:id="209"/>
      <w:bookmarkEnd w:id="210"/>
      <w:bookmarkEnd w:id="211"/>
    </w:p>
    <w:p>
      <w:pPr>
        <w:spacing w:line="360" w:lineRule="auto"/>
        <w:ind w:firstLine="480" w:firstLineChars="200"/>
        <w:rPr>
          <w:rFonts w:hint="eastAsia" w:ascii="仿宋_GB2312" w:hAnsi="楷体" w:eastAsia="仿宋_GB2312"/>
          <w:color w:val="auto"/>
          <w:sz w:val="24"/>
          <w:highlight w:val="none"/>
        </w:rPr>
      </w:pPr>
      <w:bookmarkStart w:id="212" w:name="_Toc3135"/>
      <w:bookmarkStart w:id="213" w:name="_Toc6698"/>
      <w:bookmarkStart w:id="214" w:name="_Toc279701262"/>
      <w:bookmarkStart w:id="215" w:name="_Toc487900372"/>
      <w:bookmarkStart w:id="216" w:name="_Toc259093691"/>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bookmarkEnd w:id="212"/>
      <w:bookmarkEnd w:id="213"/>
    </w:p>
    <w:p>
      <w:pPr>
        <w:spacing w:line="360" w:lineRule="auto"/>
        <w:ind w:firstLine="480" w:firstLineChars="200"/>
        <w:rPr>
          <w:rFonts w:hint="eastAsia" w:ascii="仿宋_GB2312" w:hAnsi="楷体" w:eastAsia="仿宋_GB2312"/>
          <w:color w:val="auto"/>
          <w:sz w:val="24"/>
          <w:highlight w:val="none"/>
        </w:rPr>
      </w:pPr>
      <w:bookmarkStart w:id="217" w:name="_Toc23294"/>
      <w:bookmarkStart w:id="218"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7"/>
      <w:bookmarkEnd w:id="218"/>
    </w:p>
    <w:p>
      <w:pPr>
        <w:spacing w:line="360" w:lineRule="auto"/>
        <w:ind w:firstLine="482" w:firstLineChars="200"/>
        <w:rPr>
          <w:rFonts w:hint="eastAsia" w:ascii="仿宋_GB2312" w:hAnsi="楷体" w:eastAsia="仿宋_GB2312"/>
          <w:b/>
          <w:color w:val="auto"/>
          <w:sz w:val="24"/>
          <w:highlight w:val="none"/>
        </w:rPr>
      </w:pPr>
      <w:bookmarkStart w:id="219" w:name="_Toc30599"/>
      <w:bookmarkStart w:id="220" w:name="_Toc18540"/>
      <w:bookmarkStart w:id="221" w:name="_Toc4355"/>
      <w:r>
        <w:rPr>
          <w:rFonts w:hint="eastAsia" w:ascii="仿宋_GB2312" w:hAnsi="楷体" w:eastAsia="仿宋_GB2312"/>
          <w:b/>
          <w:color w:val="auto"/>
          <w:sz w:val="24"/>
          <w:highlight w:val="none"/>
        </w:rPr>
        <w:t>2.19 计量单位</w:t>
      </w:r>
      <w:bookmarkEnd w:id="214"/>
      <w:bookmarkEnd w:id="215"/>
      <w:bookmarkEnd w:id="216"/>
      <w:bookmarkEnd w:id="219"/>
      <w:bookmarkEnd w:id="220"/>
      <w:bookmarkEnd w:id="22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pPr>
        <w:spacing w:line="360" w:lineRule="auto"/>
        <w:ind w:firstLine="482" w:firstLineChars="200"/>
        <w:rPr>
          <w:rFonts w:hint="eastAsia" w:ascii="仿宋_GB2312" w:hAnsi="楷体" w:eastAsia="仿宋_GB2312"/>
          <w:b/>
          <w:color w:val="auto"/>
          <w:sz w:val="24"/>
          <w:highlight w:val="none"/>
        </w:rPr>
      </w:pPr>
      <w:bookmarkStart w:id="222" w:name="_Toc487900373"/>
      <w:bookmarkStart w:id="223" w:name="_Toc279701263"/>
      <w:bookmarkStart w:id="224" w:name="_Toc10330"/>
      <w:bookmarkStart w:id="225" w:name="_Toc259093692"/>
      <w:bookmarkStart w:id="226" w:name="_Toc12773"/>
      <w:bookmarkStart w:id="227" w:name="_Toc18567"/>
      <w:r>
        <w:rPr>
          <w:rFonts w:hint="eastAsia" w:ascii="仿宋_GB2312" w:hAnsi="楷体" w:eastAsia="仿宋_GB2312"/>
          <w:b/>
          <w:color w:val="auto"/>
          <w:sz w:val="24"/>
          <w:highlight w:val="none"/>
        </w:rPr>
        <w:t>2.20 合同使用的文字和适用的法律</w:t>
      </w:r>
      <w:bookmarkEnd w:id="222"/>
      <w:bookmarkEnd w:id="223"/>
      <w:bookmarkEnd w:id="224"/>
      <w:bookmarkEnd w:id="225"/>
      <w:bookmarkEnd w:id="226"/>
      <w:bookmarkEnd w:id="22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pPr>
        <w:spacing w:line="360" w:lineRule="auto"/>
        <w:ind w:firstLine="482" w:firstLineChars="200"/>
        <w:rPr>
          <w:rFonts w:hint="eastAsia" w:ascii="仿宋_GB2312" w:hAnsi="楷体" w:eastAsia="仿宋_GB2312"/>
          <w:b/>
          <w:color w:val="auto"/>
          <w:sz w:val="24"/>
          <w:highlight w:val="none"/>
        </w:rPr>
      </w:pPr>
      <w:bookmarkStart w:id="228" w:name="_Toc12004"/>
      <w:bookmarkStart w:id="229" w:name="_Toc3148"/>
      <w:bookmarkStart w:id="230" w:name="_Toc259093693"/>
      <w:bookmarkStart w:id="231" w:name="_Toc16673"/>
      <w:bookmarkStart w:id="232" w:name="_Toc279701264"/>
      <w:bookmarkStart w:id="233" w:name="_Toc487900374"/>
      <w:r>
        <w:rPr>
          <w:rFonts w:hint="eastAsia" w:ascii="仿宋_GB2312" w:hAnsi="楷体" w:eastAsia="仿宋_GB2312"/>
          <w:b/>
          <w:color w:val="auto"/>
          <w:sz w:val="24"/>
          <w:highlight w:val="none"/>
        </w:rPr>
        <w:t>2.21 履约保证金</w:t>
      </w:r>
      <w:bookmarkEnd w:id="228"/>
      <w:bookmarkEnd w:id="229"/>
      <w:bookmarkEnd w:id="230"/>
      <w:bookmarkEnd w:id="231"/>
      <w:bookmarkEnd w:id="232"/>
    </w:p>
    <w:p>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□否）为可融资合同，关于中小企业信用融资事项见采购文件“供应商须知正文”。</w:t>
      </w:r>
    </w:p>
    <w:p>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w:t>
      </w:r>
      <w:r>
        <w:rPr>
          <w:rFonts w:ascii="仿宋_GB2312" w:hAnsi="仿宋" w:eastAsia="仿宋_GB2312"/>
          <w:color w:val="auto"/>
          <w:kern w:val="0"/>
          <w:sz w:val="24"/>
          <w:highlight w:val="none"/>
          <w:lang w:val="zh-CN"/>
        </w:rPr>
        <w:t xml:space="preserve">本合同（□是  </w:t>
      </w:r>
      <w:r>
        <w:rPr>
          <w:rFonts w:hint="eastAsia" w:ascii="仿宋_GB2312" w:hAnsi="仿宋" w:eastAsia="仿宋_GB2312"/>
          <w:color w:val="auto"/>
          <w:kern w:val="0"/>
          <w:sz w:val="24"/>
          <w:highlight w:val="none"/>
          <w:lang w:val="zh-CN"/>
        </w:rPr>
        <w:t>□否）为中小企业预留合同。</w:t>
      </w:r>
    </w:p>
    <w:bookmarkEnd w:id="233"/>
    <w:p>
      <w:pPr>
        <w:spacing w:line="360" w:lineRule="auto"/>
        <w:ind w:firstLine="482" w:firstLineChars="200"/>
        <w:rPr>
          <w:rFonts w:hint="eastAsia" w:ascii="仿宋_GB2312" w:hAnsi="楷体" w:eastAsia="仿宋_GB2312"/>
          <w:b/>
          <w:color w:val="auto"/>
          <w:sz w:val="24"/>
          <w:highlight w:val="none"/>
        </w:rPr>
      </w:pPr>
      <w:bookmarkStart w:id="234" w:name="_Toc14001"/>
      <w:bookmarkStart w:id="235" w:name="_Toc6885"/>
      <w:bookmarkStart w:id="236" w:name="_Toc19890"/>
      <w:r>
        <w:rPr>
          <w:rFonts w:hint="eastAsia" w:ascii="仿宋_GB2312" w:hAnsi="楷体" w:eastAsia="仿宋_GB2312"/>
          <w:b/>
          <w:color w:val="auto"/>
          <w:sz w:val="24"/>
          <w:highlight w:val="none"/>
        </w:rPr>
        <w:t>2.23 合同份数</w:t>
      </w:r>
      <w:bookmarkEnd w:id="234"/>
      <w:bookmarkEnd w:id="235"/>
      <w:bookmarkEnd w:id="236"/>
    </w:p>
    <w:p>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pPr>
        <w:pStyle w:val="26"/>
        <w:spacing w:after="0"/>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37" w:name="_Toc80205946"/>
      <w:bookmarkStart w:id="238" w:name="_Toc331685784"/>
      <w:r>
        <w:rPr>
          <w:rFonts w:hint="eastAsia" w:ascii="仿宋_GB2312" w:hAnsi="楷体" w:eastAsia="仿宋_GB2312"/>
          <w:b/>
          <w:color w:val="auto"/>
          <w:sz w:val="28"/>
          <w:szCs w:val="28"/>
          <w:highlight w:val="none"/>
        </w:rPr>
        <w:t>第三部分  合同专用条款</w:t>
      </w:r>
      <w:bookmarkEnd w:id="237"/>
      <w:bookmarkEnd w:id="23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甲方无故逾期支付货物费用的，按照每逾期一日支付欠付货物费额度的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w:t>
      </w:r>
      <w:r>
        <w:rPr>
          <w:rFonts w:hint="eastAsia" w:ascii="仿宋_GB2312" w:hAnsi="仿宋" w:eastAsia="仿宋_GB2312"/>
          <w:color w:val="auto"/>
          <w:sz w:val="24"/>
          <w:highlight w:val="none"/>
        </w:rPr>
        <w:t>承担违约责任，违约金上限按照《合同书》约定执行。</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日内发起验收，并可依法邀请相关方参加，验收应出具验收书。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4、验收产生的费用首次验收费用由甲方承担，如首次验收不合格，后续验收费用由乙方支付。</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根根据采购文件确定的技术指标或者货物要求确定验收指标和标准。未进行相应约定的，应当符合国家强制性规定、政策要求、安全标准、行业或企业有关标准等。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noWrap w:val="0"/>
            <w:vAlign w:val="center"/>
          </w:tcPr>
          <w:p>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930" w:type="dxa"/>
            <w:noWrap w:val="0"/>
            <w:vAlign w:val="center"/>
          </w:tcPr>
          <w:p>
            <w:pPr>
              <w:pStyle w:val="10"/>
              <w:spacing w:after="0" w:line="360" w:lineRule="auto"/>
              <w:ind w:firstLine="200"/>
              <w:jc w:val="left"/>
              <w:rPr>
                <w:rFonts w:hint="eastAsia" w:ascii="仿宋" w:hAnsi="仿宋" w:eastAsia="仿宋" w:cs="仿宋"/>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noWrap w:val="0"/>
            <w:vAlign w:val="center"/>
          </w:tcPr>
          <w:p>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noWrap w:val="0"/>
            <w:vAlign w:val="center"/>
          </w:tcPr>
          <w:p>
            <w:pPr>
              <w:widowControl/>
              <w:spacing w:line="360" w:lineRule="auto"/>
              <w:ind w:firstLine="200"/>
              <w:jc w:val="left"/>
              <w:rPr>
                <w:rFonts w:hint="eastAsia" w:ascii="仿宋" w:hAnsi="仿宋" w:eastAsia="仿宋" w:cs="仿宋"/>
                <w:color w:val="auto"/>
                <w:kern w:val="0"/>
                <w:sz w:val="24"/>
                <w:highlight w:val="none"/>
              </w:rPr>
            </w:pPr>
          </w:p>
        </w:tc>
      </w:tr>
    </w:tbl>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（4）到货核验单（需采购核验人、复核人及乙方交货人三方签字盖章）、产品拍照图片、产品说明书、产品合格证、质量保证书原件</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三包凭证、产品的检测报告、原厂质保承诺函等；</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（5）其他需提供的相关材料。</w:t>
      </w:r>
    </w:p>
    <w:p>
      <w:pPr>
        <w:widowControl/>
        <w:ind w:firstLine="720" w:firstLineChars="300"/>
        <w:jc w:val="left"/>
        <w:rPr>
          <w:rFonts w:hint="eastAsia" w:ascii="仿宋" w:hAnsi="仿宋" w:eastAsia="仿宋"/>
          <w:bCs/>
          <w:color w:val="auto"/>
          <w:sz w:val="24"/>
          <w:highlight w:val="none"/>
        </w:rPr>
      </w:pP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tabs>
          <w:tab w:val="left" w:pos="7380"/>
        </w:tabs>
        <w:spacing w:line="360" w:lineRule="auto"/>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pStyle w:val="3"/>
        <w:jc w:val="center"/>
        <w:rPr>
          <w:rFonts w:hint="eastAsia" w:ascii="宋体" w:hAnsi="宋体" w:cs="仿宋_GB2312"/>
          <w:b w:val="0"/>
          <w:color w:val="auto"/>
          <w:highlight w:val="none"/>
          <w:lang w:eastAsia="zh-CN"/>
        </w:rPr>
      </w:pPr>
    </w:p>
    <w:p>
      <w:pPr>
        <w:pStyle w:val="3"/>
        <w:jc w:val="center"/>
        <w:rPr>
          <w:rFonts w:hint="eastAsia" w:ascii="宋体" w:hAnsi="宋体" w:cs="仿宋_GB2312"/>
          <w:b w:val="0"/>
          <w:color w:val="auto"/>
          <w:highlight w:val="none"/>
          <w:lang w:eastAsia="zh-CN"/>
        </w:rPr>
      </w:pPr>
    </w:p>
    <w:p>
      <w:pPr>
        <w:pStyle w:val="3"/>
        <w:jc w:val="center"/>
        <w:rPr>
          <w:rFonts w:hint="eastAsia" w:ascii="宋体" w:hAnsi="宋体" w:cs="仿宋_GB2312"/>
          <w:color w:val="auto"/>
          <w:highlight w:val="none"/>
          <w:lang w:val="en-US"/>
        </w:rPr>
        <w:sectPr>
          <w:pgSz w:w="11910" w:h="16840"/>
          <w:pgMar w:top="1340" w:right="1500" w:bottom="280" w:left="1680" w:header="720" w:footer="720" w:gutter="0"/>
          <w:cols w:space="720" w:num="1"/>
        </w:sectPr>
      </w:pPr>
      <w:bookmarkStart w:id="239" w:name="_Toc80205947"/>
      <w:r>
        <w:rPr>
          <w:rFonts w:hint="eastAsia" w:ascii="宋体" w:hAnsi="宋体" w:cs="仿宋_GB2312"/>
          <w:b w:val="0"/>
          <w:color w:val="auto"/>
          <w:highlight w:val="none"/>
        </w:rPr>
        <w:t>第七章 质疑、投诉材料格式</w:t>
      </w:r>
      <w:bookmarkEnd w:id="239"/>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pPr>
        <w:pStyle w:val="1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4"/>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u w:val="none"/>
          <w:lang w:val="en-US" w:eastAsia="zh-CN"/>
        </w:rPr>
        <w:t>邮箱</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lang w:val="en-US" w:eastAsia="zh-CN"/>
        </w:rPr>
        <w:t>法定代表人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4"/>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pPr>
        <w:pStyle w:val="1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pPr>
        <w:pStyle w:val="1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pPr>
        <w:pStyle w:val="14"/>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pPr>
        <w:pStyle w:val="14"/>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pPr>
        <w:pStyle w:val="14"/>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4"/>
        <w:spacing w:line="360" w:lineRule="auto"/>
        <w:ind w:left="25" w:leftChars="12" w:firstLine="352" w:firstLineChars="147"/>
        <w:contextualSpacing/>
        <w:rPr>
          <w:rFonts w:hint="eastAsia" w:hAnsi="宋体"/>
          <w:color w:val="auto"/>
          <w:sz w:val="24"/>
          <w:szCs w:val="24"/>
          <w:highlight w:val="none"/>
        </w:rPr>
      </w:pP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pPr>
        <w:pStyle w:val="14"/>
        <w:spacing w:line="360" w:lineRule="auto"/>
        <w:ind w:left="25" w:leftChars="12" w:firstLine="352" w:firstLineChars="147"/>
        <w:contextualSpacing/>
        <w:rPr>
          <w:rFonts w:hint="eastAsia" w:hAnsi="宋体"/>
          <w:color w:val="auto"/>
          <w:sz w:val="24"/>
          <w:szCs w:val="24"/>
          <w:highlight w:val="none"/>
        </w:rPr>
      </w:pPr>
    </w:p>
    <w:p>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pPr>
        <w:pStyle w:val="14"/>
        <w:spacing w:line="360" w:lineRule="auto"/>
        <w:contextualSpacing/>
        <w:rPr>
          <w:rFonts w:hint="eastAsia" w:hAnsi="宋体"/>
          <w:b/>
          <w:color w:val="auto"/>
          <w:sz w:val="24"/>
          <w:szCs w:val="24"/>
          <w:highlight w:val="none"/>
          <w:lang w:eastAsia="zh-CN"/>
        </w:rPr>
      </w:pPr>
    </w:p>
    <w:p>
      <w:pPr>
        <w:pStyle w:val="14"/>
        <w:spacing w:line="360" w:lineRule="auto"/>
        <w:contextualSpacing/>
        <w:rPr>
          <w:rFonts w:hint="eastAsia" w:hAnsi="宋体"/>
          <w:b/>
          <w:color w:val="auto"/>
          <w:sz w:val="24"/>
          <w:szCs w:val="24"/>
          <w:highlight w:val="none"/>
          <w:lang w:eastAsia="zh-CN"/>
        </w:rPr>
      </w:pPr>
    </w:p>
    <w:p>
      <w:pPr>
        <w:pStyle w:val="14"/>
        <w:spacing w:line="360" w:lineRule="auto"/>
        <w:contextualSpacing/>
        <w:rPr>
          <w:rFonts w:hint="eastAsia" w:hAnsi="宋体"/>
          <w:b/>
          <w:color w:val="auto"/>
          <w:sz w:val="24"/>
          <w:szCs w:val="24"/>
          <w:highlight w:val="none"/>
        </w:rPr>
      </w:pPr>
    </w:p>
    <w:p>
      <w:pPr>
        <w:pStyle w:val="14"/>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pPr>
        <w:pStyle w:val="14"/>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w:t>
      </w:r>
      <w:r>
        <w:rPr>
          <w:rFonts w:hint="eastAsia" w:hAnsi="宋体"/>
          <w:b/>
          <w:color w:val="auto"/>
          <w:sz w:val="24"/>
          <w:szCs w:val="24"/>
          <w:highlight w:val="none"/>
          <w:lang w:val="en-US" w:eastAsia="zh-CN"/>
        </w:rPr>
        <w:t>营业执照复印件、</w:t>
      </w:r>
      <w:r>
        <w:rPr>
          <w:rFonts w:hint="eastAsia" w:hAnsi="宋体"/>
          <w:b/>
          <w:color w:val="auto"/>
          <w:sz w:val="24"/>
          <w:szCs w:val="24"/>
          <w:highlight w:val="none"/>
        </w:rPr>
        <w:t>由质疑供应商签署的授权委托书</w:t>
      </w: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法定代表人及委托代理人身份证正反面复印件（所提交所有材料须加盖公章）</w:t>
      </w:r>
      <w:r>
        <w:rPr>
          <w:rFonts w:hint="eastAsia" w:hAnsi="宋体"/>
          <w:b/>
          <w:color w:val="auto"/>
          <w:sz w:val="24"/>
          <w:szCs w:val="24"/>
          <w:highlight w:val="none"/>
        </w:rPr>
        <w:t>。授权委托书应载明代理人的姓名或者名称、代理事项、具体权限、期限和相关事项。</w:t>
      </w:r>
    </w:p>
    <w:p>
      <w:pPr>
        <w:pStyle w:val="1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pPr>
        <w:pStyle w:val="14"/>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5.质疑供应商为法人或者其他组织的，质疑函应由法定代表人、主要负责人，或者其授权代表签字，并加盖公章。</w:t>
      </w:r>
    </w:p>
    <w:p>
      <w:pPr>
        <w:pStyle w:val="14"/>
        <w:snapToGrid w:val="0"/>
        <w:rPr>
          <w:rFonts w:hint="eastAsia"/>
          <w:b/>
          <w:color w:val="auto"/>
          <w:sz w:val="24"/>
          <w:szCs w:val="24"/>
          <w:highlight w:val="none"/>
        </w:rPr>
      </w:pPr>
    </w:p>
    <w:p>
      <w:pPr>
        <w:spacing w:line="460" w:lineRule="exact"/>
        <w:jc w:val="center"/>
        <w:rPr>
          <w:rFonts w:hint="eastAsia" w:eastAsia="隶书"/>
          <w:color w:val="auto"/>
          <w:sz w:val="44"/>
          <w:highlight w:val="none"/>
        </w:rPr>
      </w:pPr>
      <w:r>
        <w:rPr>
          <w:rFonts w:eastAsia="隶书"/>
          <w:color w:val="auto"/>
          <w:sz w:val="44"/>
          <w:highlight w:val="none"/>
        </w:rPr>
        <w:br w:type="page"/>
      </w:r>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pPr>
        <w:pStyle w:val="1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pPr>
        <w:pStyle w:val="14"/>
        <w:snapToGrid w:val="0"/>
        <w:spacing w:line="360"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pPr>
        <w:pStyle w:val="14"/>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pPr>
        <w:pStyle w:val="1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pPr>
        <w:pStyle w:val="1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pPr>
        <w:pStyle w:val="1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pPr>
        <w:pStyle w:val="1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pPr>
        <w:pStyle w:val="1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pPr>
        <w:pStyle w:val="1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pPr>
        <w:pStyle w:val="1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4"/>
        <w:spacing w:line="360" w:lineRule="auto"/>
        <w:ind w:left="25" w:leftChars="12" w:firstLine="352" w:firstLineChars="147"/>
        <w:rPr>
          <w:rFonts w:hint="eastAsia" w:hAnsi="宋体"/>
          <w:color w:val="auto"/>
          <w:sz w:val="24"/>
          <w:szCs w:val="24"/>
          <w:highlight w:val="none"/>
        </w:rPr>
      </w:pPr>
    </w:p>
    <w:p>
      <w:pPr>
        <w:pStyle w:val="1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pPr>
        <w:pStyle w:val="14"/>
        <w:spacing w:line="360" w:lineRule="auto"/>
        <w:ind w:left="25" w:leftChars="12" w:firstLine="352" w:firstLineChars="147"/>
        <w:rPr>
          <w:rFonts w:hint="eastAsia" w:hAnsi="宋体"/>
          <w:color w:val="auto"/>
          <w:sz w:val="24"/>
          <w:szCs w:val="24"/>
          <w:highlight w:val="none"/>
        </w:rPr>
      </w:pPr>
    </w:p>
    <w:p>
      <w:pPr>
        <w:pStyle w:val="1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pPr>
        <w:pStyle w:val="14"/>
        <w:snapToGrid w:val="0"/>
        <w:spacing w:line="360" w:lineRule="auto"/>
        <w:rPr>
          <w:rFonts w:hint="eastAsia" w:hAnsi="宋体"/>
          <w:b/>
          <w:color w:val="auto"/>
          <w:sz w:val="24"/>
          <w:szCs w:val="24"/>
          <w:highlight w:val="none"/>
        </w:rPr>
      </w:pPr>
    </w:p>
    <w:p>
      <w:pPr>
        <w:pStyle w:val="1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pPr>
        <w:pStyle w:val="1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pPr>
        <w:pStyle w:val="1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pPr>
        <w:rPr>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 w:name="Helvetica">
    <w:altName w:val="Arial"/>
    <w:panose1 w:val="020B0504020202030204"/>
    <w:charset w:val="00"/>
    <w:family w:val="swiss"/>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39"/>
        <w:tab w:val="clear" w:pos="4153"/>
      </w:tabs>
      <w:jc w:val="both"/>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t>20</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default"/>
        <w:lang w:val="en-US"/>
      </w:rPr>
    </w:pPr>
    <w:r>
      <w:rPr>
        <w:sz w:val="18"/>
        <w:u w:val="single"/>
      </w:rPr>
      <w:pict>
        <v:shape id="PowerPlusWaterMarkObject74846" o:spid="_x0000_s2051" o:spt="136" type="#_x0000_t136" style="position:absolute;left:0pt;height:72.45pt;width:572.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26214f" focussize="0,0"/>
          <v:stroke on="f"/>
          <v:imagedata o:title=""/>
          <o:lock v:ext="edit" aspectratio="t"/>
          <v:textpath on="t" fitshape="t" fitpath="t" trim="t" xscale="f" string="江南区政府采购中心" style="font-family:仿宋;font-size:72pt;v-same-letter-heights:f;v-text-align:center;"/>
        </v:shape>
      </w:pict>
    </w:r>
    <w:r>
      <w:rPr>
        <w:rFonts w:hint="eastAsia"/>
        <w:u w:val="single"/>
        <w:lang w:val="en-US" w:eastAsia="zh-CN"/>
      </w:rPr>
      <w:t xml:space="preserve">                        江南区政府采购中心（项目编号：NNZC2026-J1-050046-NNSJ）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rPr>
        <w:sz w:val="18"/>
      </w:rPr>
      <w:pict>
        <v:shape id="PowerPlusWaterMarkObject91235" o:spid="_x0000_s2049" o:spt="136" type="#_x0000_t136" style="position:absolute;left:0pt;height:72.45pt;width:572.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26214f" focussize="0,0"/>
          <v:stroke on="f"/>
          <v:imagedata o:title=""/>
          <o:lock v:ext="edit" aspectratio="t"/>
          <v:textpath on="t" fitshape="t" fitpath="t" trim="t" xscale="f" string="江南区政府采购中心" style="font-family:仿宋;font-size:72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414C9"/>
    <w:multiLevelType w:val="singleLevel"/>
    <w:tmpl w:val="91C414C9"/>
    <w:lvl w:ilvl="0" w:tentative="0">
      <w:start w:val="1"/>
      <w:numFmt w:val="decimal"/>
      <w:lvlText w:val="%1."/>
      <w:lvlJc w:val="left"/>
      <w:pPr>
        <w:tabs>
          <w:tab w:val="left" w:pos="312"/>
        </w:tabs>
      </w:pPr>
    </w:lvl>
  </w:abstractNum>
  <w:abstractNum w:abstractNumId="1">
    <w:nsid w:val="98544B58"/>
    <w:multiLevelType w:val="singleLevel"/>
    <w:tmpl w:val="98544B58"/>
    <w:lvl w:ilvl="0" w:tentative="0">
      <w:start w:val="1"/>
      <w:numFmt w:val="decimal"/>
      <w:lvlText w:val="%1."/>
      <w:lvlJc w:val="left"/>
      <w:pPr>
        <w:tabs>
          <w:tab w:val="left" w:pos="312"/>
        </w:tabs>
      </w:pPr>
    </w:lvl>
  </w:abstractNum>
  <w:abstractNum w:abstractNumId="2">
    <w:nsid w:val="C12C5E78"/>
    <w:multiLevelType w:val="singleLevel"/>
    <w:tmpl w:val="C12C5E78"/>
    <w:lvl w:ilvl="0" w:tentative="0">
      <w:start w:val="1"/>
      <w:numFmt w:val="decimal"/>
      <w:lvlText w:val="%1."/>
      <w:lvlJc w:val="left"/>
      <w:pPr>
        <w:tabs>
          <w:tab w:val="left" w:pos="312"/>
        </w:tabs>
      </w:pPr>
    </w:lvl>
  </w:abstractNum>
  <w:abstractNum w:abstractNumId="3">
    <w:nsid w:val="C3220934"/>
    <w:multiLevelType w:val="singleLevel"/>
    <w:tmpl w:val="C3220934"/>
    <w:lvl w:ilvl="0" w:tentative="0">
      <w:start w:val="1"/>
      <w:numFmt w:val="decimal"/>
      <w:lvlText w:val="%1."/>
      <w:lvlJc w:val="left"/>
      <w:pPr>
        <w:tabs>
          <w:tab w:val="left" w:pos="312"/>
        </w:tabs>
      </w:pPr>
    </w:lvl>
  </w:abstractNum>
  <w:abstractNum w:abstractNumId="4">
    <w:nsid w:val="C4772223"/>
    <w:multiLevelType w:val="singleLevel"/>
    <w:tmpl w:val="C4772223"/>
    <w:lvl w:ilvl="0" w:tentative="0">
      <w:start w:val="3"/>
      <w:numFmt w:val="chineseCounting"/>
      <w:suff w:val="nothing"/>
      <w:lvlText w:val="%1、"/>
      <w:lvlJc w:val="left"/>
      <w:rPr>
        <w:rFonts w:hint="eastAsia"/>
      </w:rPr>
    </w:lvl>
  </w:abstractNum>
  <w:abstractNum w:abstractNumId="5">
    <w:nsid w:val="F7E48DE0"/>
    <w:multiLevelType w:val="singleLevel"/>
    <w:tmpl w:val="F7E48DE0"/>
    <w:lvl w:ilvl="0" w:tentative="0">
      <w:start w:val="1"/>
      <w:numFmt w:val="decimal"/>
      <w:lvlText w:val="%1."/>
      <w:lvlJc w:val="left"/>
      <w:pPr>
        <w:tabs>
          <w:tab w:val="left" w:pos="312"/>
        </w:tabs>
      </w:pPr>
    </w:lvl>
  </w:abstractNum>
  <w:abstractNum w:abstractNumId="6">
    <w:nsid w:val="F80CD146"/>
    <w:multiLevelType w:val="singleLevel"/>
    <w:tmpl w:val="F80CD146"/>
    <w:lvl w:ilvl="0" w:tentative="0">
      <w:start w:val="1"/>
      <w:numFmt w:val="decimal"/>
      <w:pStyle w:val="6"/>
      <w:lvlText w:val="%1."/>
      <w:lvlJc w:val="left"/>
      <w:pPr>
        <w:tabs>
          <w:tab w:val="left" w:pos="360"/>
        </w:tabs>
        <w:ind w:left="360" w:hanging="360"/>
      </w:pPr>
    </w:lvl>
  </w:abstractNum>
  <w:abstractNum w:abstractNumId="7">
    <w:nsid w:val="080E4BED"/>
    <w:multiLevelType w:val="singleLevel"/>
    <w:tmpl w:val="080E4BED"/>
    <w:lvl w:ilvl="0" w:tentative="0">
      <w:start w:val="1"/>
      <w:numFmt w:val="decimal"/>
      <w:suff w:val="nothing"/>
      <w:lvlText w:val="（%1）"/>
      <w:lvlJc w:val="left"/>
      <w:pPr>
        <w:ind w:left="420" w:leftChars="0" w:firstLine="0" w:firstLineChars="0"/>
      </w:pPr>
    </w:lvl>
  </w:abstractNum>
  <w:abstractNum w:abstractNumId="8">
    <w:nsid w:val="35F888EC"/>
    <w:multiLevelType w:val="singleLevel"/>
    <w:tmpl w:val="35F888EC"/>
    <w:lvl w:ilvl="0" w:tentative="0">
      <w:start w:val="1"/>
      <w:numFmt w:val="decimal"/>
      <w:lvlText w:val="%1."/>
      <w:lvlJc w:val="left"/>
      <w:pPr>
        <w:tabs>
          <w:tab w:val="left" w:pos="312"/>
        </w:tabs>
      </w:pPr>
    </w:lvl>
  </w:abstractNum>
  <w:abstractNum w:abstractNumId="9">
    <w:nsid w:val="3F7CBC16"/>
    <w:multiLevelType w:val="singleLevel"/>
    <w:tmpl w:val="3F7CBC16"/>
    <w:lvl w:ilvl="0" w:tentative="0">
      <w:start w:val="1"/>
      <w:numFmt w:val="decimal"/>
      <w:lvlText w:val="%1."/>
      <w:lvlJc w:val="left"/>
      <w:pPr>
        <w:tabs>
          <w:tab w:val="left" w:pos="312"/>
        </w:tabs>
      </w:pPr>
    </w:lvl>
  </w:abstractNum>
  <w:abstractNum w:abstractNumId="10">
    <w:nsid w:val="5FC0D3C9"/>
    <w:multiLevelType w:val="singleLevel"/>
    <w:tmpl w:val="5FC0D3C9"/>
    <w:lvl w:ilvl="0" w:tentative="0">
      <w:start w:val="1"/>
      <w:numFmt w:val="decimal"/>
      <w:lvlText w:val="%1."/>
      <w:lvlJc w:val="left"/>
      <w:pPr>
        <w:tabs>
          <w:tab w:val="left" w:pos="312"/>
        </w:tabs>
      </w:pPr>
    </w:lvl>
  </w:abstractNum>
  <w:num w:numId="1">
    <w:abstractNumId w:val="6"/>
  </w:num>
  <w:num w:numId="2">
    <w:abstractNumId w:val="0"/>
  </w:num>
  <w:num w:numId="3">
    <w:abstractNumId w:val="10"/>
  </w:num>
  <w:num w:numId="4">
    <w:abstractNumId w:val="8"/>
  </w:num>
  <w:num w:numId="5">
    <w:abstractNumId w:val="2"/>
  </w:num>
  <w:num w:numId="6">
    <w:abstractNumId w:val="9"/>
  </w:num>
  <w:num w:numId="7">
    <w:abstractNumId w:val="3"/>
  </w:num>
  <w:num w:numId="8">
    <w:abstractNumId w:val="5"/>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937A6"/>
    <w:rsid w:val="01E20C87"/>
    <w:rsid w:val="0C37664F"/>
    <w:rsid w:val="0C802B47"/>
    <w:rsid w:val="10492FD5"/>
    <w:rsid w:val="13265B28"/>
    <w:rsid w:val="13A216B8"/>
    <w:rsid w:val="14147FC7"/>
    <w:rsid w:val="14EE07C8"/>
    <w:rsid w:val="16961F1D"/>
    <w:rsid w:val="1BDC1EFB"/>
    <w:rsid w:val="1C8256C5"/>
    <w:rsid w:val="20942964"/>
    <w:rsid w:val="282336E0"/>
    <w:rsid w:val="2B0F6E81"/>
    <w:rsid w:val="2F960F5C"/>
    <w:rsid w:val="302211CE"/>
    <w:rsid w:val="3058687A"/>
    <w:rsid w:val="3079197E"/>
    <w:rsid w:val="36D31AD2"/>
    <w:rsid w:val="3BD777AF"/>
    <w:rsid w:val="3DB75D52"/>
    <w:rsid w:val="47F97EC3"/>
    <w:rsid w:val="4C175774"/>
    <w:rsid w:val="51335FB3"/>
    <w:rsid w:val="53D937A6"/>
    <w:rsid w:val="54627AA9"/>
    <w:rsid w:val="55EE39B1"/>
    <w:rsid w:val="588C14D4"/>
    <w:rsid w:val="6159624C"/>
    <w:rsid w:val="66F84BBE"/>
    <w:rsid w:val="68894F61"/>
    <w:rsid w:val="6EDE4465"/>
    <w:rsid w:val="6F2861E7"/>
    <w:rsid w:val="762A272C"/>
    <w:rsid w:val="7BE12D59"/>
    <w:rsid w:val="7FF7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next w:val="1"/>
    <w:qFormat/>
    <w:uiPriority w:val="0"/>
    <w:rPr>
      <w:rFonts w:ascii="宋体" w:hAnsi="Courier New"/>
      <w:kern w:val="0"/>
      <w:sz w:val="20"/>
      <w:szCs w:val="21"/>
    </w:rPr>
  </w:style>
  <w:style w:type="paragraph" w:styleId="15">
    <w:name w:val="footer"/>
    <w:basedOn w:val="1"/>
    <w:unhideWhenUsed/>
    <w:qFormat/>
    <w:uiPriority w:val="0"/>
    <w:pPr>
      <w:tabs>
        <w:tab w:val="center" w:pos="4153"/>
        <w:tab w:val="right" w:pos="8306"/>
      </w:tabs>
      <w:snapToGrid w:val="0"/>
      <w:jc w:val="left"/>
    </w:pPr>
    <w:rPr>
      <w:kern w:val="0"/>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oc 2"/>
    <w:basedOn w:val="1"/>
    <w:next w:val="1"/>
    <w:unhideWhenUsed/>
    <w:qFormat/>
    <w:uiPriority w:val="39"/>
    <w:pPr>
      <w:tabs>
        <w:tab w:val="right" w:leader="dot" w:pos="8296"/>
      </w:tabs>
      <w:ind w:left="420" w:left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Hyperlink"/>
    <w:unhideWhenUsed/>
    <w:qFormat/>
    <w:uiPriority w:val="99"/>
    <w:rPr>
      <w:color w:val="0000FF"/>
      <w:u w:val="single"/>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6">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2026-05-20T08:36:00Z</dcterms:created>
  <dc:creator>Administrator</dc:creator>
  <cp:lastModifiedBy>Administrator</cp:lastModifiedBy>
  <dcterms:modified xsi:type="dcterms:W3CDTF">2026-05-28T02:35:37Z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957C2666F04546B1B6A4510DD7B630D0</vt:lpwstr>
  </property>
</Properties>
</file>