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drawing>
          <wp:inline distT="0" distB="0" distL="114300" distR="114300">
            <wp:extent cx="5755640" cy="8165465"/>
            <wp:effectExtent l="0" t="0" r="5080" b="3175"/>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10"/>
                    <a:srcRect/>
                    <a:stretch>
                      <a:fillRect/>
                    </a:stretch>
                  </pic:blipFill>
                  <pic:spPr>
                    <a:xfrm>
                      <a:off x="0" y="0"/>
                      <a:ext cx="5755640" cy="8165465"/>
                    </a:xfrm>
                    <a:prstGeom prst="rect">
                      <a:avLst/>
                    </a:prstGeom>
                    <a:noFill/>
                    <a:ln w="9525">
                      <a:noFill/>
                    </a:ln>
                  </pic:spPr>
                </pic:pic>
              </a:graphicData>
            </a:graphic>
          </wp:inline>
        </w:drawing>
      </w:r>
    </w:p>
    <w:p>
      <w:pPr>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pPr>
        <w:pStyle w:val="18"/>
        <w:rPr>
          <w:color w:val="auto"/>
          <w:highlight w:val="none"/>
        </w:rPr>
      </w:pPr>
    </w:p>
    <w:p>
      <w:pPr>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pPr>
        <w:spacing w:line="400" w:lineRule="exact"/>
        <w:jc w:val="center"/>
        <w:rPr>
          <w:rFonts w:hint="eastAsia" w:ascii="宋体" w:hAnsi="宋体"/>
          <w:b/>
          <w:color w:val="auto"/>
          <w:sz w:val="44"/>
          <w:szCs w:val="44"/>
          <w:highlight w:val="none"/>
        </w:rPr>
      </w:pPr>
    </w:p>
    <w:p>
      <w:pPr>
        <w:pStyle w:val="16"/>
        <w:tabs>
          <w:tab w:val="right" w:leader="dot" w:pos="8869"/>
        </w:tabs>
        <w:rPr>
          <w:rFonts w:ascii="Calibri" w:hAnsi="Calibri"/>
          <w:color w:val="auto"/>
          <w:szCs w:val="22"/>
          <w:highlight w:val="none"/>
        </w:rPr>
      </w:pPr>
      <w:r>
        <w:rPr>
          <w:rFonts w:ascii="宋体" w:hAnsi="宋体"/>
          <w:b/>
          <w:color w:val="auto"/>
          <w:sz w:val="30"/>
          <w:szCs w:val="30"/>
          <w:highlight w:val="none"/>
        </w:rPr>
        <w:fldChar w:fldCharType="begin"/>
      </w:r>
      <w:r>
        <w:rPr>
          <w:rFonts w:ascii="宋体" w:hAnsi="宋体"/>
          <w:b/>
          <w:color w:val="auto"/>
          <w:sz w:val="30"/>
          <w:szCs w:val="30"/>
          <w:highlight w:val="none"/>
        </w:rPr>
        <w:instrText xml:space="preserve"> </w:instrText>
      </w:r>
      <w:r>
        <w:rPr>
          <w:rFonts w:hint="eastAsia" w:ascii="宋体" w:hAnsi="宋体"/>
          <w:b/>
          <w:color w:val="auto"/>
          <w:sz w:val="30"/>
          <w:szCs w:val="30"/>
          <w:highlight w:val="none"/>
        </w:rPr>
        <w:instrText xml:space="preserve">TOC \o "1-3" \h \z \u</w:instrText>
      </w:r>
      <w:r>
        <w:rPr>
          <w:rFonts w:ascii="宋体" w:hAnsi="宋体"/>
          <w:b/>
          <w:color w:val="auto"/>
          <w:sz w:val="30"/>
          <w:szCs w:val="30"/>
          <w:highlight w:val="none"/>
        </w:rPr>
        <w:instrText xml:space="preserve"> </w:instrText>
      </w:r>
      <w:r>
        <w:rPr>
          <w:rFonts w:ascii="宋体" w:hAnsi="宋体"/>
          <w:b/>
          <w:color w:val="auto"/>
          <w:sz w:val="30"/>
          <w:szCs w:val="30"/>
          <w:highlight w:val="none"/>
        </w:rPr>
        <w:fldChar w:fldCharType="separate"/>
      </w: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"_Toc80205920"</w:instrText>
      </w:r>
      <w:r>
        <w:rPr>
          <w:rStyle w:val="24"/>
          <w:color w:val="auto"/>
          <w:highlight w:val="none"/>
        </w:rPr>
        <w:instrText xml:space="preserve"> </w:instrText>
      </w:r>
      <w:r>
        <w:rPr>
          <w:rStyle w:val="24"/>
          <w:color w:val="auto"/>
          <w:highlight w:val="none"/>
        </w:rPr>
        <w:fldChar w:fldCharType="separate"/>
      </w:r>
      <w:r>
        <w:rPr>
          <w:rStyle w:val="24"/>
          <w:rFonts w:hint="eastAsia"/>
          <w:color w:val="auto"/>
          <w:highlight w:val="none"/>
        </w:rPr>
        <w:t>第一章</w:t>
      </w:r>
      <w:r>
        <w:rPr>
          <w:rStyle w:val="24"/>
          <w:color w:val="auto"/>
          <w:highlight w:val="none"/>
        </w:rPr>
        <w:t xml:space="preserve"> </w:t>
      </w:r>
      <w:r>
        <w:rPr>
          <w:rStyle w:val="24"/>
          <w:rFonts w:hint="eastAsia"/>
          <w:color w:val="auto"/>
          <w:highlight w:val="none"/>
        </w:rPr>
        <w:t>竞争性谈判公告</w:t>
      </w:r>
      <w:r>
        <w:rPr>
          <w:color w:val="auto"/>
          <w:highlight w:val="none"/>
        </w:rPr>
        <w:tab/>
      </w:r>
      <w:r>
        <w:rPr>
          <w:color w:val="auto"/>
          <w:highlight w:val="none"/>
        </w:rPr>
        <w:fldChar w:fldCharType="begin"/>
      </w:r>
      <w:r>
        <w:rPr>
          <w:color w:val="auto"/>
          <w:highlight w:val="none"/>
        </w:rPr>
        <w:instrText xml:space="preserve"> PAGEREF _Toc80205920 \h </w:instrText>
      </w:r>
      <w:r>
        <w:rPr>
          <w:color w:val="auto"/>
          <w:highlight w:val="none"/>
        </w:rPr>
        <w:fldChar w:fldCharType="separate"/>
      </w:r>
      <w:r>
        <w:rPr>
          <w:color w:val="auto"/>
          <w:highlight w:val="none"/>
        </w:rPr>
        <w:t>2</w:t>
      </w:r>
      <w:r>
        <w:rPr>
          <w:color w:val="auto"/>
          <w:highlight w:val="none"/>
        </w:rPr>
        <w:fldChar w:fldCharType="end"/>
      </w:r>
      <w:r>
        <w:rPr>
          <w:rStyle w:val="24"/>
          <w:color w:val="auto"/>
          <w:highlight w:val="none"/>
        </w:rPr>
        <w:fldChar w:fldCharType="end"/>
      </w:r>
    </w:p>
    <w:p>
      <w:pPr>
        <w:pStyle w:val="16"/>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"_Toc80205921"</w:instrText>
      </w:r>
      <w:r>
        <w:rPr>
          <w:rStyle w:val="24"/>
          <w:color w:val="auto"/>
          <w:highlight w:val="none"/>
        </w:rPr>
        <w:instrText xml:space="preserve"> </w:instrText>
      </w:r>
      <w:r>
        <w:rPr>
          <w:rStyle w:val="24"/>
          <w:color w:val="auto"/>
          <w:highlight w:val="none"/>
        </w:rPr>
        <w:fldChar w:fldCharType="separate"/>
      </w:r>
      <w:r>
        <w:rPr>
          <w:rStyle w:val="24"/>
          <w:rFonts w:hint="eastAsia" w:ascii="Cambria" w:hAnsi="Cambria"/>
          <w:color w:val="auto"/>
          <w:highlight w:val="none"/>
        </w:rPr>
        <w:t>第二章</w:t>
      </w:r>
      <w:r>
        <w:rPr>
          <w:rStyle w:val="24"/>
          <w:rFonts w:ascii="Cambria" w:hAnsi="Cambria"/>
          <w:color w:val="auto"/>
          <w:highlight w:val="none"/>
        </w:rPr>
        <w:t xml:space="preserve"> </w:t>
      </w:r>
      <w:r>
        <w:rPr>
          <w:rStyle w:val="24"/>
          <w:rFonts w:hint="eastAsia" w:ascii="Cambria" w:hAnsi="Cambria"/>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_Toc80205921 \h </w:instrText>
      </w:r>
      <w:r>
        <w:rPr>
          <w:color w:val="auto"/>
          <w:highlight w:val="none"/>
        </w:rPr>
        <w:fldChar w:fldCharType="separate"/>
      </w:r>
      <w:r>
        <w:rPr>
          <w:color w:val="auto"/>
          <w:highlight w:val="none"/>
        </w:rPr>
        <w:t>6</w:t>
      </w:r>
      <w:r>
        <w:rPr>
          <w:color w:val="auto"/>
          <w:highlight w:val="none"/>
        </w:rPr>
        <w:fldChar w:fldCharType="end"/>
      </w:r>
      <w:r>
        <w:rPr>
          <w:rStyle w:val="24"/>
          <w:color w:val="auto"/>
          <w:highlight w:val="none"/>
        </w:rPr>
        <w:fldChar w:fldCharType="end"/>
      </w:r>
    </w:p>
    <w:p>
      <w:pPr>
        <w:pStyle w:val="16"/>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"_Toc80205922"</w:instrText>
      </w:r>
      <w:r>
        <w:rPr>
          <w:rStyle w:val="24"/>
          <w:color w:val="auto"/>
          <w:highlight w:val="none"/>
        </w:rPr>
        <w:instrText xml:space="preserve"> </w:instrText>
      </w:r>
      <w:r>
        <w:rPr>
          <w:rStyle w:val="24"/>
          <w:color w:val="auto"/>
          <w:highlight w:val="none"/>
        </w:rPr>
        <w:fldChar w:fldCharType="separate"/>
      </w:r>
      <w:r>
        <w:rPr>
          <w:rStyle w:val="24"/>
          <w:rFonts w:hint="eastAsia" w:ascii="Cambria" w:hAnsi="Cambria"/>
          <w:color w:val="auto"/>
          <w:highlight w:val="none"/>
        </w:rPr>
        <w:t>第三章</w:t>
      </w:r>
      <w:r>
        <w:rPr>
          <w:rStyle w:val="24"/>
          <w:rFonts w:ascii="Cambria" w:hAnsi="Cambria"/>
          <w:color w:val="auto"/>
          <w:highlight w:val="none"/>
        </w:rPr>
        <w:t xml:space="preserve"> </w:t>
      </w:r>
      <w:r>
        <w:rPr>
          <w:rStyle w:val="24"/>
          <w:rFonts w:hint="eastAsia" w:ascii="Cambria" w:hAnsi="Cambria"/>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_Toc80205922 \h </w:instrText>
      </w:r>
      <w:r>
        <w:rPr>
          <w:color w:val="auto"/>
          <w:highlight w:val="none"/>
        </w:rPr>
        <w:fldChar w:fldCharType="separate"/>
      </w:r>
      <w:r>
        <w:rPr>
          <w:color w:val="auto"/>
          <w:highlight w:val="none"/>
        </w:rPr>
        <w:t>17</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"_Toc80205923"</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第一节</w:t>
      </w:r>
      <w:r>
        <w:rPr>
          <w:rStyle w:val="24"/>
          <w:rFonts w:ascii="宋体" w:hAnsi="宋体"/>
          <w:color w:val="auto"/>
          <w:highlight w:val="none"/>
        </w:rPr>
        <w:t xml:space="preserve"> </w:t>
      </w:r>
      <w:r>
        <w:rPr>
          <w:rStyle w:val="24"/>
          <w:rFonts w:hint="eastAsia" w:ascii="宋体" w:hAnsi="宋体"/>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_Toc80205923 \h </w:instrText>
      </w:r>
      <w:r>
        <w:rPr>
          <w:color w:val="auto"/>
          <w:highlight w:val="none"/>
        </w:rPr>
        <w:fldChar w:fldCharType="separate"/>
      </w:r>
      <w:r>
        <w:rPr>
          <w:color w:val="auto"/>
          <w:highlight w:val="none"/>
        </w:rPr>
        <w:t>17</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"_Toc80205924"</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第二节</w:t>
      </w:r>
      <w:r>
        <w:rPr>
          <w:rStyle w:val="24"/>
          <w:rFonts w:ascii="宋体" w:hAnsi="宋体"/>
          <w:color w:val="auto"/>
          <w:highlight w:val="none"/>
        </w:rPr>
        <w:t xml:space="preserve"> </w:t>
      </w:r>
      <w:r>
        <w:rPr>
          <w:rStyle w:val="24"/>
          <w:rFonts w:hint="eastAsia" w:ascii="宋体" w:hAnsi="宋体"/>
          <w:color w:val="auto"/>
          <w:highlight w:val="none"/>
        </w:rPr>
        <w:t>供应商须知正文</w:t>
      </w:r>
      <w:r>
        <w:rPr>
          <w:color w:val="auto"/>
          <w:highlight w:val="none"/>
        </w:rPr>
        <w:tab/>
      </w:r>
      <w:r>
        <w:rPr>
          <w:color w:val="auto"/>
          <w:highlight w:val="none"/>
        </w:rPr>
        <w:fldChar w:fldCharType="begin"/>
      </w:r>
      <w:r>
        <w:rPr>
          <w:color w:val="auto"/>
          <w:highlight w:val="none"/>
        </w:rPr>
        <w:instrText xml:space="preserve"> PAGEREF _Toc80205924 \h </w:instrText>
      </w:r>
      <w:r>
        <w:rPr>
          <w:color w:val="auto"/>
          <w:highlight w:val="none"/>
        </w:rPr>
        <w:fldChar w:fldCharType="separate"/>
      </w:r>
      <w:r>
        <w:rPr>
          <w:color w:val="auto"/>
          <w:highlight w:val="none"/>
        </w:rPr>
        <w:t>22</w:t>
      </w:r>
      <w:r>
        <w:rPr>
          <w:color w:val="auto"/>
          <w:highlight w:val="none"/>
        </w:rPr>
        <w:fldChar w:fldCharType="end"/>
      </w:r>
      <w:r>
        <w:rPr>
          <w:rStyle w:val="24"/>
          <w:color w:val="auto"/>
          <w:highlight w:val="none"/>
        </w:rPr>
        <w:fldChar w:fldCharType="end"/>
      </w:r>
    </w:p>
    <w:p>
      <w:pPr>
        <w:pStyle w:val="12"/>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"_Toc80205925"</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_Toc80205925 \h </w:instrText>
      </w:r>
      <w:r>
        <w:rPr>
          <w:color w:val="auto"/>
          <w:highlight w:val="none"/>
        </w:rPr>
        <w:fldChar w:fldCharType="separate"/>
      </w:r>
      <w:r>
        <w:rPr>
          <w:color w:val="auto"/>
          <w:highlight w:val="none"/>
        </w:rPr>
        <w:t>22</w:t>
      </w:r>
      <w:r>
        <w:rPr>
          <w:color w:val="auto"/>
          <w:highlight w:val="none"/>
        </w:rPr>
        <w:fldChar w:fldCharType="end"/>
      </w:r>
      <w:r>
        <w:rPr>
          <w:rStyle w:val="24"/>
          <w:color w:val="auto"/>
          <w:highlight w:val="none"/>
        </w:rPr>
        <w:fldChar w:fldCharType="end"/>
      </w:r>
    </w:p>
    <w:p>
      <w:pPr>
        <w:pStyle w:val="12"/>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"_Toc80205926"</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二、谈判文件</w:t>
      </w:r>
      <w:r>
        <w:rPr>
          <w:color w:val="auto"/>
          <w:highlight w:val="none"/>
        </w:rPr>
        <w:tab/>
      </w:r>
      <w:r>
        <w:rPr>
          <w:color w:val="auto"/>
          <w:highlight w:val="none"/>
        </w:rPr>
        <w:fldChar w:fldCharType="begin"/>
      </w:r>
      <w:r>
        <w:rPr>
          <w:color w:val="auto"/>
          <w:highlight w:val="none"/>
        </w:rPr>
        <w:instrText xml:space="preserve"> PAGEREF _Toc80205926 \h </w:instrText>
      </w:r>
      <w:r>
        <w:rPr>
          <w:color w:val="auto"/>
          <w:highlight w:val="none"/>
        </w:rPr>
        <w:fldChar w:fldCharType="separate"/>
      </w:r>
      <w:r>
        <w:rPr>
          <w:color w:val="auto"/>
          <w:highlight w:val="none"/>
        </w:rPr>
        <w:t>24</w:t>
      </w:r>
      <w:r>
        <w:rPr>
          <w:color w:val="auto"/>
          <w:highlight w:val="none"/>
        </w:rPr>
        <w:fldChar w:fldCharType="end"/>
      </w:r>
      <w:r>
        <w:rPr>
          <w:rStyle w:val="24"/>
          <w:color w:val="auto"/>
          <w:highlight w:val="none"/>
        </w:rPr>
        <w:fldChar w:fldCharType="end"/>
      </w:r>
    </w:p>
    <w:p>
      <w:pPr>
        <w:pStyle w:val="12"/>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"_Toc80205927"</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三、响应文件的编制</w:t>
      </w:r>
      <w:r>
        <w:rPr>
          <w:color w:val="auto"/>
          <w:highlight w:val="none"/>
        </w:rPr>
        <w:tab/>
      </w:r>
      <w:r>
        <w:rPr>
          <w:color w:val="auto"/>
          <w:highlight w:val="none"/>
        </w:rPr>
        <w:fldChar w:fldCharType="begin"/>
      </w:r>
      <w:r>
        <w:rPr>
          <w:color w:val="auto"/>
          <w:highlight w:val="none"/>
        </w:rPr>
        <w:instrText xml:space="preserve"> PAGEREF _Toc80205927 \h </w:instrText>
      </w:r>
      <w:r>
        <w:rPr>
          <w:color w:val="auto"/>
          <w:highlight w:val="none"/>
        </w:rPr>
        <w:fldChar w:fldCharType="separate"/>
      </w:r>
      <w:r>
        <w:rPr>
          <w:color w:val="auto"/>
          <w:highlight w:val="none"/>
        </w:rPr>
        <w:t>25</w:t>
      </w:r>
      <w:r>
        <w:rPr>
          <w:color w:val="auto"/>
          <w:highlight w:val="none"/>
        </w:rPr>
        <w:fldChar w:fldCharType="end"/>
      </w:r>
      <w:r>
        <w:rPr>
          <w:rStyle w:val="24"/>
          <w:color w:val="auto"/>
          <w:highlight w:val="none"/>
        </w:rPr>
        <w:fldChar w:fldCharType="end"/>
      </w:r>
    </w:p>
    <w:p>
      <w:pPr>
        <w:pStyle w:val="12"/>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"_Toc80205928"</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四、评审及谈判</w:t>
      </w:r>
      <w:r>
        <w:rPr>
          <w:color w:val="auto"/>
          <w:highlight w:val="none"/>
        </w:rPr>
        <w:tab/>
      </w:r>
      <w:r>
        <w:rPr>
          <w:color w:val="auto"/>
          <w:highlight w:val="none"/>
        </w:rPr>
        <w:fldChar w:fldCharType="begin"/>
      </w:r>
      <w:r>
        <w:rPr>
          <w:color w:val="auto"/>
          <w:highlight w:val="none"/>
        </w:rPr>
        <w:instrText xml:space="preserve"> PAGEREF _Toc80205928 \h </w:instrText>
      </w:r>
      <w:r>
        <w:rPr>
          <w:color w:val="auto"/>
          <w:highlight w:val="none"/>
        </w:rPr>
        <w:fldChar w:fldCharType="separate"/>
      </w:r>
      <w:r>
        <w:rPr>
          <w:color w:val="auto"/>
          <w:highlight w:val="none"/>
        </w:rPr>
        <w:t>27</w:t>
      </w:r>
      <w:r>
        <w:rPr>
          <w:color w:val="auto"/>
          <w:highlight w:val="none"/>
        </w:rPr>
        <w:fldChar w:fldCharType="end"/>
      </w:r>
      <w:r>
        <w:rPr>
          <w:rStyle w:val="24"/>
          <w:color w:val="auto"/>
          <w:highlight w:val="none"/>
        </w:rPr>
        <w:fldChar w:fldCharType="end"/>
      </w:r>
    </w:p>
    <w:p>
      <w:pPr>
        <w:pStyle w:val="12"/>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"_Toc80205929"</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五、成交及合同</w:t>
      </w:r>
      <w:r>
        <w:rPr>
          <w:color w:val="auto"/>
          <w:highlight w:val="none"/>
        </w:rPr>
        <w:tab/>
      </w:r>
      <w:r>
        <w:rPr>
          <w:color w:val="auto"/>
          <w:highlight w:val="none"/>
        </w:rPr>
        <w:fldChar w:fldCharType="begin"/>
      </w:r>
      <w:r>
        <w:rPr>
          <w:color w:val="auto"/>
          <w:highlight w:val="none"/>
        </w:rPr>
        <w:instrText xml:space="preserve"> PAGEREF _Toc80205929 \h </w:instrText>
      </w:r>
      <w:r>
        <w:rPr>
          <w:color w:val="auto"/>
          <w:highlight w:val="none"/>
        </w:rPr>
        <w:fldChar w:fldCharType="separate"/>
      </w:r>
      <w:r>
        <w:rPr>
          <w:color w:val="auto"/>
          <w:highlight w:val="none"/>
        </w:rPr>
        <w:t>28</w:t>
      </w:r>
      <w:r>
        <w:rPr>
          <w:color w:val="auto"/>
          <w:highlight w:val="none"/>
        </w:rPr>
        <w:fldChar w:fldCharType="end"/>
      </w:r>
      <w:r>
        <w:rPr>
          <w:rStyle w:val="24"/>
          <w:color w:val="auto"/>
          <w:highlight w:val="none"/>
        </w:rPr>
        <w:fldChar w:fldCharType="end"/>
      </w:r>
    </w:p>
    <w:p>
      <w:pPr>
        <w:pStyle w:val="12"/>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"_Toc80205930"</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六、验收</w:t>
      </w:r>
      <w:r>
        <w:rPr>
          <w:color w:val="auto"/>
          <w:highlight w:val="none"/>
        </w:rPr>
        <w:tab/>
      </w:r>
      <w:r>
        <w:rPr>
          <w:color w:val="auto"/>
          <w:highlight w:val="none"/>
        </w:rPr>
        <w:fldChar w:fldCharType="begin"/>
      </w:r>
      <w:r>
        <w:rPr>
          <w:color w:val="auto"/>
          <w:highlight w:val="none"/>
        </w:rPr>
        <w:instrText xml:space="preserve"> PAGEREF _Toc80205930 \h </w:instrText>
      </w:r>
      <w:r>
        <w:rPr>
          <w:color w:val="auto"/>
          <w:highlight w:val="none"/>
        </w:rPr>
        <w:fldChar w:fldCharType="separate"/>
      </w:r>
      <w:r>
        <w:rPr>
          <w:color w:val="auto"/>
          <w:highlight w:val="none"/>
        </w:rPr>
        <w:t>31</w:t>
      </w:r>
      <w:r>
        <w:rPr>
          <w:color w:val="auto"/>
          <w:highlight w:val="none"/>
        </w:rPr>
        <w:fldChar w:fldCharType="end"/>
      </w:r>
      <w:r>
        <w:rPr>
          <w:rStyle w:val="24"/>
          <w:color w:val="auto"/>
          <w:highlight w:val="none"/>
        </w:rPr>
        <w:fldChar w:fldCharType="end"/>
      </w:r>
    </w:p>
    <w:p>
      <w:pPr>
        <w:pStyle w:val="12"/>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"_Toc80205931"</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七、其他事项</w:t>
      </w:r>
      <w:r>
        <w:rPr>
          <w:color w:val="auto"/>
          <w:highlight w:val="none"/>
        </w:rPr>
        <w:tab/>
      </w:r>
      <w:r>
        <w:rPr>
          <w:color w:val="auto"/>
          <w:highlight w:val="none"/>
        </w:rPr>
        <w:fldChar w:fldCharType="begin"/>
      </w:r>
      <w:r>
        <w:rPr>
          <w:color w:val="auto"/>
          <w:highlight w:val="none"/>
        </w:rPr>
        <w:instrText xml:space="preserve"> PAGEREF _Toc80205931 \h </w:instrText>
      </w:r>
      <w:r>
        <w:rPr>
          <w:color w:val="auto"/>
          <w:highlight w:val="none"/>
        </w:rPr>
        <w:fldChar w:fldCharType="separate"/>
      </w:r>
      <w:r>
        <w:rPr>
          <w:color w:val="auto"/>
          <w:highlight w:val="none"/>
        </w:rPr>
        <w:t>31</w:t>
      </w:r>
      <w:r>
        <w:rPr>
          <w:color w:val="auto"/>
          <w:highlight w:val="none"/>
        </w:rPr>
        <w:fldChar w:fldCharType="end"/>
      </w:r>
      <w:r>
        <w:rPr>
          <w:rStyle w:val="24"/>
          <w:color w:val="auto"/>
          <w:highlight w:val="none"/>
        </w:rPr>
        <w:fldChar w:fldCharType="end"/>
      </w:r>
    </w:p>
    <w:p>
      <w:pPr>
        <w:pStyle w:val="16"/>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"_Toc80205932"</w:instrText>
      </w:r>
      <w:r>
        <w:rPr>
          <w:rStyle w:val="24"/>
          <w:color w:val="auto"/>
          <w:highlight w:val="none"/>
        </w:rPr>
        <w:instrText xml:space="preserve"> </w:instrText>
      </w:r>
      <w:r>
        <w:rPr>
          <w:rStyle w:val="24"/>
          <w:color w:val="auto"/>
          <w:highlight w:val="none"/>
        </w:rPr>
        <w:fldChar w:fldCharType="separate"/>
      </w:r>
      <w:r>
        <w:rPr>
          <w:rStyle w:val="24"/>
          <w:rFonts w:hint="eastAsia"/>
          <w:color w:val="auto"/>
          <w:highlight w:val="none"/>
        </w:rPr>
        <w:t>第四章</w:t>
      </w:r>
      <w:r>
        <w:rPr>
          <w:rStyle w:val="24"/>
          <w:color w:val="auto"/>
          <w:highlight w:val="none"/>
        </w:rPr>
        <w:t xml:space="preserve">  </w:t>
      </w:r>
      <w:r>
        <w:rPr>
          <w:rStyle w:val="24"/>
          <w:rFonts w:hint="eastAsia"/>
          <w:color w:val="auto"/>
          <w:highlight w:val="none"/>
        </w:rPr>
        <w:t>评审程序、评审方法和成交标准</w:t>
      </w:r>
      <w:r>
        <w:rPr>
          <w:color w:val="auto"/>
          <w:highlight w:val="none"/>
        </w:rPr>
        <w:tab/>
      </w:r>
      <w:r>
        <w:rPr>
          <w:color w:val="auto"/>
          <w:highlight w:val="none"/>
        </w:rPr>
        <w:fldChar w:fldCharType="begin"/>
      </w:r>
      <w:r>
        <w:rPr>
          <w:color w:val="auto"/>
          <w:highlight w:val="none"/>
        </w:rPr>
        <w:instrText xml:space="preserve"> PAGEREF _Toc80205932 \h </w:instrText>
      </w:r>
      <w:r>
        <w:rPr>
          <w:color w:val="auto"/>
          <w:highlight w:val="none"/>
        </w:rPr>
        <w:fldChar w:fldCharType="separate"/>
      </w:r>
      <w:r>
        <w:rPr>
          <w:color w:val="auto"/>
          <w:highlight w:val="none"/>
        </w:rPr>
        <w:t>33</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"_Toc80205933"</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第一节</w:t>
      </w:r>
      <w:r>
        <w:rPr>
          <w:rStyle w:val="24"/>
          <w:rFonts w:ascii="宋体" w:hAnsi="宋体"/>
          <w:color w:val="auto"/>
          <w:highlight w:val="none"/>
        </w:rPr>
        <w:t xml:space="preserve"> </w:t>
      </w:r>
      <w:r>
        <w:rPr>
          <w:rStyle w:val="24"/>
          <w:rFonts w:hint="eastAsia" w:ascii="宋体" w:hAnsi="宋体"/>
          <w:color w:val="auto"/>
          <w:highlight w:val="none"/>
        </w:rPr>
        <w:t>评审程序和评审方法</w:t>
      </w:r>
      <w:r>
        <w:rPr>
          <w:color w:val="auto"/>
          <w:highlight w:val="none"/>
        </w:rPr>
        <w:tab/>
      </w:r>
      <w:r>
        <w:rPr>
          <w:color w:val="auto"/>
          <w:highlight w:val="none"/>
        </w:rPr>
        <w:fldChar w:fldCharType="begin"/>
      </w:r>
      <w:r>
        <w:rPr>
          <w:color w:val="auto"/>
          <w:highlight w:val="none"/>
        </w:rPr>
        <w:instrText xml:space="preserve"> PAGEREF _Toc80205933 \h </w:instrText>
      </w:r>
      <w:r>
        <w:rPr>
          <w:color w:val="auto"/>
          <w:highlight w:val="none"/>
        </w:rPr>
        <w:fldChar w:fldCharType="separate"/>
      </w:r>
      <w:r>
        <w:rPr>
          <w:color w:val="auto"/>
          <w:highlight w:val="none"/>
        </w:rPr>
        <w:t>33</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"_Toc80205934"</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第二节</w:t>
      </w:r>
      <w:r>
        <w:rPr>
          <w:rStyle w:val="24"/>
          <w:rFonts w:ascii="宋体" w:hAnsi="宋体"/>
          <w:color w:val="auto"/>
          <w:highlight w:val="none"/>
        </w:rPr>
        <w:t xml:space="preserve"> </w:t>
      </w:r>
      <w:r>
        <w:rPr>
          <w:rStyle w:val="24"/>
          <w:rFonts w:hint="eastAsia" w:ascii="宋体" w:hAnsi="宋体"/>
          <w:color w:val="auto"/>
          <w:highlight w:val="none"/>
        </w:rPr>
        <w:t>评审原则</w:t>
      </w:r>
      <w:r>
        <w:rPr>
          <w:color w:val="auto"/>
          <w:highlight w:val="none"/>
        </w:rPr>
        <w:tab/>
      </w:r>
      <w:r>
        <w:rPr>
          <w:color w:val="auto"/>
          <w:highlight w:val="none"/>
        </w:rPr>
        <w:fldChar w:fldCharType="begin"/>
      </w:r>
      <w:r>
        <w:rPr>
          <w:color w:val="auto"/>
          <w:highlight w:val="none"/>
        </w:rPr>
        <w:instrText xml:space="preserve"> PAGEREF _Toc80205934 \h </w:instrText>
      </w:r>
      <w:r>
        <w:rPr>
          <w:color w:val="auto"/>
          <w:highlight w:val="none"/>
        </w:rPr>
        <w:fldChar w:fldCharType="separate"/>
      </w:r>
      <w:r>
        <w:rPr>
          <w:color w:val="auto"/>
          <w:highlight w:val="none"/>
        </w:rPr>
        <w:t>37</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"_Toc80205935"</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第三节</w:t>
      </w:r>
      <w:r>
        <w:rPr>
          <w:rStyle w:val="24"/>
          <w:rFonts w:ascii="宋体" w:hAnsi="宋体"/>
          <w:color w:val="auto"/>
          <w:highlight w:val="none"/>
        </w:rPr>
        <w:t xml:space="preserve"> </w:t>
      </w:r>
      <w:r>
        <w:rPr>
          <w:rStyle w:val="24"/>
          <w:rFonts w:hint="eastAsia" w:ascii="宋体" w:hAnsi="宋体"/>
          <w:color w:val="auto"/>
          <w:highlight w:val="none"/>
        </w:rPr>
        <w:t>评标报告</w:t>
      </w:r>
      <w:r>
        <w:rPr>
          <w:color w:val="auto"/>
          <w:highlight w:val="none"/>
        </w:rPr>
        <w:tab/>
      </w:r>
      <w:r>
        <w:rPr>
          <w:color w:val="auto"/>
          <w:highlight w:val="none"/>
        </w:rPr>
        <w:fldChar w:fldCharType="begin"/>
      </w:r>
      <w:r>
        <w:rPr>
          <w:color w:val="auto"/>
          <w:highlight w:val="none"/>
        </w:rPr>
        <w:instrText xml:space="preserve"> PAGEREF _Toc80205935 \h </w:instrText>
      </w:r>
      <w:r>
        <w:rPr>
          <w:color w:val="auto"/>
          <w:highlight w:val="none"/>
        </w:rPr>
        <w:fldChar w:fldCharType="separate"/>
      </w:r>
      <w:r>
        <w:rPr>
          <w:color w:val="auto"/>
          <w:highlight w:val="none"/>
        </w:rPr>
        <w:t>38</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"_Toc80205936"</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第四节</w:t>
      </w:r>
      <w:r>
        <w:rPr>
          <w:rStyle w:val="24"/>
          <w:rFonts w:ascii="宋体" w:hAnsi="宋体"/>
          <w:color w:val="auto"/>
          <w:highlight w:val="none"/>
        </w:rPr>
        <w:t xml:space="preserve"> </w:t>
      </w:r>
      <w:r>
        <w:rPr>
          <w:rStyle w:val="24"/>
          <w:rFonts w:hint="eastAsia" w:ascii="宋体" w:hAnsi="宋体"/>
          <w:color w:val="auto"/>
          <w:highlight w:val="none"/>
        </w:rPr>
        <w:t>评审过程的保密与录像</w:t>
      </w:r>
      <w:r>
        <w:rPr>
          <w:color w:val="auto"/>
          <w:highlight w:val="none"/>
        </w:rPr>
        <w:tab/>
      </w:r>
      <w:r>
        <w:rPr>
          <w:color w:val="auto"/>
          <w:highlight w:val="none"/>
        </w:rPr>
        <w:fldChar w:fldCharType="begin"/>
      </w:r>
      <w:r>
        <w:rPr>
          <w:color w:val="auto"/>
          <w:highlight w:val="none"/>
        </w:rPr>
        <w:instrText xml:space="preserve"> PAGEREF _Toc80205936 \h </w:instrText>
      </w:r>
      <w:r>
        <w:rPr>
          <w:color w:val="auto"/>
          <w:highlight w:val="none"/>
        </w:rPr>
        <w:fldChar w:fldCharType="separate"/>
      </w:r>
      <w:r>
        <w:rPr>
          <w:color w:val="auto"/>
          <w:highlight w:val="none"/>
        </w:rPr>
        <w:t>39</w:t>
      </w:r>
      <w:r>
        <w:rPr>
          <w:color w:val="auto"/>
          <w:highlight w:val="none"/>
        </w:rPr>
        <w:fldChar w:fldCharType="end"/>
      </w:r>
      <w:r>
        <w:rPr>
          <w:rStyle w:val="24"/>
          <w:color w:val="auto"/>
          <w:highlight w:val="none"/>
        </w:rPr>
        <w:fldChar w:fldCharType="end"/>
      </w:r>
    </w:p>
    <w:p>
      <w:pPr>
        <w:pStyle w:val="16"/>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"_Toc80205937"</w:instrText>
      </w:r>
      <w:r>
        <w:rPr>
          <w:rStyle w:val="24"/>
          <w:color w:val="auto"/>
          <w:highlight w:val="none"/>
        </w:rPr>
        <w:instrText xml:space="preserve"> </w:instrText>
      </w:r>
      <w:r>
        <w:rPr>
          <w:rStyle w:val="24"/>
          <w:color w:val="auto"/>
          <w:highlight w:val="none"/>
        </w:rPr>
        <w:fldChar w:fldCharType="separate"/>
      </w:r>
      <w:r>
        <w:rPr>
          <w:rStyle w:val="24"/>
          <w:rFonts w:hint="eastAsia"/>
          <w:color w:val="auto"/>
          <w:highlight w:val="none"/>
        </w:rPr>
        <w:t>第五章</w:t>
      </w:r>
      <w:r>
        <w:rPr>
          <w:rStyle w:val="24"/>
          <w:color w:val="auto"/>
          <w:highlight w:val="none"/>
        </w:rPr>
        <w:t xml:space="preserve"> </w:t>
      </w:r>
      <w:r>
        <w:rPr>
          <w:rStyle w:val="24"/>
          <w:rFonts w:hint="eastAsia"/>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_Toc80205937 \h </w:instrText>
      </w:r>
      <w:r>
        <w:rPr>
          <w:color w:val="auto"/>
          <w:highlight w:val="none"/>
        </w:rPr>
        <w:fldChar w:fldCharType="separate"/>
      </w:r>
      <w:r>
        <w:rPr>
          <w:color w:val="auto"/>
          <w:highlight w:val="none"/>
        </w:rPr>
        <w:t>40</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"_Toc80205938"</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第一节</w:t>
      </w:r>
      <w:r>
        <w:rPr>
          <w:rStyle w:val="24"/>
          <w:rFonts w:ascii="宋体" w:hAnsi="宋体"/>
          <w:color w:val="auto"/>
          <w:highlight w:val="none"/>
        </w:rPr>
        <w:t xml:space="preserve"> </w:t>
      </w:r>
      <w:r>
        <w:rPr>
          <w:rStyle w:val="24"/>
          <w:rFonts w:hint="eastAsia" w:ascii="宋体" w:hAnsi="宋体"/>
          <w:color w:val="auto"/>
          <w:highlight w:val="none"/>
        </w:rPr>
        <w:t>封面格式</w:t>
      </w:r>
      <w:r>
        <w:rPr>
          <w:color w:val="auto"/>
          <w:highlight w:val="none"/>
        </w:rPr>
        <w:tab/>
      </w:r>
      <w:r>
        <w:rPr>
          <w:color w:val="auto"/>
          <w:highlight w:val="none"/>
        </w:rPr>
        <w:fldChar w:fldCharType="begin"/>
      </w:r>
      <w:r>
        <w:rPr>
          <w:color w:val="auto"/>
          <w:highlight w:val="none"/>
        </w:rPr>
        <w:instrText xml:space="preserve"> PAGEREF _Toc80205938 \h </w:instrText>
      </w:r>
      <w:r>
        <w:rPr>
          <w:color w:val="auto"/>
          <w:highlight w:val="none"/>
        </w:rPr>
        <w:fldChar w:fldCharType="separate"/>
      </w:r>
      <w:r>
        <w:rPr>
          <w:color w:val="auto"/>
          <w:highlight w:val="none"/>
        </w:rPr>
        <w:t>41</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"_Toc80205939"</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bCs/>
          <w:color w:val="auto"/>
          <w:highlight w:val="none"/>
        </w:rPr>
        <w:t>第二节</w:t>
      </w:r>
      <w:r>
        <w:rPr>
          <w:rStyle w:val="24"/>
          <w:rFonts w:ascii="宋体" w:hAnsi="宋体"/>
          <w:bCs/>
          <w:color w:val="auto"/>
          <w:highlight w:val="none"/>
        </w:rPr>
        <w:t xml:space="preserve"> </w:t>
      </w:r>
      <w:r>
        <w:rPr>
          <w:rStyle w:val="24"/>
          <w:rFonts w:hint="eastAsia" w:ascii="宋体" w:hAnsi="宋体"/>
          <w:bCs/>
          <w:color w:val="auto"/>
          <w:highlight w:val="none"/>
        </w:rPr>
        <w:t>资格证明文件格式</w:t>
      </w:r>
      <w:r>
        <w:rPr>
          <w:color w:val="auto"/>
          <w:highlight w:val="none"/>
        </w:rPr>
        <w:tab/>
      </w:r>
      <w:r>
        <w:rPr>
          <w:color w:val="auto"/>
          <w:highlight w:val="none"/>
        </w:rPr>
        <w:fldChar w:fldCharType="begin"/>
      </w:r>
      <w:r>
        <w:rPr>
          <w:color w:val="auto"/>
          <w:highlight w:val="none"/>
        </w:rPr>
        <w:instrText xml:space="preserve"> PAGEREF _Toc80205939 \h </w:instrText>
      </w:r>
      <w:r>
        <w:rPr>
          <w:color w:val="auto"/>
          <w:highlight w:val="none"/>
        </w:rPr>
        <w:fldChar w:fldCharType="separate"/>
      </w:r>
      <w:r>
        <w:rPr>
          <w:color w:val="auto"/>
          <w:highlight w:val="none"/>
        </w:rPr>
        <w:t>42</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"_Toc80205940"</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第二节</w:t>
      </w:r>
      <w:r>
        <w:rPr>
          <w:rStyle w:val="24"/>
          <w:rFonts w:ascii="宋体" w:hAnsi="宋体"/>
          <w:color w:val="auto"/>
          <w:highlight w:val="none"/>
        </w:rPr>
        <w:t xml:space="preserve"> </w:t>
      </w:r>
      <w:r>
        <w:rPr>
          <w:rStyle w:val="24"/>
          <w:rFonts w:hint="eastAsia" w:ascii="宋体" w:hAnsi="宋体"/>
          <w:color w:val="auto"/>
          <w:highlight w:val="none"/>
        </w:rPr>
        <w:t>商务技术文件格式</w:t>
      </w:r>
      <w:r>
        <w:rPr>
          <w:color w:val="auto"/>
          <w:highlight w:val="none"/>
        </w:rPr>
        <w:tab/>
      </w:r>
      <w:r>
        <w:rPr>
          <w:color w:val="auto"/>
          <w:highlight w:val="none"/>
        </w:rPr>
        <w:fldChar w:fldCharType="begin"/>
      </w:r>
      <w:r>
        <w:rPr>
          <w:color w:val="auto"/>
          <w:highlight w:val="none"/>
        </w:rPr>
        <w:instrText xml:space="preserve"> PAGEREF _Toc80205940 \h </w:instrText>
      </w:r>
      <w:r>
        <w:rPr>
          <w:color w:val="auto"/>
          <w:highlight w:val="none"/>
        </w:rPr>
        <w:fldChar w:fldCharType="separate"/>
      </w:r>
      <w:r>
        <w:rPr>
          <w:color w:val="auto"/>
          <w:highlight w:val="none"/>
        </w:rPr>
        <w:t>48</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"_Toc80205941"</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第三节</w:t>
      </w:r>
      <w:r>
        <w:rPr>
          <w:rStyle w:val="24"/>
          <w:rFonts w:ascii="宋体" w:hAnsi="宋体"/>
          <w:color w:val="auto"/>
          <w:highlight w:val="none"/>
        </w:rPr>
        <w:t xml:space="preserve"> </w:t>
      </w:r>
      <w:r>
        <w:rPr>
          <w:rStyle w:val="24"/>
          <w:rFonts w:hint="eastAsia" w:ascii="宋体" w:hAnsi="宋体"/>
          <w:color w:val="auto"/>
          <w:highlight w:val="none"/>
        </w:rPr>
        <w:t>报价文件格式</w:t>
      </w:r>
      <w:r>
        <w:rPr>
          <w:color w:val="auto"/>
          <w:highlight w:val="none"/>
        </w:rPr>
        <w:tab/>
      </w:r>
      <w:r>
        <w:rPr>
          <w:color w:val="auto"/>
          <w:highlight w:val="none"/>
        </w:rPr>
        <w:fldChar w:fldCharType="begin"/>
      </w:r>
      <w:r>
        <w:rPr>
          <w:color w:val="auto"/>
          <w:highlight w:val="none"/>
        </w:rPr>
        <w:instrText xml:space="preserve"> PAGEREF _Toc80205941 \h </w:instrText>
      </w:r>
      <w:r>
        <w:rPr>
          <w:color w:val="auto"/>
          <w:highlight w:val="none"/>
        </w:rPr>
        <w:fldChar w:fldCharType="separate"/>
      </w:r>
      <w:r>
        <w:rPr>
          <w:color w:val="auto"/>
          <w:highlight w:val="none"/>
        </w:rPr>
        <w:t>63</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"_Toc80205942"</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第四节</w:t>
      </w:r>
      <w:r>
        <w:rPr>
          <w:rStyle w:val="24"/>
          <w:rFonts w:ascii="宋体" w:hAnsi="宋体"/>
          <w:color w:val="auto"/>
          <w:highlight w:val="none"/>
        </w:rPr>
        <w:t xml:space="preserve"> </w:t>
      </w:r>
      <w:r>
        <w:rPr>
          <w:rStyle w:val="24"/>
          <w:rFonts w:hint="eastAsia" w:ascii="宋体" w:hAnsi="宋体"/>
          <w:color w:val="auto"/>
          <w:highlight w:val="none"/>
        </w:rPr>
        <w:t>其他文书、文件格式</w:t>
      </w:r>
      <w:r>
        <w:rPr>
          <w:color w:val="auto"/>
          <w:highlight w:val="none"/>
        </w:rPr>
        <w:tab/>
      </w:r>
      <w:r>
        <w:rPr>
          <w:color w:val="auto"/>
          <w:highlight w:val="none"/>
        </w:rPr>
        <w:fldChar w:fldCharType="begin"/>
      </w:r>
      <w:r>
        <w:rPr>
          <w:color w:val="auto"/>
          <w:highlight w:val="none"/>
        </w:rPr>
        <w:instrText xml:space="preserve"> PAGEREF _Toc80205942 \h </w:instrText>
      </w:r>
      <w:r>
        <w:rPr>
          <w:color w:val="auto"/>
          <w:highlight w:val="none"/>
        </w:rPr>
        <w:fldChar w:fldCharType="separate"/>
      </w:r>
      <w:r>
        <w:rPr>
          <w:color w:val="auto"/>
          <w:highlight w:val="none"/>
        </w:rPr>
        <w:t>69</w:t>
      </w:r>
      <w:r>
        <w:rPr>
          <w:color w:val="auto"/>
          <w:highlight w:val="none"/>
        </w:rPr>
        <w:fldChar w:fldCharType="end"/>
      </w:r>
      <w:r>
        <w:rPr>
          <w:rStyle w:val="24"/>
          <w:color w:val="auto"/>
          <w:highlight w:val="none"/>
        </w:rPr>
        <w:fldChar w:fldCharType="end"/>
      </w:r>
    </w:p>
    <w:p>
      <w:pPr>
        <w:pStyle w:val="16"/>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"_Toc80205943"</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第六章</w:t>
      </w:r>
      <w:r>
        <w:rPr>
          <w:rStyle w:val="24"/>
          <w:rFonts w:ascii="宋体" w:hAnsi="宋体"/>
          <w:color w:val="auto"/>
          <w:highlight w:val="none"/>
        </w:rPr>
        <w:t xml:space="preserve">  </w:t>
      </w:r>
      <w:r>
        <w:rPr>
          <w:rStyle w:val="24"/>
          <w:rFonts w:hint="eastAsia" w:ascii="宋体" w:hAnsi="宋体"/>
          <w:color w:val="auto"/>
          <w:highlight w:val="none"/>
        </w:rPr>
        <w:t>合同文本</w:t>
      </w:r>
      <w:r>
        <w:rPr>
          <w:color w:val="auto"/>
          <w:highlight w:val="none"/>
        </w:rPr>
        <w:tab/>
      </w:r>
      <w:r>
        <w:rPr>
          <w:color w:val="auto"/>
          <w:highlight w:val="none"/>
        </w:rPr>
        <w:fldChar w:fldCharType="begin"/>
      </w:r>
      <w:r>
        <w:rPr>
          <w:color w:val="auto"/>
          <w:highlight w:val="none"/>
        </w:rPr>
        <w:instrText xml:space="preserve"> PAGEREF _Toc80205943 \h </w:instrText>
      </w:r>
      <w:r>
        <w:rPr>
          <w:color w:val="auto"/>
          <w:highlight w:val="none"/>
        </w:rPr>
        <w:fldChar w:fldCharType="separate"/>
      </w:r>
      <w:r>
        <w:rPr>
          <w:color w:val="auto"/>
          <w:highlight w:val="none"/>
        </w:rPr>
        <w:t>71</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"_Toc80205944"</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第一部分</w:t>
      </w:r>
      <w:r>
        <w:rPr>
          <w:rStyle w:val="24"/>
          <w:rFonts w:ascii="宋体" w:hAnsi="宋体"/>
          <w:color w:val="auto"/>
          <w:highlight w:val="none"/>
        </w:rPr>
        <w:t xml:space="preserve"> </w:t>
      </w:r>
      <w:r>
        <w:rPr>
          <w:rStyle w:val="24"/>
          <w:rFonts w:hint="eastAsia" w:ascii="宋体" w:hAnsi="宋体"/>
          <w:color w:val="auto"/>
          <w:highlight w:val="none"/>
        </w:rPr>
        <w:t>合同书</w:t>
      </w:r>
      <w:r>
        <w:rPr>
          <w:color w:val="auto"/>
          <w:highlight w:val="none"/>
        </w:rPr>
        <w:tab/>
      </w:r>
      <w:r>
        <w:rPr>
          <w:color w:val="auto"/>
          <w:highlight w:val="none"/>
        </w:rPr>
        <w:fldChar w:fldCharType="begin"/>
      </w:r>
      <w:r>
        <w:rPr>
          <w:color w:val="auto"/>
          <w:highlight w:val="none"/>
        </w:rPr>
        <w:instrText xml:space="preserve"> PAGEREF _Toc80205944 \h </w:instrText>
      </w:r>
      <w:r>
        <w:rPr>
          <w:color w:val="auto"/>
          <w:highlight w:val="none"/>
        </w:rPr>
        <w:fldChar w:fldCharType="separate"/>
      </w:r>
      <w:r>
        <w:rPr>
          <w:color w:val="auto"/>
          <w:highlight w:val="none"/>
        </w:rPr>
        <w:t>74</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"_Toc80205945"</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第二部分</w:t>
      </w:r>
      <w:r>
        <w:rPr>
          <w:rStyle w:val="24"/>
          <w:rFonts w:ascii="宋体" w:hAnsi="宋体"/>
          <w:color w:val="auto"/>
          <w:highlight w:val="none"/>
        </w:rPr>
        <w:t xml:space="preserve"> </w:t>
      </w:r>
      <w:r>
        <w:rPr>
          <w:rStyle w:val="24"/>
          <w:rFonts w:hint="eastAsia" w:ascii="宋体" w:hAnsi="宋体"/>
          <w:color w:val="auto"/>
          <w:highlight w:val="none"/>
        </w:rPr>
        <w:t>合同一般条款</w:t>
      </w:r>
      <w:r>
        <w:rPr>
          <w:color w:val="auto"/>
          <w:highlight w:val="none"/>
        </w:rPr>
        <w:tab/>
      </w:r>
      <w:r>
        <w:rPr>
          <w:color w:val="auto"/>
          <w:highlight w:val="none"/>
        </w:rPr>
        <w:fldChar w:fldCharType="begin"/>
      </w:r>
      <w:r>
        <w:rPr>
          <w:color w:val="auto"/>
          <w:highlight w:val="none"/>
        </w:rPr>
        <w:instrText xml:space="preserve"> PAGEREF _Toc80205945 \h </w:instrText>
      </w:r>
      <w:r>
        <w:rPr>
          <w:color w:val="auto"/>
          <w:highlight w:val="none"/>
        </w:rPr>
        <w:fldChar w:fldCharType="separate"/>
      </w:r>
      <w:r>
        <w:rPr>
          <w:color w:val="auto"/>
          <w:highlight w:val="none"/>
        </w:rPr>
        <w:t>78</w:t>
      </w:r>
      <w:r>
        <w:rPr>
          <w:color w:val="auto"/>
          <w:highlight w:val="none"/>
        </w:rPr>
        <w:fldChar w:fldCharType="end"/>
      </w:r>
      <w:r>
        <w:rPr>
          <w:rStyle w:val="24"/>
          <w:color w:val="auto"/>
          <w:highlight w:val="none"/>
        </w:rPr>
        <w:fldChar w:fldCharType="end"/>
      </w:r>
    </w:p>
    <w:p>
      <w:pPr>
        <w:pStyle w:val="19"/>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"_Toc80205946"</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olor w:val="auto"/>
          <w:highlight w:val="none"/>
        </w:rPr>
        <w:t>第三部分</w:t>
      </w:r>
      <w:r>
        <w:rPr>
          <w:rStyle w:val="24"/>
          <w:rFonts w:ascii="宋体" w:hAnsi="宋体"/>
          <w:color w:val="auto"/>
          <w:highlight w:val="none"/>
        </w:rPr>
        <w:t xml:space="preserve">  </w:t>
      </w:r>
      <w:r>
        <w:rPr>
          <w:rStyle w:val="24"/>
          <w:rFonts w:hint="eastAsia" w:ascii="宋体" w:hAnsi="宋体"/>
          <w:color w:val="auto"/>
          <w:highlight w:val="none"/>
        </w:rPr>
        <w:t>合同专用条款</w:t>
      </w:r>
      <w:r>
        <w:rPr>
          <w:color w:val="auto"/>
          <w:highlight w:val="none"/>
        </w:rPr>
        <w:tab/>
      </w:r>
      <w:r>
        <w:rPr>
          <w:color w:val="auto"/>
          <w:highlight w:val="none"/>
        </w:rPr>
        <w:fldChar w:fldCharType="begin"/>
      </w:r>
      <w:r>
        <w:rPr>
          <w:color w:val="auto"/>
          <w:highlight w:val="none"/>
        </w:rPr>
        <w:instrText xml:space="preserve"> PAGEREF _Toc80205946 \h </w:instrText>
      </w:r>
      <w:r>
        <w:rPr>
          <w:color w:val="auto"/>
          <w:highlight w:val="none"/>
        </w:rPr>
        <w:fldChar w:fldCharType="separate"/>
      </w:r>
      <w:r>
        <w:rPr>
          <w:color w:val="auto"/>
          <w:highlight w:val="none"/>
        </w:rPr>
        <w:t>83</w:t>
      </w:r>
      <w:r>
        <w:rPr>
          <w:color w:val="auto"/>
          <w:highlight w:val="none"/>
        </w:rPr>
        <w:fldChar w:fldCharType="end"/>
      </w:r>
      <w:r>
        <w:rPr>
          <w:rStyle w:val="24"/>
          <w:color w:val="auto"/>
          <w:highlight w:val="none"/>
        </w:rPr>
        <w:fldChar w:fldCharType="end"/>
      </w:r>
    </w:p>
    <w:p>
      <w:pPr>
        <w:pStyle w:val="16"/>
        <w:tabs>
          <w:tab w:val="right" w:leader="dot" w:pos="8869"/>
        </w:tabs>
        <w:rPr>
          <w:rFonts w:ascii="Calibri" w:hAnsi="Calibri"/>
          <w:color w:val="auto"/>
          <w:szCs w:val="22"/>
          <w:highlight w:val="none"/>
        </w:rPr>
      </w:pPr>
      <w:r>
        <w:rPr>
          <w:rStyle w:val="24"/>
          <w:color w:val="auto"/>
          <w:highlight w:val="none"/>
        </w:rPr>
        <w:fldChar w:fldCharType="begin"/>
      </w:r>
      <w:r>
        <w:rPr>
          <w:rStyle w:val="24"/>
          <w:color w:val="auto"/>
          <w:highlight w:val="none"/>
        </w:rPr>
        <w:instrText xml:space="preserve"> </w:instrText>
      </w:r>
      <w:r>
        <w:rPr>
          <w:color w:val="auto"/>
          <w:highlight w:val="none"/>
        </w:rPr>
        <w:instrText xml:space="preserve">HYPERLINK \l "_Toc80205947"</w:instrText>
      </w:r>
      <w:r>
        <w:rPr>
          <w:rStyle w:val="24"/>
          <w:color w:val="auto"/>
          <w:highlight w:val="none"/>
        </w:rPr>
        <w:instrText xml:space="preserve"> </w:instrText>
      </w:r>
      <w:r>
        <w:rPr>
          <w:rStyle w:val="24"/>
          <w:color w:val="auto"/>
          <w:highlight w:val="none"/>
        </w:rPr>
        <w:fldChar w:fldCharType="separate"/>
      </w:r>
      <w:r>
        <w:rPr>
          <w:rStyle w:val="24"/>
          <w:rFonts w:hint="eastAsia" w:ascii="宋体" w:hAnsi="宋体" w:cs="仿宋_GB2312"/>
          <w:color w:val="auto"/>
          <w:highlight w:val="none"/>
        </w:rPr>
        <w:t>第七章</w:t>
      </w:r>
      <w:r>
        <w:rPr>
          <w:rStyle w:val="24"/>
          <w:rFonts w:ascii="宋体" w:hAnsi="宋体" w:cs="仿宋_GB2312"/>
          <w:color w:val="auto"/>
          <w:highlight w:val="none"/>
        </w:rPr>
        <w:t xml:space="preserve"> </w:t>
      </w:r>
      <w:r>
        <w:rPr>
          <w:rStyle w:val="24"/>
          <w:rFonts w:hint="eastAsia" w:ascii="宋体" w:hAnsi="宋体" w:cs="仿宋_GB2312"/>
          <w:color w:val="auto"/>
          <w:highlight w:val="none"/>
        </w:rPr>
        <w:t>质疑、投诉材料格式</w:t>
      </w:r>
      <w:r>
        <w:rPr>
          <w:color w:val="auto"/>
          <w:highlight w:val="none"/>
        </w:rPr>
        <w:tab/>
      </w:r>
      <w:r>
        <w:rPr>
          <w:color w:val="auto"/>
          <w:highlight w:val="none"/>
        </w:rPr>
        <w:fldChar w:fldCharType="begin"/>
      </w:r>
      <w:r>
        <w:rPr>
          <w:color w:val="auto"/>
          <w:highlight w:val="none"/>
        </w:rPr>
        <w:instrText xml:space="preserve"> PAGEREF _Toc80205947 \h </w:instrText>
      </w:r>
      <w:r>
        <w:rPr>
          <w:color w:val="auto"/>
          <w:highlight w:val="none"/>
        </w:rPr>
        <w:fldChar w:fldCharType="separate"/>
      </w:r>
      <w:r>
        <w:rPr>
          <w:color w:val="auto"/>
          <w:highlight w:val="none"/>
        </w:rPr>
        <w:t>86</w:t>
      </w:r>
      <w:r>
        <w:rPr>
          <w:color w:val="auto"/>
          <w:highlight w:val="none"/>
        </w:rPr>
        <w:fldChar w:fldCharType="end"/>
      </w:r>
      <w:r>
        <w:rPr>
          <w:rStyle w:val="24"/>
          <w:color w:val="auto"/>
          <w:highlight w:val="none"/>
        </w:rPr>
        <w:fldChar w:fldCharType="end"/>
      </w:r>
    </w:p>
    <w:p>
      <w:pPr>
        <w:pStyle w:val="19"/>
        <w:rPr>
          <w:rFonts w:hint="eastAsia"/>
          <w:color w:val="auto"/>
          <w:sz w:val="28"/>
          <w:szCs w:val="28"/>
          <w:highlight w:val="none"/>
        </w:rPr>
      </w:pPr>
      <w:r>
        <w:rPr>
          <w:rFonts w:ascii="宋体" w:hAnsi="宋体"/>
          <w:b/>
          <w:color w:val="auto"/>
          <w:sz w:val="30"/>
          <w:szCs w:val="30"/>
          <w:highlight w:val="none"/>
        </w:rPr>
        <w:fldChar w:fldCharType="end"/>
      </w:r>
    </w:p>
    <w:p>
      <w:pPr>
        <w:spacing w:line="400" w:lineRule="exact"/>
        <w:jc w:val="left"/>
        <w:rPr>
          <w:rFonts w:hint="eastAsia" w:ascii="宋体" w:hAnsi="宋体"/>
          <w:b/>
          <w:color w:val="auto"/>
          <w:sz w:val="32"/>
          <w:szCs w:val="32"/>
          <w:highlight w:val="none"/>
        </w:rPr>
      </w:pPr>
      <w:bookmarkStart w:id="244" w:name="_GoBack"/>
      <w:bookmarkEnd w:id="244"/>
    </w:p>
    <w:p>
      <w:pPr>
        <w:spacing w:line="400" w:lineRule="exact"/>
        <w:jc w:val="center"/>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p>
    <w:p>
      <w:pPr>
        <w:spacing w:line="400" w:lineRule="exact"/>
        <w:jc w:val="center"/>
        <w:rPr>
          <w:rFonts w:hint="eastAsia" w:ascii="宋体" w:hAnsi="宋体"/>
          <w:b/>
          <w:color w:val="auto"/>
          <w:sz w:val="32"/>
          <w:szCs w:val="32"/>
          <w:highlight w:val="none"/>
        </w:rPr>
      </w:pPr>
    </w:p>
    <w:p>
      <w:pPr>
        <w:spacing w:line="400" w:lineRule="exact"/>
        <w:rPr>
          <w:rFonts w:hint="eastAsia" w:ascii="宋体" w:hAnsi="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pPr>
        <w:pStyle w:val="3"/>
        <w:spacing w:line="400" w:lineRule="exact"/>
        <w:jc w:val="center"/>
        <w:rPr>
          <w:rFonts w:hint="eastAsia"/>
          <w:color w:val="auto"/>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-337820</wp:posOffset>
                </wp:positionH>
                <wp:positionV relativeFrom="paragraph">
                  <wp:posOffset>631190</wp:posOffset>
                </wp:positionV>
                <wp:extent cx="6209665" cy="1381125"/>
                <wp:effectExtent l="0" t="0" r="8255" b="5715"/>
                <wp:wrapNone/>
                <wp:docPr id="4" name="文本框 4"/>
                <wp:cNvGraphicFramePr/>
                <a:graphic xmlns:a="http://schemas.openxmlformats.org/drawingml/2006/main">
                  <a:graphicData uri="http://schemas.microsoft.com/office/word/2010/wordprocessingShape">
                    <wps:wsp>
                      <wps:cNvSpPr txBox="1"/>
                      <wps:spPr>
                        <a:xfrm>
                          <a:off x="0" y="0"/>
                          <a:ext cx="6209665" cy="1381125"/>
                        </a:xfrm>
                        <a:prstGeom prst="rect">
                          <a:avLst/>
                        </a:prstGeom>
                        <a:solidFill>
                          <a:srgbClr val="FFFFFF"/>
                        </a:solidFill>
                        <a:ln>
                          <a:noFill/>
                        </a:ln>
                      </wps:spPr>
                      <wps:txbx>
                        <w:txbxContent>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u w:val="single"/>
                              </w:rPr>
                              <w:t xml:space="preserve"> </w:t>
                            </w:r>
                            <w:r>
                              <w:rPr>
                                <w:rFonts w:hint="eastAsia" w:ascii="仿宋_GB2312" w:hAnsi="仿宋" w:eastAsia="仿宋_GB2312" w:cs="Times New Roman"/>
                                <w:sz w:val="24"/>
                                <w:highlight w:val="none"/>
                                <w:u w:val="single"/>
                                <w:lang w:val="en-US" w:eastAsia="zh-CN"/>
                              </w:rPr>
                              <w:t xml:space="preserve"> 友谊路延长线（外环高速-机场高速）路灯维修项目  </w:t>
                            </w:r>
                            <w:r>
                              <w:rPr>
                                <w:rFonts w:hint="eastAsia" w:ascii="仿宋_GB2312" w:hAnsi="仿宋" w:eastAsia="仿宋_GB2312" w:cs="Times New Roman"/>
                                <w:sz w:val="24"/>
                                <w:highlight w:val="none"/>
                              </w:rPr>
                              <w:t xml:space="preserve"> 采购项目的潜在供应商应在“广西政府采购云平台”（http://www.gcy.zfcg.gxzf.gov.cn）</w:t>
                            </w:r>
                            <w:r>
                              <w:rPr>
                                <w:rFonts w:hint="eastAsia" w:ascii="仿宋_GB2312" w:hAnsi="仿宋" w:eastAsia="仿宋_GB2312" w:cs="Times New Roman"/>
                                <w:sz w:val="24"/>
                                <w:highlight w:val="none"/>
                                <w:u w:val="single"/>
                              </w:rPr>
                              <w:t>获取（下载）获取竞争性谈判文件，并于</w:t>
                            </w:r>
                            <w:r>
                              <w:rPr>
                                <w:rFonts w:hint="eastAsia" w:ascii="仿宋_GB2312" w:hAnsi="仿宋" w:eastAsia="仿宋_GB2312" w:cs="Times New Roman"/>
                                <w:sz w:val="24"/>
                                <w:highlight w:val="none"/>
                                <w:u w:val="single"/>
                                <w:lang w:val="en-US" w:eastAsia="zh-CN"/>
                              </w:rPr>
                              <w:t>2026</w:t>
                            </w:r>
                            <w:r>
                              <w:rPr>
                                <w:rFonts w:hint="eastAsia" w:ascii="仿宋_GB2312" w:hAnsi="仿宋" w:eastAsia="仿宋_GB2312" w:cs="Times New Roman"/>
                                <w:sz w:val="24"/>
                                <w:highlight w:val="none"/>
                                <w:u w:val="single"/>
                              </w:rPr>
                              <w:t>年</w:t>
                            </w:r>
                            <w:r>
                              <w:rPr>
                                <w:rFonts w:hint="eastAsia" w:ascii="仿宋_GB2312" w:hAnsi="仿宋" w:eastAsia="仿宋_GB2312" w:cs="Times New Roman"/>
                                <w:sz w:val="24"/>
                                <w:highlight w:val="none"/>
                                <w:u w:val="single"/>
                                <w:lang w:val="en-US" w:eastAsia="zh-CN"/>
                              </w:rPr>
                              <w:t>7</w:t>
                            </w:r>
                            <w:r>
                              <w:rPr>
                                <w:rFonts w:hint="eastAsia" w:ascii="仿宋_GB2312" w:hAnsi="仿宋" w:eastAsia="仿宋_GB2312" w:cs="Times New Roman"/>
                                <w:sz w:val="24"/>
                                <w:highlight w:val="none"/>
                                <w:u w:val="single"/>
                              </w:rPr>
                              <w:t>月</w:t>
                            </w:r>
                            <w:r>
                              <w:rPr>
                                <w:rFonts w:hint="eastAsia" w:ascii="仿宋_GB2312" w:hAnsi="仿宋" w:eastAsia="仿宋_GB2312" w:cs="Times New Roman"/>
                                <w:sz w:val="24"/>
                                <w:highlight w:val="none"/>
                                <w:u w:val="single"/>
                                <w:lang w:val="en-US" w:eastAsia="zh-CN"/>
                              </w:rPr>
                              <w:t>2</w:t>
                            </w:r>
                            <w:r>
                              <w:rPr>
                                <w:rFonts w:hint="eastAsia" w:ascii="仿宋_GB2312" w:hAnsi="仿宋" w:eastAsia="仿宋_GB2312" w:cs="Times New Roman"/>
                                <w:sz w:val="24"/>
                                <w:highlight w:val="none"/>
                                <w:u w:val="single"/>
                              </w:rPr>
                              <w:t>日</w:t>
                            </w:r>
                            <w:r>
                              <w:rPr>
                                <w:rFonts w:hint="eastAsia" w:ascii="仿宋_GB2312" w:hAnsi="仿宋" w:eastAsia="仿宋_GB2312" w:cs="Times New Roman"/>
                                <w:sz w:val="24"/>
                                <w:highlight w:val="none"/>
                                <w:u w:val="single"/>
                                <w:lang w:val="en-US" w:eastAsia="zh-CN"/>
                              </w:rPr>
                              <w:t>09</w:t>
                            </w:r>
                            <w:r>
                              <w:rPr>
                                <w:rFonts w:hint="eastAsia" w:ascii="仿宋_GB2312" w:hAnsi="仿宋" w:eastAsia="仿宋_GB2312" w:cs="Times New Roman"/>
                                <w:sz w:val="24"/>
                                <w:highlight w:val="none"/>
                                <w:u w:val="single"/>
                              </w:rPr>
                              <w:t>点</w:t>
                            </w:r>
                            <w:r>
                              <w:rPr>
                                <w:rFonts w:hint="eastAsia" w:ascii="仿宋_GB2312" w:hAnsi="仿宋" w:eastAsia="仿宋_GB2312" w:cs="Times New Roman"/>
                                <w:sz w:val="24"/>
                                <w:highlight w:val="none"/>
                                <w:u w:val="single"/>
                                <w:lang w:val="en-US" w:eastAsia="zh-CN"/>
                              </w:rPr>
                              <w:t>30</w:t>
                            </w:r>
                            <w:r>
                              <w:rPr>
                                <w:rFonts w:hint="eastAsia" w:ascii="仿宋_GB2312" w:hAnsi="仿宋" w:eastAsia="仿宋_GB2312" w:cs="Times New Roman"/>
                                <w:sz w:val="24"/>
                                <w:highlight w:val="none"/>
                                <w:u w:val="single"/>
                              </w:rPr>
                              <w:t>分（北京时间）前</w:t>
                            </w:r>
                            <w:r>
                              <w:rPr>
                                <w:rFonts w:hint="eastAsia" w:ascii="仿宋_GB2312" w:hAnsi="仿宋" w:eastAsia="仿宋_GB2312" w:cs="Times New Roman"/>
                                <w:sz w:val="24"/>
                                <w:highlight w:val="none"/>
                              </w:rPr>
                              <w:t>提交响应文件。</w:t>
                            </w:r>
                          </w:p>
                          <w:p/>
                        </w:txbxContent>
                      </wps:txbx>
                      <wps:bodyPr upright="1"/>
                    </wps:wsp>
                  </a:graphicData>
                </a:graphic>
              </wp:anchor>
            </w:drawing>
          </mc:Choice>
          <mc:Fallback>
            <w:pict>
              <v:shape id="_x0000_s1026" o:spid="_x0000_s1026" o:spt="202" type="#_x0000_t202" style="position:absolute;left:0pt;margin-left:-26.6pt;margin-top:49.7pt;height:108.75pt;width:488.95pt;z-index:251661312;mso-width-relative:page;mso-height-relative:page;" fillcolor="#FFFFFF" filled="t" stroked="f" coordsize="21600,21600" o:gfxdata="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CSKefZAAAACgEAAA8AAAAAAAAAAQAgAAAAIgAAAGRycy9kb3ducmV2&#10;LnhtbFBLAQIUABQAAAAIAIdO4kAdSW9+wgEAAHgDAAAOAAAAAAAAAAEAIAAAACgBAABkcnMvZTJv&#10;RG9jLnhtbFBLBQYAAAAABgAGAFkBAABcBQAAAAA=&#10;">
                <v:fill on="t" focussize="0,0"/>
                <v:stroke on="f"/>
                <v:imagedata o:title=""/>
                <o:lock v:ext="edit" aspectratio="f"/>
                <v:textbox>
                  <w:txbxContent>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_GB2312" w:hAnsi="仿宋" w:eastAsia="仿宋_GB2312" w:cs="Times New Roman"/>
                          <w:sz w:val="24"/>
                          <w:highlight w:val="none"/>
                        </w:rPr>
                      </w:pPr>
                      <w:r>
                        <w:rPr>
                          <w:rFonts w:hint="eastAsia" w:ascii="仿宋_GB2312" w:hAnsi="仿宋" w:eastAsia="仿宋_GB2312" w:cs="Times New Roman"/>
                          <w:sz w:val="24"/>
                          <w:highlight w:val="none"/>
                          <w:u w:val="single"/>
                        </w:rPr>
                        <w:t xml:space="preserve"> </w:t>
                      </w:r>
                      <w:r>
                        <w:rPr>
                          <w:rFonts w:hint="eastAsia" w:ascii="仿宋_GB2312" w:hAnsi="仿宋" w:eastAsia="仿宋_GB2312" w:cs="Times New Roman"/>
                          <w:sz w:val="24"/>
                          <w:highlight w:val="none"/>
                          <w:u w:val="single"/>
                          <w:lang w:val="en-US" w:eastAsia="zh-CN"/>
                        </w:rPr>
                        <w:t xml:space="preserve"> 友谊路延长线（外环高速-机场高速）路灯维修项目  </w:t>
                      </w:r>
                      <w:r>
                        <w:rPr>
                          <w:rFonts w:hint="eastAsia" w:ascii="仿宋_GB2312" w:hAnsi="仿宋" w:eastAsia="仿宋_GB2312" w:cs="Times New Roman"/>
                          <w:sz w:val="24"/>
                          <w:highlight w:val="none"/>
                        </w:rPr>
                        <w:t xml:space="preserve"> 采购项目的潜在供应商应在“广西政府采购云平台”（http://www.gcy.zfcg.gxzf.gov.cn）</w:t>
                      </w:r>
                      <w:r>
                        <w:rPr>
                          <w:rFonts w:hint="eastAsia" w:ascii="仿宋_GB2312" w:hAnsi="仿宋" w:eastAsia="仿宋_GB2312" w:cs="Times New Roman"/>
                          <w:sz w:val="24"/>
                          <w:highlight w:val="none"/>
                          <w:u w:val="single"/>
                        </w:rPr>
                        <w:t>获取（下载）获取竞争性谈判文件，并于</w:t>
                      </w:r>
                      <w:r>
                        <w:rPr>
                          <w:rFonts w:hint="eastAsia" w:ascii="仿宋_GB2312" w:hAnsi="仿宋" w:eastAsia="仿宋_GB2312" w:cs="Times New Roman"/>
                          <w:sz w:val="24"/>
                          <w:highlight w:val="none"/>
                          <w:u w:val="single"/>
                          <w:lang w:val="en-US" w:eastAsia="zh-CN"/>
                        </w:rPr>
                        <w:t>2026</w:t>
                      </w:r>
                      <w:r>
                        <w:rPr>
                          <w:rFonts w:hint="eastAsia" w:ascii="仿宋_GB2312" w:hAnsi="仿宋" w:eastAsia="仿宋_GB2312" w:cs="Times New Roman"/>
                          <w:sz w:val="24"/>
                          <w:highlight w:val="none"/>
                          <w:u w:val="single"/>
                        </w:rPr>
                        <w:t>年</w:t>
                      </w:r>
                      <w:r>
                        <w:rPr>
                          <w:rFonts w:hint="eastAsia" w:ascii="仿宋_GB2312" w:hAnsi="仿宋" w:eastAsia="仿宋_GB2312" w:cs="Times New Roman"/>
                          <w:sz w:val="24"/>
                          <w:highlight w:val="none"/>
                          <w:u w:val="single"/>
                          <w:lang w:val="en-US" w:eastAsia="zh-CN"/>
                        </w:rPr>
                        <w:t>7</w:t>
                      </w:r>
                      <w:r>
                        <w:rPr>
                          <w:rFonts w:hint="eastAsia" w:ascii="仿宋_GB2312" w:hAnsi="仿宋" w:eastAsia="仿宋_GB2312" w:cs="Times New Roman"/>
                          <w:sz w:val="24"/>
                          <w:highlight w:val="none"/>
                          <w:u w:val="single"/>
                        </w:rPr>
                        <w:t>月</w:t>
                      </w:r>
                      <w:r>
                        <w:rPr>
                          <w:rFonts w:hint="eastAsia" w:ascii="仿宋_GB2312" w:hAnsi="仿宋" w:eastAsia="仿宋_GB2312" w:cs="Times New Roman"/>
                          <w:sz w:val="24"/>
                          <w:highlight w:val="none"/>
                          <w:u w:val="single"/>
                          <w:lang w:val="en-US" w:eastAsia="zh-CN"/>
                        </w:rPr>
                        <w:t>2</w:t>
                      </w:r>
                      <w:r>
                        <w:rPr>
                          <w:rFonts w:hint="eastAsia" w:ascii="仿宋_GB2312" w:hAnsi="仿宋" w:eastAsia="仿宋_GB2312" w:cs="Times New Roman"/>
                          <w:sz w:val="24"/>
                          <w:highlight w:val="none"/>
                          <w:u w:val="single"/>
                        </w:rPr>
                        <w:t>日</w:t>
                      </w:r>
                      <w:r>
                        <w:rPr>
                          <w:rFonts w:hint="eastAsia" w:ascii="仿宋_GB2312" w:hAnsi="仿宋" w:eastAsia="仿宋_GB2312" w:cs="Times New Roman"/>
                          <w:sz w:val="24"/>
                          <w:highlight w:val="none"/>
                          <w:u w:val="single"/>
                          <w:lang w:val="en-US" w:eastAsia="zh-CN"/>
                        </w:rPr>
                        <w:t>09</w:t>
                      </w:r>
                      <w:r>
                        <w:rPr>
                          <w:rFonts w:hint="eastAsia" w:ascii="仿宋_GB2312" w:hAnsi="仿宋" w:eastAsia="仿宋_GB2312" w:cs="Times New Roman"/>
                          <w:sz w:val="24"/>
                          <w:highlight w:val="none"/>
                          <w:u w:val="single"/>
                        </w:rPr>
                        <w:t>点</w:t>
                      </w:r>
                      <w:r>
                        <w:rPr>
                          <w:rFonts w:hint="eastAsia" w:ascii="仿宋_GB2312" w:hAnsi="仿宋" w:eastAsia="仿宋_GB2312" w:cs="Times New Roman"/>
                          <w:sz w:val="24"/>
                          <w:highlight w:val="none"/>
                          <w:u w:val="single"/>
                          <w:lang w:val="en-US" w:eastAsia="zh-CN"/>
                        </w:rPr>
                        <w:t>30</w:t>
                      </w:r>
                      <w:r>
                        <w:rPr>
                          <w:rFonts w:hint="eastAsia" w:ascii="仿宋_GB2312" w:hAnsi="仿宋" w:eastAsia="仿宋_GB2312" w:cs="Times New Roman"/>
                          <w:sz w:val="24"/>
                          <w:highlight w:val="none"/>
                          <w:u w:val="single"/>
                        </w:rPr>
                        <w:t>分（北京时间）前</w:t>
                      </w:r>
                      <w:r>
                        <w:rPr>
                          <w:rFonts w:hint="eastAsia" w:ascii="仿宋_GB2312" w:hAnsi="仿宋" w:eastAsia="仿宋_GB2312" w:cs="Times New Roman"/>
                          <w:sz w:val="24"/>
                          <w:highlight w:val="none"/>
                        </w:rPr>
                        <w:t>提交响应文件。</w:t>
                      </w:r>
                    </w:p>
                    <w:p/>
                  </w:txbxContent>
                </v:textbox>
              </v:shape>
            </w:pict>
          </mc:Fallback>
        </mc:AlternateContent>
      </w:r>
      <w:bookmarkStart w:id="0" w:name="_Toc80205920"/>
      <w:r>
        <w:rPr>
          <w:rFonts w:hint="eastAsia"/>
          <w:color w:val="auto"/>
          <w:highlight w:val="none"/>
        </w:rPr>
        <w:t>第一章 竞争性谈判公告</w:t>
      </w:r>
      <w:bookmarkEnd w:id="0"/>
      <w:bookmarkStart w:id="1" w:name="_Toc44229878"/>
      <w:bookmarkStart w:id="2" w:name="_Toc35393629"/>
      <w:bookmarkStart w:id="3" w:name="_Toc28359012"/>
      <w:bookmarkStart w:id="4" w:name="_Toc28359089"/>
      <w:bookmarkStart w:id="5" w:name="_Toc35393798"/>
      <w:bookmarkStart w:id="6" w:name="_Toc28359081"/>
      <w:bookmarkStart w:id="7" w:name="_Toc28359004"/>
      <w:bookmarkStart w:id="8" w:name="_Toc35393792"/>
      <w:bookmarkStart w:id="9" w:name="_Toc35393623"/>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color w:val="auto"/>
          <w:highlight w:val="none"/>
        </w:rPr>
      </w:pPr>
    </w:p>
    <w:p>
      <w:pPr>
        <w:rPr>
          <w:rFonts w:hint="eastAsia" w:ascii="黑体" w:hAnsi="黑体" w:eastAsia="黑体" w:cs="宋体"/>
          <w:bCs/>
          <w:color w:val="auto"/>
          <w:sz w:val="24"/>
          <w:highlight w:val="none"/>
        </w:rPr>
      </w:pPr>
    </w:p>
    <w:p>
      <w:pPr>
        <w:rPr>
          <w:rFonts w:hint="eastAsia" w:ascii="黑体" w:hAnsi="黑体" w:eastAsia="黑体" w:cs="宋体"/>
          <w:bCs/>
          <w:color w:val="auto"/>
          <w:sz w:val="24"/>
          <w:highlight w:val="none"/>
        </w:rPr>
      </w:pPr>
    </w:p>
    <w:p>
      <w:pPr>
        <w:spacing w:line="360" w:lineRule="auto"/>
        <w:rPr>
          <w:color w:val="auto"/>
          <w:highlight w:val="none"/>
        </w:rPr>
      </w:pPr>
      <w:r>
        <w:rPr>
          <w:rFonts w:hint="eastAsia" w:ascii="黑体" w:hAnsi="黑体" w:eastAsia="黑体" w:cs="宋体"/>
          <w:bCs/>
          <w:color w:val="auto"/>
          <w:sz w:val="24"/>
          <w:highlight w:val="none"/>
        </w:rPr>
        <w:t>一、项目基本情况</w:t>
      </w:r>
      <w:bookmarkEnd w:id="1"/>
      <w:bookmarkEnd w:id="2"/>
      <w:bookmarkEnd w:id="3"/>
      <w:bookmarkEnd w:id="4"/>
      <w:bookmarkEnd w:id="5"/>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NNZC2026-J1-050054-NNSJ</w:t>
      </w:r>
      <w:r>
        <w:rPr>
          <w:rFonts w:hint="eastAsia" w:ascii="宋体" w:hAnsi="宋体"/>
          <w:color w:val="auto"/>
          <w:szCs w:val="21"/>
          <w:highlight w:val="none"/>
          <w:lang w:val="en-US" w:eastAsia="zh-CN"/>
        </w:rPr>
        <w:t xml:space="preserve"> </w:t>
      </w:r>
    </w:p>
    <w:p>
      <w:pPr>
        <w:spacing w:line="360" w:lineRule="auto"/>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项目名称：友谊路延长线（外环高速-机场高速）路灯维修项目</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87</w:t>
      </w:r>
      <w:r>
        <w:rPr>
          <w:rFonts w:hint="eastAsia" w:ascii="宋体" w:hAnsi="宋体"/>
          <w:color w:val="auto"/>
          <w:szCs w:val="21"/>
          <w:highlight w:val="none"/>
          <w:u w:val="none"/>
          <w:lang w:val="en-US" w:eastAsia="zh-CN"/>
        </w:rPr>
        <w:t>万</w:t>
      </w:r>
      <w:r>
        <w:rPr>
          <w:rFonts w:hint="eastAsia" w:ascii="宋体" w:hAnsi="宋体"/>
          <w:color w:val="auto"/>
          <w:szCs w:val="21"/>
          <w:highlight w:val="none"/>
        </w:rPr>
        <w:t>元；</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77"/>
        <w:gridCol w:w="2989"/>
        <w:gridCol w:w="1475"/>
        <w:gridCol w:w="29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9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标的的名称</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数量及单位</w:t>
            </w:r>
          </w:p>
        </w:tc>
        <w:tc>
          <w:tcPr>
            <w:tcW w:w="291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简要技术需求或者货物要求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3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01</w:t>
            </w:r>
          </w:p>
        </w:tc>
        <w:tc>
          <w:tcPr>
            <w:tcW w:w="29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 w:val="21"/>
                <w:szCs w:val="21"/>
                <w:highlight w:val="none"/>
              </w:rPr>
              <w:t>主干道太阳能壁灯</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389套</w:t>
            </w:r>
          </w:p>
        </w:tc>
        <w:tc>
          <w:tcPr>
            <w:tcW w:w="2914" w:type="dxa"/>
            <w:vMerge w:val="restart"/>
            <w:tcBorders>
              <w:top w:val="single" w:color="auto" w:sz="4" w:space="0"/>
              <w:left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详见货物需求一览表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3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0</w:t>
            </w:r>
            <w:r>
              <w:rPr>
                <w:rFonts w:ascii="宋体" w:hAnsi="宋体"/>
                <w:color w:val="auto"/>
                <w:szCs w:val="21"/>
                <w:highlight w:val="none"/>
              </w:rPr>
              <w:t>2</w:t>
            </w:r>
          </w:p>
        </w:tc>
        <w:tc>
          <w:tcPr>
            <w:tcW w:w="29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 w:val="21"/>
                <w:szCs w:val="21"/>
                <w:highlight w:val="none"/>
              </w:rPr>
              <w:t>辅道太阳能壁灯</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619套</w:t>
            </w:r>
          </w:p>
        </w:tc>
        <w:tc>
          <w:tcPr>
            <w:tcW w:w="2914" w:type="dxa"/>
            <w:vMerge w:val="continue"/>
            <w:tcBorders>
              <w:left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37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9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14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914" w:type="dxa"/>
            <w:vMerge w:val="continue"/>
            <w:tcBorders>
              <w:left w:val="single" w:color="auto" w:sz="4" w:space="0"/>
              <w:bottom w:val="single" w:color="auto" w:sz="4" w:space="0"/>
              <w:right w:val="single" w:color="auto" w:sz="4" w:space="0"/>
            </w:tcBorders>
            <w:noWrap w:val="0"/>
            <w:vAlign w:val="center"/>
          </w:tcPr>
          <w:p>
            <w:pPr>
              <w:snapToGrid w:val="0"/>
              <w:spacing w:line="360" w:lineRule="auto"/>
              <w:jc w:val="center"/>
              <w:rPr>
                <w:rFonts w:ascii="宋体" w:hAnsi="宋体"/>
                <w:color w:val="auto"/>
                <w:szCs w:val="21"/>
                <w:highlight w:val="none"/>
              </w:rPr>
            </w:pPr>
          </w:p>
        </w:tc>
      </w:tr>
    </w:tbl>
    <w:p>
      <w:pPr>
        <w:spacing w:line="360" w:lineRule="auto"/>
        <w:ind w:firstLine="420" w:firstLineChars="200"/>
        <w:rPr>
          <w:rFonts w:hint="default" w:ascii="宋体" w:hAnsi="宋体"/>
          <w:color w:val="auto"/>
          <w:szCs w:val="21"/>
          <w:highlight w:val="none"/>
          <w:u w:val="single"/>
          <w:lang w:val="en-US"/>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详见货物需求一览表商务条款。</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本项目是否接受联合体响应：□是，</w:t>
      </w:r>
      <w:r>
        <w:rPr>
          <w:rFonts w:hint="eastAsia" w:ascii="宋体" w:hAnsi="宋体"/>
          <w:color w:val="auto"/>
          <w:szCs w:val="21"/>
          <w:highlight w:val="none"/>
          <w:lang w:eastAsia="zh-CN"/>
        </w:rPr>
        <w:t>☑</w:t>
      </w:r>
      <w:r>
        <w:rPr>
          <w:rFonts w:ascii="宋体" w:hAnsi="宋体"/>
          <w:color w:val="auto"/>
          <w:szCs w:val="21"/>
          <w:highlight w:val="none"/>
        </w:rPr>
        <w:t>否</w:t>
      </w:r>
      <w:r>
        <w:rPr>
          <w:rFonts w:hint="eastAsia" w:ascii="宋体" w:hAnsi="宋体"/>
          <w:color w:val="auto"/>
          <w:szCs w:val="21"/>
          <w:highlight w:val="none"/>
        </w:rPr>
        <w:t>。</w:t>
      </w:r>
    </w:p>
    <w:p>
      <w:pPr>
        <w:spacing w:line="360" w:lineRule="auto"/>
        <w:ind w:firstLine="482" w:firstLineChars="200"/>
        <w:rPr>
          <w:rFonts w:ascii="黑体" w:hAnsi="黑体" w:eastAsia="黑体" w:cs="宋体"/>
          <w:bCs/>
          <w:color w:val="auto"/>
          <w:sz w:val="24"/>
          <w:highlight w:val="none"/>
        </w:rPr>
      </w:pPr>
      <w:bookmarkStart w:id="10" w:name="_Toc28359090"/>
      <w:bookmarkStart w:id="11" w:name="_Toc35393630"/>
      <w:bookmarkStart w:id="12" w:name="_Toc44229879"/>
      <w:bookmarkStart w:id="13" w:name="_Toc28359013"/>
      <w:bookmarkStart w:id="14" w:name="_Toc35393799"/>
      <w:r>
        <w:rPr>
          <w:rFonts w:hint="eastAsia" w:ascii="黑体" w:hAnsi="黑体" w:eastAsia="黑体" w:cs="宋体"/>
          <w:b/>
          <w:color w:val="auto"/>
          <w:kern w:val="44"/>
          <w:sz w:val="24"/>
          <w:highlight w:val="none"/>
        </w:rPr>
        <w:t>二、供应商的资格条件</w:t>
      </w:r>
      <w:bookmarkEnd w:id="10"/>
      <w:bookmarkEnd w:id="11"/>
      <w:bookmarkEnd w:id="12"/>
      <w:bookmarkEnd w:id="13"/>
      <w:bookmarkEnd w:id="14"/>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pPr>
        <w:spacing w:line="360" w:lineRule="auto"/>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rPr>
        <w:t>专门面向中小企业采购的项目（供应商应为中小微企业、监狱企业、残疾人福利性单位)</w:t>
      </w:r>
    </w:p>
    <w:p>
      <w:pPr>
        <w:spacing w:line="360" w:lineRule="auto"/>
        <w:ind w:firstLine="420" w:firstLineChars="200"/>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3.本项目的特定资格要求：</w:t>
      </w:r>
      <w:r>
        <w:rPr>
          <w:rFonts w:hint="eastAsia" w:ascii="宋体" w:hAnsi="宋体" w:eastAsia="宋体" w:cs="Times New Roman"/>
          <w:b/>
          <w:bCs/>
          <w:color w:val="auto"/>
          <w:szCs w:val="21"/>
          <w:highlight w:val="none"/>
          <w:lang w:eastAsia="zh-CN"/>
        </w:rPr>
        <w:t>竞</w:t>
      </w:r>
      <w:r>
        <w:rPr>
          <w:rFonts w:hint="eastAsia" w:ascii="宋体" w:hAnsi="宋体" w:eastAsia="宋体" w:cs="Times New Roman"/>
          <w:b/>
          <w:bCs/>
          <w:color w:val="auto"/>
          <w:szCs w:val="21"/>
          <w:highlight w:val="none"/>
        </w:rPr>
        <w:t>标人具有有效的安全生产许可证</w:t>
      </w:r>
      <w:r>
        <w:rPr>
          <w:rFonts w:hint="eastAsia" w:ascii="宋体" w:hAnsi="宋体" w:eastAsia="宋体" w:cs="Times New Roman"/>
          <w:b/>
          <w:bCs/>
          <w:color w:val="auto"/>
          <w:szCs w:val="21"/>
          <w:highlight w:val="none"/>
          <w:lang w:eastAsia="zh-CN"/>
        </w:rPr>
        <w:t>。</w:t>
      </w:r>
    </w:p>
    <w:p>
      <w:pPr>
        <w:spacing w:line="360" w:lineRule="auto"/>
        <w:ind w:firstLine="420" w:firstLineChars="200"/>
        <w:rPr>
          <w:rFonts w:hint="eastAsia" w:ascii="宋体" w:hAnsi="宋体" w:eastAsia="宋体"/>
          <w:color w:val="auto"/>
          <w:szCs w:val="21"/>
          <w:highlight w:val="none"/>
          <w:lang w:val="en-US" w:eastAsia="zh-CN"/>
        </w:rPr>
      </w:pPr>
      <w:r>
        <w:rPr>
          <w:rFonts w:ascii="宋体" w:hAnsi="宋体"/>
          <w:color w:val="auto"/>
          <w:szCs w:val="21"/>
          <w:highlight w:val="none"/>
        </w:rPr>
        <w:t>4.</w:t>
      </w:r>
      <w:r>
        <w:rPr>
          <w:rFonts w:hint="eastAsia" w:ascii="宋体" w:hAnsi="宋体"/>
          <w:color w:val="auto"/>
          <w:szCs w:val="21"/>
          <w:highlight w:val="none"/>
        </w:rPr>
        <w:t xml:space="preserve"> 本项目的特定条件：</w:t>
      </w:r>
      <w:r>
        <w:rPr>
          <w:rFonts w:hint="eastAsia" w:ascii="宋体" w:hAnsi="宋体"/>
          <w:color w:val="auto"/>
          <w:szCs w:val="21"/>
          <w:highlight w:val="none"/>
          <w:lang w:val="en-US" w:eastAsia="zh-CN"/>
        </w:rPr>
        <w:t>无</w:t>
      </w:r>
    </w:p>
    <w:p>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 xml:space="preserve">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 xml:space="preserve"> 对在“信用中国”网站(www.creditchina.gov.cn) 、中国政府采购网(www.ccgp.gov.cn)被列入失信被执行人、重大税收违法</w:t>
      </w:r>
      <w:r>
        <w:rPr>
          <w:rFonts w:hint="eastAsia" w:ascii="宋体" w:hAnsi="宋体"/>
          <w:color w:val="auto"/>
          <w:szCs w:val="21"/>
          <w:highlight w:val="none"/>
          <w:lang w:val="en-US" w:eastAsia="zh-CN"/>
        </w:rPr>
        <w:t>失信主体</w:t>
      </w:r>
      <w:r>
        <w:rPr>
          <w:rFonts w:hint="eastAsia" w:ascii="宋体" w:hAnsi="宋体"/>
          <w:color w:val="auto"/>
          <w:szCs w:val="21"/>
          <w:highlight w:val="none"/>
        </w:rPr>
        <w:t>、政府采购严重违法失信行为记录名单及其他不符合《中华人民共和国政府采购法》第二十二条规定条件的供应商，不得参与政府采购活动。</w:t>
      </w:r>
    </w:p>
    <w:p>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三、获取竞争性谈判文件</w:t>
      </w:r>
      <w:bookmarkEnd w:id="6"/>
      <w:bookmarkEnd w:id="7"/>
      <w:bookmarkEnd w:id="8"/>
      <w:bookmarkEnd w:id="9"/>
    </w:p>
    <w:p>
      <w:pPr>
        <w:snapToGrid w:val="0"/>
        <w:spacing w:line="360" w:lineRule="auto"/>
        <w:ind w:firstLine="420" w:firstLineChars="200"/>
        <w:rPr>
          <w:rFonts w:hint="eastAsia" w:ascii="宋体" w:hAnsi="宋体"/>
          <w:color w:val="auto"/>
          <w:szCs w:val="21"/>
          <w:highlight w:val="none"/>
        </w:rPr>
      </w:pPr>
      <w:bookmarkStart w:id="15" w:name="_Toc35393624"/>
      <w:bookmarkStart w:id="16" w:name="_Toc28359005"/>
      <w:bookmarkStart w:id="17" w:name="_Toc35393793"/>
      <w:bookmarkStart w:id="18" w:name="_Toc28359082"/>
      <w:r>
        <w:rPr>
          <w:rFonts w:hint="eastAsia" w:ascii="宋体" w:hAnsi="宋体"/>
          <w:color w:val="auto"/>
          <w:szCs w:val="21"/>
          <w:highlight w:val="none"/>
        </w:rPr>
        <w:t>时间：自公告发布之日起。</w:t>
      </w:r>
    </w:p>
    <w:p>
      <w:pPr>
        <w:spacing w:line="360" w:lineRule="auto"/>
        <w:ind w:firstLine="420" w:firstLineChars="200"/>
        <w:rPr>
          <w:rFonts w:ascii="黑体" w:hAnsi="黑体" w:eastAsia="黑体"/>
          <w:b/>
          <w:bCs/>
          <w:color w:val="auto"/>
          <w:sz w:val="24"/>
          <w:highlight w:val="none"/>
        </w:rPr>
      </w:pPr>
      <w:r>
        <w:rPr>
          <w:rFonts w:hint="eastAsia" w:ascii="宋体" w:hAnsi="宋体"/>
          <w:color w:val="auto"/>
          <w:szCs w:val="21"/>
          <w:highlight w:val="none"/>
        </w:rPr>
        <w:t>获取方式:网上下载。本项目不发放纸质文件，供应商可自行在</w:t>
      </w:r>
      <w:r>
        <w:rPr>
          <w:rFonts w:ascii="宋体" w:hAnsi="宋体"/>
          <w:color w:val="auto"/>
          <w:szCs w:val="21"/>
          <w:highlight w:val="none"/>
        </w:rPr>
        <w:fldChar w:fldCharType="begin"/>
      </w:r>
      <w:r>
        <w:rPr>
          <w:rFonts w:ascii="宋体" w:hAnsi="宋体"/>
          <w:color w:val="auto"/>
          <w:szCs w:val="21"/>
          <w:highlight w:val="none"/>
        </w:rPr>
        <w:instrText xml:space="preserve"> HYPERLINK "" </w:instrText>
      </w:r>
      <w:r>
        <w:rPr>
          <w:rFonts w:ascii="宋体" w:hAnsi="宋体"/>
          <w:color w:val="auto"/>
          <w:szCs w:val="21"/>
          <w:highlight w:val="none"/>
        </w:rPr>
        <w:fldChar w:fldCharType="separate"/>
      </w:r>
      <w:r>
        <w:rPr>
          <w:rFonts w:ascii="宋体" w:hAnsi="宋体"/>
          <w:color w:val="auto"/>
          <w:szCs w:val="21"/>
          <w:highlight w:val="none"/>
        </w:rPr>
        <w:fldChar w:fldCharType="end"/>
      </w:r>
      <w:r>
        <w:rPr>
          <w:rFonts w:hint="eastAsia" w:ascii="宋体" w:hAnsi="宋体"/>
          <w:color w:val="auto"/>
          <w:szCs w:val="21"/>
          <w:highlight w:val="none"/>
        </w:rPr>
        <w:t>本公告“七、其他补充事宜”网上查询地址中的信息公告处下载采购文件。电子响应文件制作需要基于</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w:instrText>
      </w:r>
      <w:r>
        <w:rPr>
          <w:rFonts w:hint="eastAsia" w:ascii="宋体" w:hAnsi="宋体"/>
          <w:color w:val="auto"/>
          <w:szCs w:val="21"/>
          <w:highlight w:val="none"/>
        </w:rPr>
        <w:fldChar w:fldCharType="end"/>
      </w:r>
      <w:r>
        <w:rPr>
          <w:rFonts w:hint="eastAsia" w:ascii="宋体" w:hAnsi="宋体"/>
          <w:color w:val="auto"/>
          <w:szCs w:val="21"/>
          <w:highlight w:val="none"/>
        </w:rPr>
        <w:t>“广西政府采购云平台”（http://www.gcy.zfcg.gxzf.gov.cn）获取的采购文件编制，拟参与本项目的供应商需使用账号登录或者使用CA登录“广西政府采购云平台”平台-进入“项目采购”应用，在获取采购文件菜单中选择项目，获取采购文件。</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售价：0元。</w:t>
      </w:r>
    </w:p>
    <w:p>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四、</w:t>
      </w:r>
      <w:bookmarkEnd w:id="15"/>
      <w:bookmarkEnd w:id="16"/>
      <w:bookmarkEnd w:id="17"/>
      <w:bookmarkEnd w:id="18"/>
      <w:r>
        <w:rPr>
          <w:rFonts w:hint="eastAsia" w:ascii="黑体" w:hAnsi="黑体" w:eastAsia="黑体"/>
          <w:b/>
          <w:bCs/>
          <w:color w:val="auto"/>
          <w:sz w:val="24"/>
          <w:highlight w:val="none"/>
        </w:rPr>
        <w:t>响应文件提交</w:t>
      </w:r>
    </w:p>
    <w:p>
      <w:pPr>
        <w:spacing w:line="360" w:lineRule="auto"/>
        <w:ind w:firstLine="420" w:firstLineChars="200"/>
        <w:rPr>
          <w:rFonts w:hint="eastAsia" w:ascii="宋体" w:hAnsi="宋体" w:eastAsia="宋体"/>
          <w:bCs/>
          <w:color w:val="auto"/>
          <w:szCs w:val="21"/>
          <w:highlight w:val="none"/>
          <w:u w:val="single"/>
          <w:lang w:val="en-US" w:eastAsia="zh-CN"/>
        </w:rPr>
      </w:pPr>
      <w:r>
        <w:rPr>
          <w:rFonts w:hint="eastAsia" w:ascii="宋体" w:hAnsi="宋体"/>
          <w:color w:val="auto"/>
          <w:szCs w:val="21"/>
          <w:highlight w:val="none"/>
        </w:rPr>
        <w:t>1、首次响应文件提交截止时间</w:t>
      </w:r>
      <w:r>
        <w:rPr>
          <w:rFonts w:hint="eastAsia" w:ascii="宋体" w:hAnsi="宋体"/>
          <w:bCs/>
          <w:color w:val="auto"/>
          <w:szCs w:val="21"/>
          <w:highlight w:val="none"/>
        </w:rPr>
        <w:t>（北京时间）：</w:t>
      </w:r>
      <w:r>
        <w:rPr>
          <w:rFonts w:hint="eastAsia" w:ascii="宋体" w:hAnsi="宋体"/>
          <w:bCs/>
          <w:color w:val="auto"/>
          <w:szCs w:val="21"/>
          <w:highlight w:val="none"/>
          <w:u w:val="single"/>
          <w:lang w:val="en-US" w:eastAsia="zh-CN"/>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bCs/>
          <w:color w:val="auto"/>
          <w:szCs w:val="21"/>
          <w:highlight w:val="none"/>
          <w:u w:val="single"/>
          <w:lang w:eastAsia="zh-CN"/>
        </w:rPr>
        <w:t>。</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2、首次响应文件提交地点：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（1）响应文件提交方式：本项目为南宁市</w:t>
      </w:r>
      <w:r>
        <w:rPr>
          <w:rFonts w:hint="eastAsia" w:ascii="宋体" w:hAnsi="宋体"/>
          <w:color w:val="auto"/>
          <w:szCs w:val="21"/>
          <w:highlight w:val="none"/>
          <w:lang w:eastAsia="zh-CN"/>
        </w:rPr>
        <w:t>江南区</w:t>
      </w:r>
      <w:r>
        <w:rPr>
          <w:rFonts w:hint="eastAsia" w:ascii="宋体" w:hAnsi="宋体"/>
          <w:color w:val="auto"/>
          <w:szCs w:val="21"/>
          <w:highlight w:val="none"/>
        </w:rPr>
        <w:t>全流程电子化项目，通过“广西政府采购云平台”平台（http://www.gcy.zfcg.gxzf.gov.cn）实行在线电子响应，供应商应先安装“广西政府采购云电子交易客户端”（请自行前往“广西政府采购云”平台进行下载），并按照本项目采购文件和“广西政府采购云”平台的要求编制、加密后在投标截止时间前通过网络上传至南宁市</w:t>
      </w:r>
      <w:r>
        <w:rPr>
          <w:rFonts w:hint="eastAsia" w:ascii="宋体" w:hAnsi="宋体"/>
          <w:color w:val="auto"/>
          <w:szCs w:val="21"/>
          <w:highlight w:val="none"/>
          <w:lang w:eastAsia="zh-CN"/>
        </w:rPr>
        <w:t>江南区</w:t>
      </w:r>
      <w:r>
        <w:rPr>
          <w:rFonts w:hint="eastAsia" w:ascii="宋体" w:hAnsi="宋体"/>
          <w:color w:val="auto"/>
          <w:szCs w:val="21"/>
          <w:highlight w:val="none"/>
        </w:rPr>
        <w:t>本级“广西政府采购云”平台，</w:t>
      </w:r>
      <w:r>
        <w:rPr>
          <w:rFonts w:hint="eastAsia" w:ascii="宋体" w:hAnsi="宋体"/>
          <w:b/>
          <w:color w:val="auto"/>
          <w:szCs w:val="21"/>
          <w:highlight w:val="none"/>
        </w:rPr>
        <w:t>供应商在“广西政府采购云”平台提交电子版响应文件时，请填写参加远程采购活动经办人联系方式，</w:t>
      </w:r>
      <w:r>
        <w:rPr>
          <w:rFonts w:hint="eastAsia" w:ascii="宋体" w:hAnsi="宋体"/>
          <w:color w:val="auto"/>
          <w:szCs w:val="21"/>
          <w:highlight w:val="none"/>
        </w:rPr>
        <w:t>电子响应文件具体操作流程详见本公告</w:t>
      </w:r>
      <w:r>
        <w:rPr>
          <w:rFonts w:hint="eastAsia" w:ascii="宋体" w:hAnsi="宋体"/>
          <w:b/>
          <w:color w:val="auto"/>
          <w:szCs w:val="21"/>
          <w:highlight w:val="none"/>
        </w:rPr>
        <w:t>附件3</w:t>
      </w:r>
      <w:r>
        <w:rPr>
          <w:rFonts w:hint="eastAsia" w:ascii="宋体" w:hAnsi="宋体"/>
          <w:color w:val="auto"/>
          <w:szCs w:val="21"/>
          <w:highlight w:val="none"/>
        </w:rPr>
        <w:t>。</w:t>
      </w:r>
    </w:p>
    <w:p>
      <w:pPr>
        <w:widowControl/>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（2）未进行网上注册并办理数字证书（CA认证）的供应商将无法参与本项目政府采购活动，潜在供应商应要尽早完成电子交易平台上的CA数字证书办理（申领流程见本公告</w:t>
      </w:r>
      <w:r>
        <w:rPr>
          <w:rFonts w:hint="eastAsia" w:ascii="宋体" w:hAnsi="宋体"/>
          <w:b/>
          <w:color w:val="auto"/>
          <w:szCs w:val="21"/>
          <w:highlight w:val="none"/>
        </w:rPr>
        <w:t>附件2</w:t>
      </w:r>
      <w:r>
        <w:rPr>
          <w:rFonts w:hint="eastAsia" w:ascii="宋体" w:hAnsi="宋体"/>
          <w:color w:val="auto"/>
          <w:szCs w:val="21"/>
          <w:highlight w:val="none"/>
        </w:rPr>
        <w:t>），并在首次响应文件提交截止时间前提交响应文件。</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（3）为确保网上操作合法、有效和安全，请供应商确保在电子响应过程中能够对相关数据电文进行加密和使用电子签章，妥善保管C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数字证书并使用有效的CA数字证书参与整个采购活动。</w:t>
      </w:r>
    </w:p>
    <w:p>
      <w:pPr>
        <w:spacing w:line="360" w:lineRule="auto"/>
        <w:ind w:firstLine="420" w:firstLineChars="200"/>
        <w:rPr>
          <w:rFonts w:hint="eastAsia" w:ascii="宋体" w:hAnsi="宋体"/>
          <w:bCs/>
          <w:color w:val="auto"/>
          <w:szCs w:val="21"/>
          <w:highlight w:val="none"/>
          <w:u w:val="single"/>
        </w:rPr>
      </w:pPr>
      <w:r>
        <w:rPr>
          <w:rFonts w:hint="eastAsia" w:ascii="宋体" w:hAnsi="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3、CA证书在线解密：首次响应文件开启时，须要供应商登录“</w:t>
      </w:r>
      <w:r>
        <w:rPr>
          <w:rFonts w:hint="eastAsia" w:ascii="宋体" w:hAnsi="宋体"/>
          <w:color w:val="auto"/>
          <w:szCs w:val="21"/>
          <w:highlight w:val="none"/>
        </w:rPr>
        <w:t>广西政府采购云</w:t>
      </w:r>
      <w:r>
        <w:rPr>
          <w:rFonts w:hint="eastAsia" w:ascii="宋体" w:hAnsi="宋体" w:cs="宋体"/>
          <w:color w:val="auto"/>
          <w:kern w:val="0"/>
          <w:szCs w:val="21"/>
          <w:highlight w:val="none"/>
        </w:rPr>
        <w:t>”平台电子开标大厅按规定时间对加密的响应文件进行解密，</w:t>
      </w:r>
      <w:r>
        <w:rPr>
          <w:rFonts w:hint="eastAsia"/>
          <w:color w:val="auto"/>
          <w:highlight w:val="none"/>
        </w:rPr>
        <w:t>详见采购文件“第三章供应</w:t>
      </w:r>
      <w:r>
        <w:rPr>
          <w:color w:val="auto"/>
          <w:highlight w:val="none"/>
        </w:rPr>
        <w:t>商须知</w:t>
      </w:r>
      <w:r>
        <w:rPr>
          <w:rFonts w:hint="eastAsia"/>
          <w:color w:val="auto"/>
          <w:highlight w:val="none"/>
        </w:rPr>
        <w:t>正文25.2条”</w:t>
      </w:r>
      <w:r>
        <w:rPr>
          <w:rFonts w:hint="eastAsia" w:ascii="宋体" w:hAnsi="宋体" w:cs="宋体"/>
          <w:color w:val="auto"/>
          <w:kern w:val="0"/>
          <w:szCs w:val="21"/>
          <w:highlight w:val="none"/>
        </w:rPr>
        <w:t>，否则后果自负。</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w:t>
      </w:r>
      <w:r>
        <w:rPr>
          <w:rFonts w:hint="eastAsia" w:ascii="宋体" w:hAnsi="宋体"/>
          <w:color w:val="auto"/>
          <w:szCs w:val="21"/>
          <w:highlight w:val="none"/>
        </w:rPr>
        <w:t>广西政府采购云</w:t>
      </w:r>
      <w:r>
        <w:rPr>
          <w:rFonts w:hint="eastAsia" w:ascii="宋体" w:hAnsi="宋体" w:cs="宋体"/>
          <w:color w:val="auto"/>
          <w:kern w:val="0"/>
          <w:szCs w:val="21"/>
          <w:highlight w:val="none"/>
        </w:rPr>
        <w:t>”平台远程开标大厅参与本次谈判，否则后果自负。</w:t>
      </w:r>
    </w:p>
    <w:p>
      <w:pPr>
        <w:spacing w:line="360" w:lineRule="auto"/>
        <w:ind w:firstLine="482" w:firstLineChars="200"/>
        <w:rPr>
          <w:rFonts w:ascii="黑体" w:hAnsi="黑体" w:eastAsia="黑体"/>
          <w:b/>
          <w:bCs/>
          <w:color w:val="auto"/>
          <w:sz w:val="24"/>
          <w:highlight w:val="none"/>
        </w:rPr>
      </w:pPr>
      <w:r>
        <w:rPr>
          <w:rFonts w:hint="eastAsia" w:ascii="黑体" w:hAnsi="黑体" w:eastAsia="黑体"/>
          <w:b/>
          <w:bCs/>
          <w:color w:val="auto"/>
          <w:sz w:val="24"/>
          <w:highlight w:val="none"/>
        </w:rPr>
        <w:t>五、开启（首次响应文件开启时间）</w:t>
      </w:r>
    </w:p>
    <w:p>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hint="eastAsia" w:ascii="宋体" w:hAnsi="宋体"/>
          <w:bCs/>
          <w:color w:val="auto"/>
          <w:szCs w:val="21"/>
          <w:highlight w:val="none"/>
        </w:rPr>
        <w:t>（北京时间）</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2026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7</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2</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时</w:t>
      </w:r>
      <w:r>
        <w:rPr>
          <w:rFonts w:hint="eastAsia" w:ascii="宋体" w:hAnsi="宋体"/>
          <w:bCs/>
          <w:color w:val="auto"/>
          <w:szCs w:val="21"/>
          <w:highlight w:val="none"/>
          <w:u w:val="single"/>
          <w:lang w:val="en-US" w:eastAsia="zh-CN"/>
        </w:rPr>
        <w:t>30</w:t>
      </w:r>
      <w:r>
        <w:rPr>
          <w:rFonts w:hint="eastAsia" w:ascii="宋体" w:hAnsi="宋体"/>
          <w:bCs/>
          <w:color w:val="auto"/>
          <w:szCs w:val="21"/>
          <w:highlight w:val="none"/>
          <w:u w:val="single"/>
        </w:rPr>
        <w:t>分</w:t>
      </w:r>
      <w:r>
        <w:rPr>
          <w:rFonts w:hint="eastAsia" w:ascii="宋体" w:hAnsi="宋体"/>
          <w:color w:val="auto"/>
          <w:szCs w:val="21"/>
          <w:highlight w:val="none"/>
        </w:rPr>
        <w:t>后</w:t>
      </w:r>
    </w:p>
    <w:p>
      <w:pPr>
        <w:spacing w:line="360" w:lineRule="auto"/>
        <w:ind w:firstLine="420" w:firstLineChars="200"/>
        <w:rPr>
          <w:rFonts w:hint="eastAsia" w:ascii="宋体" w:hAnsi="宋体" w:eastAsia="宋体"/>
          <w:bCs/>
          <w:color w:val="auto"/>
          <w:szCs w:val="21"/>
          <w:highlight w:val="none"/>
          <w:u w:val="single"/>
          <w:lang w:val="en-US"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广西政府采购云平台开标大厅</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pPr>
        <w:spacing w:line="360" w:lineRule="auto"/>
        <w:ind w:firstLine="482" w:firstLineChars="200"/>
        <w:rPr>
          <w:rFonts w:ascii="黑体" w:hAnsi="黑体" w:eastAsia="黑体"/>
          <w:b/>
          <w:bCs/>
          <w:color w:val="auto"/>
          <w:sz w:val="24"/>
          <w:highlight w:val="none"/>
        </w:rPr>
      </w:pPr>
      <w:bookmarkStart w:id="19" w:name="_Toc28359084"/>
      <w:bookmarkStart w:id="20" w:name="_Toc28359007"/>
      <w:bookmarkStart w:id="21" w:name="_Toc35393794"/>
      <w:bookmarkStart w:id="22" w:name="_Toc35393625"/>
      <w:r>
        <w:rPr>
          <w:rFonts w:hint="eastAsia" w:ascii="黑体" w:hAnsi="黑体" w:eastAsia="黑体"/>
          <w:b/>
          <w:bCs/>
          <w:color w:val="auto"/>
          <w:sz w:val="24"/>
          <w:highlight w:val="none"/>
        </w:rPr>
        <w:t>六、公告期限</w:t>
      </w:r>
      <w:bookmarkEnd w:id="19"/>
      <w:bookmarkEnd w:id="20"/>
      <w:bookmarkEnd w:id="21"/>
      <w:bookmarkEnd w:id="22"/>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pPr>
        <w:spacing w:line="360" w:lineRule="auto"/>
        <w:ind w:firstLine="482" w:firstLineChars="200"/>
        <w:rPr>
          <w:rFonts w:ascii="黑体" w:hAnsi="黑体" w:eastAsia="黑体"/>
          <w:b/>
          <w:bCs/>
          <w:color w:val="auto"/>
          <w:sz w:val="24"/>
          <w:highlight w:val="none"/>
        </w:rPr>
      </w:pPr>
      <w:bookmarkStart w:id="23" w:name="_Toc35393626"/>
      <w:bookmarkStart w:id="24" w:name="_Toc35393795"/>
      <w:r>
        <w:rPr>
          <w:rFonts w:hint="eastAsia" w:ascii="黑体" w:hAnsi="黑体" w:eastAsia="黑体"/>
          <w:b/>
          <w:bCs/>
          <w:color w:val="auto"/>
          <w:sz w:val="24"/>
          <w:highlight w:val="none"/>
        </w:rPr>
        <w:t>七、其他补充事宜</w:t>
      </w:r>
      <w:bookmarkEnd w:id="23"/>
      <w:bookmarkEnd w:id="24"/>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谈判保证金：本项目不收取投标保证金</w:t>
      </w:r>
    </w:p>
    <w:p>
      <w:pPr>
        <w:spacing w:line="360" w:lineRule="auto"/>
        <w:ind w:firstLine="420" w:firstLineChars="200"/>
        <w:rPr>
          <w:rFonts w:hint="eastAsia" w:ascii="宋体" w:hAnsi="宋体" w:cs="宋体"/>
          <w:color w:val="auto"/>
          <w:spacing w:val="0"/>
          <w:kern w:val="0"/>
          <w:sz w:val="21"/>
          <w:szCs w:val="21"/>
          <w:highlight w:val="none"/>
        </w:rPr>
      </w:pPr>
      <w:r>
        <w:rPr>
          <w:rFonts w:hint="eastAsia" w:ascii="宋体" w:hAnsi="宋体" w:cs="宋体"/>
          <w:color w:val="auto"/>
          <w:spacing w:val="0"/>
          <w:kern w:val="0"/>
          <w:sz w:val="21"/>
          <w:szCs w:val="21"/>
          <w:highlight w:val="none"/>
        </w:rPr>
        <w:t>2.采购意向公开链接：</w:t>
      </w:r>
    </w:p>
    <w:p>
      <w:pPr>
        <w:spacing w:line="360" w:lineRule="auto"/>
        <w:ind w:firstLine="420" w:firstLineChars="200"/>
        <w:rPr>
          <w:rFonts w:hint="eastAsia" w:ascii="宋体" w:hAnsi="宋体" w:cs="宋体"/>
          <w:color w:val="auto"/>
          <w:spacing w:val="0"/>
          <w:kern w:val="0"/>
          <w:sz w:val="21"/>
          <w:szCs w:val="21"/>
          <w:highlight w:val="none"/>
        </w:rPr>
      </w:pPr>
      <w:bookmarkStart w:id="25" w:name="_Hlk37429585"/>
      <w:r>
        <w:rPr>
          <w:rFonts w:hint="eastAsia" w:ascii="宋体" w:hAnsi="宋体" w:cs="宋体"/>
          <w:color w:val="auto"/>
          <w:spacing w:val="0"/>
          <w:kern w:val="0"/>
          <w:sz w:val="21"/>
          <w:szCs w:val="21"/>
          <w:highlight w:val="none"/>
        </w:rPr>
        <w:fldChar w:fldCharType="begin"/>
      </w:r>
      <w:r>
        <w:rPr>
          <w:rFonts w:hint="eastAsia" w:ascii="宋体" w:hAnsi="宋体" w:cs="宋体"/>
          <w:color w:val="auto"/>
          <w:spacing w:val="0"/>
          <w:kern w:val="0"/>
          <w:sz w:val="21"/>
          <w:szCs w:val="21"/>
          <w:highlight w:val="none"/>
        </w:rPr>
        <w:instrText xml:space="preserve"> HYPERLINK "https://zfcg.gxzf.gov.cn/luban/detail?parentId=66485&amp;articleId=ann_Vz3CUh8QaYq71+xGXTtuNdD5ndTMr3NGt5TILBJnhQo=&amp;utm=web-micro-app-back-front.4996c985.0.0.b72b1b506f6d11f1a42a250735a56344" </w:instrText>
      </w:r>
      <w:r>
        <w:rPr>
          <w:rFonts w:hint="eastAsia" w:ascii="宋体" w:hAnsi="宋体" w:cs="宋体"/>
          <w:color w:val="auto"/>
          <w:spacing w:val="0"/>
          <w:kern w:val="0"/>
          <w:sz w:val="21"/>
          <w:szCs w:val="21"/>
          <w:highlight w:val="none"/>
        </w:rPr>
        <w:fldChar w:fldCharType="separate"/>
      </w:r>
      <w:r>
        <w:rPr>
          <w:rStyle w:val="24"/>
          <w:rFonts w:hint="eastAsia" w:ascii="宋体" w:hAnsi="宋体" w:cs="宋体"/>
          <w:color w:val="auto"/>
          <w:spacing w:val="0"/>
          <w:kern w:val="0"/>
          <w:sz w:val="21"/>
          <w:szCs w:val="21"/>
          <w:highlight w:val="none"/>
        </w:rPr>
        <w:t>https://zfcg.gxzf.gov.cn/luban/detail?parentId=66485&amp;articleId=ann_Vz3CUh8QaYq71+xGXTtuNdD5ndTMr3NGt5TILBJnhQo=&amp;utm=web-micro-app-back-front.4996c985.0.0.b72b1b506f6d11f1a42a250735a56344</w:t>
      </w:r>
      <w:r>
        <w:rPr>
          <w:rFonts w:hint="eastAsia" w:ascii="宋体" w:hAnsi="宋体" w:cs="宋体"/>
          <w:color w:val="auto"/>
          <w:spacing w:val="0"/>
          <w:kern w:val="0"/>
          <w:sz w:val="21"/>
          <w:szCs w:val="21"/>
          <w:highlight w:val="none"/>
        </w:rPr>
        <w:fldChar w:fldCharType="end"/>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w:t>
      </w:r>
      <w:bookmarkStart w:id="26" w:name="_Hlk37429595"/>
      <w:r>
        <w:rPr>
          <w:rFonts w:hint="eastAsia" w:ascii="宋体" w:hAnsi="宋体" w:cs="宋体"/>
          <w:color w:val="auto"/>
          <w:kern w:val="0"/>
          <w:szCs w:val="21"/>
          <w:highlight w:val="none"/>
        </w:rPr>
        <w:t>网上查询地址</w:t>
      </w:r>
    </w:p>
    <w:bookmarkEnd w:id="25"/>
    <w:bookmarkEnd w:id="26"/>
    <w:p>
      <w:pPr>
        <w:spacing w:line="360" w:lineRule="auto"/>
        <w:ind w:firstLine="420" w:firstLineChars="200"/>
        <w:rPr>
          <w:rFonts w:hint="eastAsia" w:ascii="宋体" w:hAnsi="宋体" w:cs="宋体"/>
          <w:color w:val="auto"/>
          <w:kern w:val="0"/>
          <w:szCs w:val="21"/>
          <w:highlight w:val="none"/>
        </w:rPr>
      </w:pPr>
      <w:bookmarkStart w:id="27" w:name="_Hlk37429674"/>
      <w:r>
        <w:rPr>
          <w:rFonts w:hint="eastAsia" w:ascii="宋体" w:hAnsi="宋体" w:cs="宋体"/>
          <w:color w:val="auto"/>
          <w:kern w:val="0"/>
          <w:szCs w:val="21"/>
          <w:highlight w:val="none"/>
        </w:rPr>
        <w:t>http://zfcg.gxzf.gov.cn (广西政府采购网)、</w:t>
      </w: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"http://ggzy.jgswj.gxzf.gov.cn/nnggzy"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http://ggzy.jgswj.gxzf.gov.cn/nnggzy</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【全国公共资源交易平台（广西.南宁）】</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olor w:val="auto"/>
          <w:szCs w:val="21"/>
          <w:highlight w:val="none"/>
        </w:rPr>
        <w:t>.</w:t>
      </w:r>
      <w:r>
        <w:rPr>
          <w:rFonts w:hint="eastAsia" w:ascii="宋体" w:hAnsi="宋体"/>
          <w:color w:val="auto"/>
          <w:szCs w:val="21"/>
          <w:highlight w:val="none"/>
        </w:rPr>
        <w:t xml:space="preserve"> </w:t>
      </w:r>
      <w:r>
        <w:rPr>
          <w:rFonts w:hint="eastAsia" w:ascii="宋体" w:hAnsi="宋体" w:cs="宋体"/>
          <w:color w:val="auto"/>
          <w:kern w:val="0"/>
          <w:szCs w:val="21"/>
          <w:highlight w:val="none"/>
        </w:rPr>
        <w:t>本项目需要落实的政府采购政策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bookmarkEnd w:id="27"/>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color w:val="auto"/>
          <w:highlight w:val="none"/>
        </w:rPr>
        <w:t>扶持不发达地区和少数民族地区政策</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w:t>
      </w:r>
      <w:r>
        <w:rPr>
          <w:rFonts w:hint="eastAsia" w:ascii="宋体" w:hAnsi="宋体" w:cs="宋体"/>
          <w:color w:val="auto"/>
          <w:kern w:val="0"/>
          <w:szCs w:val="21"/>
          <w:highlight w:val="none"/>
        </w:rPr>
        <w:t xml:space="preserve"> 若对项目采购电子交易系统操作有疑问，可登录“广西政府采购云”平台（http://www.gcy.zfcg.gxzf.gov.cn），点击右侧咨询小采，获取采小蜜智能服务管家帮助，或拨打政采云服务热线400-881-7190获取热线服务帮助。</w:t>
      </w:r>
    </w:p>
    <w:p>
      <w:pPr>
        <w:spacing w:line="360" w:lineRule="auto"/>
        <w:ind w:firstLine="482" w:firstLineChars="200"/>
        <w:rPr>
          <w:rFonts w:hint="eastAsia"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p>
    <w:p>
      <w:pPr>
        <w:spacing w:line="360" w:lineRule="auto"/>
        <w:ind w:firstLine="735" w:firstLineChars="350"/>
        <w:jc w:val="left"/>
        <w:rPr>
          <w:rFonts w:ascii="宋体" w:hAnsi="宋体"/>
          <w:color w:val="auto"/>
          <w:szCs w:val="21"/>
          <w:highlight w:val="none"/>
        </w:rPr>
      </w:pPr>
      <w:r>
        <w:rPr>
          <w:rFonts w:hint="eastAsia" w:ascii="宋体" w:hAnsi="宋体" w:cs="宋体"/>
          <w:color w:val="auto"/>
          <w:szCs w:val="21"/>
          <w:highlight w:val="none"/>
        </w:rPr>
        <w:t>1.采购人信息</w:t>
      </w:r>
    </w:p>
    <w:p>
      <w:pPr>
        <w:spacing w:line="360" w:lineRule="auto"/>
        <w:ind w:left="1041" w:leftChars="371" w:hanging="262" w:hangingChars="125"/>
        <w:jc w:val="left"/>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名 称：</w:t>
      </w:r>
      <w:r>
        <w:rPr>
          <w:rFonts w:hint="eastAsia" w:ascii="宋体" w:hAnsi="宋体"/>
          <w:color w:val="auto"/>
          <w:szCs w:val="21"/>
          <w:highlight w:val="none"/>
          <w:u w:val="single"/>
        </w:rPr>
        <w:t>南宁市江南区</w:t>
      </w:r>
      <w:r>
        <w:rPr>
          <w:rFonts w:hint="eastAsia" w:ascii="宋体" w:hAnsi="宋体"/>
          <w:color w:val="auto"/>
          <w:szCs w:val="21"/>
          <w:highlight w:val="none"/>
          <w:u w:val="single"/>
          <w:lang w:eastAsia="zh-CN"/>
        </w:rPr>
        <w:t>市政环卫工作站</w:t>
      </w:r>
    </w:p>
    <w:p>
      <w:pPr>
        <w:spacing w:line="360" w:lineRule="auto"/>
        <w:ind w:left="1041" w:leftChars="371" w:hanging="262" w:hangingChars="125"/>
        <w:jc w:val="left"/>
        <w:rPr>
          <w:rFonts w:hint="eastAsia" w:ascii="宋体" w:hAnsi="宋体" w:eastAsia="宋体" w:cs="Times New Roman"/>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南</w:t>
      </w:r>
      <w:r>
        <w:rPr>
          <w:rFonts w:hint="eastAsia" w:ascii="宋体" w:hAnsi="宋体" w:eastAsia="宋体" w:cs="Times New Roman"/>
          <w:color w:val="auto"/>
          <w:szCs w:val="21"/>
          <w:highlight w:val="none"/>
          <w:u w:val="single"/>
        </w:rPr>
        <w:t>宁市江南区壮锦大道13-2号</w:t>
      </w:r>
    </w:p>
    <w:p>
      <w:pPr>
        <w:spacing w:line="360" w:lineRule="auto"/>
        <w:ind w:left="1041" w:leftChars="371" w:hanging="262" w:hangingChars="125"/>
        <w:jc w:val="left"/>
        <w:rPr>
          <w:rFonts w:hint="eastAsia"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none"/>
        </w:rPr>
        <w:t>项目联系人：</w:t>
      </w:r>
      <w:r>
        <w:rPr>
          <w:rFonts w:hint="eastAsia" w:ascii="宋体" w:hAnsi="宋体"/>
          <w:color w:val="auto"/>
          <w:szCs w:val="21"/>
          <w:highlight w:val="none"/>
          <w:u w:val="single"/>
          <w:lang w:val="en-US" w:eastAsia="zh-CN"/>
        </w:rPr>
        <w:t xml:space="preserve"> </w:t>
      </w:r>
      <w:r>
        <w:rPr>
          <w:rFonts w:hint="eastAsia" w:ascii="宋体" w:hAnsi="宋体" w:eastAsia="宋体" w:cs="Times New Roman"/>
          <w:color w:val="auto"/>
          <w:szCs w:val="21"/>
          <w:highlight w:val="none"/>
          <w:u w:val="single"/>
          <w:lang w:val="en-US" w:eastAsia="zh-CN"/>
        </w:rPr>
        <w:t>兰工</w:t>
      </w:r>
    </w:p>
    <w:p>
      <w:pPr>
        <w:spacing w:line="360" w:lineRule="auto"/>
        <w:ind w:left="1041" w:leftChars="371" w:hanging="262" w:hangingChars="125"/>
        <w:jc w:val="left"/>
        <w:rPr>
          <w:rFonts w:hint="eastAsia" w:ascii="宋体" w:hAnsi="宋体" w:eastAsia="宋体" w:cs="Times New Roman"/>
          <w:color w:val="auto"/>
          <w:szCs w:val="21"/>
          <w:highlight w:val="none"/>
          <w:u w:val="single"/>
          <w:lang w:val="en-US" w:eastAsia="zh-CN"/>
        </w:rPr>
      </w:pPr>
      <w:r>
        <w:rPr>
          <w:rFonts w:hint="eastAsia" w:ascii="宋体" w:hAnsi="宋体" w:eastAsia="宋体" w:cs="Times New Roman"/>
          <w:color w:val="auto"/>
          <w:szCs w:val="21"/>
          <w:highlight w:val="none"/>
          <w:u w:val="single"/>
          <w:lang w:val="en-US" w:eastAsia="zh-CN"/>
        </w:rPr>
        <w:t>联系电话：0771-4831092</w:t>
      </w:r>
    </w:p>
    <w:p>
      <w:pPr>
        <w:spacing w:line="360" w:lineRule="auto"/>
        <w:ind w:left="1041" w:leftChars="371" w:hanging="262" w:hangingChars="125"/>
        <w:jc w:val="left"/>
        <w:rPr>
          <w:rFonts w:ascii="宋体" w:hAnsi="宋体"/>
          <w:color w:val="auto"/>
          <w:szCs w:val="21"/>
          <w:highlight w:val="none"/>
        </w:rPr>
      </w:pPr>
      <w:r>
        <w:rPr>
          <w:rFonts w:hint="eastAsia" w:ascii="宋体" w:hAnsi="宋体" w:cs="宋体"/>
          <w:color w:val="auto"/>
          <w:szCs w:val="21"/>
          <w:highlight w:val="none"/>
        </w:rPr>
        <w:t>2.采购代理机构信息</w:t>
      </w:r>
    </w:p>
    <w:p>
      <w:pPr>
        <w:spacing w:line="360" w:lineRule="auto"/>
        <w:ind w:firstLine="735" w:firstLineChars="350"/>
        <w:rPr>
          <w:rFonts w:hint="eastAsia" w:ascii="宋体" w:hAnsi="宋体"/>
          <w:color w:val="auto"/>
          <w:szCs w:val="21"/>
          <w:highlight w:val="none"/>
          <w:u w:val="single"/>
        </w:rPr>
      </w:pPr>
      <w:r>
        <w:rPr>
          <w:rFonts w:hint="eastAsia" w:ascii="宋体" w:hAnsi="宋体"/>
          <w:color w:val="auto"/>
          <w:szCs w:val="21"/>
          <w:highlight w:val="none"/>
        </w:rPr>
        <w:t>名 称：</w:t>
      </w:r>
      <w:r>
        <w:rPr>
          <w:rFonts w:hint="eastAsia" w:ascii="宋体" w:hAnsi="宋体"/>
          <w:color w:val="auto"/>
          <w:szCs w:val="21"/>
          <w:highlight w:val="none"/>
          <w:u w:val="single"/>
        </w:rPr>
        <w:t>南宁市江南区政府采购中心</w:t>
      </w:r>
    </w:p>
    <w:p>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南宁市江南区壮锦大道19号</w:t>
      </w:r>
    </w:p>
    <w:p>
      <w:pP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lang w:val="en-US" w:eastAsia="zh-CN"/>
        </w:rPr>
        <w:t>0771-4950239</w:t>
      </w:r>
      <w:r>
        <w:rPr>
          <w:rFonts w:hint="eastAsia" w:ascii="宋体" w:hAnsi="宋体"/>
          <w:color w:val="auto"/>
          <w:szCs w:val="21"/>
          <w:highlight w:val="none"/>
          <w:u w:val="single"/>
        </w:rPr>
        <w:t>　</w:t>
      </w:r>
    </w:p>
    <w:p>
      <w:pPr>
        <w:spacing w:line="360" w:lineRule="auto"/>
        <w:ind w:firstLine="735" w:firstLineChars="35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项目联系方式</w:t>
      </w:r>
    </w:p>
    <w:p>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lang w:eastAsia="zh-CN"/>
        </w:rPr>
        <w:t>何运力、何小敏</w:t>
      </w:r>
    </w:p>
    <w:p>
      <w:pPr>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 xml:space="preserve">电 </w:t>
      </w:r>
      <w:r>
        <w:rPr>
          <w:rFonts w:ascii="宋体" w:hAnsi="宋体"/>
          <w:color w:val="auto"/>
          <w:szCs w:val="21"/>
          <w:highlight w:val="none"/>
        </w:rPr>
        <w:t xml:space="preserve">   </w:t>
      </w:r>
      <w:r>
        <w:rPr>
          <w:rFonts w:hint="eastAsia" w:ascii="宋体" w:hAnsi="宋体"/>
          <w:color w:val="auto"/>
          <w:szCs w:val="21"/>
          <w:highlight w:val="none"/>
        </w:rPr>
        <w:t>话：</w:t>
      </w:r>
      <w:r>
        <w:rPr>
          <w:rFonts w:hint="eastAsia" w:ascii="宋体" w:hAnsi="宋体"/>
          <w:color w:val="auto"/>
          <w:szCs w:val="21"/>
          <w:highlight w:val="none"/>
          <w:u w:val="single"/>
          <w:lang w:val="en-US" w:eastAsia="zh-CN"/>
        </w:rPr>
        <w:t>0771-4950239</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p>
    <w:p>
      <w:pPr>
        <w:pStyle w:val="8"/>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附件：</w:t>
      </w:r>
      <w:r>
        <w:rPr>
          <w:rFonts w:hint="eastAsia" w:ascii="宋体" w:hAnsi="宋体"/>
          <w:color w:val="auto"/>
          <w:szCs w:val="21"/>
          <w:highlight w:val="none"/>
          <w:lang w:eastAsia="zh-CN"/>
        </w:rPr>
        <w:t xml:space="preserve"> </w:t>
      </w:r>
    </w:p>
    <w:p>
      <w:pPr>
        <w:pStyle w:val="8"/>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eastAsia="zh-CN"/>
        </w:rPr>
        <w:t>1.采购文件</w:t>
      </w:r>
    </w:p>
    <w:p>
      <w:pPr>
        <w:spacing w:line="360" w:lineRule="auto"/>
        <w:ind w:firstLine="420" w:firstLineChars="200"/>
        <w:rPr>
          <w:rFonts w:hint="eastAsia"/>
          <w:color w:val="auto"/>
          <w:highlight w:val="none"/>
        </w:rPr>
      </w:pPr>
      <w:r>
        <w:rPr>
          <w:rFonts w:hint="eastAsia" w:ascii="宋体" w:hAnsi="宋体"/>
          <w:color w:val="auto"/>
          <w:szCs w:val="21"/>
          <w:highlight w:val="none"/>
        </w:rPr>
        <w:t xml:space="preserve">       2.CA证书申请方式及操作指南下载地址（现场申请方式见网址：</w:t>
      </w:r>
      <w:r>
        <w:rPr>
          <w:rFonts w:hint="eastAsia"/>
          <w:color w:val="auto"/>
          <w:highlight w:val="none"/>
        </w:rPr>
        <w:fldChar w:fldCharType="begin"/>
      </w:r>
      <w:r>
        <w:rPr>
          <w:rFonts w:hint="eastAsia"/>
          <w:color w:val="auto"/>
          <w:highlight w:val="none"/>
        </w:rPr>
        <w:instrText xml:space="preserve"> HYPERLINK "http://www.ccgp-guangxi.gov.cn/OfficeService/DownloadArea/8354055.html?utm=a0003.39a112b4.cmp001.d0002.f0464b20ff2a11eb873141bf9e381949" </w:instrText>
      </w:r>
      <w:r>
        <w:rPr>
          <w:rFonts w:hint="eastAsia"/>
          <w:color w:val="auto"/>
          <w:highlight w:val="none"/>
        </w:rPr>
        <w:fldChar w:fldCharType="separate"/>
      </w:r>
      <w:r>
        <w:rPr>
          <w:rStyle w:val="24"/>
          <w:rFonts w:hint="eastAsia"/>
          <w:color w:val="auto"/>
          <w:highlight w:val="none"/>
        </w:rPr>
        <w:t>http://www.ccgp-guangxi.gov.cn/OfficeService/DownloadArea/8354055.html?utm=a0003.39a112b4.cmp001.d0002.f0464b20ff2a11eb873141bf9e381949</w:t>
      </w:r>
      <w:r>
        <w:rPr>
          <w:rFonts w:hint="eastAsia"/>
          <w:color w:val="auto"/>
          <w:highlight w:val="none"/>
        </w:rPr>
        <w:fldChar w:fldCharType="end"/>
      </w:r>
      <w:r>
        <w:rPr>
          <w:rFonts w:hint="eastAsia"/>
          <w:color w:val="auto"/>
          <w:highlight w:val="none"/>
        </w:rPr>
        <w:t xml:space="preserve">（广西政府采购网）/网上申请方式见网址： </w:t>
      </w:r>
      <w:r>
        <w:rPr>
          <w:rFonts w:hint="eastAsia"/>
          <w:color w:val="auto"/>
          <w:highlight w:val="none"/>
        </w:rPr>
        <w:fldChar w:fldCharType="begin"/>
      </w:r>
      <w:r>
        <w:rPr>
          <w:rFonts w:hint="eastAsia"/>
          <w:color w:val="auto"/>
          <w:highlight w:val="none"/>
        </w:rPr>
        <w:instrText xml:space="preserve"> HYPERLINK "http://nncz.nanning.gov.cn/" </w:instrText>
      </w:r>
      <w:r>
        <w:rPr>
          <w:rFonts w:hint="eastAsia"/>
          <w:color w:val="auto"/>
          <w:highlight w:val="none"/>
        </w:rPr>
        <w:fldChar w:fldCharType="separate"/>
      </w:r>
      <w:r>
        <w:rPr>
          <w:rStyle w:val="24"/>
          <w:rFonts w:hint="eastAsia"/>
          <w:color w:val="auto"/>
          <w:highlight w:val="none"/>
        </w:rPr>
        <w:t>http://nncz.nanning.gov.cn/</w:t>
      </w:r>
      <w:r>
        <w:rPr>
          <w:rFonts w:hint="eastAsia"/>
          <w:color w:val="auto"/>
          <w:highlight w:val="none"/>
        </w:rPr>
        <w:fldChar w:fldCharType="end"/>
      </w:r>
      <w:r>
        <w:rPr>
          <w:rFonts w:hint="eastAsia"/>
          <w:color w:val="auto"/>
          <w:highlight w:val="none"/>
        </w:rPr>
        <w:t>（南宁市财政局官网）-下载专区-南宁市政采云CA证书办理操作指南</w:t>
      </w:r>
      <w:r>
        <w:rPr>
          <w:rFonts w:hint="eastAsia" w:ascii="宋体" w:hAnsi="宋体"/>
          <w:color w:val="auto"/>
          <w:szCs w:val="21"/>
          <w:highlight w:val="none"/>
        </w:rPr>
        <w:t>）</w:t>
      </w:r>
    </w:p>
    <w:p>
      <w:pPr>
        <w:pStyle w:val="8"/>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3.电子投标文件制作与投送教程（在此网址下载：</w:t>
      </w:r>
      <w:r>
        <w:rPr>
          <w:rFonts w:hint="eastAsia"/>
          <w:color w:val="auto"/>
          <w:highlight w:val="none"/>
        </w:rPr>
        <w:fldChar w:fldCharType="begin"/>
      </w:r>
      <w:r>
        <w:rPr>
          <w:rFonts w:hint="eastAsia"/>
          <w:color w:val="auto"/>
          <w:highlight w:val="none"/>
        </w:rPr>
        <w:instrText xml:space="preserve"> HYPERLINK "http://nncz.nanning.gov.cn/" </w:instrText>
      </w:r>
      <w:r>
        <w:rPr>
          <w:rFonts w:hint="eastAsia"/>
          <w:color w:val="auto"/>
          <w:highlight w:val="none"/>
        </w:rPr>
        <w:fldChar w:fldCharType="separate"/>
      </w:r>
      <w:r>
        <w:rPr>
          <w:rStyle w:val="24"/>
          <w:rFonts w:hint="eastAsia"/>
          <w:color w:val="auto"/>
          <w:highlight w:val="none"/>
        </w:rPr>
        <w:t>http://nncz.nanning.gov.cn/</w:t>
      </w:r>
      <w:r>
        <w:rPr>
          <w:rFonts w:hint="eastAsia"/>
          <w:color w:val="auto"/>
          <w:highlight w:val="none"/>
        </w:rPr>
        <w:fldChar w:fldCharType="end"/>
      </w:r>
      <w:r>
        <w:rPr>
          <w:rFonts w:hint="eastAsia"/>
          <w:color w:val="auto"/>
          <w:highlight w:val="none"/>
        </w:rPr>
        <w:t>（南宁市财政局官网）-下载专区</w:t>
      </w:r>
      <w:r>
        <w:rPr>
          <w:rFonts w:hint="eastAsia" w:ascii="宋体" w:hAnsi="宋体"/>
          <w:color w:val="auto"/>
          <w:szCs w:val="21"/>
          <w:highlight w:val="none"/>
          <w:lang w:eastAsia="zh-CN"/>
        </w:rPr>
        <w:t>）</w:t>
      </w:r>
    </w:p>
    <w:p>
      <w:pPr>
        <w:pStyle w:val="8"/>
        <w:spacing w:line="360" w:lineRule="auto"/>
        <w:ind w:firstLine="420" w:firstLineChars="200"/>
        <w:rPr>
          <w:rFonts w:hint="eastAsia" w:ascii="宋体" w:hAnsi="宋体"/>
          <w:color w:val="auto"/>
          <w:szCs w:val="21"/>
          <w:highlight w:val="none"/>
          <w:u w:val="single"/>
        </w:rPr>
      </w:pPr>
    </w:p>
    <w:p>
      <w:pPr>
        <w:pStyle w:val="8"/>
        <w:spacing w:line="360" w:lineRule="auto"/>
        <w:ind w:firstLine="420" w:firstLineChars="200"/>
        <w:rPr>
          <w:rFonts w:hint="eastAsia" w:ascii="宋体" w:hAnsi="宋体"/>
          <w:color w:val="auto"/>
          <w:szCs w:val="21"/>
          <w:highlight w:val="none"/>
          <w:u w:val="single"/>
        </w:rPr>
      </w:pPr>
    </w:p>
    <w:p>
      <w:pPr>
        <w:pStyle w:val="8"/>
        <w:spacing w:line="360" w:lineRule="auto"/>
        <w:ind w:firstLine="420" w:firstLineChars="200"/>
        <w:rPr>
          <w:rFonts w:hint="eastAsia" w:ascii="宋体" w:hAnsi="宋体"/>
          <w:color w:val="auto"/>
          <w:szCs w:val="21"/>
          <w:highlight w:val="none"/>
          <w:u w:val="single"/>
        </w:rPr>
      </w:pPr>
    </w:p>
    <w:p>
      <w:pPr>
        <w:pStyle w:val="8"/>
        <w:spacing w:line="360" w:lineRule="auto"/>
        <w:ind w:firstLine="420" w:firstLineChars="200"/>
        <w:rPr>
          <w:rFonts w:hint="eastAsia" w:ascii="宋体" w:hAnsi="宋体"/>
          <w:color w:val="auto"/>
          <w:szCs w:val="21"/>
          <w:highlight w:val="none"/>
          <w:u w:val="single"/>
        </w:rPr>
      </w:pPr>
    </w:p>
    <w:p>
      <w:pPr>
        <w:pStyle w:val="8"/>
        <w:spacing w:line="360" w:lineRule="auto"/>
        <w:ind w:firstLine="5565" w:firstLineChars="2650"/>
        <w:rPr>
          <w:rFonts w:ascii="宋体" w:hAnsi="宋体"/>
          <w:color w:val="auto"/>
          <w:szCs w:val="21"/>
          <w:highlight w:val="none"/>
        </w:rPr>
      </w:pPr>
      <w:r>
        <w:rPr>
          <w:rFonts w:hint="eastAsia" w:ascii="宋体" w:hAnsi="宋体"/>
          <w:color w:val="auto"/>
          <w:szCs w:val="21"/>
          <w:highlight w:val="none"/>
          <w:u w:val="single"/>
          <w:lang w:val="en-US" w:eastAsia="zh-CN"/>
        </w:rPr>
        <w:t>南宁市江南区政府采购中心</w:t>
      </w:r>
    </w:p>
    <w:p>
      <w:pPr>
        <w:spacing w:line="360" w:lineRule="auto"/>
        <w:ind w:firstLine="5985" w:firstLineChars="2850"/>
        <w:rPr>
          <w:rFonts w:ascii="宋体" w:hAnsi="宋体"/>
          <w:color w:val="auto"/>
          <w:szCs w:val="21"/>
          <w:highlight w:val="none"/>
        </w:rPr>
        <w:sectPr>
          <w:pgSz w:w="11910" w:h="16840"/>
          <w:pgMar w:top="1520" w:right="1500" w:bottom="280" w:left="1680" w:header="720" w:footer="720" w:gutter="0"/>
          <w:cols w:space="720" w:num="1"/>
        </w:sectPr>
      </w:pPr>
      <w:r>
        <w:rPr>
          <w:rFonts w:hint="eastAsia" w:ascii="宋体" w:hAnsi="宋体"/>
          <w:color w:val="auto"/>
          <w:szCs w:val="21"/>
          <w:highlight w:val="none"/>
          <w:u w:val="single"/>
          <w:lang w:val="en-US" w:eastAsia="zh-CN"/>
        </w:rPr>
        <w:t>2026</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06</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26</w:t>
      </w:r>
      <w:r>
        <w:rPr>
          <w:rFonts w:hint="eastAsia" w:ascii="宋体" w:hAnsi="宋体"/>
          <w:color w:val="auto"/>
          <w:szCs w:val="21"/>
          <w:highlight w:val="none"/>
        </w:rPr>
        <w:t>日</w:t>
      </w:r>
    </w:p>
    <w:p>
      <w:pPr>
        <w:spacing w:line="360" w:lineRule="auto"/>
        <w:ind w:firstLine="10560" w:firstLineChars="3300"/>
        <w:rPr>
          <w:rFonts w:ascii="宋体" w:hAnsi="宋体"/>
          <w:color w:val="auto"/>
          <w:sz w:val="32"/>
          <w:szCs w:val="32"/>
          <w:highlight w:val="none"/>
        </w:rPr>
      </w:pPr>
    </w:p>
    <w:p>
      <w:pPr>
        <w:pStyle w:val="3"/>
        <w:jc w:val="center"/>
        <w:rPr>
          <w:rFonts w:hint="eastAsia"/>
          <w:color w:val="auto"/>
          <w:highlight w:val="none"/>
        </w:rPr>
      </w:pPr>
      <w:bookmarkStart w:id="28" w:name="_Toc80205921"/>
      <w:r>
        <w:rPr>
          <w:rFonts w:hint="eastAsia" w:ascii="Cambria" w:hAnsi="Cambria"/>
          <w:bCs w:val="0"/>
          <w:color w:val="auto"/>
          <w:sz w:val="32"/>
          <w:szCs w:val="32"/>
          <w:highlight w:val="none"/>
        </w:rPr>
        <w:t>第二章 采购需求</w:t>
      </w:r>
      <w:bookmarkEnd w:id="28"/>
    </w:p>
    <w:p>
      <w:pPr>
        <w:spacing w:line="42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p>
    <w:p>
      <w:pPr>
        <w:spacing w:line="360" w:lineRule="auto"/>
        <w:ind w:firstLine="420" w:firstLineChars="200"/>
        <w:jc w:val="left"/>
        <w:rPr>
          <w:rFonts w:hint="eastAsia" w:ascii="宋体" w:hAnsi="宋体" w:cs="宋体"/>
          <w:color w:val="auto"/>
          <w:szCs w:val="21"/>
          <w:highlight w:val="none"/>
        </w:rPr>
      </w:pPr>
      <w:r>
        <w:rPr>
          <w:rFonts w:hint="eastAsia"/>
          <w:color w:val="auto"/>
          <w:highlight w:val="none"/>
        </w:rPr>
        <w:t>1. 为落实政府采购政策需满足的要求</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服务项目中伴随的货物包含列入《网络关键设备和网络安全专用产品目录》的网络安全专用产品，应当按照《信息安全技术 网络安全专用产品安全技术要求》等相关国家标准的强制性要求，供应商在响应文件中应主动列明供货范围中属于网络安全专用产品的竞标产品，并提供具备资格的机构安全认证合格或者安全检测证明材料(加盖供应商公章)，否则响应文件作无效处理。</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2.“实质性要求”是指采购需求中带“▲”的条款或者不能负偏离的条款或者已经指明不满足按响应文件作无效处理的条款。</w:t>
      </w:r>
    </w:p>
    <w:p>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3.不需要供应商对采购需求响应为具体数值的，此采购需求的数值后将以◆号标注。</w:t>
      </w:r>
    </w:p>
    <w:p>
      <w:pPr>
        <w:spacing w:line="360" w:lineRule="auto"/>
        <w:ind w:firstLine="420" w:firstLineChars="200"/>
        <w:jc w:val="left"/>
        <w:rPr>
          <w:rFonts w:hint="eastAsia" w:ascii="宋体" w:hAnsi="宋体" w:cs="宋体"/>
          <w:b/>
          <w:bCs/>
          <w:color w:val="auto"/>
          <w:sz w:val="24"/>
          <w:highlight w:val="none"/>
        </w:rPr>
      </w:pPr>
      <w:r>
        <w:rPr>
          <w:rFonts w:hint="eastAsia" w:ascii="宋体" w:hAnsi="宋体" w:eastAsia="宋体" w:cs="宋体"/>
          <w:color w:val="auto"/>
          <w:szCs w:val="21"/>
          <w:highlight w:val="none"/>
          <w:lang w:val="en-US" w:eastAsia="zh-CN"/>
        </w:rPr>
        <w:t>4.供应商必须自行为其竞标产品侵犯他人的知识产权或者专利成果的行为承担相应法律责任。</w:t>
      </w:r>
      <w:r>
        <w:rPr>
          <w:rFonts w:hint="eastAsia" w:ascii="宋体" w:hAnsi="宋体" w:cs="宋体"/>
          <w:b/>
          <w:bCs/>
          <w:color w:val="auto"/>
          <w:szCs w:val="21"/>
          <w:highlight w:val="none"/>
        </w:rPr>
        <w:br w:type="page"/>
      </w:r>
    </w:p>
    <w:tbl>
      <w:tblPr>
        <w:tblStyle w:val="20"/>
        <w:tblW w:w="0" w:type="auto"/>
        <w:tblInd w:w="-10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895"/>
        <w:gridCol w:w="814"/>
        <w:gridCol w:w="4369"/>
        <w:gridCol w:w="1054"/>
        <w:gridCol w:w="104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9267" w:type="dxa"/>
            <w:gridSpan w:val="7"/>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cs="宋体"/>
                <w:b/>
                <w:color w:val="auto"/>
                <w:sz w:val="21"/>
                <w:szCs w:val="21"/>
                <w:highlight w:val="none"/>
              </w:rPr>
            </w:pPr>
            <w:r>
              <w:rPr>
                <w:rFonts w:hint="eastAsia" w:ascii="仿宋_GB2312" w:hAnsi="宋体" w:eastAsia="仿宋_GB2312" w:cs="Arial"/>
                <w:b/>
                <w:color w:val="auto"/>
                <w:sz w:val="24"/>
                <w:szCs w:val="24"/>
                <w:highlight w:val="none"/>
              </w:rPr>
              <w:t>货物需求一览表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985" w:type="dxa"/>
            <w:gridSpan w:val="3"/>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仿宋_GB2312" w:hAnsi="宋体" w:eastAsia="仿宋_GB2312" w:cs="Arial"/>
                <w:color w:val="auto"/>
                <w:sz w:val="21"/>
                <w:szCs w:val="21"/>
                <w:highlight w:val="none"/>
              </w:rPr>
            </w:pPr>
            <w:r>
              <w:rPr>
                <w:rFonts w:hint="eastAsia" w:ascii="仿宋_GB2312" w:hAnsi="宋体" w:eastAsia="仿宋_GB2312" w:cs="Arial"/>
                <w:color w:val="auto"/>
                <w:sz w:val="21"/>
                <w:szCs w:val="21"/>
                <w:highlight w:val="none"/>
              </w:rPr>
              <w:t>标段</w:t>
            </w:r>
          </w:p>
        </w:tc>
        <w:tc>
          <w:tcPr>
            <w:tcW w:w="7282" w:type="dxa"/>
            <w:gridSpan w:val="4"/>
            <w:tcBorders>
              <w:top w:val="single" w:color="auto" w:sz="4" w:space="0"/>
              <w:left w:val="single" w:color="auto" w:sz="4" w:space="0"/>
              <w:right w:val="single" w:color="auto" w:sz="4" w:space="0"/>
            </w:tcBorders>
            <w:vAlign w:val="center"/>
          </w:tcPr>
          <w:p>
            <w:pPr>
              <w:pStyle w:val="18"/>
              <w:rPr>
                <w:rFonts w:hint="eastAsia" w:hAnsi="宋体"/>
                <w:b/>
                <w:bCs/>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友谊路延长线（外环高速-机场高速）路灯维修项目</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45" w:type="dxa"/>
            <w:vMerge w:val="restart"/>
            <w:tcBorders>
              <w:top w:val="single" w:color="auto" w:sz="4" w:space="0"/>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kinsoku/>
              <w:wordWrap/>
              <w:overflowPunct/>
              <w:topLinePunct w:val="0"/>
              <w:autoSpaceDE/>
              <w:autoSpaceDN/>
              <w:bidi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采购货物名称</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数量及</w:t>
            </w:r>
            <w:r>
              <w:rPr>
                <w:rFonts w:hint="eastAsia" w:ascii="宋体" w:hAnsi="宋体" w:cs="宋体"/>
                <w:color w:val="auto"/>
                <w:sz w:val="21"/>
                <w:szCs w:val="21"/>
                <w:highlight w:val="none"/>
              </w:rPr>
              <w:t>单位</w:t>
            </w:r>
          </w:p>
        </w:tc>
        <w:tc>
          <w:tcPr>
            <w:tcW w:w="43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技术参数</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分项预算合计（</w:t>
            </w:r>
            <w:r>
              <w:rPr>
                <w:rFonts w:hint="eastAsia" w:ascii="宋体" w:hAnsi="宋体" w:cs="宋体"/>
                <w:color w:val="auto"/>
                <w:sz w:val="21"/>
                <w:szCs w:val="21"/>
                <w:highlight w:val="none"/>
                <w:lang w:val="en-US" w:eastAsia="zh-CN"/>
              </w:rPr>
              <w:t>万</w:t>
            </w:r>
            <w:r>
              <w:rPr>
                <w:rFonts w:hint="eastAsia" w:ascii="宋体" w:hAnsi="宋体" w:cs="宋体"/>
                <w:color w:val="auto"/>
                <w:sz w:val="21"/>
                <w:szCs w:val="21"/>
                <w:highlight w:val="none"/>
              </w:rPr>
              <w:t>元）</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cs="宋体"/>
                <w:color w:val="auto"/>
                <w:sz w:val="21"/>
                <w:szCs w:val="21"/>
                <w:highlight w:val="none"/>
              </w:rPr>
            </w:pPr>
            <w:r>
              <w:rPr>
                <w:rFonts w:hint="eastAsia"/>
                <w:color w:val="auto"/>
                <w:sz w:val="21"/>
                <w:szCs w:val="21"/>
                <w:highlight w:val="none"/>
              </w:rPr>
              <w:t>中小企业划分标准所属行业名称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b/>
                <w:bCs/>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ascii="宋体" w:hAnsi="宋体"/>
                <w:color w:val="auto"/>
                <w:sz w:val="21"/>
                <w:szCs w:val="21"/>
                <w:highlight w:val="none"/>
              </w:rPr>
            </w:pPr>
            <w:r>
              <w:rPr>
                <w:rFonts w:hint="eastAsia" w:ascii="宋体" w:hAnsi="宋体"/>
                <w:color w:val="auto"/>
                <w:sz w:val="21"/>
                <w:szCs w:val="21"/>
                <w:highlight w:val="none"/>
              </w:rPr>
              <w:t>1</w:t>
            </w: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color w:val="auto"/>
                <w:sz w:val="21"/>
                <w:szCs w:val="21"/>
                <w:highlight w:val="none"/>
              </w:rPr>
            </w:pPr>
            <w:r>
              <w:rPr>
                <w:rFonts w:hint="eastAsia" w:ascii="宋体" w:hAnsi="宋体"/>
                <w:color w:val="auto"/>
                <w:sz w:val="21"/>
                <w:szCs w:val="21"/>
                <w:highlight w:val="none"/>
              </w:rPr>
              <w:t>主干道太阳能壁灯</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389套</w:t>
            </w:r>
          </w:p>
        </w:tc>
        <w:tc>
          <w:tcPr>
            <w:tcW w:w="43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2"/>
              </w:numPr>
              <w:kinsoku/>
              <w:wordWrap/>
              <w:overflowPunct/>
              <w:topLinePunct w:val="0"/>
              <w:autoSpaceDE/>
              <w:autoSpaceDN/>
              <w:bidi w:val="0"/>
              <w:spacing w:line="240" w:lineRule="auto"/>
              <w:jc w:val="left"/>
              <w:rPr>
                <w:rFonts w:hint="eastAsia" w:ascii="仿宋" w:hAnsi="仿宋" w:eastAsia="仿宋"/>
                <w:b/>
                <w:bCs/>
                <w:color w:val="auto"/>
                <w:kern w:val="2"/>
                <w:sz w:val="24"/>
                <w:szCs w:val="24"/>
                <w:highlight w:val="none"/>
              </w:rPr>
            </w:pPr>
            <w:r>
              <w:rPr>
                <w:rFonts w:hint="eastAsia" w:ascii="仿宋" w:hAnsi="仿宋" w:eastAsia="仿宋"/>
                <w:b/>
                <w:bCs/>
                <w:color w:val="auto"/>
                <w:kern w:val="2"/>
                <w:sz w:val="24"/>
                <w:szCs w:val="24"/>
                <w:highlight w:val="none"/>
              </w:rPr>
              <w:t>灯具：</w:t>
            </w:r>
            <w:r>
              <w:rPr>
                <w:rFonts w:hint="eastAsia" w:ascii="仿宋" w:hAnsi="仿宋" w:eastAsia="仿宋"/>
                <w:color w:val="auto"/>
                <w:kern w:val="2"/>
                <w:sz w:val="24"/>
                <w:szCs w:val="24"/>
                <w:highlight w:val="none"/>
              </w:rPr>
              <w:t>高强度防腐铝外壳</w:t>
            </w:r>
            <w:r>
              <w:rPr>
                <w:rFonts w:ascii="仿宋" w:hAnsi="仿宋" w:eastAsia="仿宋"/>
                <w:color w:val="auto"/>
                <w:kern w:val="2"/>
                <w:sz w:val="24"/>
                <w:szCs w:val="24"/>
                <w:highlight w:val="none"/>
              </w:rPr>
              <w:t>，防护等级：IP65,智能控制器</w:t>
            </w:r>
            <w:r>
              <w:rPr>
                <w:rFonts w:hint="eastAsia" w:ascii="仿宋" w:hAnsi="仿宋" w:eastAsia="仿宋"/>
                <w:color w:val="auto"/>
                <w:kern w:val="2"/>
                <w:sz w:val="24"/>
                <w:szCs w:val="24"/>
                <w:highlight w:val="none"/>
                <w:lang w:eastAsia="zh-CN"/>
              </w:rPr>
              <w:t>，</w:t>
            </w:r>
            <w:r>
              <w:rPr>
                <w:rFonts w:ascii="仿宋" w:hAnsi="仿宋" w:eastAsia="仿宋"/>
                <w:color w:val="auto"/>
                <w:kern w:val="2"/>
                <w:sz w:val="24"/>
                <w:szCs w:val="24"/>
                <w:highlight w:val="none"/>
              </w:rPr>
              <w:t>提供MPPT技术</w:t>
            </w:r>
            <w:r>
              <w:rPr>
                <w:rFonts w:hint="eastAsia" w:ascii="仿宋" w:hAnsi="仿宋" w:eastAsia="仿宋"/>
                <w:color w:val="auto"/>
                <w:kern w:val="2"/>
                <w:sz w:val="24"/>
                <w:szCs w:val="24"/>
                <w:highlight w:val="none"/>
              </w:rPr>
              <w:t>、</w:t>
            </w:r>
            <w:r>
              <w:rPr>
                <w:rFonts w:ascii="仿宋" w:hAnsi="仿宋" w:eastAsia="仿宋"/>
                <w:color w:val="auto"/>
                <w:kern w:val="2"/>
                <w:sz w:val="24"/>
                <w:szCs w:val="24"/>
                <w:highlight w:val="none"/>
              </w:rPr>
              <w:t>提供</w:t>
            </w:r>
            <w:bookmarkStart w:id="29" w:name="OLE_LINK14"/>
            <w:bookmarkStart w:id="30" w:name="OLE_LINK13"/>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4</w:t>
            </w:r>
            <w:r>
              <w:rPr>
                <w:rFonts w:hint="eastAsia" w:ascii="仿宋" w:hAnsi="仿宋" w:eastAsia="仿宋"/>
                <w:color w:val="auto"/>
                <w:kern w:val="2"/>
                <w:sz w:val="24"/>
                <w:szCs w:val="24"/>
                <w:highlight w:val="none"/>
              </w:rPr>
              <w:t>种</w:t>
            </w:r>
            <w:bookmarkEnd w:id="29"/>
            <w:bookmarkEnd w:id="30"/>
            <w:r>
              <w:rPr>
                <w:rFonts w:ascii="仿宋" w:hAnsi="仿宋" w:eastAsia="仿宋"/>
                <w:color w:val="auto"/>
                <w:kern w:val="2"/>
                <w:sz w:val="24"/>
                <w:szCs w:val="24"/>
                <w:highlight w:val="none"/>
              </w:rPr>
              <w:t>智能功率调节模式</w:t>
            </w:r>
            <w:r>
              <w:rPr>
                <w:rFonts w:hint="eastAsia" w:ascii="仿宋" w:hAnsi="仿宋" w:eastAsia="仿宋"/>
                <w:color w:val="auto"/>
                <w:kern w:val="2"/>
                <w:sz w:val="24"/>
                <w:szCs w:val="24"/>
                <w:highlight w:val="none"/>
                <w:lang w:eastAsia="zh-CN"/>
              </w:rPr>
              <w:t>，</w:t>
            </w:r>
            <w:r>
              <w:rPr>
                <w:rFonts w:hint="eastAsia" w:ascii="仿宋" w:hAnsi="仿宋" w:eastAsia="仿宋"/>
                <w:color w:val="auto"/>
                <w:kern w:val="2"/>
                <w:sz w:val="24"/>
                <w:szCs w:val="24"/>
                <w:highlight w:val="none"/>
                <w:lang w:val="en-US" w:eastAsia="zh-CN"/>
              </w:rPr>
              <w:t>工作温度范围：-20°C-60°C，设计使用寿命≥50000hrs。</w:t>
            </w:r>
          </w:p>
          <w:p>
            <w:pPr>
              <w:keepNext w:val="0"/>
              <w:keepLines w:val="0"/>
              <w:pageBreakBefore w:val="0"/>
              <w:numPr>
                <w:ilvl w:val="0"/>
                <w:numId w:val="2"/>
              </w:numPr>
              <w:kinsoku/>
              <w:wordWrap/>
              <w:overflowPunct/>
              <w:topLinePunct w:val="0"/>
              <w:autoSpaceDE/>
              <w:autoSpaceDN/>
              <w:bidi w:val="0"/>
              <w:spacing w:line="240" w:lineRule="auto"/>
              <w:jc w:val="left"/>
              <w:rPr>
                <w:color w:val="auto"/>
                <w:sz w:val="24"/>
                <w:szCs w:val="24"/>
                <w:highlight w:val="none"/>
                <w:lang w:val="en-US" w:eastAsia="zh-CN"/>
              </w:rPr>
            </w:pPr>
            <w:r>
              <w:rPr>
                <w:rFonts w:hint="eastAsia" w:ascii="仿宋" w:hAnsi="仿宋" w:eastAsia="仿宋"/>
                <w:b/>
                <w:bCs/>
                <w:color w:val="auto"/>
                <w:kern w:val="2"/>
                <w:sz w:val="24"/>
                <w:szCs w:val="24"/>
                <w:highlight w:val="none"/>
                <w:lang w:val="en-US" w:eastAsia="zh-CN"/>
              </w:rPr>
              <w:t>太阳能光伏板：功率</w:t>
            </w:r>
            <w:r>
              <w:rPr>
                <w:rFonts w:hint="eastAsia" w:ascii="仿宋" w:hAnsi="仿宋" w:eastAsia="仿宋"/>
                <w:color w:val="auto"/>
                <w:kern w:val="2"/>
                <w:sz w:val="24"/>
                <w:szCs w:val="24"/>
                <w:highlight w:val="none"/>
                <w:lang w:val="en-US" w:eastAsia="zh-CN"/>
              </w:rPr>
              <w:t>150W、工作电压18V、单晶硅、光能转化率20%。</w:t>
            </w:r>
          </w:p>
          <w:p>
            <w:pPr>
              <w:numPr>
                <w:ilvl w:val="0"/>
                <w:numId w:val="2"/>
              </w:numPr>
              <w:spacing w:line="288" w:lineRule="auto"/>
              <w:ind w:left="0" w:leftChars="0" w:firstLine="0" w:firstLineChars="0"/>
              <w:jc w:val="left"/>
              <w:rPr>
                <w:rFonts w:hint="eastAsia" w:ascii="仿宋" w:hAnsi="仿宋" w:eastAsia="仿宋"/>
                <w:color w:val="auto"/>
                <w:kern w:val="2"/>
                <w:sz w:val="24"/>
                <w:szCs w:val="24"/>
                <w:highlight w:val="none"/>
              </w:rPr>
            </w:pPr>
            <w:r>
              <w:rPr>
                <w:rFonts w:ascii="仿宋" w:hAnsi="仿宋" w:eastAsia="仿宋"/>
                <w:b/>
                <w:bCs/>
                <w:color w:val="auto"/>
                <w:kern w:val="2"/>
                <w:sz w:val="24"/>
                <w:szCs w:val="24"/>
                <w:highlight w:val="none"/>
              </w:rPr>
              <w:t>光源：</w:t>
            </w:r>
            <w:r>
              <w:rPr>
                <w:rFonts w:ascii="仿宋" w:hAnsi="仿宋" w:eastAsia="仿宋"/>
                <w:color w:val="auto"/>
                <w:kern w:val="2"/>
                <w:sz w:val="24"/>
                <w:szCs w:val="24"/>
                <w:highlight w:val="none"/>
              </w:rPr>
              <w:t>配置光源140</w:t>
            </w:r>
            <w:r>
              <w:rPr>
                <w:rFonts w:hint="eastAsia" w:ascii="仿宋" w:hAnsi="仿宋" w:eastAsia="仿宋"/>
                <w:color w:val="auto"/>
                <w:kern w:val="2"/>
                <w:sz w:val="24"/>
                <w:szCs w:val="24"/>
                <w:highlight w:val="none"/>
                <w:lang w:val="en-US" w:eastAsia="zh-CN"/>
              </w:rPr>
              <w:t>颗高效LED</w:t>
            </w:r>
            <w:r>
              <w:rPr>
                <w:rFonts w:ascii="仿宋" w:hAnsi="仿宋" w:eastAsia="仿宋"/>
                <w:color w:val="auto"/>
                <w:kern w:val="2"/>
                <w:sz w:val="24"/>
                <w:szCs w:val="24"/>
                <w:highlight w:val="none"/>
              </w:rPr>
              <w:t>灯珠，光通量</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9500</w:t>
            </w:r>
            <w:r>
              <w:rPr>
                <w:rFonts w:ascii="仿宋" w:hAnsi="仿宋" w:eastAsia="仿宋"/>
                <w:color w:val="auto"/>
                <w:kern w:val="2"/>
                <w:sz w:val="24"/>
                <w:szCs w:val="24"/>
                <w:highlight w:val="none"/>
              </w:rPr>
              <w:t>LM，光源显指</w:t>
            </w:r>
            <w:r>
              <w:rPr>
                <w:rFonts w:hint="eastAsia" w:ascii="仿宋" w:hAnsi="仿宋" w:eastAsia="仿宋"/>
                <w:color w:val="auto"/>
                <w:kern w:val="2"/>
                <w:sz w:val="24"/>
                <w:szCs w:val="24"/>
                <w:highlight w:val="none"/>
              </w:rPr>
              <w:t>≥70Ra，光源色温：</w:t>
            </w:r>
            <w:r>
              <w:rPr>
                <w:rFonts w:hint="eastAsia" w:ascii="仿宋" w:hAnsi="仿宋" w:eastAsia="仿宋"/>
                <w:color w:val="auto"/>
                <w:kern w:val="2"/>
                <w:sz w:val="24"/>
                <w:szCs w:val="24"/>
                <w:highlight w:val="none"/>
                <w:lang w:val="en-US" w:eastAsia="zh-CN"/>
              </w:rPr>
              <w:t>6000</w:t>
            </w: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6500K。</w:t>
            </w:r>
          </w:p>
          <w:p>
            <w:pPr>
              <w:numPr>
                <w:ilvl w:val="0"/>
                <w:numId w:val="2"/>
              </w:numPr>
              <w:spacing w:line="288" w:lineRule="auto"/>
              <w:ind w:left="0" w:leftChars="0" w:firstLine="0" w:firstLineChars="0"/>
              <w:jc w:val="left"/>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lang w:val="en-US" w:eastAsia="zh-CN"/>
              </w:rPr>
              <w:t>电池组：</w:t>
            </w:r>
            <w:r>
              <w:rPr>
                <w:rFonts w:ascii="仿宋" w:hAnsi="仿宋" w:eastAsia="仿宋"/>
                <w:color w:val="auto"/>
                <w:kern w:val="2"/>
                <w:sz w:val="24"/>
                <w:szCs w:val="24"/>
                <w:highlight w:val="none"/>
              </w:rPr>
              <w:t>磷酸铁锂电池</w:t>
            </w:r>
            <w:r>
              <w:rPr>
                <w:rFonts w:hint="eastAsia" w:ascii="仿宋" w:hAnsi="仿宋" w:eastAsia="仿宋"/>
                <w:color w:val="auto"/>
                <w:kern w:val="2"/>
                <w:sz w:val="24"/>
                <w:szCs w:val="24"/>
                <w:highlight w:val="none"/>
              </w:rPr>
              <w:t>，容量:</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rPr>
              <w:t>480WH/150AH,</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lang w:val="en-US" w:eastAsia="zh-CN"/>
              </w:rPr>
              <w:t>具备</w:t>
            </w:r>
            <w:r>
              <w:rPr>
                <w:rFonts w:ascii="仿宋" w:hAnsi="仿宋" w:eastAsia="仿宋"/>
                <w:color w:val="auto"/>
                <w:kern w:val="2"/>
                <w:sz w:val="24"/>
                <w:szCs w:val="24"/>
                <w:highlight w:val="none"/>
              </w:rPr>
              <w:t>智能充放电管理技术</w:t>
            </w:r>
            <w:r>
              <w:rPr>
                <w:rFonts w:hint="eastAsia" w:ascii="仿宋" w:hAnsi="仿宋" w:eastAsia="仿宋"/>
                <w:color w:val="auto"/>
                <w:kern w:val="2"/>
                <w:sz w:val="24"/>
                <w:szCs w:val="24"/>
                <w:highlight w:val="none"/>
              </w:rPr>
              <w:t>。</w:t>
            </w:r>
          </w:p>
          <w:p>
            <w:pPr>
              <w:pStyle w:val="18"/>
              <w:numPr>
                <w:ilvl w:val="0"/>
                <w:numId w:val="0"/>
              </w:numPr>
              <w:ind w:leftChars="0"/>
              <w:jc w:val="left"/>
              <w:rPr>
                <w:rFonts w:hint="eastAsia" w:ascii="仿宋" w:hAnsi="仿宋" w:eastAsia="仿宋"/>
                <w:color w:val="auto"/>
                <w:kern w:val="2"/>
                <w:sz w:val="24"/>
                <w:szCs w:val="24"/>
                <w:highlight w:val="none"/>
                <w:lang w:val="en-US" w:eastAsia="zh-CN"/>
              </w:rPr>
            </w:pPr>
            <w:r>
              <w:rPr>
                <w:rFonts w:hint="eastAsia" w:ascii="仿宋" w:hAnsi="仿宋" w:eastAsia="仿宋"/>
                <w:b/>
                <w:bCs/>
                <w:color w:val="auto"/>
                <w:kern w:val="2"/>
                <w:sz w:val="24"/>
                <w:szCs w:val="24"/>
                <w:highlight w:val="none"/>
                <w:lang w:val="en-US" w:eastAsia="zh-CN"/>
              </w:rPr>
              <w:t>5、控制器基本要求：(</w:t>
            </w:r>
            <w:r>
              <w:rPr>
                <w:rFonts w:hint="eastAsia" w:ascii="仿宋" w:hAnsi="仿宋" w:eastAsia="仿宋"/>
                <w:color w:val="auto"/>
                <w:kern w:val="2"/>
                <w:sz w:val="24"/>
                <w:szCs w:val="24"/>
                <w:highlight w:val="none"/>
                <w:lang w:val="en-US" w:eastAsia="zh-CN"/>
              </w:rPr>
              <w:t>1)提供智能光效管理技术，自动优化灯珠亮度，提高整体光效；(2）具备指示灯功能，实时显示灯具电量，方便观察灯具充放电情况；(3）具备智能功率调节技术，实现AI智能判断近期天气情况，合理规划放电功率。</w:t>
            </w:r>
          </w:p>
          <w:p>
            <w:pPr>
              <w:pStyle w:val="18"/>
              <w:numPr>
                <w:ilvl w:val="0"/>
                <w:numId w:val="0"/>
              </w:numPr>
              <w:ind w:leftChars="0"/>
              <w:jc w:val="left"/>
              <w:rPr>
                <w:rFonts w:ascii="仿宋" w:hAnsi="仿宋" w:eastAsia="仿宋"/>
                <w:color w:val="auto"/>
                <w:kern w:val="2"/>
                <w:sz w:val="24"/>
                <w:szCs w:val="24"/>
                <w:highlight w:val="none"/>
                <w:lang w:val="en-US" w:eastAsia="zh-CN"/>
              </w:rPr>
            </w:pPr>
            <w:r>
              <w:rPr>
                <w:rFonts w:hint="eastAsia" w:ascii="新宋体" w:hAnsi="新宋体" w:eastAsia="新宋体" w:cs="新宋体"/>
                <w:b/>
                <w:bCs/>
                <w:color w:val="auto"/>
                <w:kern w:val="2"/>
                <w:sz w:val="24"/>
                <w:szCs w:val="24"/>
                <w:highlight w:val="none"/>
                <w:lang w:val="en-US" w:eastAsia="zh-CN"/>
              </w:rPr>
              <w:t>▲6.</w:t>
            </w:r>
            <w:r>
              <w:rPr>
                <w:rFonts w:hint="eastAsia" w:ascii="仿宋" w:hAnsi="仿宋" w:eastAsia="仿宋"/>
                <w:color w:val="auto"/>
                <w:kern w:val="2"/>
                <w:sz w:val="24"/>
                <w:szCs w:val="24"/>
                <w:highlight w:val="none"/>
                <w:lang w:val="en-US" w:eastAsia="zh-CN"/>
              </w:rPr>
              <w:t>(1）拥有MPPT光能追踪技术，智能提高光伏系统的能量利用效率，提高充电效率；(2）智能充放电管理技术，磷酸铁锂电池2000次循环充放电后，电池容量和健康度保持不低于90%。</w:t>
            </w:r>
          </w:p>
          <w:p>
            <w:pPr>
              <w:pStyle w:val="18"/>
              <w:numPr>
                <w:ilvl w:val="0"/>
                <w:numId w:val="0"/>
              </w:numPr>
              <w:ind w:leftChars="0"/>
              <w:jc w:val="left"/>
              <w:rPr>
                <w:rFonts w:ascii="宋体" w:hAnsi="宋体"/>
                <w:color w:val="auto"/>
                <w:sz w:val="24"/>
                <w:szCs w:val="24"/>
                <w:highlight w:val="none"/>
              </w:rPr>
            </w:pPr>
            <w:r>
              <w:rPr>
                <w:rFonts w:hint="eastAsia" w:ascii="仿宋" w:hAnsi="仿宋" w:eastAsia="仿宋"/>
                <w:b/>
                <w:bCs/>
                <w:color w:val="auto"/>
                <w:kern w:val="2"/>
                <w:sz w:val="24"/>
                <w:szCs w:val="24"/>
                <w:highlight w:val="none"/>
                <w:lang w:val="en-US" w:eastAsia="zh-CN"/>
              </w:rPr>
              <w:t>7、安装支架：</w:t>
            </w:r>
            <w:r>
              <w:rPr>
                <w:rFonts w:hint="eastAsia" w:ascii="仿宋" w:hAnsi="仿宋" w:eastAsia="仿宋"/>
                <w:color w:val="auto"/>
                <w:kern w:val="2"/>
                <w:sz w:val="24"/>
                <w:szCs w:val="24"/>
                <w:highlight w:val="none"/>
                <w:lang w:val="en-US" w:eastAsia="zh-CN"/>
              </w:rPr>
              <w:t>提供1.2米符合行业标准的支架，把灯具和太阳能</w:t>
            </w:r>
            <w:r>
              <w:rPr>
                <w:rFonts w:hint="eastAsia" w:ascii="Times New Roman" w:hAnsi="Times New Roman" w:eastAsia="宋体" w:cs="Times New Roman"/>
                <w:color w:val="auto"/>
                <w:szCs w:val="22"/>
                <w:highlight w:val="none"/>
                <w:lang w:val="en-US" w:eastAsia="zh-CN"/>
              </w:rPr>
              <w:t>光伏板</w:t>
            </w:r>
            <w:r>
              <w:rPr>
                <w:rFonts w:hint="eastAsia" w:ascii="仿宋" w:hAnsi="仿宋" w:eastAsia="仿宋"/>
                <w:color w:val="auto"/>
                <w:kern w:val="2"/>
                <w:sz w:val="24"/>
                <w:szCs w:val="24"/>
                <w:highlight w:val="none"/>
                <w:lang w:val="en-US" w:eastAsia="zh-CN"/>
              </w:rPr>
              <w:t>固定在现有灯杆上，固定处不得用包箍。</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40.845</w:t>
            </w:r>
          </w:p>
        </w:tc>
        <w:tc>
          <w:tcPr>
            <w:tcW w:w="10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45" w:type="dxa"/>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color w:val="auto"/>
                <w:sz w:val="21"/>
                <w:szCs w:val="21"/>
                <w:highlight w:val="none"/>
              </w:rPr>
            </w:pPr>
            <w:r>
              <w:rPr>
                <w:rFonts w:hint="eastAsia" w:ascii="宋体" w:hAnsi="宋体"/>
                <w:color w:val="auto"/>
                <w:sz w:val="21"/>
                <w:szCs w:val="21"/>
                <w:highlight w:val="none"/>
              </w:rPr>
              <w:t>辅道太阳能壁灯</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619套</w:t>
            </w:r>
          </w:p>
        </w:tc>
        <w:tc>
          <w:tcPr>
            <w:tcW w:w="43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3"/>
              </w:numPr>
              <w:kinsoku/>
              <w:wordWrap/>
              <w:overflowPunct/>
              <w:topLinePunct w:val="0"/>
              <w:autoSpaceDE/>
              <w:autoSpaceDN/>
              <w:bidi w:val="0"/>
              <w:spacing w:line="240" w:lineRule="auto"/>
              <w:jc w:val="left"/>
              <w:rPr>
                <w:rFonts w:hint="eastAsia" w:ascii="仿宋" w:hAnsi="仿宋" w:eastAsia="仿宋"/>
                <w:b/>
                <w:bCs/>
                <w:color w:val="auto"/>
                <w:kern w:val="2"/>
                <w:sz w:val="24"/>
                <w:szCs w:val="24"/>
                <w:highlight w:val="none"/>
              </w:rPr>
            </w:pPr>
            <w:r>
              <w:rPr>
                <w:rFonts w:hint="eastAsia" w:ascii="仿宋" w:hAnsi="仿宋" w:eastAsia="仿宋"/>
                <w:b/>
                <w:bCs/>
                <w:color w:val="auto"/>
                <w:kern w:val="2"/>
                <w:sz w:val="24"/>
                <w:szCs w:val="24"/>
                <w:highlight w:val="none"/>
              </w:rPr>
              <w:t>灯具：</w:t>
            </w:r>
            <w:r>
              <w:rPr>
                <w:rFonts w:hint="eastAsia" w:ascii="仿宋" w:hAnsi="仿宋" w:eastAsia="仿宋"/>
                <w:color w:val="auto"/>
                <w:kern w:val="2"/>
                <w:sz w:val="24"/>
                <w:szCs w:val="24"/>
                <w:highlight w:val="none"/>
              </w:rPr>
              <w:t>高强度防腐铝外壳</w:t>
            </w:r>
            <w:r>
              <w:rPr>
                <w:rFonts w:ascii="仿宋" w:hAnsi="仿宋" w:eastAsia="仿宋"/>
                <w:color w:val="auto"/>
                <w:kern w:val="2"/>
                <w:sz w:val="24"/>
                <w:szCs w:val="24"/>
                <w:highlight w:val="none"/>
              </w:rPr>
              <w:t>，防护等级：IP65,智能控制器</w:t>
            </w:r>
            <w:r>
              <w:rPr>
                <w:rFonts w:hint="eastAsia" w:ascii="仿宋" w:hAnsi="仿宋" w:eastAsia="仿宋"/>
                <w:color w:val="auto"/>
                <w:kern w:val="2"/>
                <w:sz w:val="24"/>
                <w:szCs w:val="24"/>
                <w:highlight w:val="none"/>
                <w:lang w:eastAsia="zh-CN"/>
              </w:rPr>
              <w:t>，</w:t>
            </w:r>
            <w:r>
              <w:rPr>
                <w:rFonts w:ascii="仿宋" w:hAnsi="仿宋" w:eastAsia="仿宋"/>
                <w:color w:val="auto"/>
                <w:kern w:val="2"/>
                <w:sz w:val="24"/>
                <w:szCs w:val="24"/>
                <w:highlight w:val="none"/>
              </w:rPr>
              <w:t>提供MPPT技术</w:t>
            </w:r>
            <w:r>
              <w:rPr>
                <w:rFonts w:hint="eastAsia" w:ascii="仿宋" w:hAnsi="仿宋" w:eastAsia="仿宋"/>
                <w:color w:val="auto"/>
                <w:kern w:val="2"/>
                <w:sz w:val="24"/>
                <w:szCs w:val="24"/>
                <w:highlight w:val="none"/>
              </w:rPr>
              <w:t>、</w:t>
            </w:r>
            <w:r>
              <w:rPr>
                <w:rFonts w:ascii="仿宋" w:hAnsi="仿宋" w:eastAsia="仿宋"/>
                <w:color w:val="auto"/>
                <w:kern w:val="2"/>
                <w:sz w:val="24"/>
                <w:szCs w:val="24"/>
                <w:highlight w:val="none"/>
              </w:rPr>
              <w:t>提供</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4</w:t>
            </w:r>
            <w:r>
              <w:rPr>
                <w:rFonts w:hint="eastAsia" w:ascii="仿宋" w:hAnsi="仿宋" w:eastAsia="仿宋"/>
                <w:color w:val="auto"/>
                <w:kern w:val="2"/>
                <w:sz w:val="24"/>
                <w:szCs w:val="24"/>
                <w:highlight w:val="none"/>
              </w:rPr>
              <w:t>种</w:t>
            </w:r>
            <w:r>
              <w:rPr>
                <w:rFonts w:ascii="仿宋" w:hAnsi="仿宋" w:eastAsia="仿宋"/>
                <w:color w:val="auto"/>
                <w:kern w:val="2"/>
                <w:sz w:val="24"/>
                <w:szCs w:val="24"/>
                <w:highlight w:val="none"/>
              </w:rPr>
              <w:t>智能功率调节模式</w:t>
            </w:r>
            <w:r>
              <w:rPr>
                <w:rFonts w:hint="eastAsia" w:ascii="仿宋" w:hAnsi="仿宋" w:eastAsia="仿宋"/>
                <w:color w:val="auto"/>
                <w:kern w:val="2"/>
                <w:sz w:val="24"/>
                <w:szCs w:val="24"/>
                <w:highlight w:val="none"/>
                <w:lang w:eastAsia="zh-CN"/>
              </w:rPr>
              <w:t>，</w:t>
            </w:r>
            <w:r>
              <w:rPr>
                <w:rFonts w:hint="eastAsia" w:ascii="仿宋" w:hAnsi="仿宋" w:eastAsia="仿宋"/>
                <w:color w:val="auto"/>
                <w:kern w:val="2"/>
                <w:sz w:val="24"/>
                <w:szCs w:val="24"/>
                <w:highlight w:val="none"/>
                <w:lang w:val="en-US" w:eastAsia="zh-CN"/>
              </w:rPr>
              <w:t>工作温度范围：-20°C-60°C，设计使用寿命≥50000hrs</w:t>
            </w:r>
            <w:r>
              <w:rPr>
                <w:rFonts w:hint="eastAsia" w:ascii="仿宋" w:hAnsi="仿宋" w:eastAsia="仿宋"/>
                <w:b/>
                <w:bCs/>
                <w:color w:val="auto"/>
                <w:kern w:val="2"/>
                <w:sz w:val="24"/>
                <w:szCs w:val="24"/>
                <w:highlight w:val="none"/>
              </w:rPr>
              <w:t>。</w:t>
            </w:r>
          </w:p>
          <w:p>
            <w:pPr>
              <w:keepNext w:val="0"/>
              <w:keepLines w:val="0"/>
              <w:pageBreakBefore w:val="0"/>
              <w:numPr>
                <w:ilvl w:val="0"/>
                <w:numId w:val="3"/>
              </w:numPr>
              <w:kinsoku/>
              <w:wordWrap/>
              <w:overflowPunct/>
              <w:topLinePunct w:val="0"/>
              <w:autoSpaceDE/>
              <w:autoSpaceDN/>
              <w:bidi w:val="0"/>
              <w:spacing w:line="240" w:lineRule="auto"/>
              <w:rPr>
                <w:color w:val="auto"/>
                <w:sz w:val="24"/>
                <w:szCs w:val="24"/>
                <w:highlight w:val="none"/>
                <w:lang w:val="en-US" w:eastAsia="zh-CN"/>
              </w:rPr>
            </w:pPr>
            <w:r>
              <w:rPr>
                <w:rFonts w:hint="eastAsia" w:ascii="仿宋" w:hAnsi="仿宋" w:eastAsia="仿宋"/>
                <w:b/>
                <w:bCs/>
                <w:color w:val="auto"/>
                <w:kern w:val="2"/>
                <w:sz w:val="24"/>
                <w:szCs w:val="24"/>
                <w:highlight w:val="none"/>
                <w:lang w:val="en-US" w:eastAsia="zh-CN"/>
              </w:rPr>
              <w:t>太阳能光伏板：功率</w:t>
            </w:r>
            <w:r>
              <w:rPr>
                <w:rFonts w:hint="eastAsia" w:ascii="仿宋" w:hAnsi="仿宋" w:eastAsia="仿宋"/>
                <w:color w:val="auto"/>
                <w:kern w:val="2"/>
                <w:sz w:val="24"/>
                <w:szCs w:val="24"/>
                <w:highlight w:val="none"/>
                <w:lang w:val="en-US" w:eastAsia="zh-CN"/>
              </w:rPr>
              <w:t>120W，工作电压18V、高效单晶硅、光能转化率20%。</w:t>
            </w:r>
          </w:p>
          <w:p>
            <w:pPr>
              <w:pStyle w:val="18"/>
              <w:numPr>
                <w:ilvl w:val="0"/>
                <w:numId w:val="3"/>
              </w:numPr>
              <w:ind w:left="0" w:leftChars="0" w:firstLine="0" w:firstLineChars="0"/>
              <w:rPr>
                <w:rFonts w:hint="eastAsia" w:ascii="仿宋" w:hAnsi="仿宋" w:eastAsia="仿宋"/>
                <w:color w:val="auto"/>
                <w:kern w:val="2"/>
                <w:sz w:val="24"/>
                <w:szCs w:val="24"/>
                <w:highlight w:val="none"/>
              </w:rPr>
            </w:pPr>
            <w:r>
              <w:rPr>
                <w:rFonts w:ascii="仿宋" w:hAnsi="仿宋" w:eastAsia="仿宋"/>
                <w:b/>
                <w:bCs/>
                <w:color w:val="auto"/>
                <w:kern w:val="2"/>
                <w:sz w:val="24"/>
                <w:szCs w:val="24"/>
                <w:highlight w:val="none"/>
              </w:rPr>
              <w:t>光源：</w:t>
            </w:r>
            <w:r>
              <w:rPr>
                <w:rFonts w:ascii="仿宋" w:hAnsi="仿宋" w:eastAsia="仿宋"/>
                <w:color w:val="auto"/>
                <w:kern w:val="2"/>
                <w:sz w:val="24"/>
                <w:szCs w:val="24"/>
                <w:highlight w:val="none"/>
              </w:rPr>
              <w:t>配置光源</w:t>
            </w:r>
            <w:r>
              <w:rPr>
                <w:rFonts w:hint="eastAsia" w:ascii="仿宋" w:hAnsi="仿宋" w:eastAsia="仿宋"/>
                <w:color w:val="auto"/>
                <w:kern w:val="2"/>
                <w:sz w:val="24"/>
                <w:szCs w:val="24"/>
                <w:highlight w:val="none"/>
              </w:rPr>
              <w:t>≥</w:t>
            </w:r>
            <w:r>
              <w:rPr>
                <w:rFonts w:ascii="仿宋" w:hAnsi="仿宋" w:eastAsia="仿宋"/>
                <w:color w:val="auto"/>
                <w:kern w:val="2"/>
                <w:sz w:val="24"/>
                <w:szCs w:val="24"/>
                <w:highlight w:val="none"/>
              </w:rPr>
              <w:t>1</w:t>
            </w:r>
            <w:r>
              <w:rPr>
                <w:rFonts w:hint="eastAsia" w:ascii="仿宋" w:hAnsi="仿宋" w:eastAsia="仿宋"/>
                <w:color w:val="auto"/>
                <w:kern w:val="2"/>
                <w:sz w:val="24"/>
                <w:szCs w:val="24"/>
                <w:highlight w:val="none"/>
                <w:lang w:val="en-US" w:eastAsia="zh-CN"/>
              </w:rPr>
              <w:t>40颗高效LED</w:t>
            </w:r>
            <w:r>
              <w:rPr>
                <w:rFonts w:ascii="仿宋" w:hAnsi="仿宋" w:eastAsia="仿宋"/>
                <w:color w:val="auto"/>
                <w:kern w:val="2"/>
                <w:sz w:val="24"/>
                <w:szCs w:val="24"/>
                <w:highlight w:val="none"/>
              </w:rPr>
              <w:t>灯珠，光通量</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7500LM</w:t>
            </w:r>
            <w:r>
              <w:rPr>
                <w:rFonts w:ascii="仿宋" w:hAnsi="仿宋" w:eastAsia="仿宋"/>
                <w:color w:val="auto"/>
                <w:kern w:val="2"/>
                <w:sz w:val="24"/>
                <w:szCs w:val="24"/>
                <w:highlight w:val="none"/>
              </w:rPr>
              <w:t>，光源显示指数</w:t>
            </w:r>
            <w:r>
              <w:rPr>
                <w:rFonts w:hint="eastAsia" w:ascii="仿宋" w:hAnsi="仿宋" w:eastAsia="仿宋"/>
                <w:color w:val="auto"/>
                <w:kern w:val="2"/>
                <w:sz w:val="24"/>
                <w:szCs w:val="24"/>
                <w:highlight w:val="none"/>
              </w:rPr>
              <w:t>≥70Ra，光源色温：6000-6500</w:t>
            </w:r>
            <w:r>
              <w:rPr>
                <w:rFonts w:ascii="仿宋" w:hAnsi="仿宋" w:eastAsia="仿宋"/>
                <w:color w:val="auto"/>
                <w:kern w:val="2"/>
                <w:sz w:val="24"/>
                <w:szCs w:val="24"/>
                <w:highlight w:val="none"/>
              </w:rPr>
              <w:t xml:space="preserve"> K</w:t>
            </w:r>
            <w:r>
              <w:rPr>
                <w:rFonts w:hint="eastAsia" w:ascii="仿宋" w:hAnsi="仿宋" w:eastAsia="仿宋"/>
                <w:color w:val="auto"/>
                <w:kern w:val="2"/>
                <w:sz w:val="24"/>
                <w:szCs w:val="24"/>
                <w:highlight w:val="none"/>
              </w:rPr>
              <w:t>。</w:t>
            </w:r>
          </w:p>
          <w:p>
            <w:pPr>
              <w:numPr>
                <w:ilvl w:val="0"/>
                <w:numId w:val="3"/>
              </w:numPr>
              <w:spacing w:line="288" w:lineRule="auto"/>
              <w:ind w:left="0" w:leftChars="0" w:firstLine="0" w:firstLineChars="0"/>
              <w:rPr>
                <w:rFonts w:hint="eastAsia" w:ascii="仿宋" w:hAnsi="仿宋" w:eastAsia="仿宋"/>
                <w:color w:val="auto"/>
                <w:kern w:val="2"/>
                <w:sz w:val="24"/>
                <w:szCs w:val="24"/>
                <w:highlight w:val="none"/>
              </w:rPr>
            </w:pPr>
            <w:r>
              <w:rPr>
                <w:rFonts w:hint="eastAsia" w:ascii="仿宋" w:hAnsi="仿宋" w:eastAsia="仿宋"/>
                <w:b/>
                <w:bCs/>
                <w:color w:val="auto"/>
                <w:kern w:val="2"/>
                <w:sz w:val="24"/>
                <w:szCs w:val="24"/>
                <w:highlight w:val="none"/>
              </w:rPr>
              <w:t>电池组：</w:t>
            </w:r>
            <w:r>
              <w:rPr>
                <w:rFonts w:ascii="仿宋" w:hAnsi="仿宋" w:eastAsia="仿宋"/>
                <w:color w:val="auto"/>
                <w:kern w:val="2"/>
                <w:sz w:val="24"/>
                <w:szCs w:val="24"/>
                <w:highlight w:val="none"/>
              </w:rPr>
              <w:t>磷酸铁锂电池</w:t>
            </w:r>
            <w:r>
              <w:rPr>
                <w:rFonts w:hint="eastAsia" w:ascii="仿宋" w:hAnsi="仿宋" w:eastAsia="仿宋"/>
                <w:color w:val="auto"/>
                <w:kern w:val="2"/>
                <w:sz w:val="24"/>
                <w:szCs w:val="24"/>
                <w:highlight w:val="none"/>
              </w:rPr>
              <w:t>，容量:</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rPr>
              <w:t>3</w:t>
            </w:r>
            <w:r>
              <w:rPr>
                <w:rFonts w:hint="eastAsia" w:ascii="仿宋" w:hAnsi="仿宋" w:eastAsia="仿宋"/>
                <w:color w:val="auto"/>
                <w:kern w:val="2"/>
                <w:sz w:val="24"/>
                <w:szCs w:val="24"/>
                <w:highlight w:val="none"/>
                <w:lang w:val="en-US" w:eastAsia="zh-CN"/>
              </w:rPr>
              <w:t>80</w:t>
            </w:r>
            <w:r>
              <w:rPr>
                <w:rFonts w:hint="eastAsia" w:ascii="仿宋" w:hAnsi="仿宋" w:eastAsia="仿宋"/>
                <w:color w:val="auto"/>
                <w:kern w:val="2"/>
                <w:sz w:val="24"/>
                <w:szCs w:val="24"/>
                <w:highlight w:val="none"/>
              </w:rPr>
              <w:t>WH/</w:t>
            </w:r>
            <w:r>
              <w:rPr>
                <w:rFonts w:hint="eastAsia" w:ascii="仿宋" w:hAnsi="仿宋" w:eastAsia="仿宋"/>
                <w:color w:val="auto"/>
                <w:kern w:val="2"/>
                <w:sz w:val="24"/>
                <w:szCs w:val="24"/>
                <w:highlight w:val="none"/>
                <w:lang w:val="en-US" w:eastAsia="zh-CN"/>
              </w:rPr>
              <w:t>118</w:t>
            </w:r>
            <w:r>
              <w:rPr>
                <w:rFonts w:hint="eastAsia" w:ascii="仿宋" w:hAnsi="仿宋" w:eastAsia="仿宋"/>
                <w:color w:val="auto"/>
                <w:kern w:val="2"/>
                <w:sz w:val="24"/>
                <w:szCs w:val="24"/>
                <w:highlight w:val="none"/>
              </w:rPr>
              <w:t>AH,</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lang w:val="en-US" w:eastAsia="zh-CN"/>
              </w:rPr>
              <w:t>具备</w:t>
            </w:r>
            <w:r>
              <w:rPr>
                <w:rFonts w:ascii="仿宋" w:hAnsi="仿宋" w:eastAsia="仿宋"/>
                <w:color w:val="auto"/>
                <w:kern w:val="2"/>
                <w:sz w:val="24"/>
                <w:szCs w:val="24"/>
                <w:highlight w:val="none"/>
              </w:rPr>
              <w:t>智能充放电管理技术</w:t>
            </w:r>
            <w:r>
              <w:rPr>
                <w:rFonts w:hint="eastAsia" w:ascii="仿宋" w:hAnsi="仿宋" w:eastAsia="仿宋"/>
                <w:color w:val="auto"/>
                <w:kern w:val="2"/>
                <w:sz w:val="24"/>
                <w:szCs w:val="24"/>
                <w:highlight w:val="none"/>
              </w:rPr>
              <w:t>。</w:t>
            </w:r>
          </w:p>
          <w:p>
            <w:pPr>
              <w:pStyle w:val="18"/>
              <w:numPr>
                <w:ilvl w:val="0"/>
                <w:numId w:val="0"/>
              </w:numPr>
              <w:ind w:leftChars="0"/>
              <w:jc w:val="left"/>
              <w:rPr>
                <w:rFonts w:hint="eastAsia" w:ascii="仿宋" w:hAnsi="仿宋" w:eastAsia="仿宋"/>
                <w:color w:val="auto"/>
                <w:kern w:val="2"/>
                <w:sz w:val="24"/>
                <w:szCs w:val="24"/>
                <w:highlight w:val="none"/>
                <w:lang w:val="en-US" w:eastAsia="zh-CN"/>
              </w:rPr>
            </w:pPr>
            <w:r>
              <w:rPr>
                <w:rFonts w:hint="eastAsia" w:ascii="仿宋" w:hAnsi="仿宋" w:eastAsia="仿宋"/>
                <w:b/>
                <w:bCs/>
                <w:color w:val="auto"/>
                <w:kern w:val="2"/>
                <w:sz w:val="24"/>
                <w:szCs w:val="24"/>
                <w:highlight w:val="none"/>
                <w:lang w:val="en-US" w:eastAsia="zh-CN"/>
              </w:rPr>
              <w:t>5、控制器基本要求：(</w:t>
            </w:r>
            <w:r>
              <w:rPr>
                <w:rFonts w:hint="eastAsia" w:ascii="仿宋" w:hAnsi="仿宋" w:eastAsia="仿宋"/>
                <w:color w:val="auto"/>
                <w:kern w:val="2"/>
                <w:sz w:val="24"/>
                <w:szCs w:val="24"/>
                <w:highlight w:val="none"/>
                <w:lang w:val="en-US" w:eastAsia="zh-CN"/>
              </w:rPr>
              <w:t>1）提供智能光效管理技术，自动优化灯珠亮度，提高整体光效；(2）具备指示灯功能，实时显示灯具电量，方便观察灯具充放电情况；(3）具备智能功率调节技术，实现AI智能判断近期天气情况，合理规划放电功率。</w:t>
            </w:r>
          </w:p>
          <w:p>
            <w:pPr>
              <w:pStyle w:val="18"/>
              <w:numPr>
                <w:ilvl w:val="0"/>
                <w:numId w:val="0"/>
              </w:numPr>
              <w:ind w:leftChars="0"/>
              <w:jc w:val="left"/>
              <w:rPr>
                <w:rFonts w:ascii="仿宋" w:hAnsi="仿宋" w:eastAsia="仿宋"/>
                <w:color w:val="auto"/>
                <w:kern w:val="2"/>
                <w:sz w:val="24"/>
                <w:szCs w:val="24"/>
                <w:highlight w:val="none"/>
                <w:lang w:val="en-US" w:eastAsia="zh-CN"/>
              </w:rPr>
            </w:pPr>
            <w:r>
              <w:rPr>
                <w:rFonts w:hint="eastAsia" w:ascii="新宋体" w:hAnsi="新宋体" w:eastAsia="新宋体" w:cs="新宋体"/>
                <w:b/>
                <w:bCs/>
                <w:color w:val="auto"/>
                <w:kern w:val="2"/>
                <w:sz w:val="24"/>
                <w:szCs w:val="24"/>
                <w:highlight w:val="none"/>
                <w:lang w:val="en-US" w:eastAsia="zh-CN"/>
              </w:rPr>
              <w:t>▲6.</w:t>
            </w:r>
            <w:r>
              <w:rPr>
                <w:rFonts w:hint="eastAsia" w:ascii="仿宋" w:hAnsi="仿宋" w:eastAsia="仿宋"/>
                <w:color w:val="auto"/>
                <w:kern w:val="2"/>
                <w:sz w:val="24"/>
                <w:szCs w:val="24"/>
                <w:highlight w:val="none"/>
                <w:lang w:val="en-US" w:eastAsia="zh-CN"/>
              </w:rPr>
              <w:t>(1）拥有MPPT光能追踪技术，智能提高光伏系统的能量利用效率，提高充电效率；(2）智能充放电管理技术，磷酸铁锂电池2000次循环充放电后，电池容量和健康度保持不低于90%。</w:t>
            </w:r>
          </w:p>
          <w:p>
            <w:pPr>
              <w:pStyle w:val="18"/>
              <w:numPr>
                <w:ilvl w:val="0"/>
                <w:numId w:val="0"/>
              </w:numPr>
              <w:ind w:leftChars="0"/>
              <w:jc w:val="left"/>
              <w:rPr>
                <w:rFonts w:ascii="宋体" w:hAnsi="宋体"/>
                <w:color w:val="auto"/>
                <w:sz w:val="24"/>
                <w:szCs w:val="24"/>
                <w:highlight w:val="none"/>
              </w:rPr>
            </w:pPr>
            <w:r>
              <w:rPr>
                <w:rFonts w:hint="eastAsia" w:ascii="仿宋" w:hAnsi="仿宋" w:eastAsia="仿宋"/>
                <w:b/>
                <w:bCs/>
                <w:color w:val="auto"/>
                <w:kern w:val="2"/>
                <w:sz w:val="24"/>
                <w:szCs w:val="24"/>
                <w:highlight w:val="none"/>
                <w:lang w:val="en-US" w:eastAsia="zh-CN"/>
              </w:rPr>
              <w:t>7、安装支架：</w:t>
            </w:r>
            <w:r>
              <w:rPr>
                <w:rFonts w:hint="eastAsia" w:ascii="仿宋" w:hAnsi="仿宋" w:eastAsia="仿宋"/>
                <w:color w:val="auto"/>
                <w:kern w:val="2"/>
                <w:sz w:val="24"/>
                <w:szCs w:val="24"/>
                <w:highlight w:val="none"/>
                <w:lang w:val="en-US" w:eastAsia="zh-CN"/>
              </w:rPr>
              <w:t>提供1米符合行业标准的支架，把灯具和太阳能</w:t>
            </w:r>
            <w:r>
              <w:rPr>
                <w:rFonts w:hint="eastAsia" w:ascii="Times New Roman" w:hAnsi="Times New Roman" w:eastAsia="宋体" w:cs="Times New Roman"/>
                <w:color w:val="auto"/>
                <w:szCs w:val="22"/>
                <w:highlight w:val="none"/>
                <w:lang w:val="en-US" w:eastAsia="zh-CN"/>
              </w:rPr>
              <w:t>光伏板</w:t>
            </w:r>
            <w:r>
              <w:rPr>
                <w:rFonts w:hint="eastAsia" w:ascii="仿宋" w:hAnsi="仿宋" w:eastAsia="仿宋"/>
                <w:color w:val="auto"/>
                <w:kern w:val="2"/>
                <w:sz w:val="24"/>
                <w:szCs w:val="24"/>
                <w:highlight w:val="none"/>
                <w:lang w:val="en-US" w:eastAsia="zh-CN"/>
              </w:rPr>
              <w:t>固定在现有灯杆上，固定处不得用包箍。</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44.568</w:t>
            </w:r>
          </w:p>
        </w:tc>
        <w:tc>
          <w:tcPr>
            <w:tcW w:w="10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45" w:type="dxa"/>
            <w:vMerge w:val="continue"/>
            <w:tcBorders>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val="en-US" w:eastAsia="zh-CN"/>
              </w:rPr>
              <w:t>3</w:t>
            </w: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杆式太阳能路灯</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3套</w:t>
            </w:r>
          </w:p>
        </w:tc>
        <w:tc>
          <w:tcPr>
            <w:tcW w:w="43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numPr>
                <w:ilvl w:val="0"/>
                <w:numId w:val="4"/>
              </w:numPr>
              <w:kinsoku/>
              <w:wordWrap/>
              <w:overflowPunct/>
              <w:topLinePunct w:val="0"/>
              <w:autoSpaceDE/>
              <w:autoSpaceDN/>
              <w:bidi w:val="0"/>
              <w:spacing w:line="240" w:lineRule="auto"/>
              <w:jc w:val="left"/>
              <w:rPr>
                <w:rFonts w:hint="eastAsia" w:ascii="仿宋" w:hAnsi="仿宋" w:eastAsia="仿宋"/>
                <w:b/>
                <w:bCs/>
                <w:color w:val="auto"/>
                <w:kern w:val="2"/>
                <w:sz w:val="24"/>
                <w:szCs w:val="24"/>
                <w:highlight w:val="none"/>
              </w:rPr>
            </w:pPr>
            <w:r>
              <w:rPr>
                <w:rFonts w:hint="eastAsia" w:ascii="仿宋" w:hAnsi="仿宋" w:eastAsia="仿宋"/>
                <w:b/>
                <w:bCs/>
                <w:color w:val="auto"/>
                <w:kern w:val="2"/>
                <w:sz w:val="24"/>
                <w:szCs w:val="24"/>
                <w:highlight w:val="none"/>
              </w:rPr>
              <w:t>灯具：</w:t>
            </w:r>
            <w:r>
              <w:rPr>
                <w:rFonts w:hint="eastAsia" w:ascii="仿宋" w:hAnsi="仿宋" w:eastAsia="仿宋"/>
                <w:color w:val="auto"/>
                <w:kern w:val="2"/>
                <w:sz w:val="24"/>
                <w:szCs w:val="24"/>
                <w:highlight w:val="none"/>
              </w:rPr>
              <w:t>高强度防腐铝外壳</w:t>
            </w:r>
            <w:r>
              <w:rPr>
                <w:rFonts w:ascii="仿宋" w:hAnsi="仿宋" w:eastAsia="仿宋"/>
                <w:color w:val="auto"/>
                <w:kern w:val="2"/>
                <w:sz w:val="24"/>
                <w:szCs w:val="24"/>
                <w:highlight w:val="none"/>
              </w:rPr>
              <w:t>，防护等级：IP65,智能控制器</w:t>
            </w:r>
            <w:r>
              <w:rPr>
                <w:rFonts w:hint="eastAsia" w:ascii="仿宋" w:hAnsi="仿宋" w:eastAsia="仿宋"/>
                <w:color w:val="auto"/>
                <w:kern w:val="2"/>
                <w:sz w:val="24"/>
                <w:szCs w:val="24"/>
                <w:highlight w:val="none"/>
                <w:lang w:eastAsia="zh-CN"/>
              </w:rPr>
              <w:t>，</w:t>
            </w:r>
            <w:r>
              <w:rPr>
                <w:rFonts w:ascii="仿宋" w:hAnsi="仿宋" w:eastAsia="仿宋"/>
                <w:color w:val="auto"/>
                <w:kern w:val="2"/>
                <w:sz w:val="24"/>
                <w:szCs w:val="24"/>
                <w:highlight w:val="none"/>
              </w:rPr>
              <w:t>提供MPPT技术</w:t>
            </w:r>
            <w:r>
              <w:rPr>
                <w:rFonts w:hint="eastAsia" w:ascii="仿宋" w:hAnsi="仿宋" w:eastAsia="仿宋"/>
                <w:color w:val="auto"/>
                <w:kern w:val="2"/>
                <w:sz w:val="24"/>
                <w:szCs w:val="24"/>
                <w:highlight w:val="none"/>
              </w:rPr>
              <w:t>、</w:t>
            </w:r>
            <w:r>
              <w:rPr>
                <w:rFonts w:ascii="仿宋" w:hAnsi="仿宋" w:eastAsia="仿宋"/>
                <w:color w:val="auto"/>
                <w:kern w:val="2"/>
                <w:sz w:val="24"/>
                <w:szCs w:val="24"/>
                <w:highlight w:val="none"/>
              </w:rPr>
              <w:t>提供</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4</w:t>
            </w:r>
            <w:r>
              <w:rPr>
                <w:rFonts w:hint="eastAsia" w:ascii="仿宋" w:hAnsi="仿宋" w:eastAsia="仿宋"/>
                <w:color w:val="auto"/>
                <w:kern w:val="2"/>
                <w:sz w:val="24"/>
                <w:szCs w:val="24"/>
                <w:highlight w:val="none"/>
              </w:rPr>
              <w:t>种</w:t>
            </w:r>
            <w:r>
              <w:rPr>
                <w:rFonts w:ascii="仿宋" w:hAnsi="仿宋" w:eastAsia="仿宋"/>
                <w:color w:val="auto"/>
                <w:kern w:val="2"/>
                <w:sz w:val="24"/>
                <w:szCs w:val="24"/>
                <w:highlight w:val="none"/>
              </w:rPr>
              <w:t>智能功率调节模式</w:t>
            </w:r>
            <w:r>
              <w:rPr>
                <w:rFonts w:hint="eastAsia" w:ascii="仿宋" w:hAnsi="仿宋" w:eastAsia="仿宋"/>
                <w:color w:val="auto"/>
                <w:kern w:val="2"/>
                <w:sz w:val="24"/>
                <w:szCs w:val="24"/>
                <w:highlight w:val="none"/>
                <w:lang w:eastAsia="zh-CN"/>
              </w:rPr>
              <w:t>，</w:t>
            </w:r>
            <w:r>
              <w:rPr>
                <w:rFonts w:hint="eastAsia" w:ascii="仿宋" w:hAnsi="仿宋" w:eastAsia="仿宋"/>
                <w:color w:val="auto"/>
                <w:kern w:val="2"/>
                <w:sz w:val="24"/>
                <w:szCs w:val="24"/>
                <w:highlight w:val="none"/>
                <w:lang w:val="en-US" w:eastAsia="zh-CN"/>
              </w:rPr>
              <w:t>工作温度范围：-20°C-60°C，设计使用寿命≥50000hrs。</w:t>
            </w:r>
          </w:p>
          <w:p>
            <w:pPr>
              <w:keepNext w:val="0"/>
              <w:keepLines w:val="0"/>
              <w:pageBreakBefore w:val="0"/>
              <w:numPr>
                <w:ilvl w:val="0"/>
                <w:numId w:val="4"/>
              </w:numPr>
              <w:kinsoku/>
              <w:wordWrap/>
              <w:overflowPunct/>
              <w:topLinePunct w:val="0"/>
              <w:autoSpaceDE/>
              <w:autoSpaceDN/>
              <w:bidi w:val="0"/>
              <w:spacing w:line="240" w:lineRule="auto"/>
              <w:jc w:val="left"/>
              <w:rPr>
                <w:color w:val="auto"/>
                <w:sz w:val="24"/>
                <w:szCs w:val="24"/>
                <w:highlight w:val="none"/>
                <w:lang w:val="en-US" w:eastAsia="zh-CN"/>
              </w:rPr>
            </w:pPr>
            <w:r>
              <w:rPr>
                <w:rFonts w:hint="eastAsia" w:ascii="仿宋" w:hAnsi="仿宋" w:eastAsia="仿宋"/>
                <w:b/>
                <w:bCs/>
                <w:color w:val="auto"/>
                <w:kern w:val="2"/>
                <w:sz w:val="24"/>
                <w:szCs w:val="24"/>
                <w:highlight w:val="none"/>
                <w:lang w:val="en-US" w:eastAsia="zh-CN"/>
              </w:rPr>
              <w:t>太阳能光伏板：功率</w:t>
            </w:r>
            <w:r>
              <w:rPr>
                <w:rFonts w:hint="eastAsia" w:ascii="仿宋" w:hAnsi="仿宋" w:eastAsia="仿宋"/>
                <w:color w:val="auto"/>
                <w:kern w:val="2"/>
                <w:sz w:val="24"/>
                <w:szCs w:val="24"/>
                <w:highlight w:val="none"/>
                <w:lang w:val="en-US" w:eastAsia="zh-CN"/>
              </w:rPr>
              <w:t>150W、工作电压18V、单晶硅、光能转化率20%。</w:t>
            </w:r>
          </w:p>
          <w:p>
            <w:pPr>
              <w:numPr>
                <w:ilvl w:val="0"/>
                <w:numId w:val="4"/>
              </w:numPr>
              <w:spacing w:line="288" w:lineRule="auto"/>
              <w:ind w:left="0" w:leftChars="0" w:firstLine="0" w:firstLineChars="0"/>
              <w:jc w:val="left"/>
              <w:rPr>
                <w:rFonts w:hint="eastAsia" w:ascii="仿宋" w:hAnsi="仿宋" w:eastAsia="仿宋"/>
                <w:color w:val="auto"/>
                <w:kern w:val="2"/>
                <w:sz w:val="24"/>
                <w:szCs w:val="24"/>
                <w:highlight w:val="none"/>
              </w:rPr>
            </w:pPr>
            <w:r>
              <w:rPr>
                <w:rFonts w:ascii="仿宋" w:hAnsi="仿宋" w:eastAsia="仿宋"/>
                <w:b/>
                <w:bCs/>
                <w:color w:val="auto"/>
                <w:kern w:val="2"/>
                <w:sz w:val="24"/>
                <w:szCs w:val="24"/>
                <w:highlight w:val="none"/>
              </w:rPr>
              <w:t>光源：</w:t>
            </w:r>
            <w:r>
              <w:rPr>
                <w:rFonts w:ascii="仿宋" w:hAnsi="仿宋" w:eastAsia="仿宋"/>
                <w:color w:val="auto"/>
                <w:kern w:val="2"/>
                <w:sz w:val="24"/>
                <w:szCs w:val="24"/>
                <w:highlight w:val="none"/>
              </w:rPr>
              <w:t>配置光源140</w:t>
            </w:r>
            <w:r>
              <w:rPr>
                <w:rFonts w:hint="eastAsia" w:ascii="仿宋" w:hAnsi="仿宋" w:eastAsia="仿宋"/>
                <w:color w:val="auto"/>
                <w:kern w:val="2"/>
                <w:sz w:val="24"/>
                <w:szCs w:val="24"/>
                <w:highlight w:val="none"/>
                <w:lang w:val="en-US" w:eastAsia="zh-CN"/>
              </w:rPr>
              <w:t>颗高效LED</w:t>
            </w:r>
            <w:r>
              <w:rPr>
                <w:rFonts w:ascii="仿宋" w:hAnsi="仿宋" w:eastAsia="仿宋"/>
                <w:color w:val="auto"/>
                <w:kern w:val="2"/>
                <w:sz w:val="24"/>
                <w:szCs w:val="24"/>
                <w:highlight w:val="none"/>
              </w:rPr>
              <w:t>灯珠，光通量</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9500</w:t>
            </w:r>
            <w:r>
              <w:rPr>
                <w:rFonts w:ascii="仿宋" w:hAnsi="仿宋" w:eastAsia="仿宋"/>
                <w:color w:val="auto"/>
                <w:kern w:val="2"/>
                <w:sz w:val="24"/>
                <w:szCs w:val="24"/>
                <w:highlight w:val="none"/>
              </w:rPr>
              <w:t>LM，光源显指</w:t>
            </w:r>
            <w:r>
              <w:rPr>
                <w:rFonts w:hint="eastAsia" w:ascii="仿宋" w:hAnsi="仿宋" w:eastAsia="仿宋"/>
                <w:color w:val="auto"/>
                <w:kern w:val="2"/>
                <w:sz w:val="24"/>
                <w:szCs w:val="24"/>
                <w:highlight w:val="none"/>
              </w:rPr>
              <w:t>≥70Ra，光源色温：</w:t>
            </w:r>
            <w:r>
              <w:rPr>
                <w:rFonts w:hint="eastAsia" w:ascii="仿宋" w:hAnsi="仿宋" w:eastAsia="仿宋"/>
                <w:color w:val="auto"/>
                <w:kern w:val="2"/>
                <w:sz w:val="24"/>
                <w:szCs w:val="24"/>
                <w:highlight w:val="none"/>
                <w:lang w:val="en-US" w:eastAsia="zh-CN"/>
              </w:rPr>
              <w:t>6000</w:t>
            </w: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6500K。</w:t>
            </w:r>
          </w:p>
          <w:p>
            <w:pPr>
              <w:numPr>
                <w:ilvl w:val="0"/>
                <w:numId w:val="4"/>
              </w:numPr>
              <w:spacing w:line="288" w:lineRule="auto"/>
              <w:ind w:left="0" w:leftChars="0" w:firstLine="0" w:firstLineChars="0"/>
              <w:jc w:val="left"/>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lang w:val="en-US" w:eastAsia="zh-CN"/>
              </w:rPr>
              <w:t>电池组：</w:t>
            </w:r>
            <w:r>
              <w:rPr>
                <w:rFonts w:ascii="仿宋" w:hAnsi="仿宋" w:eastAsia="仿宋"/>
                <w:color w:val="auto"/>
                <w:kern w:val="2"/>
                <w:sz w:val="24"/>
                <w:szCs w:val="24"/>
                <w:highlight w:val="none"/>
              </w:rPr>
              <w:t>磷酸铁锂电池</w:t>
            </w:r>
            <w:r>
              <w:rPr>
                <w:rFonts w:hint="eastAsia" w:ascii="仿宋" w:hAnsi="仿宋" w:eastAsia="仿宋"/>
                <w:color w:val="auto"/>
                <w:kern w:val="2"/>
                <w:sz w:val="24"/>
                <w:szCs w:val="24"/>
                <w:highlight w:val="none"/>
              </w:rPr>
              <w:t>，容量:</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rPr>
              <w:t>480WH/150AH,</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lang w:val="en-US" w:eastAsia="zh-CN"/>
              </w:rPr>
              <w:t>具备</w:t>
            </w:r>
            <w:r>
              <w:rPr>
                <w:rFonts w:ascii="仿宋" w:hAnsi="仿宋" w:eastAsia="仿宋"/>
                <w:color w:val="auto"/>
                <w:kern w:val="2"/>
                <w:sz w:val="24"/>
                <w:szCs w:val="24"/>
                <w:highlight w:val="none"/>
              </w:rPr>
              <w:t>智能充放电管理技术</w:t>
            </w:r>
            <w:r>
              <w:rPr>
                <w:rFonts w:hint="eastAsia" w:ascii="仿宋" w:hAnsi="仿宋" w:eastAsia="仿宋"/>
                <w:color w:val="auto"/>
                <w:kern w:val="2"/>
                <w:sz w:val="24"/>
                <w:szCs w:val="24"/>
                <w:highlight w:val="none"/>
              </w:rPr>
              <w:t>。</w:t>
            </w:r>
          </w:p>
          <w:p>
            <w:pPr>
              <w:pStyle w:val="18"/>
              <w:numPr>
                <w:ilvl w:val="0"/>
                <w:numId w:val="4"/>
              </w:numPr>
              <w:ind w:left="0" w:leftChars="0" w:firstLine="0" w:firstLineChars="0"/>
              <w:jc w:val="left"/>
              <w:rPr>
                <w:rFonts w:ascii="仿宋" w:hAnsi="仿宋" w:eastAsia="仿宋"/>
                <w:color w:val="auto"/>
                <w:kern w:val="2"/>
                <w:sz w:val="24"/>
                <w:szCs w:val="24"/>
                <w:highlight w:val="none"/>
                <w:lang w:val="en-US" w:eastAsia="zh-CN"/>
              </w:rPr>
            </w:pPr>
            <w:r>
              <w:rPr>
                <w:rFonts w:hint="eastAsia" w:ascii="仿宋" w:hAnsi="仿宋" w:eastAsia="仿宋"/>
                <w:b/>
                <w:bCs/>
                <w:color w:val="auto"/>
                <w:kern w:val="2"/>
                <w:sz w:val="24"/>
                <w:szCs w:val="24"/>
                <w:highlight w:val="none"/>
                <w:lang w:val="en-US" w:eastAsia="zh-CN"/>
              </w:rPr>
              <w:t>控制器基本要求：</w:t>
            </w:r>
            <w:r>
              <w:rPr>
                <w:rFonts w:hint="eastAsia" w:ascii="仿宋" w:hAnsi="仿宋" w:eastAsia="仿宋"/>
                <w:color w:val="auto"/>
                <w:kern w:val="2"/>
                <w:sz w:val="24"/>
                <w:szCs w:val="24"/>
                <w:highlight w:val="none"/>
                <w:lang w:val="en-US" w:eastAsia="zh-CN"/>
              </w:rPr>
              <w:t>1）提供智能光效管理技术，自动优化灯珠亮度，提高整体光效；2）具备指示灯功能，实时显示灯具电量，方便观察灯具充放电情况；3）具备智能功率调节技术，实现AI智能判断近期天气情况，合理规划放电功率。</w:t>
            </w:r>
          </w:p>
          <w:p>
            <w:pPr>
              <w:pStyle w:val="18"/>
              <w:numPr>
                <w:ilvl w:val="0"/>
                <w:numId w:val="0"/>
              </w:numPr>
              <w:ind w:leftChars="0"/>
              <w:jc w:val="left"/>
              <w:rPr>
                <w:rFonts w:ascii="仿宋" w:hAnsi="仿宋" w:eastAsia="仿宋"/>
                <w:color w:val="auto"/>
                <w:kern w:val="2"/>
                <w:sz w:val="24"/>
                <w:szCs w:val="24"/>
                <w:highlight w:val="none"/>
                <w:lang w:val="en-US" w:eastAsia="zh-CN"/>
              </w:rPr>
            </w:pPr>
            <w:r>
              <w:rPr>
                <w:rFonts w:hint="eastAsia" w:ascii="新宋体" w:hAnsi="新宋体" w:eastAsia="新宋体" w:cs="新宋体"/>
                <w:b/>
                <w:bCs/>
                <w:color w:val="auto"/>
                <w:kern w:val="2"/>
                <w:sz w:val="24"/>
                <w:szCs w:val="24"/>
                <w:highlight w:val="none"/>
                <w:lang w:val="en-US" w:eastAsia="zh-CN"/>
              </w:rPr>
              <w:t>▲6、</w:t>
            </w:r>
            <w:r>
              <w:rPr>
                <w:rFonts w:hint="eastAsia" w:ascii="仿宋" w:hAnsi="仿宋" w:eastAsia="仿宋"/>
                <w:color w:val="auto"/>
                <w:kern w:val="2"/>
                <w:sz w:val="24"/>
                <w:szCs w:val="24"/>
                <w:highlight w:val="none"/>
                <w:lang w:val="en-US" w:eastAsia="zh-CN"/>
              </w:rPr>
              <w:t>1）拥有MPPT光能追踪技术，智能提高光伏系统的能量利用效率，提高充电效率；2）智能充放电管理技术，磷酸铁锂电池2000次循环充放电后，电池容量和健康度保持不低于90%。</w:t>
            </w:r>
          </w:p>
          <w:p>
            <w:pPr>
              <w:pStyle w:val="18"/>
              <w:numPr>
                <w:ilvl w:val="0"/>
                <w:numId w:val="0"/>
              </w:numPr>
              <w:ind w:leftChars="0"/>
              <w:jc w:val="left"/>
              <w:rPr>
                <w:rFonts w:ascii="宋体" w:hAnsi="宋体"/>
                <w:color w:val="auto"/>
                <w:sz w:val="24"/>
                <w:szCs w:val="24"/>
                <w:highlight w:val="none"/>
              </w:rPr>
            </w:pPr>
            <w:r>
              <w:rPr>
                <w:rFonts w:hint="eastAsia" w:ascii="仿宋" w:hAnsi="仿宋" w:eastAsia="仿宋"/>
                <w:color w:val="auto"/>
                <w:kern w:val="2"/>
                <w:sz w:val="24"/>
                <w:szCs w:val="24"/>
                <w:highlight w:val="none"/>
                <w:lang w:val="en-US" w:eastAsia="zh-CN"/>
              </w:rPr>
              <w:t>7.灯杆：高度6米，主杆规格：上口径60MM,下口径130MM ,厚度：2.50MM, 灯杆材质：Q235优质镀锌钢材，</w:t>
            </w:r>
            <w:bookmarkStart w:id="31" w:name="OLE_LINK18"/>
            <w:bookmarkStart w:id="32" w:name="OLE_LINK19"/>
            <w:r>
              <w:rPr>
                <w:rFonts w:hint="eastAsia" w:ascii="仿宋" w:hAnsi="仿宋" w:eastAsia="仿宋"/>
                <w:color w:val="auto"/>
                <w:kern w:val="2"/>
                <w:sz w:val="24"/>
                <w:szCs w:val="24"/>
                <w:highlight w:val="none"/>
                <w:lang w:val="en-US" w:eastAsia="zh-CN"/>
              </w:rPr>
              <w:t>包括不低于80CM的支臂</w:t>
            </w:r>
            <w:bookmarkEnd w:id="31"/>
            <w:bookmarkEnd w:id="32"/>
            <w:r>
              <w:rPr>
                <w:rFonts w:hint="eastAsia" w:ascii="仿宋" w:hAnsi="仿宋" w:eastAsia="仿宋"/>
                <w:color w:val="auto"/>
                <w:kern w:val="2"/>
                <w:sz w:val="24"/>
                <w:szCs w:val="24"/>
                <w:highlight w:val="none"/>
                <w:lang w:val="en-US" w:eastAsia="zh-CN"/>
              </w:rPr>
              <w:t>和行业规范的安装服务。</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0.9</w:t>
            </w:r>
          </w:p>
        </w:tc>
        <w:tc>
          <w:tcPr>
            <w:tcW w:w="10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工业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34" w:hRule="atLeast"/>
        </w:trPr>
        <w:tc>
          <w:tcPr>
            <w:tcW w:w="545" w:type="dxa"/>
            <w:tcBorders>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4</w:t>
            </w:r>
          </w:p>
        </w:tc>
        <w:tc>
          <w:tcPr>
            <w:tcW w:w="8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单杆双</w:t>
            </w:r>
            <w:r>
              <w:rPr>
                <w:rFonts w:hint="eastAsia" w:ascii="宋体" w:hAnsi="宋体"/>
                <w:color w:val="auto"/>
                <w:sz w:val="21"/>
                <w:szCs w:val="21"/>
                <w:highlight w:val="none"/>
              </w:rPr>
              <w:t>灯</w:t>
            </w:r>
            <w:r>
              <w:rPr>
                <w:rFonts w:hint="eastAsia" w:ascii="宋体" w:hAnsi="宋体"/>
                <w:color w:val="auto"/>
                <w:sz w:val="21"/>
                <w:szCs w:val="21"/>
                <w:highlight w:val="none"/>
                <w:lang w:val="en-US" w:eastAsia="zh-CN"/>
              </w:rPr>
              <w:t>式太阳能路灯</w:t>
            </w:r>
          </w:p>
        </w:tc>
        <w:tc>
          <w:tcPr>
            <w:tcW w:w="81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2套</w:t>
            </w:r>
          </w:p>
        </w:tc>
        <w:tc>
          <w:tcPr>
            <w:tcW w:w="4369" w:type="dxa"/>
            <w:tcBorders>
              <w:top w:val="single" w:color="auto" w:sz="4" w:space="0"/>
              <w:left w:val="single" w:color="auto" w:sz="4" w:space="0"/>
              <w:bottom w:val="single" w:color="auto" w:sz="4" w:space="0"/>
              <w:right w:val="single" w:color="auto" w:sz="4" w:space="0"/>
            </w:tcBorders>
            <w:vAlign w:val="top"/>
          </w:tcPr>
          <w:p>
            <w:pPr>
              <w:pStyle w:val="18"/>
              <w:numPr>
                <w:ilvl w:val="0"/>
                <w:numId w:val="0"/>
              </w:numPr>
              <w:ind w:leftChars="0" w:firstLine="480" w:firstLineChars="200"/>
              <w:jc w:val="left"/>
              <w:rPr>
                <w:rFonts w:hint="eastAsia" w:ascii="仿宋" w:hAnsi="仿宋" w:eastAsia="仿宋"/>
                <w:color w:val="auto"/>
                <w:kern w:val="2"/>
                <w:sz w:val="24"/>
                <w:szCs w:val="24"/>
                <w:highlight w:val="none"/>
                <w:lang w:val="en-US" w:eastAsia="zh-CN"/>
              </w:rPr>
            </w:pPr>
            <w:r>
              <w:rPr>
                <w:rFonts w:hint="eastAsia" w:ascii="仿宋" w:hAnsi="仿宋" w:eastAsia="仿宋"/>
                <w:color w:val="auto"/>
                <w:kern w:val="2"/>
                <w:sz w:val="24"/>
                <w:szCs w:val="24"/>
                <w:highlight w:val="none"/>
                <w:lang w:val="en-US" w:eastAsia="zh-CN"/>
              </w:rPr>
              <w:t>本项采购2套单杆双灯式太阳能路灯，分别给主干道和辅道照明。</w:t>
            </w:r>
          </w:p>
          <w:p>
            <w:pPr>
              <w:pStyle w:val="18"/>
              <w:numPr>
                <w:ilvl w:val="0"/>
                <w:numId w:val="0"/>
              </w:numPr>
              <w:ind w:leftChars="0"/>
              <w:jc w:val="left"/>
              <w:rPr>
                <w:b/>
                <w:bCs/>
                <w:color w:val="auto"/>
                <w:sz w:val="24"/>
                <w:szCs w:val="24"/>
                <w:highlight w:val="none"/>
                <w:lang w:val="en-US" w:eastAsia="zh-CN"/>
              </w:rPr>
            </w:pPr>
            <w:r>
              <w:rPr>
                <w:rFonts w:hint="eastAsia" w:ascii="仿宋" w:hAnsi="仿宋" w:eastAsia="仿宋"/>
                <w:color w:val="auto"/>
                <w:kern w:val="2"/>
                <w:sz w:val="24"/>
                <w:szCs w:val="24"/>
                <w:highlight w:val="none"/>
                <w:lang w:val="en-US" w:eastAsia="zh-CN"/>
              </w:rPr>
              <w:t>一、</w:t>
            </w:r>
            <w:r>
              <w:rPr>
                <w:rFonts w:hint="eastAsia" w:ascii="仿宋" w:hAnsi="仿宋" w:eastAsia="仿宋"/>
                <w:b/>
                <w:bCs/>
                <w:color w:val="auto"/>
                <w:kern w:val="2"/>
                <w:sz w:val="24"/>
                <w:szCs w:val="24"/>
                <w:highlight w:val="none"/>
                <w:lang w:val="en-US" w:eastAsia="zh-CN"/>
              </w:rPr>
              <w:t>朝向主干道路灯技术要求如下：</w:t>
            </w:r>
          </w:p>
          <w:p>
            <w:pPr>
              <w:keepNext w:val="0"/>
              <w:keepLines w:val="0"/>
              <w:pageBreakBefore w:val="0"/>
              <w:numPr>
                <w:ilvl w:val="0"/>
                <w:numId w:val="5"/>
              </w:numPr>
              <w:kinsoku/>
              <w:wordWrap/>
              <w:overflowPunct/>
              <w:topLinePunct w:val="0"/>
              <w:autoSpaceDE/>
              <w:autoSpaceDN/>
              <w:bidi w:val="0"/>
              <w:spacing w:line="240" w:lineRule="auto"/>
              <w:jc w:val="left"/>
              <w:rPr>
                <w:rFonts w:hint="eastAsia" w:ascii="仿宋" w:hAnsi="仿宋" w:eastAsia="仿宋"/>
                <w:b/>
                <w:bCs/>
                <w:color w:val="auto"/>
                <w:kern w:val="2"/>
                <w:sz w:val="24"/>
                <w:szCs w:val="24"/>
                <w:highlight w:val="none"/>
              </w:rPr>
            </w:pPr>
            <w:r>
              <w:rPr>
                <w:rFonts w:hint="eastAsia" w:ascii="仿宋" w:hAnsi="仿宋" w:eastAsia="仿宋"/>
                <w:b/>
                <w:bCs/>
                <w:color w:val="auto"/>
                <w:kern w:val="2"/>
                <w:sz w:val="24"/>
                <w:szCs w:val="24"/>
                <w:highlight w:val="none"/>
              </w:rPr>
              <w:t>灯具：</w:t>
            </w:r>
            <w:r>
              <w:rPr>
                <w:rFonts w:hint="eastAsia" w:ascii="仿宋" w:hAnsi="仿宋" w:eastAsia="仿宋"/>
                <w:color w:val="auto"/>
                <w:kern w:val="2"/>
                <w:sz w:val="24"/>
                <w:szCs w:val="24"/>
                <w:highlight w:val="none"/>
              </w:rPr>
              <w:t>高强度防腐铝外壳</w:t>
            </w:r>
            <w:r>
              <w:rPr>
                <w:rFonts w:ascii="仿宋" w:hAnsi="仿宋" w:eastAsia="仿宋"/>
                <w:color w:val="auto"/>
                <w:kern w:val="2"/>
                <w:sz w:val="24"/>
                <w:szCs w:val="24"/>
                <w:highlight w:val="none"/>
              </w:rPr>
              <w:t>，防护等级：IP65,智能控制器</w:t>
            </w:r>
            <w:r>
              <w:rPr>
                <w:rFonts w:hint="eastAsia" w:ascii="仿宋" w:hAnsi="仿宋" w:eastAsia="仿宋"/>
                <w:color w:val="auto"/>
                <w:kern w:val="2"/>
                <w:sz w:val="24"/>
                <w:szCs w:val="24"/>
                <w:highlight w:val="none"/>
                <w:lang w:eastAsia="zh-CN"/>
              </w:rPr>
              <w:t>，</w:t>
            </w:r>
            <w:r>
              <w:rPr>
                <w:rFonts w:ascii="仿宋" w:hAnsi="仿宋" w:eastAsia="仿宋"/>
                <w:color w:val="auto"/>
                <w:kern w:val="2"/>
                <w:sz w:val="24"/>
                <w:szCs w:val="24"/>
                <w:highlight w:val="none"/>
              </w:rPr>
              <w:t>提供MPPT技术</w:t>
            </w:r>
            <w:r>
              <w:rPr>
                <w:rFonts w:hint="eastAsia" w:ascii="仿宋" w:hAnsi="仿宋" w:eastAsia="仿宋"/>
                <w:color w:val="auto"/>
                <w:kern w:val="2"/>
                <w:sz w:val="24"/>
                <w:szCs w:val="24"/>
                <w:highlight w:val="none"/>
              </w:rPr>
              <w:t>、</w:t>
            </w:r>
            <w:r>
              <w:rPr>
                <w:rFonts w:ascii="仿宋" w:hAnsi="仿宋" w:eastAsia="仿宋"/>
                <w:color w:val="auto"/>
                <w:kern w:val="2"/>
                <w:sz w:val="24"/>
                <w:szCs w:val="24"/>
                <w:highlight w:val="none"/>
              </w:rPr>
              <w:t>提供</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4</w:t>
            </w:r>
            <w:r>
              <w:rPr>
                <w:rFonts w:hint="eastAsia" w:ascii="仿宋" w:hAnsi="仿宋" w:eastAsia="仿宋"/>
                <w:color w:val="auto"/>
                <w:kern w:val="2"/>
                <w:sz w:val="24"/>
                <w:szCs w:val="24"/>
                <w:highlight w:val="none"/>
              </w:rPr>
              <w:t>种</w:t>
            </w:r>
            <w:r>
              <w:rPr>
                <w:rFonts w:ascii="仿宋" w:hAnsi="仿宋" w:eastAsia="仿宋"/>
                <w:color w:val="auto"/>
                <w:kern w:val="2"/>
                <w:sz w:val="24"/>
                <w:szCs w:val="24"/>
                <w:highlight w:val="none"/>
              </w:rPr>
              <w:t>智能功率调节模式</w:t>
            </w:r>
            <w:r>
              <w:rPr>
                <w:rFonts w:hint="eastAsia" w:ascii="仿宋" w:hAnsi="仿宋" w:eastAsia="仿宋"/>
                <w:color w:val="auto"/>
                <w:kern w:val="2"/>
                <w:sz w:val="24"/>
                <w:szCs w:val="24"/>
                <w:highlight w:val="none"/>
                <w:lang w:eastAsia="zh-CN"/>
              </w:rPr>
              <w:t>，</w:t>
            </w:r>
            <w:r>
              <w:rPr>
                <w:rFonts w:hint="eastAsia" w:ascii="仿宋" w:hAnsi="仿宋" w:eastAsia="仿宋"/>
                <w:color w:val="auto"/>
                <w:kern w:val="2"/>
                <w:sz w:val="24"/>
                <w:szCs w:val="24"/>
                <w:highlight w:val="none"/>
                <w:lang w:val="en-US" w:eastAsia="zh-CN"/>
              </w:rPr>
              <w:t>工作温度范围：-20°C-60°C，设计使用寿命≥50000hrs。</w:t>
            </w:r>
          </w:p>
          <w:p>
            <w:pPr>
              <w:keepNext w:val="0"/>
              <w:keepLines w:val="0"/>
              <w:pageBreakBefore w:val="0"/>
              <w:numPr>
                <w:ilvl w:val="0"/>
                <w:numId w:val="5"/>
              </w:numPr>
              <w:kinsoku/>
              <w:wordWrap/>
              <w:overflowPunct/>
              <w:topLinePunct w:val="0"/>
              <w:autoSpaceDE/>
              <w:autoSpaceDN/>
              <w:bidi w:val="0"/>
              <w:spacing w:line="240" w:lineRule="auto"/>
              <w:jc w:val="left"/>
              <w:rPr>
                <w:color w:val="auto"/>
                <w:sz w:val="24"/>
                <w:szCs w:val="24"/>
                <w:highlight w:val="none"/>
                <w:lang w:val="en-US" w:eastAsia="zh-CN"/>
              </w:rPr>
            </w:pPr>
            <w:r>
              <w:rPr>
                <w:rFonts w:hint="eastAsia" w:ascii="仿宋" w:hAnsi="仿宋" w:eastAsia="仿宋"/>
                <w:b/>
                <w:bCs/>
                <w:color w:val="auto"/>
                <w:kern w:val="2"/>
                <w:sz w:val="24"/>
                <w:szCs w:val="24"/>
                <w:highlight w:val="none"/>
                <w:lang w:val="en-US" w:eastAsia="zh-CN"/>
              </w:rPr>
              <w:t>太阳能光伏板：功率</w:t>
            </w:r>
            <w:r>
              <w:rPr>
                <w:rFonts w:hint="eastAsia" w:ascii="仿宋" w:hAnsi="仿宋" w:eastAsia="仿宋"/>
                <w:color w:val="auto"/>
                <w:kern w:val="2"/>
                <w:sz w:val="24"/>
                <w:szCs w:val="24"/>
                <w:highlight w:val="none"/>
                <w:lang w:val="en-US" w:eastAsia="zh-CN"/>
              </w:rPr>
              <w:t>150W、工作电压18V、单晶硅、光能转化率20%。</w:t>
            </w:r>
          </w:p>
          <w:p>
            <w:pPr>
              <w:numPr>
                <w:ilvl w:val="0"/>
                <w:numId w:val="5"/>
              </w:numPr>
              <w:spacing w:line="288" w:lineRule="auto"/>
              <w:ind w:left="0" w:leftChars="0" w:firstLine="0" w:firstLineChars="0"/>
              <w:jc w:val="left"/>
              <w:rPr>
                <w:rFonts w:hint="eastAsia" w:ascii="仿宋" w:hAnsi="仿宋" w:eastAsia="仿宋"/>
                <w:color w:val="auto"/>
                <w:kern w:val="2"/>
                <w:sz w:val="24"/>
                <w:szCs w:val="24"/>
                <w:highlight w:val="none"/>
              </w:rPr>
            </w:pPr>
            <w:r>
              <w:rPr>
                <w:rFonts w:ascii="仿宋" w:hAnsi="仿宋" w:eastAsia="仿宋"/>
                <w:b/>
                <w:bCs/>
                <w:color w:val="auto"/>
                <w:kern w:val="2"/>
                <w:sz w:val="24"/>
                <w:szCs w:val="24"/>
                <w:highlight w:val="none"/>
              </w:rPr>
              <w:t>光源：</w:t>
            </w:r>
            <w:r>
              <w:rPr>
                <w:rFonts w:ascii="仿宋" w:hAnsi="仿宋" w:eastAsia="仿宋"/>
                <w:color w:val="auto"/>
                <w:kern w:val="2"/>
                <w:sz w:val="24"/>
                <w:szCs w:val="24"/>
                <w:highlight w:val="none"/>
              </w:rPr>
              <w:t>配置光源140</w:t>
            </w:r>
            <w:r>
              <w:rPr>
                <w:rFonts w:hint="eastAsia" w:ascii="仿宋" w:hAnsi="仿宋" w:eastAsia="仿宋"/>
                <w:color w:val="auto"/>
                <w:kern w:val="2"/>
                <w:sz w:val="24"/>
                <w:szCs w:val="24"/>
                <w:highlight w:val="none"/>
                <w:lang w:val="en-US" w:eastAsia="zh-CN"/>
              </w:rPr>
              <w:t>颗高效LED</w:t>
            </w:r>
            <w:r>
              <w:rPr>
                <w:rFonts w:ascii="仿宋" w:hAnsi="仿宋" w:eastAsia="仿宋"/>
                <w:color w:val="auto"/>
                <w:kern w:val="2"/>
                <w:sz w:val="24"/>
                <w:szCs w:val="24"/>
                <w:highlight w:val="none"/>
              </w:rPr>
              <w:t>灯珠，光通量</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9500</w:t>
            </w:r>
            <w:r>
              <w:rPr>
                <w:rFonts w:ascii="仿宋" w:hAnsi="仿宋" w:eastAsia="仿宋"/>
                <w:color w:val="auto"/>
                <w:kern w:val="2"/>
                <w:sz w:val="24"/>
                <w:szCs w:val="24"/>
                <w:highlight w:val="none"/>
              </w:rPr>
              <w:t>LM，光源显指</w:t>
            </w:r>
            <w:r>
              <w:rPr>
                <w:rFonts w:hint="eastAsia" w:ascii="仿宋" w:hAnsi="仿宋" w:eastAsia="仿宋"/>
                <w:color w:val="auto"/>
                <w:kern w:val="2"/>
                <w:sz w:val="24"/>
                <w:szCs w:val="24"/>
                <w:highlight w:val="none"/>
              </w:rPr>
              <w:t>≥70Ra，光源色温：</w:t>
            </w:r>
            <w:r>
              <w:rPr>
                <w:rFonts w:hint="eastAsia" w:ascii="仿宋" w:hAnsi="仿宋" w:eastAsia="仿宋"/>
                <w:color w:val="auto"/>
                <w:kern w:val="2"/>
                <w:sz w:val="24"/>
                <w:szCs w:val="24"/>
                <w:highlight w:val="none"/>
                <w:lang w:val="en-US" w:eastAsia="zh-CN"/>
              </w:rPr>
              <w:t>6000</w:t>
            </w:r>
            <w:r>
              <w:rPr>
                <w:rFonts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6500K。</w:t>
            </w:r>
          </w:p>
          <w:p>
            <w:pPr>
              <w:numPr>
                <w:ilvl w:val="0"/>
                <w:numId w:val="5"/>
              </w:numPr>
              <w:spacing w:line="288" w:lineRule="auto"/>
              <w:ind w:left="0" w:leftChars="0" w:firstLine="0" w:firstLineChars="0"/>
              <w:jc w:val="left"/>
              <w:rPr>
                <w:rFonts w:hint="eastAsia" w:ascii="仿宋" w:hAnsi="仿宋" w:eastAsia="仿宋"/>
                <w:color w:val="auto"/>
                <w:kern w:val="2"/>
                <w:sz w:val="24"/>
                <w:szCs w:val="24"/>
                <w:highlight w:val="none"/>
              </w:rPr>
            </w:pPr>
            <w:r>
              <w:rPr>
                <w:rFonts w:hint="eastAsia" w:ascii="仿宋" w:hAnsi="仿宋" w:eastAsia="仿宋"/>
                <w:color w:val="auto"/>
                <w:kern w:val="2"/>
                <w:sz w:val="24"/>
                <w:szCs w:val="24"/>
                <w:highlight w:val="none"/>
                <w:lang w:val="en-US" w:eastAsia="zh-CN"/>
              </w:rPr>
              <w:t>电池组：</w:t>
            </w:r>
            <w:r>
              <w:rPr>
                <w:rFonts w:ascii="仿宋" w:hAnsi="仿宋" w:eastAsia="仿宋"/>
                <w:color w:val="auto"/>
                <w:kern w:val="2"/>
                <w:sz w:val="24"/>
                <w:szCs w:val="24"/>
                <w:highlight w:val="none"/>
              </w:rPr>
              <w:t>磷酸铁锂电池</w:t>
            </w:r>
            <w:r>
              <w:rPr>
                <w:rFonts w:hint="eastAsia" w:ascii="仿宋" w:hAnsi="仿宋" w:eastAsia="仿宋"/>
                <w:color w:val="auto"/>
                <w:kern w:val="2"/>
                <w:sz w:val="24"/>
                <w:szCs w:val="24"/>
                <w:highlight w:val="none"/>
              </w:rPr>
              <w:t>，容量:</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rPr>
              <w:t>480WH/150AH,</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lang w:val="en-US" w:eastAsia="zh-CN"/>
              </w:rPr>
              <w:t>具备</w:t>
            </w:r>
            <w:r>
              <w:rPr>
                <w:rFonts w:ascii="仿宋" w:hAnsi="仿宋" w:eastAsia="仿宋"/>
                <w:color w:val="auto"/>
                <w:kern w:val="2"/>
                <w:sz w:val="24"/>
                <w:szCs w:val="24"/>
                <w:highlight w:val="none"/>
              </w:rPr>
              <w:t>智能充放电管理技术</w:t>
            </w:r>
            <w:r>
              <w:rPr>
                <w:rFonts w:hint="eastAsia" w:ascii="仿宋" w:hAnsi="仿宋" w:eastAsia="仿宋"/>
                <w:color w:val="auto"/>
                <w:kern w:val="2"/>
                <w:sz w:val="24"/>
                <w:szCs w:val="24"/>
                <w:highlight w:val="none"/>
              </w:rPr>
              <w:t>。</w:t>
            </w:r>
          </w:p>
          <w:p>
            <w:pPr>
              <w:pStyle w:val="18"/>
              <w:numPr>
                <w:ilvl w:val="0"/>
                <w:numId w:val="5"/>
              </w:numPr>
              <w:ind w:left="0" w:leftChars="0" w:firstLine="0" w:firstLineChars="0"/>
              <w:jc w:val="left"/>
              <w:rPr>
                <w:rFonts w:ascii="仿宋" w:hAnsi="仿宋" w:eastAsia="仿宋"/>
                <w:color w:val="auto"/>
                <w:kern w:val="2"/>
                <w:sz w:val="24"/>
                <w:szCs w:val="24"/>
                <w:highlight w:val="none"/>
                <w:lang w:val="en-US" w:eastAsia="zh-CN"/>
              </w:rPr>
            </w:pPr>
            <w:r>
              <w:rPr>
                <w:rFonts w:hint="eastAsia" w:ascii="仿宋" w:hAnsi="仿宋" w:eastAsia="仿宋"/>
                <w:b/>
                <w:bCs/>
                <w:color w:val="auto"/>
                <w:kern w:val="2"/>
                <w:sz w:val="24"/>
                <w:szCs w:val="24"/>
                <w:highlight w:val="none"/>
                <w:lang w:val="en-US" w:eastAsia="zh-CN"/>
              </w:rPr>
              <w:t>控制器基本要求：</w:t>
            </w:r>
            <w:r>
              <w:rPr>
                <w:rFonts w:hint="eastAsia" w:ascii="仿宋" w:hAnsi="仿宋" w:eastAsia="仿宋"/>
                <w:color w:val="auto"/>
                <w:kern w:val="2"/>
                <w:sz w:val="24"/>
                <w:szCs w:val="24"/>
                <w:highlight w:val="none"/>
                <w:lang w:val="en-US" w:eastAsia="zh-CN"/>
              </w:rPr>
              <w:t>1）提供智能光效管理技术，自动优化灯珠亮度，提高整体光效；2）具备指示灯功能，实时显示灯具电量，方便观察灯具充放电情况；3）具备智能功率调节技术，实现AI智能判断近期天气情况，合理规划放电功率.</w:t>
            </w:r>
          </w:p>
          <w:p>
            <w:pPr>
              <w:pStyle w:val="18"/>
              <w:numPr>
                <w:ilvl w:val="0"/>
                <w:numId w:val="0"/>
              </w:numPr>
              <w:ind w:leftChars="0"/>
              <w:jc w:val="left"/>
              <w:rPr>
                <w:rFonts w:ascii="仿宋" w:hAnsi="仿宋" w:eastAsia="仿宋"/>
                <w:color w:val="auto"/>
                <w:kern w:val="2"/>
                <w:sz w:val="24"/>
                <w:szCs w:val="24"/>
                <w:highlight w:val="none"/>
                <w:lang w:val="en-US" w:eastAsia="zh-CN"/>
              </w:rPr>
            </w:pPr>
            <w:r>
              <w:rPr>
                <w:rFonts w:hint="eastAsia" w:ascii="新宋体" w:hAnsi="新宋体" w:eastAsia="新宋体" w:cs="新宋体"/>
                <w:b/>
                <w:bCs/>
                <w:color w:val="auto"/>
                <w:kern w:val="2"/>
                <w:sz w:val="24"/>
                <w:szCs w:val="24"/>
                <w:highlight w:val="none"/>
                <w:lang w:val="en-US" w:eastAsia="zh-CN"/>
              </w:rPr>
              <w:t>▲6、</w:t>
            </w:r>
            <w:r>
              <w:rPr>
                <w:rFonts w:hint="eastAsia" w:ascii="仿宋" w:hAnsi="仿宋" w:eastAsia="仿宋"/>
                <w:color w:val="auto"/>
                <w:kern w:val="2"/>
                <w:sz w:val="24"/>
                <w:szCs w:val="24"/>
                <w:highlight w:val="none"/>
                <w:lang w:val="en-US" w:eastAsia="zh-CN"/>
              </w:rPr>
              <w:t>1）拥有MPPT光能追踪技术，智能提高光伏系统的能量利用效率，提高充电效率；2）智能充放电管理技术，磷酸铁锂电池2000次循环充放电后，电池容量和健康度保持不低于90%。</w:t>
            </w:r>
          </w:p>
          <w:p>
            <w:pPr>
              <w:numPr>
                <w:ilvl w:val="0"/>
                <w:numId w:val="6"/>
              </w:numPr>
              <w:rPr>
                <w:rFonts w:hint="eastAsia" w:ascii="仿宋" w:hAnsi="仿宋" w:eastAsia="仿宋"/>
                <w:b/>
                <w:bCs/>
                <w:color w:val="auto"/>
                <w:kern w:val="2"/>
                <w:sz w:val="24"/>
                <w:szCs w:val="24"/>
                <w:highlight w:val="none"/>
                <w:lang w:val="en-US" w:eastAsia="zh-CN"/>
              </w:rPr>
            </w:pPr>
            <w:r>
              <w:rPr>
                <w:rFonts w:hint="eastAsia" w:ascii="仿宋" w:hAnsi="仿宋" w:eastAsia="仿宋"/>
                <w:b/>
                <w:bCs/>
                <w:color w:val="auto"/>
                <w:kern w:val="2"/>
                <w:sz w:val="24"/>
                <w:szCs w:val="24"/>
                <w:highlight w:val="none"/>
                <w:lang w:val="en-US" w:eastAsia="zh-CN"/>
              </w:rPr>
              <w:t>朝向辅道路灯技术要求如下：</w:t>
            </w:r>
          </w:p>
          <w:p>
            <w:pPr>
              <w:keepNext w:val="0"/>
              <w:keepLines w:val="0"/>
              <w:pageBreakBefore w:val="0"/>
              <w:numPr>
                <w:ilvl w:val="0"/>
                <w:numId w:val="7"/>
              </w:numPr>
              <w:kinsoku/>
              <w:wordWrap/>
              <w:overflowPunct/>
              <w:topLinePunct w:val="0"/>
              <w:autoSpaceDE/>
              <w:autoSpaceDN/>
              <w:bidi w:val="0"/>
              <w:spacing w:line="240" w:lineRule="auto"/>
              <w:jc w:val="left"/>
              <w:rPr>
                <w:rFonts w:hint="eastAsia" w:ascii="仿宋" w:hAnsi="仿宋" w:eastAsia="仿宋"/>
                <w:b/>
                <w:bCs/>
                <w:color w:val="auto"/>
                <w:kern w:val="2"/>
                <w:sz w:val="24"/>
                <w:szCs w:val="24"/>
                <w:highlight w:val="none"/>
              </w:rPr>
            </w:pPr>
            <w:r>
              <w:rPr>
                <w:rFonts w:hint="eastAsia" w:ascii="仿宋" w:hAnsi="仿宋" w:eastAsia="仿宋"/>
                <w:b/>
                <w:bCs/>
                <w:color w:val="auto"/>
                <w:kern w:val="2"/>
                <w:sz w:val="24"/>
                <w:szCs w:val="24"/>
                <w:highlight w:val="none"/>
              </w:rPr>
              <w:t>灯具：</w:t>
            </w:r>
            <w:r>
              <w:rPr>
                <w:rFonts w:hint="eastAsia" w:ascii="仿宋" w:hAnsi="仿宋" w:eastAsia="仿宋"/>
                <w:color w:val="auto"/>
                <w:kern w:val="2"/>
                <w:sz w:val="24"/>
                <w:szCs w:val="24"/>
                <w:highlight w:val="none"/>
              </w:rPr>
              <w:t>高强度防腐铝外壳</w:t>
            </w:r>
            <w:r>
              <w:rPr>
                <w:rFonts w:ascii="仿宋" w:hAnsi="仿宋" w:eastAsia="仿宋"/>
                <w:color w:val="auto"/>
                <w:kern w:val="2"/>
                <w:sz w:val="24"/>
                <w:szCs w:val="24"/>
                <w:highlight w:val="none"/>
              </w:rPr>
              <w:t>，防护等级：IP65,智能控制器</w:t>
            </w:r>
            <w:r>
              <w:rPr>
                <w:rFonts w:hint="eastAsia" w:ascii="仿宋" w:hAnsi="仿宋" w:eastAsia="仿宋"/>
                <w:color w:val="auto"/>
                <w:kern w:val="2"/>
                <w:sz w:val="24"/>
                <w:szCs w:val="24"/>
                <w:highlight w:val="none"/>
                <w:lang w:eastAsia="zh-CN"/>
              </w:rPr>
              <w:t>，</w:t>
            </w:r>
            <w:r>
              <w:rPr>
                <w:rFonts w:ascii="仿宋" w:hAnsi="仿宋" w:eastAsia="仿宋"/>
                <w:color w:val="auto"/>
                <w:kern w:val="2"/>
                <w:sz w:val="24"/>
                <w:szCs w:val="24"/>
                <w:highlight w:val="none"/>
              </w:rPr>
              <w:t>提供MPPT技术</w:t>
            </w:r>
            <w:r>
              <w:rPr>
                <w:rFonts w:hint="eastAsia" w:ascii="仿宋" w:hAnsi="仿宋" w:eastAsia="仿宋"/>
                <w:color w:val="auto"/>
                <w:kern w:val="2"/>
                <w:sz w:val="24"/>
                <w:szCs w:val="24"/>
                <w:highlight w:val="none"/>
              </w:rPr>
              <w:t>、</w:t>
            </w:r>
            <w:r>
              <w:rPr>
                <w:rFonts w:ascii="仿宋" w:hAnsi="仿宋" w:eastAsia="仿宋"/>
                <w:color w:val="auto"/>
                <w:kern w:val="2"/>
                <w:sz w:val="24"/>
                <w:szCs w:val="24"/>
                <w:highlight w:val="none"/>
              </w:rPr>
              <w:t>提供</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4</w:t>
            </w:r>
            <w:r>
              <w:rPr>
                <w:rFonts w:hint="eastAsia" w:ascii="仿宋" w:hAnsi="仿宋" w:eastAsia="仿宋"/>
                <w:color w:val="auto"/>
                <w:kern w:val="2"/>
                <w:sz w:val="24"/>
                <w:szCs w:val="24"/>
                <w:highlight w:val="none"/>
              </w:rPr>
              <w:t>种</w:t>
            </w:r>
            <w:r>
              <w:rPr>
                <w:rFonts w:ascii="仿宋" w:hAnsi="仿宋" w:eastAsia="仿宋"/>
                <w:color w:val="auto"/>
                <w:kern w:val="2"/>
                <w:sz w:val="24"/>
                <w:szCs w:val="24"/>
                <w:highlight w:val="none"/>
              </w:rPr>
              <w:t>智能功率调节模式</w:t>
            </w:r>
            <w:r>
              <w:rPr>
                <w:rFonts w:hint="eastAsia" w:ascii="仿宋" w:hAnsi="仿宋" w:eastAsia="仿宋"/>
                <w:color w:val="auto"/>
                <w:kern w:val="2"/>
                <w:sz w:val="24"/>
                <w:szCs w:val="24"/>
                <w:highlight w:val="none"/>
                <w:lang w:eastAsia="zh-CN"/>
              </w:rPr>
              <w:t>，</w:t>
            </w:r>
            <w:r>
              <w:rPr>
                <w:rFonts w:hint="eastAsia" w:ascii="仿宋" w:hAnsi="仿宋" w:eastAsia="仿宋"/>
                <w:color w:val="auto"/>
                <w:kern w:val="2"/>
                <w:sz w:val="24"/>
                <w:szCs w:val="24"/>
                <w:highlight w:val="none"/>
                <w:lang w:val="en-US" w:eastAsia="zh-CN"/>
              </w:rPr>
              <w:t>工作温度范围：-20°C-60°C，设计使用寿命≥50000hrs</w:t>
            </w:r>
            <w:r>
              <w:rPr>
                <w:rFonts w:hint="eastAsia" w:ascii="仿宋" w:hAnsi="仿宋" w:eastAsia="仿宋"/>
                <w:b/>
                <w:bCs/>
                <w:color w:val="auto"/>
                <w:kern w:val="2"/>
                <w:sz w:val="24"/>
                <w:szCs w:val="24"/>
                <w:highlight w:val="none"/>
              </w:rPr>
              <w:t>。</w:t>
            </w:r>
          </w:p>
          <w:p>
            <w:pPr>
              <w:keepNext w:val="0"/>
              <w:keepLines w:val="0"/>
              <w:pageBreakBefore w:val="0"/>
              <w:numPr>
                <w:ilvl w:val="0"/>
                <w:numId w:val="7"/>
              </w:numPr>
              <w:kinsoku/>
              <w:wordWrap/>
              <w:overflowPunct/>
              <w:topLinePunct w:val="0"/>
              <w:autoSpaceDE/>
              <w:autoSpaceDN/>
              <w:bidi w:val="0"/>
              <w:spacing w:line="240" w:lineRule="auto"/>
              <w:rPr>
                <w:color w:val="auto"/>
                <w:sz w:val="24"/>
                <w:szCs w:val="24"/>
                <w:highlight w:val="none"/>
                <w:lang w:val="en-US" w:eastAsia="zh-CN"/>
              </w:rPr>
            </w:pPr>
            <w:r>
              <w:rPr>
                <w:rFonts w:hint="eastAsia" w:ascii="仿宋" w:hAnsi="仿宋" w:eastAsia="仿宋"/>
                <w:b/>
                <w:bCs/>
                <w:color w:val="auto"/>
                <w:kern w:val="2"/>
                <w:sz w:val="24"/>
                <w:szCs w:val="24"/>
                <w:highlight w:val="none"/>
                <w:lang w:val="en-US" w:eastAsia="zh-CN"/>
              </w:rPr>
              <w:t>太阳能光伏板：功率</w:t>
            </w:r>
            <w:r>
              <w:rPr>
                <w:rFonts w:hint="eastAsia" w:ascii="仿宋" w:hAnsi="仿宋" w:eastAsia="仿宋"/>
                <w:color w:val="auto"/>
                <w:kern w:val="2"/>
                <w:sz w:val="24"/>
                <w:szCs w:val="24"/>
                <w:highlight w:val="none"/>
                <w:lang w:val="en-US" w:eastAsia="zh-CN"/>
              </w:rPr>
              <w:t>120W，工作电压18V、高效单晶硅、光能转化率20%。</w:t>
            </w:r>
          </w:p>
          <w:p>
            <w:pPr>
              <w:pStyle w:val="18"/>
              <w:numPr>
                <w:ilvl w:val="0"/>
                <w:numId w:val="7"/>
              </w:numPr>
              <w:ind w:left="0" w:leftChars="0" w:firstLine="0" w:firstLineChars="0"/>
              <w:rPr>
                <w:rFonts w:hint="eastAsia" w:ascii="仿宋" w:hAnsi="仿宋" w:eastAsia="仿宋"/>
                <w:color w:val="auto"/>
                <w:kern w:val="2"/>
                <w:sz w:val="24"/>
                <w:szCs w:val="24"/>
                <w:highlight w:val="none"/>
              </w:rPr>
            </w:pPr>
            <w:r>
              <w:rPr>
                <w:rFonts w:ascii="仿宋" w:hAnsi="仿宋" w:eastAsia="仿宋"/>
                <w:b/>
                <w:bCs/>
                <w:color w:val="auto"/>
                <w:kern w:val="2"/>
                <w:sz w:val="24"/>
                <w:szCs w:val="24"/>
                <w:highlight w:val="none"/>
              </w:rPr>
              <w:t>光源：</w:t>
            </w:r>
            <w:r>
              <w:rPr>
                <w:rFonts w:ascii="仿宋" w:hAnsi="仿宋" w:eastAsia="仿宋"/>
                <w:color w:val="auto"/>
                <w:kern w:val="2"/>
                <w:sz w:val="24"/>
                <w:szCs w:val="24"/>
                <w:highlight w:val="none"/>
              </w:rPr>
              <w:t>配置光源</w:t>
            </w:r>
            <w:r>
              <w:rPr>
                <w:rFonts w:hint="eastAsia" w:ascii="仿宋" w:hAnsi="仿宋" w:eastAsia="仿宋"/>
                <w:color w:val="auto"/>
                <w:kern w:val="2"/>
                <w:sz w:val="24"/>
                <w:szCs w:val="24"/>
                <w:highlight w:val="none"/>
              </w:rPr>
              <w:t>≥</w:t>
            </w:r>
            <w:r>
              <w:rPr>
                <w:rFonts w:ascii="仿宋" w:hAnsi="仿宋" w:eastAsia="仿宋"/>
                <w:color w:val="auto"/>
                <w:kern w:val="2"/>
                <w:sz w:val="24"/>
                <w:szCs w:val="24"/>
                <w:highlight w:val="none"/>
              </w:rPr>
              <w:t>1</w:t>
            </w:r>
            <w:r>
              <w:rPr>
                <w:rFonts w:hint="eastAsia" w:ascii="仿宋" w:hAnsi="仿宋" w:eastAsia="仿宋"/>
                <w:color w:val="auto"/>
                <w:kern w:val="2"/>
                <w:sz w:val="24"/>
                <w:szCs w:val="24"/>
                <w:highlight w:val="none"/>
                <w:lang w:val="en-US" w:eastAsia="zh-CN"/>
              </w:rPr>
              <w:t>40颗高效LED</w:t>
            </w:r>
            <w:r>
              <w:rPr>
                <w:rFonts w:ascii="仿宋" w:hAnsi="仿宋" w:eastAsia="仿宋"/>
                <w:color w:val="auto"/>
                <w:kern w:val="2"/>
                <w:sz w:val="24"/>
                <w:szCs w:val="24"/>
                <w:highlight w:val="none"/>
              </w:rPr>
              <w:t>灯珠，光通量</w:t>
            </w:r>
            <w:r>
              <w:rPr>
                <w:rFonts w:hint="eastAsia" w:ascii="仿宋" w:hAnsi="仿宋" w:eastAsia="仿宋"/>
                <w:color w:val="auto"/>
                <w:kern w:val="2"/>
                <w:sz w:val="24"/>
                <w:szCs w:val="24"/>
                <w:highlight w:val="none"/>
              </w:rPr>
              <w:t>≥</w:t>
            </w:r>
            <w:r>
              <w:rPr>
                <w:rFonts w:hint="eastAsia" w:ascii="仿宋" w:hAnsi="仿宋" w:eastAsia="仿宋"/>
                <w:color w:val="auto"/>
                <w:kern w:val="2"/>
                <w:sz w:val="24"/>
                <w:szCs w:val="24"/>
                <w:highlight w:val="none"/>
                <w:lang w:val="en-US" w:eastAsia="zh-CN"/>
              </w:rPr>
              <w:t>7500LM</w:t>
            </w:r>
            <w:r>
              <w:rPr>
                <w:rFonts w:ascii="仿宋" w:hAnsi="仿宋" w:eastAsia="仿宋"/>
                <w:color w:val="auto"/>
                <w:kern w:val="2"/>
                <w:sz w:val="24"/>
                <w:szCs w:val="24"/>
                <w:highlight w:val="none"/>
              </w:rPr>
              <w:t>，光源显示指数</w:t>
            </w:r>
            <w:r>
              <w:rPr>
                <w:rFonts w:hint="eastAsia" w:ascii="仿宋" w:hAnsi="仿宋" w:eastAsia="仿宋"/>
                <w:color w:val="auto"/>
                <w:kern w:val="2"/>
                <w:sz w:val="24"/>
                <w:szCs w:val="24"/>
                <w:highlight w:val="none"/>
              </w:rPr>
              <w:t>≥70Ra，光源色温：6000-6500</w:t>
            </w:r>
            <w:r>
              <w:rPr>
                <w:rFonts w:ascii="仿宋" w:hAnsi="仿宋" w:eastAsia="仿宋"/>
                <w:color w:val="auto"/>
                <w:kern w:val="2"/>
                <w:sz w:val="24"/>
                <w:szCs w:val="24"/>
                <w:highlight w:val="none"/>
              </w:rPr>
              <w:t xml:space="preserve"> K</w:t>
            </w:r>
            <w:r>
              <w:rPr>
                <w:rFonts w:hint="eastAsia" w:ascii="仿宋" w:hAnsi="仿宋" w:eastAsia="仿宋"/>
                <w:color w:val="auto"/>
                <w:kern w:val="2"/>
                <w:sz w:val="24"/>
                <w:szCs w:val="24"/>
                <w:highlight w:val="none"/>
              </w:rPr>
              <w:t>。</w:t>
            </w:r>
          </w:p>
          <w:p>
            <w:pPr>
              <w:numPr>
                <w:ilvl w:val="0"/>
                <w:numId w:val="7"/>
              </w:numPr>
              <w:spacing w:line="288" w:lineRule="auto"/>
              <w:ind w:left="0" w:leftChars="0" w:firstLine="0" w:firstLineChars="0"/>
              <w:rPr>
                <w:rFonts w:hint="eastAsia" w:ascii="仿宋" w:hAnsi="仿宋" w:eastAsia="仿宋"/>
                <w:color w:val="auto"/>
                <w:kern w:val="2"/>
                <w:sz w:val="24"/>
                <w:szCs w:val="24"/>
                <w:highlight w:val="none"/>
              </w:rPr>
            </w:pPr>
            <w:r>
              <w:rPr>
                <w:rFonts w:hint="eastAsia" w:ascii="仿宋" w:hAnsi="仿宋" w:eastAsia="仿宋"/>
                <w:b/>
                <w:bCs/>
                <w:color w:val="auto"/>
                <w:kern w:val="2"/>
                <w:sz w:val="24"/>
                <w:szCs w:val="24"/>
                <w:highlight w:val="none"/>
              </w:rPr>
              <w:t>电池组：</w:t>
            </w:r>
            <w:r>
              <w:rPr>
                <w:rFonts w:ascii="仿宋" w:hAnsi="仿宋" w:eastAsia="仿宋"/>
                <w:color w:val="auto"/>
                <w:kern w:val="2"/>
                <w:sz w:val="24"/>
                <w:szCs w:val="24"/>
                <w:highlight w:val="none"/>
              </w:rPr>
              <w:t>磷酸铁锂电池</w:t>
            </w:r>
            <w:r>
              <w:rPr>
                <w:rFonts w:hint="eastAsia" w:ascii="仿宋" w:hAnsi="仿宋" w:eastAsia="仿宋"/>
                <w:color w:val="auto"/>
                <w:kern w:val="2"/>
                <w:sz w:val="24"/>
                <w:szCs w:val="24"/>
                <w:highlight w:val="none"/>
              </w:rPr>
              <w:t>，容量:</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rPr>
              <w:t>3</w:t>
            </w:r>
            <w:r>
              <w:rPr>
                <w:rFonts w:hint="eastAsia" w:ascii="仿宋" w:hAnsi="仿宋" w:eastAsia="仿宋"/>
                <w:color w:val="auto"/>
                <w:kern w:val="2"/>
                <w:sz w:val="24"/>
                <w:szCs w:val="24"/>
                <w:highlight w:val="none"/>
                <w:lang w:val="en-US" w:eastAsia="zh-CN"/>
              </w:rPr>
              <w:t>80</w:t>
            </w:r>
            <w:r>
              <w:rPr>
                <w:rFonts w:hint="eastAsia" w:ascii="仿宋" w:hAnsi="仿宋" w:eastAsia="仿宋"/>
                <w:color w:val="auto"/>
                <w:kern w:val="2"/>
                <w:sz w:val="24"/>
                <w:szCs w:val="24"/>
                <w:highlight w:val="none"/>
              </w:rPr>
              <w:t>WH/</w:t>
            </w:r>
            <w:r>
              <w:rPr>
                <w:rFonts w:hint="eastAsia" w:ascii="仿宋" w:hAnsi="仿宋" w:eastAsia="仿宋"/>
                <w:color w:val="auto"/>
                <w:kern w:val="2"/>
                <w:sz w:val="24"/>
                <w:szCs w:val="24"/>
                <w:highlight w:val="none"/>
                <w:lang w:val="en-US" w:eastAsia="zh-CN"/>
              </w:rPr>
              <w:t>118</w:t>
            </w:r>
            <w:r>
              <w:rPr>
                <w:rFonts w:hint="eastAsia" w:ascii="仿宋" w:hAnsi="仿宋" w:eastAsia="仿宋"/>
                <w:color w:val="auto"/>
                <w:kern w:val="2"/>
                <w:sz w:val="24"/>
                <w:szCs w:val="24"/>
                <w:highlight w:val="none"/>
              </w:rPr>
              <w:t>AH,</w:t>
            </w:r>
            <w:r>
              <w:rPr>
                <w:rFonts w:ascii="仿宋" w:hAnsi="仿宋" w:eastAsia="仿宋"/>
                <w:color w:val="auto"/>
                <w:kern w:val="2"/>
                <w:sz w:val="24"/>
                <w:szCs w:val="24"/>
                <w:highlight w:val="none"/>
              </w:rPr>
              <w:t xml:space="preserve"> </w:t>
            </w:r>
            <w:r>
              <w:rPr>
                <w:rFonts w:hint="eastAsia" w:ascii="仿宋" w:hAnsi="仿宋" w:eastAsia="仿宋"/>
                <w:color w:val="auto"/>
                <w:kern w:val="2"/>
                <w:sz w:val="24"/>
                <w:szCs w:val="24"/>
                <w:highlight w:val="none"/>
                <w:lang w:val="en-US" w:eastAsia="zh-CN"/>
              </w:rPr>
              <w:t>具备</w:t>
            </w:r>
            <w:r>
              <w:rPr>
                <w:rFonts w:ascii="仿宋" w:hAnsi="仿宋" w:eastAsia="仿宋"/>
                <w:color w:val="auto"/>
                <w:kern w:val="2"/>
                <w:sz w:val="24"/>
                <w:szCs w:val="24"/>
                <w:highlight w:val="none"/>
              </w:rPr>
              <w:t>智能充放电管理技术</w:t>
            </w:r>
            <w:r>
              <w:rPr>
                <w:rFonts w:hint="eastAsia" w:ascii="仿宋" w:hAnsi="仿宋" w:eastAsia="仿宋"/>
                <w:color w:val="auto"/>
                <w:kern w:val="2"/>
                <w:sz w:val="24"/>
                <w:szCs w:val="24"/>
                <w:highlight w:val="none"/>
              </w:rPr>
              <w:t>。</w:t>
            </w:r>
          </w:p>
          <w:p>
            <w:pPr>
              <w:pStyle w:val="18"/>
              <w:numPr>
                <w:ilvl w:val="0"/>
                <w:numId w:val="7"/>
              </w:numPr>
              <w:ind w:left="0" w:leftChars="0" w:firstLine="0" w:firstLineChars="0"/>
              <w:jc w:val="left"/>
              <w:rPr>
                <w:color w:val="auto"/>
                <w:sz w:val="24"/>
                <w:szCs w:val="24"/>
                <w:highlight w:val="none"/>
                <w:lang w:val="en-US" w:eastAsia="zh-CN"/>
              </w:rPr>
            </w:pPr>
            <w:r>
              <w:rPr>
                <w:rFonts w:hint="eastAsia" w:ascii="仿宋" w:hAnsi="仿宋" w:eastAsia="仿宋"/>
                <w:b/>
                <w:bCs/>
                <w:color w:val="auto"/>
                <w:kern w:val="2"/>
                <w:sz w:val="24"/>
                <w:szCs w:val="24"/>
                <w:highlight w:val="none"/>
                <w:lang w:val="en-US" w:eastAsia="zh-CN"/>
              </w:rPr>
              <w:t>控制器基本要求：</w:t>
            </w:r>
            <w:r>
              <w:rPr>
                <w:rFonts w:hint="eastAsia" w:ascii="仿宋" w:hAnsi="仿宋" w:eastAsia="仿宋"/>
                <w:color w:val="auto"/>
                <w:kern w:val="2"/>
                <w:sz w:val="24"/>
                <w:szCs w:val="24"/>
                <w:highlight w:val="none"/>
                <w:lang w:val="en-US" w:eastAsia="zh-CN"/>
              </w:rPr>
              <w:t>1）提供智能光效管理技术，自动优化灯珠亮度，提高整体光效；2）具备指示灯功能，实时显示灯具电量，方便观察灯具充放电情况；3）具备智能功率调节技术，实现AI智能判断近期天气情况，合理规划放电功率。</w:t>
            </w:r>
          </w:p>
          <w:p>
            <w:pPr>
              <w:pStyle w:val="18"/>
              <w:numPr>
                <w:ilvl w:val="0"/>
                <w:numId w:val="0"/>
              </w:numPr>
              <w:ind w:leftChars="0"/>
              <w:jc w:val="left"/>
              <w:rPr>
                <w:color w:val="auto"/>
                <w:sz w:val="24"/>
                <w:szCs w:val="24"/>
                <w:highlight w:val="none"/>
                <w:lang w:val="en-US" w:eastAsia="zh-CN"/>
              </w:rPr>
            </w:pPr>
            <w:r>
              <w:rPr>
                <w:rFonts w:hint="eastAsia" w:ascii="新宋体" w:hAnsi="新宋体" w:eastAsia="新宋体" w:cs="新宋体"/>
                <w:b/>
                <w:bCs/>
                <w:color w:val="auto"/>
                <w:kern w:val="2"/>
                <w:sz w:val="24"/>
                <w:szCs w:val="24"/>
                <w:highlight w:val="none"/>
                <w:lang w:val="en-US" w:eastAsia="zh-CN"/>
              </w:rPr>
              <w:t>▲6、</w:t>
            </w:r>
            <w:r>
              <w:rPr>
                <w:rFonts w:hint="eastAsia" w:ascii="仿宋" w:hAnsi="仿宋" w:eastAsia="仿宋"/>
                <w:color w:val="auto"/>
                <w:kern w:val="2"/>
                <w:sz w:val="24"/>
                <w:szCs w:val="24"/>
                <w:highlight w:val="none"/>
                <w:lang w:val="en-US" w:eastAsia="zh-CN"/>
              </w:rPr>
              <w:t>1）拥有MPPT光能追踪技术，智能提高光伏系统的能量利用效率，提高充电效率；2）智能充放电管理技术，磷酸铁锂电池2000次循环充放电后，电池容量和健康度保持不低于90%。</w:t>
            </w:r>
          </w:p>
          <w:p>
            <w:pPr>
              <w:pStyle w:val="18"/>
              <w:numPr>
                <w:ilvl w:val="0"/>
                <w:numId w:val="0"/>
              </w:numPr>
              <w:ind w:leftChars="0"/>
              <w:jc w:val="left"/>
              <w:rPr>
                <w:rFonts w:hint="eastAsia" w:ascii="仿宋" w:hAnsi="仿宋" w:eastAsia="仿宋"/>
                <w:color w:val="auto"/>
                <w:kern w:val="2"/>
                <w:sz w:val="24"/>
                <w:szCs w:val="24"/>
                <w:highlight w:val="none"/>
                <w:lang w:val="en-US" w:eastAsia="zh-CN"/>
              </w:rPr>
            </w:pPr>
            <w:r>
              <w:rPr>
                <w:rFonts w:hint="eastAsia" w:ascii="仿宋" w:hAnsi="仿宋" w:eastAsia="仿宋"/>
                <w:color w:val="auto"/>
                <w:kern w:val="2"/>
                <w:sz w:val="24"/>
                <w:szCs w:val="24"/>
                <w:highlight w:val="none"/>
                <w:lang w:val="en-US" w:eastAsia="zh-CN"/>
              </w:rPr>
              <w:t>7、灯杆：高度8米，主杆规格：上口径60MM,下口径130MM ,厚度：3.0MM, 灯杆材质：Q235优质镀锌钢材，国标地笼，基础深≥ 80CM。</w:t>
            </w:r>
          </w:p>
        </w:tc>
        <w:tc>
          <w:tcPr>
            <w:tcW w:w="105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0.687</w:t>
            </w:r>
          </w:p>
        </w:tc>
        <w:tc>
          <w:tcPr>
            <w:tcW w:w="10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工业</w:t>
            </w:r>
          </w:p>
          <w:p>
            <w:pPr>
              <w:keepNext w:val="0"/>
              <w:keepLines w:val="0"/>
              <w:pageBreakBefore w:val="0"/>
              <w:kinsoku/>
              <w:wordWrap/>
              <w:overflowPunct/>
              <w:topLinePunct w:val="0"/>
              <w:autoSpaceDE/>
              <w:autoSpaceDN/>
              <w:bidi w:val="0"/>
              <w:spacing w:line="240" w:lineRule="auto"/>
              <w:rPr>
                <w:rFonts w:ascii="宋体" w:hAnsi="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备注</w:t>
            </w:r>
          </w:p>
        </w:tc>
        <w:tc>
          <w:tcPr>
            <w:tcW w:w="8722"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rPr>
                <w:rFonts w:ascii="宋体" w:hAnsi="宋体"/>
                <w:color w:val="auto"/>
                <w:sz w:val="21"/>
                <w:szCs w:val="21"/>
                <w:highlight w:val="none"/>
                <w:lang w:val="en-US" w:eastAsia="zh-CN"/>
              </w:rPr>
            </w:pPr>
            <w:r>
              <w:rPr>
                <w:rFonts w:hint="eastAsia" w:ascii="宋体" w:hAnsi="宋体"/>
                <w:b/>
                <w:bCs/>
                <w:color w:val="auto"/>
                <w:sz w:val="21"/>
                <w:szCs w:val="21"/>
                <w:highlight w:val="none"/>
                <w:lang w:val="en-US" w:eastAsia="zh-CN"/>
              </w:rPr>
              <w:t>以上货物采购费用包含税费、物流、安装、售后等全部费用，由南宁市</w:t>
            </w:r>
            <w:r>
              <w:rPr>
                <w:rFonts w:ascii="宋体" w:hAnsi="宋体"/>
                <w:b/>
                <w:bCs/>
                <w:color w:val="auto"/>
                <w:sz w:val="21"/>
                <w:szCs w:val="21"/>
                <w:highlight w:val="none"/>
                <w:lang w:val="en-US" w:eastAsia="zh-CN"/>
              </w:rPr>
              <w:t>江南区环卫站采购人指定</w:t>
            </w:r>
            <w:r>
              <w:rPr>
                <w:rFonts w:hint="eastAsia" w:ascii="宋体" w:hAnsi="宋体"/>
                <w:b/>
                <w:bCs/>
                <w:color w:val="auto"/>
                <w:sz w:val="21"/>
                <w:szCs w:val="21"/>
                <w:highlight w:val="none"/>
                <w:lang w:val="en-US" w:eastAsia="zh-CN"/>
              </w:rPr>
              <w:t>位置</w:t>
            </w:r>
            <w:r>
              <w:rPr>
                <w:rFonts w:ascii="宋体" w:hAnsi="宋体"/>
                <w:b/>
                <w:bCs/>
                <w:color w:val="auto"/>
                <w:sz w:val="21"/>
                <w:szCs w:val="21"/>
                <w:highlight w:val="none"/>
                <w:lang w:val="en-US" w:eastAsia="zh-CN"/>
              </w:rPr>
              <w:t>装卸、安装</w:t>
            </w:r>
            <w:r>
              <w:rPr>
                <w:rFonts w:hint="eastAsia" w:ascii="宋体" w:hAnsi="宋体"/>
                <w:b/>
                <w:bCs/>
                <w:color w:val="auto"/>
                <w:sz w:val="21"/>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54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p>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r>
              <w:rPr>
                <w:rFonts w:hint="eastAsia" w:ascii="宋体" w:hAnsi="宋体"/>
                <w:color w:val="auto"/>
                <w:sz w:val="21"/>
                <w:szCs w:val="21"/>
                <w:highlight w:val="none"/>
              </w:rPr>
              <w:t>商务条款</w:t>
            </w:r>
          </w:p>
        </w:tc>
        <w:tc>
          <w:tcPr>
            <w:tcW w:w="872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hd w:val="clear" w:color="auto" w:fill="FFFFFF"/>
              <w:kinsoku/>
              <w:wordWrap/>
              <w:overflowPunct/>
              <w:topLinePunct w:val="0"/>
              <w:autoSpaceDE/>
              <w:autoSpaceDN/>
              <w:bidi w:val="0"/>
              <w:spacing w:line="240" w:lineRule="auto"/>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91440</wp:posOffset>
                      </wp:positionV>
                      <wp:extent cx="70485" cy="106680"/>
                      <wp:effectExtent l="4445" t="4445" r="16510" b="10795"/>
                      <wp:wrapNone/>
                      <wp:docPr id="1" name="文本框 1"/>
                      <wp:cNvGraphicFramePr/>
                      <a:graphic xmlns:a="http://schemas.openxmlformats.org/drawingml/2006/main">
                        <a:graphicData uri="http://schemas.microsoft.com/office/word/2010/wordprocessingShape">
                          <wps:wsp>
                            <wps:cNvSpPr txBox="1"/>
                            <wps:spPr>
                              <a:xfrm>
                                <a:off x="0" y="0"/>
                                <a:ext cx="70485" cy="106680"/>
                              </a:xfrm>
                              <a:prstGeom prst="rect">
                                <a:avLst/>
                              </a:prstGeom>
                              <a:noFill/>
                              <a:ln w="9525" cap="flat" cmpd="sng">
                                <a:solidFill>
                                  <a:srgbClr val="000000"/>
                                </a:solidFill>
                                <a:prstDash val="solid"/>
                                <a:miter/>
                                <a:headEnd type="none" w="med" len="med"/>
                                <a:tailEnd type="none" w="med" len="med"/>
                              </a:ln>
                            </wps:spPr>
                            <wps:txbx>
                              <w:txbxContent>
                                <w:p>
                                  <w:r>
                                    <w:rPr>
                                      <w:lang w:val="zh-CN"/>
                                    </w:rPr>
                                    <w:t>[键入文档的引述或关注点的摘要。您可将文本框放置在文档中的任何位置。可使用“文本框工具”选项卡更改重要引述文本框的格式。]</w:t>
                                  </w:r>
                                </w:p>
                                <w:p/>
                              </w:txbxContent>
                            </wps:txbx>
                            <wps:bodyPr upright="1"/>
                          </wps:wsp>
                        </a:graphicData>
                      </a:graphic>
                    </wp:anchor>
                  </w:drawing>
                </mc:Choice>
                <mc:Fallback>
                  <w:pict>
                    <v:shape id="_x0000_s1026" o:spid="_x0000_s1026" o:spt="202" type="#_x0000_t202" style="position:absolute;left:0pt;margin-left:3.95pt;margin-top:7.2pt;height:8.4pt;width:5.55pt;z-index:251660288;mso-width-relative:page;mso-height-relative:page;" filled="f" stroked="t" coordsize="21600,21600" o:gfxdata="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V9O53UAAAABgEAAA8AAAAAAAAAAQAgAAAAIgAAAGRycy9kb3du&#10;cmV2LnhtbFBLAQIUABQAAAAIAIdO4kBZgAXiAwIAAAsEAAAOAAAAAAAAAAEAIAAAACMBAABkcnMv&#10;ZTJvRG9jLnhtbFBLBQYAAAAABgAGAFkBAACYBQAAAAA=&#10;">
                      <v:fill on="f" focussize="0,0"/>
                      <v:stroke color="#000000" joinstyle="miter"/>
                      <v:imagedata o:title=""/>
                      <o:lock v:ext="edit" aspectratio="f"/>
                      <v:textbox>
                        <w:txbxContent>
                          <w:p>
                            <w:r>
                              <w:rPr>
                                <w:lang w:val="zh-CN"/>
                              </w:rPr>
                              <w:t>[键入文档的引述或关注点的摘要。您可将文本框放置在文档中的任何位置。可使用“文本框工具”选项卡更改重要引述文本框的格式。]</w:t>
                            </w:r>
                          </w:p>
                          <w:p/>
                        </w:txbxContent>
                      </v:textbox>
                    </v:shape>
                  </w:pict>
                </mc:Fallback>
              </mc:AlternateContent>
            </w:r>
            <w:r>
              <w:rPr>
                <w:rFonts w:hint="eastAsia" w:ascii="宋体" w:hAnsi="宋体" w:cs="宋体"/>
                <w:color w:val="auto"/>
                <w:sz w:val="21"/>
                <w:szCs w:val="21"/>
                <w:highlight w:val="none"/>
              </w:rPr>
              <w:t>▲</w:t>
            </w:r>
            <w:r>
              <w:rPr>
                <w:rFonts w:hint="eastAsia" w:ascii="宋体" w:hAnsi="宋体"/>
                <w:color w:val="auto"/>
                <w:sz w:val="21"/>
                <w:szCs w:val="21"/>
                <w:highlight w:val="none"/>
              </w:rPr>
              <w:t>一、合同签订期：自成交通知书发出之日起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15</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日内</w:t>
            </w:r>
            <w:r>
              <w:rPr>
                <w:rFonts w:hint="eastAsia" w:ascii="宋体" w:hAnsi="宋体"/>
                <w:color w:val="auto"/>
                <w:sz w:val="21"/>
                <w:szCs w:val="21"/>
                <w:highlight w:val="none"/>
                <w:lang w:val="en-US" w:eastAsia="zh-CN"/>
              </w:rPr>
              <w:t>.</w:t>
            </w:r>
          </w:p>
          <w:p>
            <w:pPr>
              <w:keepNext w:val="0"/>
              <w:keepLines w:val="0"/>
              <w:pageBreakBefore w:val="0"/>
              <w:widowControl/>
              <w:shd w:val="clear" w:color="auto" w:fill="FFFFFF"/>
              <w:tabs>
                <w:tab w:val="left" w:pos="4769"/>
              </w:tabs>
              <w:kinsoku/>
              <w:wordWrap/>
              <w:overflowPunct/>
              <w:topLinePunct w:val="0"/>
              <w:autoSpaceDE/>
              <w:autoSpaceDN/>
              <w:bidi w:val="0"/>
              <w:spacing w:line="240" w:lineRule="auto"/>
              <w:rPr>
                <w:rFonts w:hint="eastAsia" w:ascii="宋体" w:hAnsi="宋体"/>
                <w:color w:val="auto"/>
                <w:sz w:val="21"/>
                <w:szCs w:val="21"/>
                <w:highlight w:val="none"/>
              </w:rPr>
            </w:pPr>
            <w:r>
              <w:rPr>
                <w:rFonts w:hint="eastAsia" w:ascii="宋体" w:hAnsi="宋体"/>
                <w:color w:val="auto"/>
                <w:sz w:val="21"/>
                <w:szCs w:val="21"/>
                <w:highlight w:val="none"/>
              </w:rPr>
              <w:t>□二、</w:t>
            </w:r>
            <w:r>
              <w:rPr>
                <w:rFonts w:hint="eastAsia" w:ascii="宋体" w:hAnsi="宋体"/>
                <w:bCs/>
                <w:color w:val="auto"/>
                <w:sz w:val="21"/>
                <w:szCs w:val="21"/>
                <w:highlight w:val="none"/>
              </w:rPr>
              <w:t>提交货物时间：</w:t>
            </w:r>
            <w:r>
              <w:rPr>
                <w:rFonts w:hint="eastAsia"/>
                <w:color w:val="auto"/>
                <w:highlight w:val="none"/>
                <w:lang w:val="en-US" w:eastAsia="zh-CN"/>
              </w:rPr>
              <w:t>自签订合同之日起15个工作日内</w:t>
            </w:r>
            <w:r>
              <w:rPr>
                <w:rFonts w:ascii="宋体" w:hAnsi="宋体"/>
                <w:color w:val="auto"/>
                <w:sz w:val="21"/>
                <w:szCs w:val="21"/>
                <w:highlight w:val="none"/>
              </w:rPr>
              <w:tab/>
            </w:r>
          </w:p>
          <w:p>
            <w:pPr>
              <w:keepNext w:val="0"/>
              <w:keepLines w:val="0"/>
              <w:pageBreakBefore w:val="0"/>
              <w:widowControl/>
              <w:shd w:val="clear" w:color="auto" w:fill="FFFFFF"/>
              <w:kinsoku/>
              <w:wordWrap/>
              <w:overflowPunct/>
              <w:topLinePunct w:val="0"/>
              <w:autoSpaceDE/>
              <w:autoSpaceDN/>
              <w:bidi w:val="0"/>
              <w:spacing w:line="240" w:lineRule="auto"/>
              <w:rPr>
                <w:rFonts w:hint="eastAsia"/>
                <w:color w:val="auto"/>
                <w:highlight w:val="none"/>
                <w:lang w:val="en-US" w:eastAsia="zh-CN"/>
              </w:rPr>
            </w:pPr>
            <w:r>
              <w:rPr>
                <w:rFonts w:hint="eastAsia" w:ascii="宋体" w:hAnsi="宋体"/>
                <w:color w:val="auto"/>
                <w:sz w:val="21"/>
                <w:szCs w:val="21"/>
                <w:highlight w:val="none"/>
              </w:rPr>
              <w:t>□三、提交货物地点：</w:t>
            </w:r>
            <w:r>
              <w:rPr>
                <w:rFonts w:hint="eastAsia"/>
                <w:color w:val="auto"/>
                <w:highlight w:val="none"/>
                <w:lang w:val="en-US" w:eastAsia="zh-CN"/>
              </w:rPr>
              <w:t>江南区环卫站采购人指定地点（含装卸、安装）</w:t>
            </w:r>
          </w:p>
          <w:p>
            <w:pPr>
              <w:keepNext w:val="0"/>
              <w:keepLines w:val="0"/>
              <w:pageBreakBefore w:val="0"/>
              <w:widowControl/>
              <w:shd w:val="clear" w:color="auto" w:fill="FFFFFF"/>
              <w:kinsoku/>
              <w:wordWrap/>
              <w:overflowPunct/>
              <w:topLinePunct w:val="0"/>
              <w:autoSpaceDE/>
              <w:autoSpaceDN/>
              <w:bidi w:val="0"/>
              <w:spacing w:line="240" w:lineRule="auto"/>
              <w:rPr>
                <w:rFonts w:hint="eastAsia" w:ascii="宋体" w:hAnsi="宋体" w:cs="宋体"/>
                <w:color w:val="auto"/>
                <w:sz w:val="21"/>
                <w:szCs w:val="21"/>
                <w:highlight w:val="none"/>
              </w:rPr>
            </w:pPr>
            <w:r>
              <w:rPr>
                <w:rFonts w:hint="eastAsia" w:ascii="宋体" w:hAnsi="宋体"/>
                <w:color w:val="auto"/>
                <w:sz w:val="21"/>
                <w:szCs w:val="21"/>
                <w:highlight w:val="none"/>
              </w:rPr>
              <w:t>□</w:t>
            </w:r>
            <w:r>
              <w:rPr>
                <w:rFonts w:hint="eastAsia" w:ascii="宋体" w:hAnsi="宋体"/>
                <w:bCs/>
                <w:color w:val="auto"/>
                <w:sz w:val="21"/>
                <w:szCs w:val="21"/>
                <w:highlight w:val="none"/>
              </w:rPr>
              <w:t>四、</w:t>
            </w:r>
            <w:r>
              <w:rPr>
                <w:rFonts w:hint="eastAsia" w:ascii="宋体" w:hAnsi="宋体" w:cs="宋体"/>
                <w:color w:val="auto"/>
                <w:sz w:val="21"/>
                <w:szCs w:val="21"/>
                <w:highlight w:val="none"/>
              </w:rPr>
              <w:t>验收标准、规范：</w:t>
            </w:r>
          </w:p>
          <w:p>
            <w:pPr>
              <w:pStyle w:val="18"/>
              <w:rPr>
                <w:rFonts w:hint="eastAsia"/>
                <w:color w:val="auto"/>
                <w:highlight w:val="none"/>
                <w:lang w:val="en-US" w:eastAsia="zh-CN"/>
              </w:rPr>
            </w:pPr>
            <w:r>
              <w:rPr>
                <w:rFonts w:hint="eastAsia"/>
                <w:color w:val="auto"/>
                <w:highlight w:val="none"/>
                <w:lang w:val="en-US" w:eastAsia="zh-CN"/>
              </w:rPr>
              <w:t>1、验收标准：</w:t>
            </w:r>
          </w:p>
          <w:p>
            <w:pPr>
              <w:numPr>
                <w:ilvl w:val="0"/>
                <w:numId w:val="8"/>
              </w:numPr>
              <w:ind w:left="420" w:leftChars="0" w:firstLine="0" w:firstLineChars="0"/>
              <w:rPr>
                <w:rFonts w:hint="eastAsia"/>
                <w:color w:val="auto"/>
                <w:highlight w:val="none"/>
                <w:lang w:val="en-US" w:eastAsia="zh-CN"/>
              </w:rPr>
            </w:pPr>
            <w:r>
              <w:rPr>
                <w:rFonts w:hint="eastAsia"/>
                <w:color w:val="auto"/>
                <w:highlight w:val="none"/>
                <w:lang w:val="en-US" w:eastAsia="zh-CN"/>
              </w:rPr>
              <w:t>根据采购文件、竞标文件要求和国家标准或行业标准进行现场初步验收，对符合国家相关质量标准、行业标准及响应文件技术参数要求、且外观、说明书符合要求的给予验收，对不符合要求或有质量问题的货物不予签收，可立即要求退换，成交供应商不得拒绝和延误。</w:t>
            </w:r>
          </w:p>
          <w:p>
            <w:pPr>
              <w:pStyle w:val="18"/>
              <w:rPr>
                <w:color w:val="auto"/>
                <w:highlight w:val="none"/>
                <w:lang w:val="en-US" w:eastAsia="zh-CN"/>
              </w:rPr>
            </w:pPr>
            <w:r>
              <w:rPr>
                <w:rFonts w:hint="eastAsia"/>
                <w:color w:val="auto"/>
                <w:highlight w:val="none"/>
                <w:lang w:val="en-US" w:eastAsia="zh-CN"/>
              </w:rPr>
              <w:t>2、验收规范</w:t>
            </w:r>
          </w:p>
          <w:p>
            <w:pPr>
              <w:pStyle w:val="18"/>
              <w:numPr>
                <w:ilvl w:val="0"/>
                <w:numId w:val="0"/>
              </w:numPr>
              <w:ind w:left="420" w:leftChars="0"/>
              <w:rPr>
                <w:rFonts w:hint="eastAsia"/>
                <w:color w:val="auto"/>
                <w:highlight w:val="none"/>
                <w:lang w:val="en-US" w:eastAsia="zh-CN"/>
              </w:rPr>
            </w:pPr>
            <w:r>
              <w:rPr>
                <w:rFonts w:hint="eastAsia"/>
                <w:color w:val="auto"/>
                <w:highlight w:val="none"/>
                <w:lang w:val="en-US" w:eastAsia="zh-CN"/>
              </w:rPr>
              <w:t>（1）供应商对产品作出全面检查和对验收文件进行整理，并列出清单，作为验收和使用的技术条件依据，校验的结果应随货交采购人。</w:t>
            </w:r>
          </w:p>
          <w:p>
            <w:pPr>
              <w:ind w:firstLine="420" w:firstLineChars="200"/>
              <w:rPr>
                <w:rFonts w:hint="eastAsia"/>
                <w:color w:val="auto"/>
                <w:highlight w:val="none"/>
                <w:lang w:val="en-US" w:eastAsia="zh-CN"/>
              </w:rPr>
            </w:pPr>
            <w:r>
              <w:rPr>
                <w:rFonts w:hint="eastAsia"/>
                <w:color w:val="auto"/>
                <w:highlight w:val="none"/>
                <w:lang w:val="en-US" w:eastAsia="zh-CN"/>
              </w:rPr>
              <w:t>（2）采购的货物在使用前供应商应进行调试，需负责安装并培训采购方使用操作人员，协助调试，直到符合技术要求后，给予验收。</w:t>
            </w:r>
          </w:p>
          <w:p>
            <w:pPr>
              <w:pStyle w:val="18"/>
              <w:rPr>
                <w:rFonts w:hint="eastAsia"/>
                <w:color w:val="auto"/>
                <w:highlight w:val="none"/>
                <w:lang w:val="en-US" w:eastAsia="zh-CN"/>
              </w:rPr>
            </w:pPr>
            <w:r>
              <w:rPr>
                <w:rFonts w:hint="eastAsia"/>
                <w:color w:val="auto"/>
                <w:highlight w:val="none"/>
                <w:lang w:val="en-US" w:eastAsia="zh-CN"/>
              </w:rPr>
              <w:t>（3）验收时双方现场验收，验收完成后作出验收报告。</w:t>
            </w:r>
          </w:p>
          <w:p>
            <w:pPr>
              <w:rPr>
                <w:rFonts w:hint="eastAsia"/>
                <w:color w:val="auto"/>
                <w:highlight w:val="none"/>
              </w:rPr>
            </w:pPr>
            <w:r>
              <w:rPr>
                <w:rFonts w:hint="eastAsia"/>
                <w:color w:val="auto"/>
                <w:highlight w:val="none"/>
                <w:lang w:val="en-US" w:eastAsia="zh-CN"/>
              </w:rPr>
              <w:t xml:space="preserve">    </w:t>
            </w:r>
            <w:bookmarkStart w:id="33" w:name="OLE_LINK1"/>
            <w:r>
              <w:rPr>
                <w:rFonts w:hint="eastAsia"/>
                <w:color w:val="auto"/>
                <w:highlight w:val="none"/>
                <w:lang w:val="en-US" w:eastAsia="zh-CN"/>
              </w:rPr>
              <w:t>（4）对技术复杂的货物，采购方有权请国家认可的专业检测机构对货物进行抽检，供应商需派人进行见证。如检测结果有10</w:t>
            </w:r>
            <w:r>
              <w:rPr>
                <w:rFonts w:hint="eastAsia" w:ascii="宋体" w:hAnsi="宋体" w:eastAsia="宋体" w:cs="宋体"/>
                <w:color w:val="auto"/>
                <w:highlight w:val="none"/>
                <w:lang w:val="en-US" w:eastAsia="zh-CN"/>
              </w:rPr>
              <w:t>％</w:t>
            </w:r>
            <w:r>
              <w:rPr>
                <w:rFonts w:hint="eastAsia"/>
                <w:color w:val="auto"/>
                <w:highlight w:val="none"/>
                <w:lang w:val="en-US" w:eastAsia="zh-CN"/>
              </w:rPr>
              <w:t>货物不合格的，采购方有权要求供应商限期无条件整改、换货并承担全部检测及相关费用；如检测结果不合格率达到50</w:t>
            </w:r>
            <w:r>
              <w:rPr>
                <w:rFonts w:hint="eastAsia" w:ascii="宋体" w:hAnsi="宋体" w:eastAsia="宋体" w:cs="宋体"/>
                <w:color w:val="auto"/>
                <w:highlight w:val="none"/>
                <w:lang w:val="en-US" w:eastAsia="zh-CN"/>
              </w:rPr>
              <w:t>％</w:t>
            </w:r>
            <w:r>
              <w:rPr>
                <w:rFonts w:hint="eastAsia"/>
                <w:color w:val="auto"/>
                <w:highlight w:val="none"/>
                <w:lang w:val="en-US" w:eastAsia="zh-CN"/>
              </w:rPr>
              <w:t>的，采购方有权退货并终止合同。</w:t>
            </w:r>
            <w:bookmarkEnd w:id="33"/>
          </w:p>
          <w:p>
            <w:pPr>
              <w:keepNext w:val="0"/>
              <w:keepLines w:val="0"/>
              <w:pageBreakBefore w:val="0"/>
              <w:widowControl/>
              <w:shd w:val="clear" w:color="auto" w:fill="FFFFFF"/>
              <w:kinsoku/>
              <w:wordWrap/>
              <w:overflowPunct/>
              <w:topLinePunct w:val="0"/>
              <w:autoSpaceDE/>
              <w:autoSpaceDN/>
              <w:bidi w:val="0"/>
              <w:spacing w:line="240" w:lineRule="auto"/>
              <w:rPr>
                <w:rFonts w:hint="eastAsia" w:ascii="宋体" w:hAnsi="宋体"/>
                <w:color w:val="auto"/>
                <w:sz w:val="21"/>
                <w:szCs w:val="21"/>
                <w:highlight w:val="none"/>
              </w:rPr>
            </w:pPr>
            <w:r>
              <w:rPr>
                <w:rFonts w:ascii="宋体" w:hAnsi="宋体"/>
                <w:b/>
                <w:bCs/>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59055</wp:posOffset>
                      </wp:positionV>
                      <wp:extent cx="70485" cy="106680"/>
                      <wp:effectExtent l="4445" t="4445" r="16510" b="10795"/>
                      <wp:wrapNone/>
                      <wp:docPr id="2" name="文本框 2"/>
                      <wp:cNvGraphicFramePr/>
                      <a:graphic xmlns:a="http://schemas.openxmlformats.org/drawingml/2006/main">
                        <a:graphicData uri="http://schemas.microsoft.com/office/word/2010/wordprocessingShape">
                          <wps:wsp>
                            <wps:cNvSpPr txBox="1"/>
                            <wps:spPr>
                              <a:xfrm>
                                <a:off x="0" y="0"/>
                                <a:ext cx="70485" cy="106680"/>
                              </a:xfrm>
                              <a:prstGeom prst="rect">
                                <a:avLst/>
                              </a:prstGeom>
                              <a:noFill/>
                              <a:ln w="9525" cap="flat" cmpd="sng">
                                <a:solidFill>
                                  <a:srgbClr val="000000"/>
                                </a:solidFill>
                                <a:prstDash val="solid"/>
                                <a:miter/>
                                <a:headEnd type="none" w="med" len="med"/>
                                <a:tailEnd type="none" w="med" len="med"/>
                              </a:ln>
                            </wps:spPr>
                            <wps:txbx>
                              <w:txbxContent>
                                <w:p>
                                  <w:r>
                                    <w:rPr>
                                      <w:lang w:val="zh-CN"/>
                                    </w:rPr>
                                    <w:t>[键入文档的引述或关注点的摘要。您可将文本框放置在文档中的任何位置。可使用“文本框工具”选项卡更改重要引述文本框的格式。]</w:t>
                                  </w:r>
                                </w:p>
                                <w:p/>
                              </w:txbxContent>
                            </wps:txbx>
                            <wps:bodyPr upright="1"/>
                          </wps:wsp>
                        </a:graphicData>
                      </a:graphic>
                    </wp:anchor>
                  </w:drawing>
                </mc:Choice>
                <mc:Fallback>
                  <w:pict>
                    <v:shape id="_x0000_s1026" o:spid="_x0000_s1026" o:spt="202" type="#_x0000_t202" style="position:absolute;left:0pt;margin-left:2.6pt;margin-top:4.65pt;height:8.4pt;width:5.55pt;z-index:251659264;mso-width-relative:page;mso-height-relative:page;" filled="f" stroked="t" coordsize="21600,21600" o:gfxdata="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Ivsp0wAAAAUBAAAPAAAAAAAAAAEAIAAAACIAAABkcnMvZG93&#10;bnJldi54bWxQSwECFAAUAAAACACHTuJA5E/UswUCAAALBAAADgAAAAAAAAABACAAAAAiAQAAZHJz&#10;L2Uyb0RvYy54bWxQSwUGAAAAAAYABgBZAQAAmQUAAAAA&#10;">
                      <v:fill on="f" focussize="0,0"/>
                      <v:stroke color="#000000" joinstyle="miter"/>
                      <v:imagedata o:title=""/>
                      <o:lock v:ext="edit" aspectratio="f"/>
                      <v:textbox>
                        <w:txbxContent>
                          <w:p>
                            <w:r>
                              <w:rPr>
                                <w:lang w:val="zh-CN"/>
                              </w:rPr>
                              <w:t>[键入文档的引述或关注点的摘要。您可将文本框放置在文档中的任何位置。可使用“文本框工具”选项卡更改重要引述文本框的格式。]</w:t>
                            </w:r>
                          </w:p>
                          <w:p/>
                        </w:txbxContent>
                      </v:textbox>
                    </v:shape>
                  </w:pict>
                </mc:Fallback>
              </mc:AlternateContent>
            </w:r>
            <w:r>
              <w:rPr>
                <w:rFonts w:hint="eastAsia" w:ascii="宋体" w:hAnsi="宋体"/>
                <w:b/>
                <w:bCs/>
                <w:color w:val="auto"/>
                <w:sz w:val="21"/>
                <w:szCs w:val="21"/>
                <w:highlight w:val="none"/>
              </w:rPr>
              <w:t xml:space="preserve">▲ </w:t>
            </w:r>
            <w:r>
              <w:rPr>
                <w:rFonts w:hint="eastAsia" w:ascii="宋体" w:hAnsi="宋体"/>
                <w:color w:val="auto"/>
                <w:sz w:val="21"/>
                <w:szCs w:val="21"/>
                <w:highlight w:val="none"/>
              </w:rPr>
              <w:t>五、售后服务要求：</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1、质保期：按国家有关产品“三包”规定执行“三包”，质保期除特别注明外，最短不得少于</w:t>
            </w:r>
            <w:r>
              <w:rPr>
                <w:color w:val="auto"/>
                <w:highlight w:val="none"/>
              </w:rPr>
              <w:t xml:space="preserve"> </w:t>
            </w:r>
            <w:r>
              <w:rPr>
                <w:rFonts w:hint="eastAsia"/>
                <w:color w:val="auto"/>
                <w:highlight w:val="none"/>
                <w:lang w:val="en-US" w:eastAsia="zh-CN"/>
              </w:rPr>
              <w:t>3</w:t>
            </w:r>
            <w:r>
              <w:rPr>
                <w:color w:val="auto"/>
                <w:highlight w:val="none"/>
              </w:rPr>
              <w:t xml:space="preserve"> </w:t>
            </w:r>
            <w:r>
              <w:rPr>
                <w:rFonts w:hint="eastAsia"/>
                <w:color w:val="auto"/>
                <w:highlight w:val="none"/>
              </w:rPr>
              <w:t>年。保修期内，货物在正常使用、保管及安装条件下，出现因生产工艺缺陷、原材料质量问题、产品设计瑕疵等非</w:t>
            </w:r>
            <w:r>
              <w:rPr>
                <w:rFonts w:hint="eastAsia"/>
                <w:color w:val="auto"/>
                <w:highlight w:val="none"/>
                <w:lang w:eastAsia="zh-CN"/>
              </w:rPr>
              <w:t>采购</w:t>
            </w:r>
            <w:r>
              <w:rPr>
                <w:rFonts w:hint="eastAsia"/>
                <w:color w:val="auto"/>
                <w:highlight w:val="none"/>
              </w:rPr>
              <w:t>方人为因素导致的故障、损坏，</w:t>
            </w:r>
            <w:r>
              <w:rPr>
                <w:rFonts w:hint="eastAsia"/>
                <w:color w:val="auto"/>
                <w:highlight w:val="none"/>
                <w:lang w:eastAsia="zh-CN"/>
              </w:rPr>
              <w:t>供应商</w:t>
            </w:r>
            <w:r>
              <w:rPr>
                <w:rFonts w:hint="eastAsia"/>
                <w:color w:val="auto"/>
                <w:highlight w:val="none"/>
              </w:rPr>
              <w:t>方免费提供维修、更换零部件或整机更换服务，无需</w:t>
            </w:r>
            <w:r>
              <w:rPr>
                <w:rFonts w:hint="eastAsia"/>
                <w:color w:val="auto"/>
                <w:highlight w:val="none"/>
                <w:lang w:eastAsia="zh-CN"/>
              </w:rPr>
              <w:t>采购</w:t>
            </w:r>
            <w:r>
              <w:rPr>
                <w:rFonts w:hint="eastAsia"/>
                <w:color w:val="auto"/>
                <w:highlight w:val="none"/>
              </w:rPr>
              <w:t>方承担费用。（自提交成果并验收合格之日起计）</w:t>
            </w:r>
          </w:p>
          <w:p>
            <w:pPr>
              <w:keepNext w:val="0"/>
              <w:keepLines w:val="0"/>
              <w:pageBreakBefore w:val="0"/>
              <w:widowControl/>
              <w:shd w:val="clear" w:color="auto" w:fill="FFFFFF"/>
              <w:kinsoku/>
              <w:wordWrap/>
              <w:overflowPunct/>
              <w:topLinePunct w:val="0"/>
              <w:autoSpaceDE/>
              <w:autoSpaceDN/>
              <w:bidi w:val="0"/>
              <w:spacing w:line="240" w:lineRule="auto"/>
              <w:rPr>
                <w:rFonts w:hint="eastAsia"/>
                <w:color w:val="auto"/>
                <w:highlight w:val="none"/>
              </w:rPr>
            </w:pPr>
            <w:r>
              <w:rPr>
                <w:rFonts w:hint="eastAsia"/>
                <w:color w:val="auto"/>
                <w:highlight w:val="none"/>
                <w:lang w:val="en-US" w:eastAsia="zh-CN"/>
              </w:rPr>
              <w:t>2</w:t>
            </w:r>
            <w:r>
              <w:rPr>
                <w:rFonts w:hint="eastAsia"/>
                <w:color w:val="auto"/>
                <w:highlight w:val="none"/>
              </w:rPr>
              <w:t>、售后服务技术人员要求：专职人员</w:t>
            </w:r>
          </w:p>
          <w:p>
            <w:pPr>
              <w:keepNext w:val="0"/>
              <w:keepLines w:val="0"/>
              <w:pageBreakBefore w:val="0"/>
              <w:kinsoku/>
              <w:wordWrap/>
              <w:overflowPunct/>
              <w:topLinePunct w:val="0"/>
              <w:autoSpaceDE/>
              <w:autoSpaceDN/>
              <w:bidi w:val="0"/>
              <w:spacing w:line="240" w:lineRule="auto"/>
              <w:rPr>
                <w:color w:val="auto"/>
                <w:highlight w:val="none"/>
              </w:rPr>
            </w:pPr>
            <w:r>
              <w:rPr>
                <w:rFonts w:hint="eastAsia"/>
                <w:color w:val="auto"/>
                <w:highlight w:val="none"/>
                <w:lang w:val="en-US" w:eastAsia="zh-CN"/>
              </w:rPr>
              <w:t>3</w:t>
            </w:r>
            <w:r>
              <w:rPr>
                <w:rFonts w:hint="eastAsia"/>
                <w:color w:val="auto"/>
                <w:highlight w:val="none"/>
              </w:rPr>
              <w:t>、售后服务费用包含在报价中，售后服务内容如下：</w:t>
            </w:r>
            <w:r>
              <w:rPr>
                <w:color w:val="auto"/>
                <w:highlight w:val="none"/>
              </w:rPr>
              <w:t xml:space="preserve"> </w:t>
            </w:r>
          </w:p>
          <w:p>
            <w:pPr>
              <w:keepNext w:val="0"/>
              <w:keepLines w:val="0"/>
              <w:pageBreakBefore w:val="0"/>
              <w:kinsoku/>
              <w:wordWrap/>
              <w:overflowPunct/>
              <w:topLinePunct w:val="0"/>
              <w:autoSpaceDE/>
              <w:autoSpaceDN/>
              <w:bidi w:val="0"/>
              <w:spacing w:line="240" w:lineRule="auto"/>
              <w:rPr>
                <w:rFonts w:hint="eastAsia"/>
                <w:color w:val="auto"/>
                <w:highlight w:val="none"/>
                <w:lang w:eastAsia="zh-CN"/>
              </w:rPr>
            </w:pPr>
            <w:r>
              <w:rPr>
                <w:rFonts w:hint="eastAsia"/>
                <w:color w:val="auto"/>
                <w:highlight w:val="none"/>
              </w:rPr>
              <w:t>（1）负责送货上门</w:t>
            </w:r>
            <w:r>
              <w:rPr>
                <w:rFonts w:hint="eastAsia"/>
                <w:color w:val="auto"/>
                <w:highlight w:val="none"/>
                <w:lang w:eastAsia="zh-CN"/>
              </w:rPr>
              <w:t>并提供安装服务。</w:t>
            </w:r>
          </w:p>
          <w:p>
            <w:pPr>
              <w:keepNext w:val="0"/>
              <w:keepLines w:val="0"/>
              <w:pageBreakBefore w:val="0"/>
              <w:kinsoku/>
              <w:wordWrap/>
              <w:overflowPunct/>
              <w:topLinePunct w:val="0"/>
              <w:autoSpaceDE/>
              <w:autoSpaceDN/>
              <w:bidi w:val="0"/>
              <w:spacing w:line="240" w:lineRule="auto"/>
              <w:rPr>
                <w:rFonts w:hint="eastAsia"/>
                <w:color w:val="auto"/>
                <w:highlight w:val="none"/>
                <w:lang w:eastAsia="zh-CN"/>
              </w:rPr>
            </w:pPr>
            <w:r>
              <w:rPr>
                <w:rFonts w:hint="eastAsia"/>
                <w:color w:val="auto"/>
                <w:highlight w:val="none"/>
              </w:rPr>
              <w:t>（</w:t>
            </w:r>
            <w:r>
              <w:rPr>
                <w:color w:val="auto"/>
                <w:highlight w:val="none"/>
              </w:rPr>
              <w:t>2</w:t>
            </w:r>
            <w:r>
              <w:rPr>
                <w:rFonts w:hint="eastAsia"/>
                <w:color w:val="auto"/>
                <w:highlight w:val="none"/>
              </w:rPr>
              <w:t>）退换货服务</w:t>
            </w:r>
            <w:r>
              <w:rPr>
                <w:rFonts w:hint="eastAsia"/>
                <w:color w:val="auto"/>
                <w:highlight w:val="none"/>
                <w:lang w:eastAsia="zh-CN"/>
              </w:rPr>
              <w:t>：</w:t>
            </w:r>
          </w:p>
          <w:p>
            <w:pPr>
              <w:keepNext w:val="0"/>
              <w:keepLines w:val="0"/>
              <w:pageBreakBefore w:val="0"/>
              <w:kinsoku/>
              <w:wordWrap/>
              <w:overflowPunct/>
              <w:topLinePunct w:val="0"/>
              <w:autoSpaceDE/>
              <w:autoSpaceDN/>
              <w:bidi w:val="0"/>
              <w:spacing w:line="240" w:lineRule="auto"/>
              <w:rPr>
                <w:rFonts w:hint="eastAsia"/>
                <w:color w:val="auto"/>
                <w:highlight w:val="none"/>
              </w:rPr>
            </w:pPr>
            <w:r>
              <w:rPr>
                <w:color w:val="auto"/>
                <w:highlight w:val="none"/>
              </w:rPr>
              <w:t>①</w:t>
            </w:r>
            <w:r>
              <w:rPr>
                <w:rFonts w:hint="eastAsia"/>
                <w:color w:val="auto"/>
                <w:highlight w:val="none"/>
              </w:rPr>
              <w:t>无条件退换货情形</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货物交付后7日内，发现货物存在严重质量问题、与合同约定规格/型号/数量不符、错发漏发、包装严重破损且货物受损的，可无条件申请退货或换货，供</w:t>
            </w:r>
            <w:r>
              <w:rPr>
                <w:rFonts w:hint="eastAsia"/>
                <w:color w:val="auto"/>
                <w:highlight w:val="none"/>
                <w:lang w:eastAsia="zh-CN"/>
              </w:rPr>
              <w:t>货</w:t>
            </w:r>
            <w:r>
              <w:rPr>
                <w:rFonts w:hint="eastAsia"/>
                <w:color w:val="auto"/>
                <w:highlight w:val="none"/>
              </w:rPr>
              <w:t>方需在收到退换货申请后24小时内响应，5个工作日内完成上门取货、重新发货或退款流程，往返物流费用由供</w:t>
            </w:r>
            <w:r>
              <w:rPr>
                <w:rFonts w:hint="eastAsia"/>
                <w:color w:val="auto"/>
                <w:highlight w:val="none"/>
                <w:lang w:eastAsia="zh-CN"/>
              </w:rPr>
              <w:t>货</w:t>
            </w:r>
            <w:r>
              <w:rPr>
                <w:rFonts w:hint="eastAsia"/>
                <w:color w:val="auto"/>
                <w:highlight w:val="none"/>
              </w:rPr>
              <w:t>方承担。</w:t>
            </w:r>
          </w:p>
          <w:p>
            <w:pPr>
              <w:keepNext w:val="0"/>
              <w:keepLines w:val="0"/>
              <w:pageBreakBefore w:val="0"/>
              <w:kinsoku/>
              <w:wordWrap/>
              <w:overflowPunct/>
              <w:topLinePunct w:val="0"/>
              <w:autoSpaceDE/>
              <w:autoSpaceDN/>
              <w:bidi w:val="0"/>
              <w:spacing w:line="240" w:lineRule="auto"/>
              <w:rPr>
                <w:rFonts w:hint="eastAsia"/>
                <w:color w:val="auto"/>
                <w:highlight w:val="none"/>
              </w:rPr>
            </w:pPr>
            <w:r>
              <w:rPr>
                <w:color w:val="auto"/>
                <w:highlight w:val="none"/>
              </w:rPr>
              <w:t>②</w:t>
            </w:r>
            <w:r>
              <w:rPr>
                <w:rFonts w:hint="eastAsia"/>
                <w:color w:val="auto"/>
                <w:highlight w:val="none"/>
              </w:rPr>
              <w:t>保修期内退换货</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保修期内，货物出现质量问题，经</w:t>
            </w:r>
            <w:r>
              <w:rPr>
                <w:rFonts w:hint="eastAsia"/>
                <w:color w:val="auto"/>
                <w:highlight w:val="none"/>
                <w:lang w:eastAsia="zh-CN"/>
              </w:rPr>
              <w:t>过</w:t>
            </w:r>
            <w:r>
              <w:rPr>
                <w:rFonts w:hint="eastAsia"/>
                <w:color w:val="auto"/>
                <w:highlight w:val="none"/>
              </w:rPr>
              <w:t>维修仍无法正常使用，或无法修复的，</w:t>
            </w:r>
            <w:r>
              <w:rPr>
                <w:rFonts w:hint="eastAsia"/>
                <w:color w:val="auto"/>
                <w:highlight w:val="none"/>
                <w:lang w:eastAsia="zh-CN"/>
              </w:rPr>
              <w:t>采购人</w:t>
            </w:r>
            <w:r>
              <w:rPr>
                <w:rFonts w:hint="eastAsia"/>
                <w:color w:val="auto"/>
                <w:highlight w:val="none"/>
              </w:rPr>
              <w:t>有权要求换货或退货，供方需无条件配合，换货需提供全新同规格、同型号货物，相关物流、拆装费用由供</w:t>
            </w:r>
            <w:r>
              <w:rPr>
                <w:rFonts w:hint="eastAsia"/>
                <w:color w:val="auto"/>
                <w:highlight w:val="none"/>
                <w:lang w:eastAsia="zh-CN"/>
              </w:rPr>
              <w:t>货</w:t>
            </w:r>
            <w:r>
              <w:rPr>
                <w:rFonts w:hint="eastAsia"/>
                <w:color w:val="auto"/>
                <w:highlight w:val="none"/>
              </w:rPr>
              <w:t>方承担。</w:t>
            </w:r>
          </w:p>
          <w:p>
            <w:pPr>
              <w:keepNext w:val="0"/>
              <w:keepLines w:val="0"/>
              <w:pageBreakBefore w:val="0"/>
              <w:numPr>
                <w:ilvl w:val="0"/>
                <w:numId w:val="9"/>
              </w:numPr>
              <w:kinsoku/>
              <w:wordWrap/>
              <w:overflowPunct/>
              <w:topLinePunct w:val="0"/>
              <w:autoSpaceDE/>
              <w:autoSpaceDN/>
              <w:bidi w:val="0"/>
              <w:spacing w:line="240" w:lineRule="auto"/>
              <w:rPr>
                <w:rFonts w:hint="eastAsia" w:ascii="宋体" w:hAnsi="宋体" w:cs="宋体"/>
                <w:color w:val="auto"/>
                <w:szCs w:val="21"/>
                <w:highlight w:val="none"/>
                <w:lang w:eastAsia="zh-CN"/>
              </w:rPr>
            </w:pPr>
            <w:r>
              <w:rPr>
                <w:rFonts w:hint="eastAsia" w:ascii="宋体" w:hAnsi="宋体" w:cs="宋体"/>
                <w:color w:val="auto"/>
                <w:szCs w:val="21"/>
                <w:highlight w:val="none"/>
              </w:rPr>
              <w:t>故障响应时间：接到采购人处理问题通知后，维修技术人员须在</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分钟内响应，提供电话指导；若电话指导无法解决，须在</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小时内</w:t>
            </w:r>
            <w:r>
              <w:rPr>
                <w:rFonts w:hint="eastAsia" w:ascii="宋体" w:hAnsi="宋体" w:cs="宋体"/>
                <w:color w:val="auto"/>
                <w:szCs w:val="21"/>
                <w:highlight w:val="none"/>
                <w:lang w:val="en-US" w:eastAsia="zh-CN"/>
              </w:rPr>
              <w:t>到</w:t>
            </w:r>
            <w:r>
              <w:rPr>
                <w:rFonts w:hint="eastAsia" w:ascii="宋体" w:hAnsi="宋体" w:cs="宋体"/>
                <w:color w:val="auto"/>
                <w:szCs w:val="21"/>
                <w:highlight w:val="none"/>
              </w:rPr>
              <w:t>达现场提供维修服务</w:t>
            </w:r>
            <w:r>
              <w:rPr>
                <w:rFonts w:hint="eastAsia" w:ascii="宋体" w:hAnsi="宋体" w:cs="宋体"/>
                <w:color w:val="auto"/>
                <w:szCs w:val="21"/>
                <w:highlight w:val="none"/>
                <w:lang w:eastAsia="zh-CN"/>
              </w:rPr>
              <w:t>，</w:t>
            </w:r>
            <w:r>
              <w:rPr>
                <w:rFonts w:hint="eastAsia" w:ascii="宋体" w:hAnsi="宋体" w:cs="宋体"/>
                <w:color w:val="auto"/>
                <w:szCs w:val="21"/>
                <w:highlight w:val="none"/>
              </w:rPr>
              <w:t>以保证采购单位的正常使用，所发生的一切费用由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负责</w:t>
            </w:r>
            <w:r>
              <w:rPr>
                <w:rFonts w:hint="eastAsia" w:ascii="宋体" w:hAnsi="宋体" w:cs="宋体"/>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spacing w:line="240" w:lineRule="auto"/>
              <w:rPr>
                <w:rFonts w:hint="eastAsia" w:ascii="宋体" w:hAnsi="宋体"/>
                <w:color w:val="auto"/>
                <w:sz w:val="21"/>
                <w:szCs w:val="21"/>
                <w:highlight w:val="none"/>
              </w:rPr>
            </w:pPr>
            <w:r>
              <w:rPr>
                <w:rFonts w:hint="eastAsia"/>
                <w:color w:val="auto"/>
                <w:highlight w:val="none"/>
              </w:rPr>
              <w:t xml:space="preserve"> </w:t>
            </w:r>
            <w:r>
              <w:rPr>
                <w:rFonts w:hint="eastAsia" w:ascii="宋体" w:hAnsi="宋体"/>
                <w:color w:val="auto"/>
                <w:sz w:val="21"/>
                <w:szCs w:val="21"/>
                <w:highlight w:val="none"/>
              </w:rPr>
              <w:t>□六、其他要求：</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lang w:val="en-US" w:eastAsia="zh-CN"/>
              </w:rPr>
              <w:t>1</w:t>
            </w:r>
            <w:r>
              <w:rPr>
                <w:rFonts w:hint="eastAsia"/>
                <w:color w:val="auto"/>
                <w:highlight w:val="none"/>
              </w:rPr>
              <w:t>、报价必须含以下部分，包括：</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（1）货物的价格；</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w:t>（2）必要的保险费用和各项税金；</w:t>
            </w:r>
          </w:p>
          <w:p>
            <w:pPr>
              <w:keepNext w:val="0"/>
              <w:keepLines w:val="0"/>
              <w:pageBreakBefore w:val="0"/>
              <w:tabs>
                <w:tab w:val="left" w:pos="3490"/>
                <w:tab w:val="left" w:pos="3670"/>
                <w:tab w:val="left" w:pos="3895"/>
              </w:tabs>
              <w:kinsoku/>
              <w:wordWrap/>
              <w:overflowPunct/>
              <w:topLinePunct w:val="0"/>
              <w:autoSpaceDE/>
              <w:autoSpaceDN/>
              <w:bidi w:val="0"/>
              <w:spacing w:line="240" w:lineRule="auto"/>
              <w:rPr>
                <w:rFonts w:hint="eastAsia" w:eastAsia="宋体"/>
                <w:color w:val="auto"/>
                <w:highlight w:val="none"/>
                <w:lang w:eastAsia="zh-CN"/>
              </w:rPr>
            </w:pPr>
            <w:r>
              <w:rPr>
                <w:rFonts w:hint="eastAsia"/>
                <w:color w:val="auto"/>
                <w:highlight w:val="none"/>
              </w:rPr>
              <w:t>（3）其他（如运输、装卸、安装、调试、培训、技术支持、售后服务、</w:t>
            </w:r>
            <w:r>
              <w:rPr>
                <w:rFonts w:hint="eastAsia" w:ascii="宋体" w:hAnsi="宋体" w:cs="宋体"/>
                <w:color w:val="auto"/>
                <w:szCs w:val="21"/>
                <w:highlight w:val="none"/>
              </w:rPr>
              <w:t>备品备件、</w:t>
            </w:r>
            <w:r>
              <w:rPr>
                <w:rFonts w:hint="eastAsia"/>
                <w:color w:val="auto"/>
                <w:highlight w:val="none"/>
              </w:rPr>
              <w:t>更新升级</w:t>
            </w:r>
            <w:r>
              <w:rPr>
                <w:rFonts w:hint="eastAsia"/>
                <w:color w:val="auto"/>
                <w:highlight w:val="none"/>
                <w:lang w:eastAsia="zh-CN"/>
              </w:rPr>
              <w:t>、</w:t>
            </w:r>
            <w:r>
              <w:rPr>
                <w:rFonts w:hint="eastAsia" w:ascii="宋体" w:hAnsi="宋体" w:cs="宋体"/>
                <w:color w:val="auto"/>
                <w:szCs w:val="21"/>
                <w:highlight w:val="none"/>
              </w:rPr>
              <w:t>验收等完成本项目所需的一切费用。采购人不再支付任何额外费用。</w:t>
            </w:r>
            <w:r>
              <w:rPr>
                <w:rFonts w:hint="eastAsia" w:ascii="宋体" w:hAnsi="宋体" w:cs="宋体"/>
                <w:color w:val="auto"/>
                <w:szCs w:val="21"/>
                <w:highlight w:val="none"/>
                <w:lang w:eastAsia="zh-CN"/>
              </w:rPr>
              <w:t>）</w:t>
            </w:r>
          </w:p>
          <w:p>
            <w:pPr>
              <w:keepNext w:val="0"/>
              <w:keepLines w:val="0"/>
              <w:pageBreakBefore w:val="0"/>
              <w:kinsoku/>
              <w:wordWrap/>
              <w:overflowPunct/>
              <w:topLinePunct w:val="0"/>
              <w:autoSpaceDE/>
              <w:autoSpaceDN/>
              <w:bidi w:val="0"/>
              <w:spacing w:line="240" w:lineRule="auto"/>
              <w:rPr>
                <w:rFonts w:hint="eastAsia"/>
                <w:color w:val="auto"/>
                <w:highlight w:val="none"/>
              </w:rPr>
            </w:pP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70485</wp:posOffset>
                      </wp:positionV>
                      <wp:extent cx="70485" cy="106680"/>
                      <wp:effectExtent l="4445" t="4445" r="16510" b="10795"/>
                      <wp:wrapNone/>
                      <wp:docPr id="7" name="文本框 7"/>
                      <wp:cNvGraphicFramePr/>
                      <a:graphic xmlns:a="http://schemas.openxmlformats.org/drawingml/2006/main">
                        <a:graphicData uri="http://schemas.microsoft.com/office/word/2010/wordprocessingShape">
                          <wps:wsp>
                            <wps:cNvSpPr txBox="1"/>
                            <wps:spPr>
                              <a:xfrm>
                                <a:off x="0" y="0"/>
                                <a:ext cx="70485" cy="106680"/>
                              </a:xfrm>
                              <a:prstGeom prst="rect">
                                <a:avLst/>
                              </a:prstGeom>
                              <a:noFill/>
                              <a:ln w="9525" cap="flat" cmpd="sng">
                                <a:solidFill>
                                  <a:srgbClr val="000000"/>
                                </a:solidFill>
                                <a:prstDash val="solid"/>
                                <a:miter/>
                                <a:headEnd type="none" w="med" len="med"/>
                                <a:tailEnd type="none" w="med" len="med"/>
                              </a:ln>
                            </wps:spPr>
                            <wps:txbx>
                              <w:txbxContent>
                                <w:p>
                                  <w:r>
                                    <w:rPr>
                                      <w:lang w:val="zh-CN"/>
                                    </w:rPr>
                                    <w:t>[键入文档的引述或关注点的摘要。您可将文本框放置在文档中的任何位置。可使用“文本框工具”选项卡更改重要引述文本框的格式。]</w:t>
                                  </w:r>
                                </w:p>
                                <w:p/>
                                <w:p/>
                              </w:txbxContent>
                            </wps:txbx>
                            <wps:bodyPr upright="1"/>
                          </wps:wsp>
                        </a:graphicData>
                      </a:graphic>
                    </wp:anchor>
                  </w:drawing>
                </mc:Choice>
                <mc:Fallback>
                  <w:pict>
                    <v:shape id="_x0000_s1026" o:spid="_x0000_s1026" o:spt="202" type="#_x0000_t202" style="position:absolute;left:0pt;margin-left:3.95pt;margin-top:5.55pt;height:8.4pt;width:5.55pt;z-index:251660288;mso-width-relative:page;mso-height-relative:page;" filled="f" stroked="t" coordsize="21600,21600" o:gfxdata="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jARxtIAAAAGAQAADwAAAAAAAAABACAAAAAiAAAAZHJzL2Rvd25y&#10;ZXYueG1sUEsBAhQAFAAAAAgAh07iQCMfpkEEAgAACwQAAA4AAAAAAAAAAQAgAAAAIQEAAGRycy9l&#10;Mm9Eb2MueG1sUEsFBgAAAAAGAAYAWQEAAJcFAAAAAA==&#10;">
                      <v:fill on="f" focussize="0,0"/>
                      <v:stroke color="#000000" joinstyle="miter"/>
                      <v:imagedata o:title=""/>
                      <o:lock v:ext="edit" aspectratio="f"/>
                      <v:textbox>
                        <w:txbxContent>
                          <w:p>
                            <w:r>
                              <w:rPr>
                                <w:lang w:val="zh-CN"/>
                              </w:rPr>
                              <w:t>[键入文档的引述或关注点的摘要。您可将文本框放置在文档中的任何位置。可使用“文本框工具”选项卡更改重要引述文本框的格式。]</w:t>
                            </w:r>
                          </w:p>
                          <w:p/>
                          <w:p/>
                        </w:txbxContent>
                      </v:textbox>
                    </v:shape>
                  </w:pict>
                </mc:Fallback>
              </mc:AlternateContent>
            </w:r>
            <w:r>
              <w:rPr>
                <w:rFonts w:hint="eastAsia"/>
                <w:color w:val="auto"/>
                <w:highlight w:val="none"/>
              </w:rPr>
              <w:t>▲2、付款方式：</w:t>
            </w:r>
          </w:p>
          <w:p>
            <w:pPr>
              <w:keepNext w:val="0"/>
              <w:keepLines w:val="0"/>
              <w:pageBreakBefore w:val="0"/>
              <w:kinsoku/>
              <w:wordWrap/>
              <w:overflowPunct/>
              <w:topLinePunct w:val="0"/>
              <w:autoSpaceDE/>
              <w:autoSpaceDN/>
              <w:bidi w:val="0"/>
              <w:spacing w:line="240" w:lineRule="auto"/>
              <w:rPr>
                <w:rFonts w:hint="eastAsia" w:ascii="宋体" w:hAnsi="宋体" w:cs="宋体"/>
                <w:color w:val="auto"/>
                <w:sz w:val="21"/>
                <w:szCs w:val="21"/>
                <w:highlight w:val="none"/>
              </w:rPr>
            </w:pPr>
            <w:r>
              <w:rPr>
                <w:rFonts w:hint="eastAsia"/>
                <w:color w:val="auto"/>
                <w:highlight w:val="none"/>
                <w:lang w:eastAsia="zh-CN"/>
              </w:rPr>
              <w:t>☑</w:t>
            </w:r>
            <w:r>
              <w:rPr>
                <w:rFonts w:hint="eastAsia" w:ascii="Times New Roman" w:hAnsi="Times New Roman" w:eastAsia="宋体" w:cs="Times New Roman"/>
                <w:color w:val="auto"/>
                <w:highlight w:val="none"/>
              </w:rPr>
              <w:t>本项目无预付款，供</w:t>
            </w:r>
            <w:r>
              <w:rPr>
                <w:rFonts w:hint="eastAsia" w:ascii="Times New Roman" w:hAnsi="Times New Roman" w:eastAsia="宋体" w:cs="Times New Roman"/>
                <w:color w:val="auto"/>
                <w:highlight w:val="none"/>
                <w:lang w:eastAsia="zh-CN"/>
              </w:rPr>
              <w:t>货方</w:t>
            </w:r>
            <w:r>
              <w:rPr>
                <w:rFonts w:hint="eastAsia" w:ascii="Times New Roman" w:hAnsi="Times New Roman" w:eastAsia="宋体" w:cs="Times New Roman"/>
                <w:color w:val="auto"/>
                <w:highlight w:val="none"/>
              </w:rPr>
              <w:t>所提交的货物经采购人书面验收合格后，</w:t>
            </w:r>
            <w:r>
              <w:rPr>
                <w:rFonts w:hint="eastAsia" w:ascii="Times New Roman" w:hAnsi="Times New Roman" w:eastAsia="宋体" w:cs="Times New Roman"/>
                <w:color w:val="auto"/>
                <w:highlight w:val="none"/>
                <w:lang w:eastAsia="zh-CN"/>
              </w:rPr>
              <w:t>采购方向上级财政部门申请支付货物款，待款项下拨后</w:t>
            </w:r>
            <w:r>
              <w:rPr>
                <w:rFonts w:hint="eastAsia" w:ascii="Times New Roman" w:hAnsi="Times New Roman" w:eastAsia="宋体" w:cs="Times New Roman"/>
                <w:color w:val="auto"/>
                <w:highlight w:val="none"/>
                <w:lang w:val="en-US" w:eastAsia="zh-CN"/>
              </w:rPr>
              <w:t>5个工作日内</w:t>
            </w:r>
            <w:r>
              <w:rPr>
                <w:rFonts w:hint="eastAsia" w:ascii="Times New Roman" w:hAnsi="Times New Roman" w:eastAsia="宋体" w:cs="Times New Roman"/>
                <w:color w:val="auto"/>
                <w:highlight w:val="none"/>
              </w:rPr>
              <w:t>一次性支付合同款。采购人付款前，供应商应开具相应额度的合法有效发票。</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5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240" w:lineRule="auto"/>
              <w:jc w:val="center"/>
              <w:rPr>
                <w:rFonts w:hint="eastAsia" w:ascii="宋体" w:hAnsi="宋体"/>
                <w:color w:val="auto"/>
                <w:sz w:val="21"/>
                <w:szCs w:val="21"/>
                <w:highlight w:val="none"/>
              </w:rPr>
            </w:pPr>
            <w:r>
              <w:rPr>
                <w:rFonts w:hint="eastAsia" w:ascii="宋体" w:hAnsi="宋体"/>
                <w:color w:val="auto"/>
                <w:sz w:val="21"/>
                <w:szCs w:val="21"/>
                <w:highlight w:val="none"/>
              </w:rPr>
              <w:t>其他说明</w:t>
            </w:r>
          </w:p>
        </w:tc>
        <w:tc>
          <w:tcPr>
            <w:tcW w:w="8722" w:type="dxa"/>
            <w:gridSpan w:val="6"/>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shd w:val="clear" w:color="auto" w:fill="FFFFFF"/>
              <w:kinsoku/>
              <w:wordWrap/>
              <w:overflowPunct/>
              <w:topLinePunct w:val="0"/>
              <w:autoSpaceDE/>
              <w:autoSpaceDN/>
              <w:bidi w:val="0"/>
              <w:spacing w:line="240" w:lineRule="auto"/>
              <w:rPr>
                <w:rFonts w:hint="eastAsia" w:ascii="宋体" w:hAnsi="宋体"/>
                <w:color w:val="auto"/>
                <w:sz w:val="21"/>
                <w:szCs w:val="21"/>
                <w:highlight w:val="none"/>
              </w:rPr>
            </w:pPr>
            <w:r>
              <w:rPr>
                <w:rFonts w:hint="eastAsia" w:ascii="宋体" w:hAnsi="宋体"/>
                <w:color w:val="auto"/>
                <w:sz w:val="21"/>
                <w:szCs w:val="21"/>
                <w:highlight w:val="none"/>
              </w:rPr>
              <w:t>一、进口产品说明（根据项目实际情况选择）</w:t>
            </w:r>
          </w:p>
          <w:p>
            <w:pPr>
              <w:keepNext w:val="0"/>
              <w:keepLines w:val="0"/>
              <w:pageBreakBefore w:val="0"/>
              <w:tabs>
                <w:tab w:val="left" w:pos="180"/>
                <w:tab w:val="left" w:pos="1620"/>
              </w:tabs>
              <w:kinsoku/>
              <w:wordWrap/>
              <w:overflowPunct/>
              <w:topLinePunct w:val="0"/>
              <w:autoSpaceDE/>
              <w:autoSpaceDN/>
              <w:bidi w:val="0"/>
              <w:spacing w:line="240" w:lineRule="auto"/>
              <w:ind w:firstLine="420"/>
              <w:rPr>
                <w:rFonts w:hint="eastAsia" w:ascii="宋体" w:hAnsi="宋体"/>
                <w:color w:val="auto"/>
                <w:sz w:val="21"/>
                <w:szCs w:val="21"/>
                <w:highlight w:val="none"/>
              </w:rPr>
            </w:pPr>
            <w:r>
              <w:rPr>
                <w:rFonts w:hint="eastAsia" w:ascii="宋体" w:hAnsi="宋体"/>
                <w:color w:val="auto"/>
                <w:sz w:val="21"/>
                <w:szCs w:val="21"/>
                <w:highlight w:val="none"/>
                <w:lang w:eastAsia="zh-CN"/>
              </w:rPr>
              <w:t>☑</w:t>
            </w:r>
            <w:r>
              <w:rPr>
                <w:rFonts w:hint="eastAsia" w:ascii="宋体" w:hAnsi="宋体"/>
                <w:color w:val="auto"/>
                <w:sz w:val="21"/>
                <w:szCs w:val="21"/>
                <w:highlight w:val="none"/>
              </w:rPr>
              <w:t>本分标货物不接受进口产品（即通过中国海关报关验放进入中国境内且产自关境外的产品）参与响应，</w:t>
            </w:r>
            <w:r>
              <w:rPr>
                <w:rFonts w:hint="eastAsia" w:ascii="宋体" w:hAnsi="宋体"/>
                <w:b/>
                <w:color w:val="auto"/>
                <w:sz w:val="21"/>
                <w:szCs w:val="21"/>
                <w:highlight w:val="none"/>
              </w:rPr>
              <w:t>如有进口产品参与竞标的，其响应文件作无效处理</w:t>
            </w:r>
            <w:r>
              <w:rPr>
                <w:rFonts w:hint="eastAsia" w:ascii="宋体" w:hAnsi="宋体"/>
                <w:color w:val="auto"/>
                <w:sz w:val="21"/>
                <w:szCs w:val="21"/>
                <w:highlight w:val="none"/>
              </w:rPr>
              <w:t>。</w:t>
            </w:r>
          </w:p>
          <w:p>
            <w:pPr>
              <w:pStyle w:val="18"/>
              <w:numPr>
                <w:ilvl w:val="0"/>
                <w:numId w:val="0"/>
              </w:numPr>
              <w:spacing w:line="360" w:lineRule="auto"/>
              <w:ind w:leftChars="0"/>
              <w:rPr>
                <w:rFonts w:hint="eastAsia" w:ascii="宋体" w:hAnsi="宋体" w:eastAsia="宋体"/>
                <w:b w:val="0"/>
                <w:bCs w:val="0"/>
                <w:color w:val="auto"/>
                <w:highlight w:val="none"/>
                <w:lang w:val="en-US" w:eastAsia="zh-CN"/>
              </w:rPr>
            </w:pPr>
            <w:r>
              <w:rPr>
                <w:rFonts w:hint="eastAsia" w:ascii="宋体" w:hAnsi="宋体"/>
                <w:b/>
                <w:color w:val="auto"/>
                <w:sz w:val="21"/>
                <w:szCs w:val="21"/>
                <w:highlight w:val="none"/>
              </w:rPr>
              <w:t>二、</w:t>
            </w:r>
            <w:r>
              <w:rPr>
                <w:rFonts w:hint="eastAsia" w:ascii="宋体" w:hAnsi="宋体" w:eastAsia="宋体"/>
                <w:b w:val="0"/>
                <w:bCs w:val="0"/>
                <w:color w:val="auto"/>
                <w:highlight w:val="none"/>
                <w:lang w:val="en-US" w:eastAsia="zh-CN"/>
              </w:rPr>
              <w:t>其他</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rPr>
                <w:color w:val="auto"/>
                <w:highlight w:val="none"/>
                <w:lang w:val="en-US" w:eastAsia="zh-CN"/>
              </w:rPr>
            </w:pPr>
            <w:r>
              <w:rPr>
                <w:rFonts w:hint="eastAsia"/>
                <w:color w:val="auto"/>
                <w:highlight w:val="none"/>
                <w:lang w:val="en-US" w:eastAsia="zh-CN"/>
              </w:rPr>
              <w:t>1、</w:t>
            </w:r>
            <w:r>
              <w:rPr>
                <w:color w:val="auto"/>
                <w:highlight w:val="none"/>
                <w:lang w:val="en-US" w:eastAsia="zh-CN"/>
              </w:rPr>
              <w:t>严格执行《财政部 发展改革委 生态环境部 市场监管总局关于调整优化节能产品、环境标志产品政府采购执行机制的通知》（财库〔2019〕9号）及《关于印发节能产品政府采购品目清单的通知》（财库〔2019〕19号），本次</w:t>
            </w:r>
            <w:r>
              <w:rPr>
                <w:rFonts w:hint="eastAsia"/>
                <w:color w:val="auto"/>
                <w:highlight w:val="none"/>
                <w:lang w:val="en-US" w:eastAsia="zh-CN"/>
              </w:rPr>
              <w:t>竞标</w:t>
            </w:r>
            <w:r>
              <w:rPr>
                <w:color w:val="auto"/>
                <w:highlight w:val="none"/>
                <w:lang w:val="en-US" w:eastAsia="zh-CN"/>
              </w:rPr>
              <w:t>产品类别属于政府强制采购产品类别的(在清单内以★项标注)，须按照《市场监管总局关于发布参与实施政府采购节能产品、环境标志产品认证机构名录的公告》（2019年第16号）要求提供依据国家确定的认证机构出具的、处于有效期之内的节能产品认证证书原件扫描件并加盖</w:t>
            </w:r>
            <w:r>
              <w:rPr>
                <w:rFonts w:hint="eastAsia"/>
                <w:color w:val="auto"/>
                <w:highlight w:val="none"/>
                <w:lang w:val="en-US" w:eastAsia="zh-CN"/>
              </w:rPr>
              <w:t>竞标</w:t>
            </w:r>
            <w:r>
              <w:rPr>
                <w:color w:val="auto"/>
                <w:highlight w:val="none"/>
                <w:lang w:val="en-US" w:eastAsia="zh-CN"/>
              </w:rPr>
              <w:t>人公章，否则</w:t>
            </w:r>
            <w:r>
              <w:rPr>
                <w:rFonts w:hint="eastAsia"/>
                <w:color w:val="auto"/>
                <w:highlight w:val="none"/>
                <w:lang w:val="en-US" w:eastAsia="zh-CN"/>
              </w:rPr>
              <w:t>竞标</w:t>
            </w:r>
            <w:r>
              <w:rPr>
                <w:color w:val="auto"/>
                <w:highlight w:val="none"/>
                <w:lang w:val="en-US" w:eastAsia="zh-CN"/>
              </w:rPr>
              <w:t>无效。请投标人认真核定本次采购货物内容，若属于国家实施强制性产品认证目录范围内的，须获得国家认可有效期内强制性产品认证证书（必要时提供证明材料）</w:t>
            </w:r>
            <w:r>
              <w:rPr>
                <w:rFonts w:hint="eastAsia"/>
                <w:color w:val="auto"/>
                <w:highlight w:val="none"/>
                <w:lang w:val="en-US" w:eastAsia="zh-CN"/>
              </w:rPr>
              <w:t>。</w:t>
            </w:r>
          </w:p>
          <w:p>
            <w:pPr>
              <w:keepNext w:val="0"/>
              <w:keepLines w:val="0"/>
              <w:pageBreakBefore w:val="0"/>
              <w:tabs>
                <w:tab w:val="left" w:pos="180"/>
                <w:tab w:val="left" w:pos="1620"/>
              </w:tabs>
              <w:kinsoku/>
              <w:wordWrap/>
              <w:overflowPunct/>
              <w:topLinePunct w:val="0"/>
              <w:autoSpaceDE/>
              <w:autoSpaceDN/>
              <w:bidi w:val="0"/>
              <w:spacing w:line="240" w:lineRule="auto"/>
              <w:ind w:firstLine="420"/>
              <w:rPr>
                <w:rFonts w:hint="eastAsia" w:ascii="宋体" w:hAnsi="宋体"/>
                <w:color w:val="auto"/>
                <w:sz w:val="21"/>
                <w:szCs w:val="21"/>
                <w:highlight w:val="none"/>
              </w:rPr>
            </w:pPr>
            <w:r>
              <w:rPr>
                <w:b w:val="0"/>
                <w:bCs w:val="0"/>
                <w:color w:val="auto"/>
                <w:highlight w:val="none"/>
                <w:lang w:val="en-US" w:eastAsia="zh-CN"/>
              </w:rPr>
              <w:t>2、本项目采购标的对应的中小企业划分标准所属行业：</w:t>
            </w:r>
            <w:r>
              <w:rPr>
                <w:rFonts w:hint="eastAsia"/>
                <w:color w:val="auto"/>
                <w:highlight w:val="none"/>
                <w:lang w:eastAsia="zh-CN"/>
              </w:rPr>
              <w:t>工业</w:t>
            </w:r>
          </w:p>
          <w:p>
            <w:pPr>
              <w:keepNext w:val="0"/>
              <w:keepLines w:val="0"/>
              <w:pageBreakBefore w:val="0"/>
              <w:tabs>
                <w:tab w:val="left" w:pos="180"/>
                <w:tab w:val="left" w:pos="1620"/>
              </w:tabs>
              <w:kinsoku/>
              <w:wordWrap/>
              <w:overflowPunct/>
              <w:topLinePunct w:val="0"/>
              <w:autoSpaceDE/>
              <w:autoSpaceDN/>
              <w:bidi w:val="0"/>
              <w:spacing w:line="240" w:lineRule="auto"/>
              <w:rPr>
                <w:rFonts w:hint="eastAsia" w:ascii="宋体" w:hAnsi="宋体"/>
                <w:color w:val="auto"/>
                <w:sz w:val="21"/>
                <w:szCs w:val="21"/>
                <w:highlight w:val="none"/>
              </w:rPr>
            </w:pPr>
            <w:r>
              <w:rPr>
                <w:rFonts w:hint="eastAsia" w:ascii="宋体" w:hAnsi="宋体"/>
                <w:color w:val="auto"/>
                <w:sz w:val="21"/>
                <w:szCs w:val="21"/>
                <w:highlight w:val="none"/>
              </w:rPr>
              <w:t>三、核心产品</w:t>
            </w:r>
          </w:p>
          <w:p>
            <w:pPr>
              <w:keepNext w:val="0"/>
              <w:keepLines w:val="0"/>
              <w:pageBreakBefore w:val="0"/>
              <w:widowControl/>
              <w:shd w:val="clear" w:color="auto" w:fill="FFFFFF"/>
              <w:kinsoku/>
              <w:wordWrap/>
              <w:overflowPunct/>
              <w:topLinePunct w:val="0"/>
              <w:autoSpaceDE/>
              <w:autoSpaceDN/>
              <w:bidi w:val="0"/>
              <w:spacing w:line="240" w:lineRule="auto"/>
              <w:rPr>
                <w:rFonts w:hint="eastAsia" w:ascii="宋体" w:hAnsi="宋体"/>
                <w:color w:val="auto"/>
                <w:sz w:val="21"/>
                <w:szCs w:val="21"/>
                <w:highlight w:val="none"/>
              </w:rPr>
            </w:pPr>
            <w:r>
              <w:rPr>
                <w:rFonts w:hint="eastAsia"/>
                <w:color w:val="auto"/>
                <w:highlight w:val="none"/>
              </w:rPr>
              <w:t>“采购清单及技术参数”表中的核心产品为</w:t>
            </w:r>
            <w:r>
              <w:rPr>
                <w:rFonts w:hint="eastAsia"/>
                <w:color w:val="auto"/>
                <w:highlight w:val="none"/>
                <w:lang w:eastAsia="zh-CN"/>
              </w:rPr>
              <w:t>序号第</w:t>
            </w:r>
            <w:r>
              <w:rPr>
                <w:rFonts w:hint="eastAsia"/>
                <w:color w:val="auto"/>
                <w:highlight w:val="none"/>
                <w:lang w:val="en-US" w:eastAsia="zh-CN"/>
              </w:rPr>
              <w:t>1项产品：</w:t>
            </w:r>
            <w:r>
              <w:rPr>
                <w:rFonts w:hint="eastAsia" w:ascii="宋体" w:hAnsi="宋体"/>
                <w:color w:val="auto"/>
                <w:sz w:val="21"/>
                <w:szCs w:val="21"/>
                <w:highlight w:val="none"/>
              </w:rPr>
              <w:t>主干道太阳能壁灯</w:t>
            </w:r>
            <w:r>
              <w:rPr>
                <w:rFonts w:hint="eastAsia" w:ascii="宋体" w:hAnsi="宋体"/>
                <w:color w:val="auto"/>
                <w:sz w:val="21"/>
                <w:szCs w:val="21"/>
                <w:highlight w:val="none"/>
                <w:lang w:eastAsia="zh-CN"/>
              </w:rPr>
              <w:t>。</w:t>
            </w:r>
          </w:p>
        </w:tc>
      </w:tr>
    </w:tbl>
    <w:p>
      <w:pPr>
        <w:spacing w:line="428" w:lineRule="exact"/>
        <w:rPr>
          <w:rFonts w:hint="eastAsia" w:ascii="Arial Unicode MS" w:hAnsi="Arial Unicode MS" w:eastAsia="Arial Unicode MS" w:cs="Arial Unicode MS"/>
          <w:color w:val="auto"/>
          <w:sz w:val="17"/>
          <w:szCs w:val="17"/>
          <w:highlight w:val="none"/>
        </w:rPr>
      </w:pPr>
      <w:r>
        <w:rPr>
          <w:rFonts w:ascii="宋体" w:hAnsi="宋体"/>
          <w:color w:val="auto"/>
          <w:highlight w:val="none"/>
        </w:rPr>
        <w:br w:type="page"/>
      </w: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pPr>
        <w:spacing w:line="528" w:lineRule="exact"/>
        <w:ind w:left="1871"/>
        <w:rPr>
          <w:rFonts w:hint="eastAsia" w:ascii="Arial Unicode MS" w:hAnsi="Arial Unicode MS" w:eastAsia="Arial Unicode MS" w:cs="Arial Unicode MS"/>
          <w:color w:val="auto"/>
          <w:sz w:val="20"/>
          <w:szCs w:val="20"/>
          <w:highlight w:val="none"/>
        </w:rPr>
      </w:pPr>
      <w:r>
        <w:rPr>
          <w:rFonts w:hint="eastAsia" w:ascii="Arial Unicode MS" w:hAnsi="Arial Unicode MS" w:eastAsia="Arial Unicode MS" w:cs="Arial Unicode MS"/>
          <w:color w:val="auto"/>
          <w:sz w:val="40"/>
          <w:szCs w:val="40"/>
          <w:highlight w:val="none"/>
        </w:rPr>
        <w:t>节能产品政府采购品目清单</w:t>
      </w:r>
    </w:p>
    <w:tbl>
      <w:tblPr>
        <w:tblStyle w:val="20"/>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val="0"/>
            <w:vAlign w:val="top"/>
          </w:tcPr>
          <w:p>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pPr>
        <w:pStyle w:val="2"/>
        <w:spacing w:line="360" w:lineRule="auto"/>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pPr>
        <w:rPr>
          <w:rFonts w:hint="eastAsia" w:ascii="Arial Unicode MS" w:hAnsi="Arial Unicode MS" w:eastAsia="Arial Unicode MS" w:cs="Arial Unicode MS"/>
          <w:color w:val="auto"/>
          <w:sz w:val="20"/>
          <w:szCs w:val="20"/>
          <w:highlight w:val="none"/>
        </w:rPr>
      </w:pPr>
      <w:r>
        <w:rPr>
          <w:rFonts w:hint="eastAsia" w:hAnsi="宋体"/>
          <w:color w:val="auto"/>
          <w:highlight w:val="none"/>
        </w:rPr>
        <w:t xml:space="preserve">    </w:t>
      </w:r>
      <w:r>
        <w:rPr>
          <w:color w:val="auto"/>
          <w:highlight w:val="none"/>
        </w:rPr>
        <w:t>2.</w:t>
      </w:r>
      <w:r>
        <w:rPr>
          <w:rFonts w:hint="eastAsia"/>
          <w:color w:val="auto"/>
          <w:highlight w:val="none"/>
        </w:rPr>
        <w:t>以</w:t>
      </w:r>
      <w:r>
        <w:rPr>
          <w:color w:val="auto"/>
          <w:highlight w:val="none"/>
        </w:rPr>
        <w:t>“</w:t>
      </w:r>
      <w:r>
        <w:rPr>
          <w:rFonts w:hint="eastAsia"/>
          <w:color w:val="auto"/>
          <w:highlight w:val="none"/>
        </w:rPr>
        <w:t>★</w:t>
      </w:r>
      <w:r>
        <w:rPr>
          <w:color w:val="auto"/>
          <w:highlight w:val="none"/>
        </w:rPr>
        <w:t>”</w:t>
      </w:r>
      <w:r>
        <w:rPr>
          <w:rFonts w:hint="eastAsia"/>
          <w:color w:val="auto"/>
          <w:highlight w:val="none"/>
        </w:rPr>
        <w:t>标注的为政府强制采购产品。</w:t>
      </w:r>
    </w:p>
    <w:p>
      <w:pPr>
        <w:rPr>
          <w:rFonts w:hint="eastAsia" w:ascii="Arial Unicode MS" w:hAnsi="Arial Unicode MS" w:eastAsia="Arial Unicode MS" w:cs="Arial Unicode MS"/>
          <w:color w:val="auto"/>
          <w:sz w:val="20"/>
          <w:szCs w:val="20"/>
          <w:highlight w:val="none"/>
        </w:rPr>
      </w:pPr>
    </w:p>
    <w:p>
      <w:pPr>
        <w:pStyle w:val="18"/>
        <w:rPr>
          <w:rFonts w:hint="eastAsia" w:ascii="Arial Unicode MS" w:hAnsi="Arial Unicode MS" w:eastAsia="Arial Unicode MS" w:cs="Arial Unicode MS"/>
          <w:color w:val="auto"/>
          <w:sz w:val="20"/>
          <w:szCs w:val="20"/>
          <w:highlight w:val="none"/>
        </w:rPr>
      </w:pPr>
    </w:p>
    <w:p>
      <w:pPr>
        <w:rPr>
          <w:rFonts w:hint="eastAsia" w:ascii="Arial Unicode MS" w:hAnsi="Arial Unicode MS" w:eastAsia="Arial Unicode MS" w:cs="Arial Unicode MS"/>
          <w:color w:val="auto"/>
          <w:sz w:val="20"/>
          <w:szCs w:val="20"/>
          <w:highlight w:val="none"/>
        </w:rPr>
      </w:pPr>
    </w:p>
    <w:p>
      <w:pPr>
        <w:pStyle w:val="18"/>
        <w:rPr>
          <w:rFonts w:hint="eastAsia" w:ascii="Arial Unicode MS" w:hAnsi="Arial Unicode MS" w:eastAsia="Arial Unicode MS" w:cs="Arial Unicode MS"/>
          <w:color w:val="auto"/>
          <w:sz w:val="20"/>
          <w:szCs w:val="20"/>
          <w:highlight w:val="none"/>
        </w:rPr>
      </w:pPr>
    </w:p>
    <w:p>
      <w:pPr>
        <w:rPr>
          <w:rFonts w:hint="eastAsia" w:ascii="Arial Unicode MS" w:hAnsi="Arial Unicode MS" w:eastAsia="Arial Unicode MS" w:cs="Arial Unicode MS"/>
          <w:color w:val="auto"/>
          <w:sz w:val="20"/>
          <w:szCs w:val="20"/>
          <w:highlight w:val="none"/>
        </w:rPr>
      </w:pPr>
    </w:p>
    <w:p>
      <w:pPr>
        <w:pStyle w:val="13"/>
        <w:jc w:val="left"/>
        <w:rPr>
          <w:rFonts w:hint="eastAsia" w:ascii="Arial Unicode MS" w:hAnsi="Arial Unicode MS" w:eastAsia="Arial Unicode MS" w:cs="Arial Unicode MS"/>
          <w:color w:val="auto"/>
          <w:sz w:val="32"/>
          <w:szCs w:val="32"/>
          <w:highlight w:val="none"/>
        </w:rPr>
      </w:pPr>
      <w:r>
        <w:rPr>
          <w:color w:val="auto"/>
          <w:highlight w:val="none"/>
        </w:rPr>
        <w:br w:type="page"/>
      </w: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2</w:t>
      </w:r>
      <w:r>
        <w:rPr>
          <w:rFonts w:hint="eastAsia" w:ascii="Arial Unicode MS" w:hAnsi="Arial Unicode MS" w:eastAsia="Arial Unicode MS" w:cs="Arial Unicode MS"/>
          <w:color w:val="auto"/>
          <w:sz w:val="32"/>
          <w:szCs w:val="32"/>
          <w:highlight w:val="none"/>
        </w:rPr>
        <w:t>：</w:t>
      </w:r>
    </w:p>
    <w:p>
      <w:pPr>
        <w:spacing w:line="5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pPr>
        <w:spacing w:line="560" w:lineRule="exact"/>
        <w:ind w:firstLine="525" w:firstLineChars="250"/>
        <w:rPr>
          <w:rFonts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13"/>
        <w:jc w:val="center"/>
        <w:outlineLvl w:val="0"/>
        <w:rPr>
          <w:rFonts w:hAnsi="宋体"/>
          <w:color w:val="auto"/>
          <w:highlight w:val="none"/>
        </w:rPr>
        <w:sectPr>
          <w:pgSz w:w="11906" w:h="16838"/>
          <w:pgMar w:top="1134" w:right="1134" w:bottom="1134" w:left="1134" w:header="720" w:footer="720" w:gutter="0"/>
          <w:cols w:space="720" w:num="1"/>
          <w:docGrid w:type="lines" w:linePitch="331" w:charSpace="0"/>
        </w:sectPr>
      </w:pPr>
    </w:p>
    <w:p>
      <w:pPr>
        <w:pStyle w:val="3"/>
        <w:jc w:val="center"/>
        <w:rPr>
          <w:rFonts w:hint="eastAsia"/>
          <w:color w:val="auto"/>
          <w:highlight w:val="none"/>
        </w:rPr>
      </w:pPr>
      <w:bookmarkStart w:id="34" w:name="_Toc80205922"/>
      <w:r>
        <w:rPr>
          <w:rFonts w:hint="eastAsia" w:ascii="Cambria" w:hAnsi="Cambria"/>
          <w:bCs w:val="0"/>
          <w:color w:val="auto"/>
          <w:sz w:val="32"/>
          <w:szCs w:val="32"/>
          <w:highlight w:val="none"/>
        </w:rPr>
        <w:t>第三章 供应商须知</w:t>
      </w:r>
      <w:bookmarkEnd w:id="34"/>
    </w:p>
    <w:p>
      <w:pPr>
        <w:pStyle w:val="4"/>
        <w:jc w:val="center"/>
        <w:rPr>
          <w:rFonts w:hint="eastAsia" w:ascii="宋体" w:hAnsi="宋体"/>
          <w:b w:val="0"/>
          <w:color w:val="auto"/>
          <w:sz w:val="32"/>
          <w:szCs w:val="32"/>
          <w:highlight w:val="none"/>
        </w:rPr>
      </w:pPr>
      <w:bookmarkStart w:id="35" w:name="_Toc80205923"/>
      <w:r>
        <w:rPr>
          <w:rFonts w:hint="eastAsia" w:ascii="宋体" w:hAnsi="宋体"/>
          <w:b w:val="0"/>
          <w:color w:val="auto"/>
          <w:highlight w:val="none"/>
          <w:lang w:eastAsia="zh-CN"/>
        </w:rPr>
        <w:t xml:space="preserve">第一节 </w:t>
      </w:r>
      <w:r>
        <w:rPr>
          <w:rFonts w:hint="eastAsia" w:ascii="宋体" w:hAnsi="宋体"/>
          <w:b w:val="0"/>
          <w:color w:val="auto"/>
          <w:highlight w:val="none"/>
        </w:rPr>
        <w:t>供应商须知前附表</w:t>
      </w:r>
      <w:bookmarkEnd w:id="35"/>
    </w:p>
    <w:tbl>
      <w:tblPr>
        <w:tblStyle w:val="20"/>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786"/>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2786" w:type="dxa"/>
            <w:noWrap w:val="0"/>
            <w:vAlign w:val="center"/>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条款内容</w:t>
            </w:r>
          </w:p>
        </w:tc>
        <w:tc>
          <w:tcPr>
            <w:tcW w:w="6853" w:type="dxa"/>
            <w:noWrap w:val="0"/>
            <w:vAlign w:val="top"/>
          </w:tcPr>
          <w:p>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noWrap w:val="0"/>
            <w:vAlign w:val="top"/>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供应商资格条件</w:t>
            </w:r>
          </w:p>
        </w:tc>
        <w:tc>
          <w:tcPr>
            <w:tcW w:w="6853" w:type="dxa"/>
            <w:noWrap w:val="0"/>
            <w:vAlign w:val="top"/>
          </w:tcPr>
          <w:p>
            <w:pPr>
              <w:spacing w:line="400" w:lineRule="exact"/>
              <w:rPr>
                <w:rFonts w:hint="eastAsia" w:ascii="宋体" w:hAnsi="宋体" w:cs="宋体"/>
                <w:b/>
                <w:color w:val="auto"/>
                <w:szCs w:val="21"/>
                <w:highlight w:val="none"/>
              </w:rPr>
            </w:pPr>
            <w:r>
              <w:rPr>
                <w:rFonts w:hint="eastAsia" w:ascii="宋体" w:hAnsi="宋体"/>
                <w:color w:val="auto"/>
                <w:szCs w:val="21"/>
                <w:highlight w:val="none"/>
              </w:rPr>
              <w:t xml:space="preserve">供应商资格条件要求详见公告.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是否接受联合体竞标</w:t>
            </w:r>
          </w:p>
        </w:tc>
        <w:tc>
          <w:tcPr>
            <w:tcW w:w="6853" w:type="dxa"/>
            <w:noWrap w:val="0"/>
            <w:vAlign w:val="center"/>
          </w:tcPr>
          <w:p>
            <w:pPr>
              <w:spacing w:line="360" w:lineRule="auto"/>
              <w:rPr>
                <w:rFonts w:hint="eastAsia" w:ascii="宋体" w:hAnsi="宋体" w:cs="宋体"/>
                <w:color w:val="auto"/>
                <w:szCs w:val="21"/>
                <w:highlight w:val="none"/>
              </w:rPr>
            </w:pPr>
            <w:r>
              <w:rPr>
                <w:rFonts w:hint="eastAsia" w:ascii="宋体" w:hAnsi="宋体"/>
                <w:color w:val="auto"/>
                <w:szCs w:val="21"/>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联合体竞标要求</w:t>
            </w:r>
          </w:p>
        </w:tc>
        <w:tc>
          <w:tcPr>
            <w:tcW w:w="6853" w:type="dxa"/>
            <w:noWrap w:val="0"/>
            <w:vAlign w:val="center"/>
          </w:tcPr>
          <w:p>
            <w:pPr>
              <w:pStyle w:val="8"/>
              <w:spacing w:line="380" w:lineRule="exact"/>
              <w:rPr>
                <w:rFonts w:hint="eastAsia" w:ascii="宋体" w:hAnsi="宋体" w:cs="宋体"/>
                <w:color w:val="auto"/>
                <w:szCs w:val="21"/>
                <w:highlight w:val="none"/>
              </w:rPr>
            </w:pPr>
            <w:r>
              <w:rPr>
                <w:rFonts w:hint="eastAsia" w:ascii="宋体" w:hAnsi="宋体"/>
                <w:color w:val="auto"/>
                <w:szCs w:val="21"/>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是否允许分包</w:t>
            </w:r>
          </w:p>
        </w:tc>
        <w:tc>
          <w:tcPr>
            <w:tcW w:w="6853" w:type="dxa"/>
            <w:noWrap w:val="0"/>
            <w:vAlign w:val="center"/>
          </w:tcPr>
          <w:p>
            <w:pPr>
              <w:pStyle w:val="8"/>
              <w:spacing w:line="360" w:lineRule="auto"/>
              <w:rPr>
                <w:rFonts w:hint="eastAsia" w:ascii="宋体" w:hAnsi="宋体" w:cs="宋体"/>
                <w:color w:val="auto"/>
                <w:szCs w:val="21"/>
                <w:highlight w:val="none"/>
                <w:lang w:val="en-US" w:eastAsia="zh-CN"/>
              </w:rPr>
            </w:pPr>
            <w:r>
              <w:rPr>
                <w:rFonts w:hint="eastAsia" w:ascii="宋体" w:hAnsi="宋体"/>
                <w:color w:val="auto"/>
                <w:szCs w:val="21"/>
                <w:highlight w:val="none"/>
                <w:lang w:val="en-US" w:eastAsia="zh-CN"/>
              </w:rPr>
              <w:t>不允许分包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2786" w:type="dxa"/>
            <w:noWrap w:val="0"/>
            <w:vAlign w:val="center"/>
          </w:tcPr>
          <w:p>
            <w:pPr>
              <w:snapToGrid w:val="0"/>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资格证明文件组成</w:t>
            </w:r>
          </w:p>
          <w:p>
            <w:pPr>
              <w:spacing w:line="360" w:lineRule="auto"/>
              <w:jc w:val="center"/>
              <w:rPr>
                <w:rFonts w:hint="eastAsia" w:ascii="宋体" w:hAnsi="宋体" w:cs="宋体"/>
                <w:color w:val="auto"/>
                <w:szCs w:val="21"/>
                <w:highlight w:val="none"/>
              </w:rPr>
            </w:pPr>
          </w:p>
        </w:tc>
        <w:tc>
          <w:tcPr>
            <w:tcW w:w="6853" w:type="dxa"/>
            <w:noWrap w:val="0"/>
            <w:vAlign w:val="center"/>
          </w:tcPr>
          <w:p>
            <w:pPr>
              <w:pStyle w:val="8"/>
              <w:spacing w:line="360" w:lineRule="auto"/>
              <w:rPr>
                <w:rFonts w:hint="eastAsia" w:ascii="宋体" w:hAnsi="宋体"/>
                <w:color w:val="auto"/>
                <w:szCs w:val="21"/>
                <w:highlight w:val="none"/>
                <w:lang w:val="en-US" w:eastAsia="zh-CN"/>
              </w:rPr>
            </w:pPr>
            <w:r>
              <w:rPr>
                <w:rFonts w:hint="eastAsia" w:ascii="宋体" w:hAnsi="宋体" w:cs="宋体"/>
                <w:color w:val="auto"/>
                <w:szCs w:val="21"/>
                <w:highlight w:val="none"/>
                <w:lang w:val="en-US" w:eastAsia="zh-CN"/>
              </w:rPr>
              <w:t>1.供应商为法人或者其他组织的提供其营业执照等证明文件</w:t>
            </w:r>
            <w:r>
              <w:rPr>
                <w:rFonts w:hint="eastAsia" w:ascii="宋体" w:hAnsi="宋体" w:cs="宋体"/>
                <w:b/>
                <w:bCs/>
                <w:color w:val="auto"/>
                <w:szCs w:val="21"/>
                <w:highlight w:val="none"/>
                <w:lang w:val="en-US" w:eastAsia="zh-CN"/>
              </w:rPr>
              <w:t>原件扫描件或其他电子文件</w:t>
            </w:r>
            <w:r>
              <w:rPr>
                <w:rFonts w:hint="eastAsia" w:ascii="宋体" w:hAnsi="宋体" w:cs="宋体"/>
                <w:color w:val="auto"/>
                <w:szCs w:val="21"/>
                <w:highlight w:val="none"/>
                <w:lang w:val="en-US" w:eastAsia="zh-CN"/>
              </w:rPr>
              <w:t>（如营业执照或者事业单位法人证书或者执业许可证等），供应商为自然人的提供其身份证</w:t>
            </w:r>
            <w:r>
              <w:rPr>
                <w:rFonts w:hint="eastAsia" w:ascii="宋体" w:hAnsi="宋体" w:cs="宋体"/>
                <w:b/>
                <w:bCs/>
                <w:color w:val="auto"/>
                <w:szCs w:val="21"/>
                <w:highlight w:val="none"/>
                <w:lang w:val="en-US" w:eastAsia="zh-CN"/>
              </w:rPr>
              <w:t>原件扫描件或其他电子文件</w:t>
            </w:r>
            <w:r>
              <w:rPr>
                <w:rFonts w:hint="eastAsia" w:ascii="宋体" w:hAnsi="宋体" w:cs="宋体"/>
                <w:color w:val="auto"/>
                <w:szCs w:val="21"/>
                <w:highlight w:val="none"/>
                <w:lang w:val="en-US" w:eastAsia="zh-CN"/>
              </w:rPr>
              <w:t>；（</w:t>
            </w:r>
            <w:r>
              <w:rPr>
                <w:rFonts w:hint="eastAsia" w:ascii="宋体" w:hAnsi="宋体" w:cs="宋体"/>
                <w:b/>
                <w:color w:val="auto"/>
                <w:szCs w:val="21"/>
                <w:highlight w:val="none"/>
                <w:lang w:val="en-US" w:eastAsia="zh-CN"/>
              </w:rPr>
              <w:t>必须提供，否则谈判文件按无效响应处理</w:t>
            </w:r>
            <w:r>
              <w:rPr>
                <w:rFonts w:hint="eastAsia" w:ascii="宋体" w:hAnsi="宋体" w:cs="宋体"/>
                <w:color w:val="auto"/>
                <w:szCs w:val="21"/>
                <w:highlight w:val="none"/>
                <w:lang w:val="en-US" w:eastAsia="zh-CN"/>
              </w:rPr>
              <w:t>）</w:t>
            </w:r>
          </w:p>
          <w:p>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2.供应商依法缴纳税收的相关材料[</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月至</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个月的依法缴纳税收的凭据</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；依</w:t>
            </w:r>
            <w:r>
              <w:rPr>
                <w:rFonts w:hint="eastAsia" w:ascii="宋体" w:hAnsi="宋体"/>
                <w:color w:val="auto"/>
                <w:szCs w:val="21"/>
                <w:highlight w:val="none"/>
              </w:rPr>
              <w:t>法免税的供应商，必须提供相应文件证明其依法免税。</w:t>
            </w:r>
            <w:r>
              <w:rPr>
                <w:rFonts w:hint="eastAsia" w:ascii="宋体" w:hAnsi="宋体" w:cs="宋体"/>
                <w:color w:val="auto"/>
                <w:szCs w:val="21"/>
                <w:highlight w:val="none"/>
              </w:rPr>
              <w:t>从取得营业执照时间起到响应文件提交截止时间为止不足要求月数的，只需提供从取得营业执照起的依法缴纳税收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必须提供，否则作无效响应处理</w:t>
            </w:r>
            <w:r>
              <w:rPr>
                <w:rFonts w:hint="eastAsia" w:ascii="宋体" w:hAnsi="宋体"/>
                <w:color w:val="auto"/>
                <w:szCs w:val="21"/>
                <w:highlight w:val="none"/>
              </w:rPr>
              <w:t>）</w:t>
            </w:r>
          </w:p>
          <w:p>
            <w:pPr>
              <w:snapToGrid w:val="0"/>
              <w:spacing w:line="380" w:lineRule="exact"/>
              <w:jc w:val="left"/>
              <w:rPr>
                <w:rFonts w:hint="eastAsia" w:ascii="宋体" w:hAnsi="宋体"/>
                <w:color w:val="auto"/>
                <w:szCs w:val="21"/>
                <w:highlight w:val="none"/>
              </w:rPr>
            </w:pPr>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2026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任意</w:t>
            </w:r>
            <w:r>
              <w:rPr>
                <w:rFonts w:hint="eastAsia" w:ascii="宋体" w:hAnsi="宋体" w:cs="宋体"/>
                <w:color w:val="auto"/>
                <w:szCs w:val="21"/>
                <w:highlight w:val="none"/>
                <w:u w:val="single"/>
                <w:lang w:val="en-US" w:eastAsia="zh-CN"/>
              </w:rPr>
              <w:t xml:space="preserve"> 三 </w:t>
            </w:r>
            <w:r>
              <w:rPr>
                <w:rFonts w:hint="eastAsia" w:ascii="宋体" w:hAnsi="宋体" w:cs="宋体"/>
                <w:color w:val="auto"/>
                <w:szCs w:val="21"/>
                <w:highlight w:val="none"/>
              </w:rPr>
              <w:t>个月的依法缴纳社会保障资金的缴费凭证（专用收据或者社会保险缴纳清单）</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w:t>
            </w:r>
            <w:r>
              <w:rPr>
                <w:rFonts w:hint="eastAsia" w:ascii="宋体" w:hAnsi="宋体"/>
                <w:color w:val="auto"/>
                <w:szCs w:val="21"/>
                <w:highlight w:val="none"/>
              </w:rPr>
              <w:t>；（</w:t>
            </w:r>
            <w:r>
              <w:rPr>
                <w:rFonts w:hint="eastAsia" w:ascii="宋体" w:hAnsi="宋体"/>
                <w:b/>
                <w:color w:val="auto"/>
                <w:szCs w:val="21"/>
                <w:highlight w:val="none"/>
              </w:rPr>
              <w:t>必须提供，否则作无效响应处理</w:t>
            </w:r>
            <w:r>
              <w:rPr>
                <w:rFonts w:hint="eastAsia" w:ascii="宋体" w:hAnsi="宋体"/>
                <w:color w:val="auto"/>
                <w:szCs w:val="21"/>
                <w:highlight w:val="none"/>
              </w:rPr>
              <w:t>）</w:t>
            </w:r>
          </w:p>
          <w:p>
            <w:pPr>
              <w:snapToGrid w:val="0"/>
              <w:spacing w:line="380" w:lineRule="exact"/>
              <w:jc w:val="left"/>
              <w:rPr>
                <w:rFonts w:hint="eastAsia" w:ascii="宋体" w:hAnsi="宋体"/>
                <w:color w:val="auto"/>
                <w:szCs w:val="21"/>
                <w:highlight w:val="none"/>
                <w:lang w:eastAsia="zh-CN"/>
              </w:rPr>
            </w:pPr>
            <w:r>
              <w:rPr>
                <w:rFonts w:hint="eastAsia" w:ascii="宋体" w:hAnsi="宋体" w:cs="宋体"/>
                <w:color w:val="auto"/>
                <w:szCs w:val="21"/>
                <w:highlight w:val="none"/>
              </w:rPr>
              <w:t>4.供应商财务状况报告</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2024 </w:t>
            </w:r>
            <w:r>
              <w:rPr>
                <w:rFonts w:hint="eastAsia" w:ascii="宋体" w:hAnsi="宋体"/>
                <w:color w:val="auto"/>
                <w:szCs w:val="21"/>
                <w:highlight w:val="none"/>
              </w:rPr>
              <w:t>年</w:t>
            </w:r>
            <w:r>
              <w:rPr>
                <w:rFonts w:hint="eastAsia" w:ascii="宋体" w:hAnsi="宋体"/>
                <w:color w:val="auto"/>
                <w:szCs w:val="21"/>
                <w:highlight w:val="none"/>
                <w:lang w:eastAsia="zh-CN"/>
              </w:rPr>
              <w:t>或</w:t>
            </w:r>
            <w:r>
              <w:rPr>
                <w:rFonts w:hint="eastAsia" w:ascii="宋体" w:hAnsi="宋体"/>
                <w:color w:val="auto"/>
                <w:szCs w:val="21"/>
                <w:highlight w:val="none"/>
                <w:u w:val="single"/>
                <w:lang w:val="en-US" w:eastAsia="zh-CN"/>
              </w:rPr>
              <w:t>2025</w:t>
            </w:r>
            <w:r>
              <w:rPr>
                <w:rFonts w:hint="eastAsia" w:ascii="宋体" w:hAnsi="宋体"/>
                <w:color w:val="auto"/>
                <w:szCs w:val="21"/>
                <w:highlight w:val="none"/>
                <w:lang w:val="en-US" w:eastAsia="zh-CN"/>
              </w:rPr>
              <w:t>年</w:t>
            </w:r>
            <w:r>
              <w:rPr>
                <w:rFonts w:hint="eastAsia" w:ascii="宋体" w:hAnsi="宋体"/>
                <w:color w:val="auto"/>
                <w:szCs w:val="21"/>
                <w:highlight w:val="none"/>
              </w:rPr>
              <w:t>财务状况报告</w:t>
            </w:r>
            <w:r>
              <w:rPr>
                <w:rFonts w:hint="eastAsia" w:ascii="宋体" w:hAnsi="宋体" w:cs="宋体"/>
                <w:b/>
                <w:bCs/>
                <w:color w:val="auto"/>
                <w:szCs w:val="21"/>
                <w:highlight w:val="none"/>
              </w:rPr>
              <w:t>原件扫描件或其他电子文件</w:t>
            </w:r>
            <w:r>
              <w:rPr>
                <w:rFonts w:hint="eastAsia" w:ascii="宋体" w:hAnsi="宋体"/>
                <w:color w:val="auto"/>
                <w:szCs w:val="21"/>
                <w:highlight w:val="none"/>
                <w:lang w:eastAsia="zh-CN"/>
              </w:rPr>
              <w:t>；供应商是法人的，应提供经审计的财务报告（含第三方审计机构评估的财务报告）：执行《企业会计准则》的，提供资产负债表、利润表、现金流量表、所有者权益变动表及其附注（以下称“四表一注”）；执行《小企业会计准则》的，提供资产负债表、利润表、现金流量表及其附注（以下称“三表一注”）或者其基本开户银行出具的资信证明；供应商执行《政府会计制度》的，提供资产负债表、收入费用表和净资产变动表及其附注或者其基本开户银行出具的资信证明。</w:t>
            </w:r>
          </w:p>
          <w:p>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lang w:eastAsia="zh-CN"/>
              </w:rPr>
              <w:t>供应商是其他组织或者自然人的，应提供经审计的财务报告（含第三方审计机构评估的财务报告）（包括“四表一注”或“三表一注”)或者银行出具的资信证明。（供应商成立不满一年的应按提供截标之日上一个月的财务状况报告原件扫描件或其他电子文件）]；</w:t>
            </w:r>
            <w:r>
              <w:rPr>
                <w:rFonts w:hint="eastAsia" w:ascii="宋体" w:hAnsi="宋体"/>
                <w:color w:val="auto"/>
                <w:szCs w:val="21"/>
                <w:highlight w:val="none"/>
              </w:rPr>
              <w:t>（</w:t>
            </w:r>
            <w:r>
              <w:rPr>
                <w:rFonts w:hint="eastAsia" w:ascii="宋体" w:hAnsi="宋体"/>
                <w:b/>
                <w:color w:val="auto"/>
                <w:szCs w:val="21"/>
                <w:highlight w:val="none"/>
              </w:rPr>
              <w:t>必须提供，否则作无效响应处理</w:t>
            </w:r>
            <w:r>
              <w:rPr>
                <w:rFonts w:hint="eastAsia" w:ascii="宋体" w:hAnsi="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6.资格声明函；（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eastAsia="宋体" w:cs="宋体"/>
                <w:b/>
                <w:bCs/>
                <w:strike w:val="0"/>
                <w:dstrike w:val="0"/>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strike w:val="0"/>
                <w:dstrike w:val="0"/>
                <w:color w:val="auto"/>
                <w:szCs w:val="21"/>
                <w:highlight w:val="none"/>
              </w:rPr>
              <w:t>本项目专门面向中小企业采购，供应商请提</w:t>
            </w:r>
            <w:r>
              <w:rPr>
                <w:rFonts w:hint="eastAsia" w:ascii="宋体" w:hAnsi="宋体" w:cs="宋体"/>
                <w:b w:val="0"/>
                <w:bCs w:val="0"/>
                <w:strike w:val="0"/>
                <w:dstrike w:val="0"/>
                <w:color w:val="auto"/>
                <w:szCs w:val="21"/>
                <w:highlight w:val="none"/>
              </w:rPr>
              <w:t>供中小企业声明函或其他证明材料（</w:t>
            </w:r>
            <w:r>
              <w:rPr>
                <w:rFonts w:hint="eastAsia" w:ascii="宋体" w:hAnsi="宋体" w:eastAsia="宋体" w:cs="宋体"/>
                <w:strike w:val="0"/>
                <w:dstrike w:val="0"/>
                <w:color w:val="auto"/>
                <w:szCs w:val="21"/>
                <w:highlight w:val="none"/>
              </w:rPr>
              <w:t>监狱企业、残疾人福利性单位视同小型、微型企业）；</w:t>
            </w:r>
            <w:r>
              <w:rPr>
                <w:rFonts w:hint="eastAsia" w:ascii="宋体" w:hAnsi="宋体" w:eastAsia="宋体" w:cs="宋体"/>
                <w:b/>
                <w:bCs/>
                <w:strike w:val="0"/>
                <w:dstrike w:val="0"/>
                <w:color w:val="auto"/>
                <w:szCs w:val="21"/>
                <w:highlight w:val="none"/>
              </w:rPr>
              <w:t>（必须提供，否则作无效投标处理）</w:t>
            </w:r>
          </w:p>
          <w:p>
            <w:pPr>
              <w:pStyle w:val="18"/>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color w:val="auto"/>
                <w:highlight w:val="none"/>
              </w:rPr>
            </w:pPr>
            <w:r>
              <w:rPr>
                <w:rFonts w:hint="eastAsia" w:ascii="宋体" w:hAnsi="宋体" w:cs="宋体"/>
                <w:b w:val="0"/>
                <w:bCs w:val="0"/>
                <w:color w:val="auto"/>
                <w:szCs w:val="21"/>
                <w:highlight w:val="none"/>
                <w:lang w:val="en-US" w:eastAsia="zh-CN"/>
              </w:rPr>
              <w:t>8.</w:t>
            </w:r>
            <w:r>
              <w:rPr>
                <w:rFonts w:hint="eastAsia" w:ascii="宋体" w:hAnsi="宋体" w:eastAsia="宋体" w:cs="宋体"/>
                <w:color w:val="auto"/>
                <w:kern w:val="2"/>
                <w:sz w:val="21"/>
                <w:szCs w:val="21"/>
                <w:highlight w:val="none"/>
                <w:lang w:val="en-US" w:eastAsia="zh-CN" w:bidi="ar-SA"/>
              </w:rPr>
              <w:t>特定资格要求的资格证明材料扫描件：</w:t>
            </w:r>
            <w:r>
              <w:rPr>
                <w:rFonts w:hint="eastAsia" w:ascii="宋体" w:hAnsi="宋体" w:eastAsia="宋体" w:cs="Times New Roman"/>
                <w:b/>
                <w:bCs/>
                <w:color w:val="auto"/>
                <w:szCs w:val="21"/>
                <w:highlight w:val="none"/>
                <w:lang w:eastAsia="zh-CN"/>
              </w:rPr>
              <w:t>竞</w:t>
            </w:r>
            <w:r>
              <w:rPr>
                <w:rFonts w:hint="eastAsia" w:ascii="宋体" w:hAnsi="宋体" w:eastAsia="宋体" w:cs="Times New Roman"/>
                <w:b/>
                <w:bCs/>
                <w:color w:val="auto"/>
                <w:szCs w:val="21"/>
                <w:highlight w:val="none"/>
              </w:rPr>
              <w:t>标人具有有效的安全生产许可证</w:t>
            </w:r>
            <w:r>
              <w:rPr>
                <w:rFonts w:hint="eastAsia" w:ascii="宋体" w:hAnsi="宋体" w:eastAsia="宋体" w:cs="宋体"/>
                <w:color w:val="auto"/>
                <w:kern w:val="2"/>
                <w:sz w:val="21"/>
                <w:szCs w:val="21"/>
                <w:highlight w:val="none"/>
                <w:lang w:val="en-US" w:eastAsia="zh-CN" w:bidi="ar-SA"/>
              </w:rPr>
              <w:t>；</w:t>
            </w:r>
            <w:r>
              <w:rPr>
                <w:rFonts w:hint="eastAsia" w:ascii="宋体" w:hAnsi="宋体"/>
                <w:color w:val="auto"/>
                <w:szCs w:val="21"/>
                <w:highlight w:val="none"/>
              </w:rPr>
              <w:t>（</w:t>
            </w:r>
            <w:r>
              <w:rPr>
                <w:rFonts w:hint="eastAsia" w:ascii="宋体" w:hAnsi="宋体" w:cs="宋体"/>
                <w:b/>
                <w:bCs/>
                <w:color w:val="auto"/>
                <w:szCs w:val="21"/>
                <w:highlight w:val="none"/>
              </w:rPr>
              <w:t>必须提供，否则作无效响应处理）</w:t>
            </w:r>
          </w:p>
          <w:p>
            <w:pPr>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.除谈判文件规定必须提供以外，供应商认为需要提供的其他证明材料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w:t>
            </w:r>
          </w:p>
          <w:p>
            <w:pPr>
              <w:snapToGrid w:val="0"/>
              <w:spacing w:line="360" w:lineRule="auto"/>
              <w:ind w:firstLine="413" w:firstLineChars="196"/>
              <w:jc w:val="left"/>
              <w:rPr>
                <w:rFonts w:hint="eastAsia" w:ascii="宋体" w:hAnsi="宋体" w:cs="宋体"/>
                <w:b/>
                <w:color w:val="auto"/>
                <w:szCs w:val="21"/>
                <w:highlight w:val="none"/>
                <w:lang w:val="en-US" w:eastAsia="zh-CN"/>
              </w:rPr>
            </w:pPr>
            <w:r>
              <w:rPr>
                <w:rFonts w:hint="eastAsia" w:ascii="宋体" w:hAnsi="宋体" w:cs="宋体"/>
                <w:b/>
                <w:color w:val="auto"/>
                <w:szCs w:val="21"/>
                <w:highlight w:val="none"/>
              </w:rPr>
              <w:t>1.以上标明“必须提供”的材料，必须加盖供应商电子公章，否则响应文件按无效响应处理。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.2</w:t>
            </w:r>
          </w:p>
        </w:tc>
        <w:tc>
          <w:tcPr>
            <w:tcW w:w="2786" w:type="dxa"/>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853" w:type="dxa"/>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w:t>
            </w:r>
            <w:r>
              <w:rPr>
                <w:rFonts w:hint="eastAsia" w:ascii="宋体" w:hAnsi="宋体" w:cs="宋体"/>
                <w:b/>
                <w:bCs/>
                <w:color w:val="auto"/>
                <w:szCs w:val="21"/>
                <w:highlight w:val="none"/>
              </w:rPr>
              <w:t>原件扫描件或其他电子文件</w:t>
            </w:r>
            <w:r>
              <w:rPr>
                <w:rFonts w:hint="eastAsia" w:ascii="宋体" w:hAnsi="宋体" w:cs="宋体"/>
                <w:color w:val="auto"/>
                <w:szCs w:val="21"/>
                <w:highlight w:val="none"/>
              </w:rPr>
              <w:t>；（</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5.竞标人情况介绍；（</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pPr>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6.联合体协议书；</w:t>
            </w:r>
            <w:r>
              <w:rPr>
                <w:rFonts w:hint="eastAsia" w:ascii="宋体" w:hAnsi="宋体" w:cs="宋体"/>
                <w:b/>
                <w:color w:val="auto"/>
                <w:szCs w:val="21"/>
                <w:highlight w:val="none"/>
              </w:rPr>
              <w:t>（联合体竞标时必须提供，否则作无效响应处理）</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7.供应商认为需要提供的其他有关资料。（</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pPr>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 xml:space="preserve">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lang w:val="en-US" w:eastAsia="zh-CN"/>
              </w:rPr>
              <w:t>1.</w:t>
            </w:r>
            <w:r>
              <w:rPr>
                <w:rFonts w:hint="eastAsia" w:ascii="宋体" w:hAnsi="宋体"/>
                <w:b/>
                <w:bCs/>
                <w:color w:val="auto"/>
                <w:szCs w:val="21"/>
                <w:highlight w:val="none"/>
              </w:rPr>
              <w:t>法定代表人授权委托书必须由法定代表人及委托代理人亲笔签名，不得使用印章、签名章或者其他电子制版签名代替</w:t>
            </w:r>
            <w:r>
              <w:rPr>
                <w:rFonts w:hint="eastAsia" w:ascii="宋体" w:hAnsi="宋体"/>
                <w:b/>
                <w:bCs/>
                <w:color w:val="auto"/>
                <w:szCs w:val="21"/>
                <w:highlight w:val="none"/>
                <w:lang w:val="en-US" w:eastAsia="zh-CN"/>
              </w:rPr>
              <w:t>,</w:t>
            </w:r>
            <w:r>
              <w:rPr>
                <w:rFonts w:hint="eastAsia" w:ascii="宋体" w:hAnsi="宋体"/>
                <w:b/>
                <w:bCs/>
                <w:color w:val="auto"/>
                <w:szCs w:val="21"/>
                <w:highlight w:val="none"/>
              </w:rPr>
              <w:t>并加盖</w:t>
            </w:r>
            <w:r>
              <w:rPr>
                <w:rFonts w:hint="eastAsia" w:ascii="宋体" w:hAnsi="宋体"/>
                <w:b/>
                <w:bCs/>
                <w:color w:val="auto"/>
                <w:szCs w:val="21"/>
                <w:highlight w:val="none"/>
                <w:lang w:val="en-US" w:eastAsia="zh-CN"/>
              </w:rPr>
              <w:t>竞标</w:t>
            </w:r>
            <w:r>
              <w:rPr>
                <w:rFonts w:hint="eastAsia" w:ascii="宋体" w:hAnsi="宋体"/>
                <w:b/>
                <w:bCs/>
                <w:color w:val="auto"/>
                <w:szCs w:val="21"/>
                <w:highlight w:val="none"/>
              </w:rPr>
              <w:t>人公章，否则作无效投标处理。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.以上标明“必须提供”的材料，必须加盖</w:t>
            </w:r>
            <w:r>
              <w:rPr>
                <w:rFonts w:hint="eastAsia" w:ascii="宋体" w:hAnsi="宋体" w:cs="宋体"/>
                <w:b/>
                <w:color w:val="auto"/>
                <w:szCs w:val="21"/>
                <w:highlight w:val="none"/>
                <w:lang w:val="en-US" w:eastAsia="zh-CN"/>
              </w:rPr>
              <w:t>竞标人</w:t>
            </w:r>
            <w:r>
              <w:rPr>
                <w:rFonts w:hint="eastAsia" w:ascii="宋体" w:hAnsi="宋体" w:cs="宋体"/>
                <w:b/>
                <w:color w:val="auto"/>
                <w:szCs w:val="21"/>
                <w:highlight w:val="none"/>
              </w:rPr>
              <w:t>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pPr>
              <w:spacing w:line="360" w:lineRule="auto"/>
              <w:jc w:val="center"/>
              <w:rPr>
                <w:rFonts w:hint="eastAsia" w:ascii="宋体" w:hAnsi="宋体" w:cs="宋体"/>
                <w:color w:val="auto"/>
                <w:szCs w:val="21"/>
                <w:highlight w:val="none"/>
              </w:rPr>
            </w:pPr>
          </w:p>
        </w:tc>
        <w:tc>
          <w:tcPr>
            <w:tcW w:w="2786" w:type="dxa"/>
            <w:noWrap w:val="0"/>
            <w:vAlign w:val="center"/>
          </w:tcPr>
          <w:p>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853" w:type="dxa"/>
            <w:noWrap w:val="0"/>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1.货物需求偏离表；（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 配置清单（均不含报价）；（</w:t>
            </w:r>
            <w:r>
              <w:rPr>
                <w:rFonts w:hint="eastAsia" w:ascii="宋体" w:hAnsi="宋体" w:cs="宋体"/>
                <w:b/>
                <w:color w:val="auto"/>
                <w:szCs w:val="21"/>
                <w:highlight w:val="none"/>
              </w:rPr>
              <w:t>必须提供，否则响应文件作无效处理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3.售后服务承诺；（</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如</w:t>
            </w:r>
            <w:r>
              <w:rPr>
                <w:rFonts w:ascii="宋体" w:hAnsi="宋体" w:cs="宋体"/>
                <w:b/>
                <w:color w:val="auto"/>
                <w:szCs w:val="21"/>
                <w:highlight w:val="none"/>
              </w:rPr>
              <w:t>有请提供</w:t>
            </w:r>
            <w:r>
              <w:rPr>
                <w:rFonts w:hint="eastAsia" w:ascii="宋体" w:hAnsi="宋体" w:cs="宋体"/>
                <w:color w:val="auto"/>
                <w:szCs w:val="21"/>
                <w:highlight w:val="non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5.对应采购需求的货物需求、商务条款提供的其他文件资料；（</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6.供应商认为需要提供的其他有关资料。（</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注：1.以上标明“必须提供”的材料，必须加盖</w:t>
            </w:r>
            <w:r>
              <w:rPr>
                <w:rFonts w:hint="eastAsia" w:ascii="宋体" w:hAnsi="宋体" w:cs="宋体"/>
                <w:b/>
                <w:color w:val="auto"/>
                <w:szCs w:val="21"/>
                <w:highlight w:val="none"/>
                <w:lang w:val="en-US" w:eastAsia="zh-CN"/>
              </w:rPr>
              <w:t>竞标人</w:t>
            </w:r>
            <w:r>
              <w:rPr>
                <w:rFonts w:hint="eastAsia" w:ascii="宋体" w:hAnsi="宋体" w:cs="宋体"/>
                <w:b/>
                <w:color w:val="auto"/>
                <w:szCs w:val="21"/>
                <w:highlight w:val="none"/>
              </w:rPr>
              <w:t>电子公章，否则响应文件按无效响应处理。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报价文件组成</w:t>
            </w:r>
          </w:p>
        </w:tc>
        <w:tc>
          <w:tcPr>
            <w:tcW w:w="6853" w:type="dxa"/>
            <w:noWrap w:val="0"/>
            <w:vAlign w:val="center"/>
          </w:tcPr>
          <w:p>
            <w:pPr>
              <w:tabs>
                <w:tab w:val="left" w:pos="459"/>
              </w:tabs>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1.响应函；</w:t>
            </w:r>
            <w:r>
              <w:rPr>
                <w:rFonts w:hint="eastAsia" w:ascii="宋体" w:hAnsi="宋体"/>
                <w:b/>
                <w:color w:val="auto"/>
                <w:szCs w:val="21"/>
                <w:highlight w:val="none"/>
              </w:rPr>
              <w:t>（必须提供，否则作无效响应处理）</w:t>
            </w:r>
          </w:p>
          <w:p>
            <w:pPr>
              <w:spacing w:line="360" w:lineRule="auto"/>
              <w:rPr>
                <w:rFonts w:hint="eastAsia" w:ascii="宋体" w:hAnsi="宋体" w:cs="宋体"/>
                <w:color w:val="auto"/>
                <w:szCs w:val="21"/>
                <w:highlight w:val="none"/>
              </w:rPr>
            </w:pPr>
            <w:r>
              <w:rPr>
                <w:rFonts w:hint="eastAsia" w:ascii="宋体" w:hAnsi="宋体" w:cs="宋体"/>
                <w:color w:val="auto"/>
                <w:sz w:val="24"/>
                <w:highlight w:val="none"/>
              </w:rPr>
              <w:t>2.</w:t>
            </w:r>
            <w:r>
              <w:rPr>
                <w:rFonts w:hint="eastAsia" w:ascii="宋体" w:hAnsi="宋体" w:cs="宋体"/>
                <w:color w:val="auto"/>
                <w:szCs w:val="21"/>
                <w:highlight w:val="none"/>
              </w:rPr>
              <w:t>响应报价表；（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olor w:val="auto"/>
                <w:szCs w:val="21"/>
                <w:highlight w:val="none"/>
              </w:rPr>
              <w:t>3.中小企业声明函。</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6853" w:type="dxa"/>
            <w:noWrap w:val="0"/>
            <w:vAlign w:val="center"/>
          </w:tcPr>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.响应文件电子版密封方式：电子响应文件通过平台有效CA加密后在“政采云”平台投送。（操作方式见公告附件“</w:t>
            </w:r>
            <w:r>
              <w:rPr>
                <w:rFonts w:hint="eastAsia" w:ascii="宋体" w:hAnsi="宋体"/>
                <w:color w:val="auto"/>
                <w:szCs w:val="21"/>
                <w:highlight w:val="none"/>
              </w:rPr>
              <w:t>电子响应文件制作与投送教程</w:t>
            </w:r>
            <w:r>
              <w:rPr>
                <w:rFonts w:hint="eastAsia" w:ascii="宋体" w:hAnsi="宋体" w:cs="Courier New"/>
                <w:color w:val="auto"/>
                <w:szCs w:val="21"/>
                <w:highlight w:val="none"/>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响应报价要求</w:t>
            </w:r>
          </w:p>
        </w:tc>
        <w:tc>
          <w:tcPr>
            <w:tcW w:w="6853" w:type="dxa"/>
            <w:noWrap w:val="0"/>
            <w:vAlign w:val="center"/>
          </w:tcPr>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b/>
                <w:color w:val="auto"/>
                <w:szCs w:val="21"/>
                <w:highlight w:val="none"/>
              </w:rPr>
              <w:t>（采购需求另有约定的，从其约定。）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竞标有效期</w:t>
            </w:r>
          </w:p>
        </w:tc>
        <w:tc>
          <w:tcPr>
            <w:tcW w:w="6853" w:type="dxa"/>
            <w:noWrap w:val="0"/>
            <w:vAlign w:val="center"/>
          </w:tcPr>
          <w:p>
            <w:pPr>
              <w:pStyle w:val="6"/>
              <w:widowControl w:val="0"/>
              <w:tabs>
                <w:tab w:val="left" w:pos="720"/>
                <w:tab w:val="left" w:pos="840"/>
              </w:tabs>
              <w:snapToGrid w:val="0"/>
              <w:spacing w:afterLines="0" w:line="360" w:lineRule="auto"/>
              <w:ind w:left="283" w:hanging="283" w:hangingChars="135"/>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r>
              <w:rPr>
                <w:rFonts w:hint="eastAsia" w:ascii="宋体" w:hAnsi="宋体" w:cs="宋体"/>
                <w:color w:val="auto"/>
                <w:kern w:val="2"/>
                <w:sz w:val="21"/>
                <w:szCs w:val="21"/>
                <w:highlight w:val="none"/>
                <w:u w:val="single"/>
              </w:rPr>
              <w:t>60</w:t>
            </w:r>
            <w:r>
              <w:rPr>
                <w:rFonts w:hint="eastAsia" w:ascii="宋体" w:hAnsi="宋体" w:cs="宋体"/>
                <w:color w:val="auto"/>
                <w:kern w:val="2"/>
                <w:sz w:val="21"/>
                <w:szCs w:val="21"/>
                <w:highlight w:val="none"/>
                <w:lang w:val="en-US" w:eastAsia="zh-CN"/>
              </w:rPr>
              <w:t>日历天</w:t>
            </w:r>
            <w:r>
              <w:rPr>
                <w:rFonts w:hint="eastAsia" w:ascii="宋体" w:hAnsi="宋体" w:cs="宋体"/>
                <w:color w:val="auto"/>
                <w:kern w:val="2"/>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谈判保证金</w:t>
            </w:r>
          </w:p>
        </w:tc>
        <w:tc>
          <w:tcPr>
            <w:tcW w:w="6853" w:type="dxa"/>
            <w:noWrap w:val="0"/>
            <w:vAlign w:val="center"/>
          </w:tcPr>
          <w:p>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本项目不收取谈判保证金。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853" w:type="dxa"/>
            <w:noWrap w:val="0"/>
            <w:vAlign w:val="center"/>
          </w:tcPr>
          <w:p>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noWrap w:val="0"/>
            <w:vAlign w:val="center"/>
          </w:tcPr>
          <w:p>
            <w:pPr>
              <w:spacing w:line="360" w:lineRule="auto"/>
              <w:jc w:val="center"/>
              <w:rPr>
                <w:rFonts w:hint="eastAsia" w:ascii="宋体" w:hAnsi="宋体" w:cs="宋体"/>
                <w:color w:val="auto"/>
                <w:szCs w:val="21"/>
                <w:highlight w:val="none"/>
              </w:rPr>
            </w:pP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首次响应文件提交地点</w:t>
            </w:r>
          </w:p>
        </w:tc>
        <w:tc>
          <w:tcPr>
            <w:tcW w:w="6853" w:type="dxa"/>
            <w:noWrap w:val="0"/>
            <w:vAlign w:val="center"/>
          </w:tcPr>
          <w:p>
            <w:pPr>
              <w:snapToGrid w:val="0"/>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20.6</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6853" w:type="dxa"/>
            <w:noWrap w:val="0"/>
            <w:vAlign w:val="center"/>
          </w:tcPr>
          <w:p>
            <w:pPr>
              <w:snapToGri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首次响应文件的退回</w:t>
            </w:r>
          </w:p>
        </w:tc>
        <w:tc>
          <w:tcPr>
            <w:tcW w:w="6853" w:type="dxa"/>
            <w:noWrap w:val="0"/>
            <w:vAlign w:val="center"/>
          </w:tcPr>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26.2</w:t>
            </w:r>
          </w:p>
        </w:tc>
        <w:tc>
          <w:tcPr>
            <w:tcW w:w="2786" w:type="dxa"/>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谈判的顺序</w:t>
            </w:r>
          </w:p>
          <w:p>
            <w:pPr>
              <w:spacing w:line="360" w:lineRule="auto"/>
              <w:jc w:val="center"/>
              <w:rPr>
                <w:rFonts w:hint="eastAsia" w:ascii="宋体" w:hAnsi="宋体" w:cs="宋体"/>
                <w:color w:val="auto"/>
                <w:szCs w:val="21"/>
                <w:highlight w:val="none"/>
              </w:rPr>
            </w:pPr>
          </w:p>
        </w:tc>
        <w:tc>
          <w:tcPr>
            <w:tcW w:w="6853" w:type="dxa"/>
            <w:noWrap w:val="0"/>
            <w:vAlign w:val="center"/>
          </w:tcPr>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系统自动提取的顺序</w:t>
            </w:r>
          </w:p>
          <w:p>
            <w:pPr>
              <w:pStyle w:val="8"/>
              <w:spacing w:line="360" w:lineRule="auto"/>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参与谈判前，供应商法定代表人或者委托代理人必须通过电脑摄像头向谈判小组出示本人有效证件原件</w:t>
            </w:r>
            <w:r>
              <w:rPr>
                <w:rFonts w:ascii="宋体" w:hAnsi="宋体" w:cs="宋体"/>
                <w:b/>
                <w:color w:val="auto"/>
                <w:szCs w:val="21"/>
                <w:highlight w:val="none"/>
                <w:lang w:val="en-US" w:eastAsia="zh-CN"/>
              </w:rPr>
              <w:t>[</w:t>
            </w:r>
            <w:r>
              <w:rPr>
                <w:rFonts w:hint="eastAsia" w:ascii="宋体" w:hAnsi="宋体" w:cs="宋体"/>
                <w:b/>
                <w:color w:val="auto"/>
                <w:szCs w:val="21"/>
                <w:highlight w:val="none"/>
                <w:lang w:val="en-US" w:eastAsia="zh-CN"/>
              </w:rPr>
              <w:t>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pPr>
              <w:spacing w:line="360" w:lineRule="auto"/>
              <w:jc w:val="center"/>
              <w:rPr>
                <w:rFonts w:ascii="宋体" w:hAnsi="宋体" w:cs="宋体"/>
                <w:color w:val="auto"/>
                <w:szCs w:val="21"/>
                <w:highlight w:val="none"/>
              </w:rPr>
            </w:pP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评审价相同时成交原则</w:t>
            </w:r>
          </w:p>
        </w:tc>
        <w:tc>
          <w:tcPr>
            <w:tcW w:w="6853" w:type="dxa"/>
            <w:noWrap w:val="0"/>
            <w:vAlign w:val="center"/>
          </w:tcPr>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评审价相同时，按照最后报价由低到高顺序依次推荐；最后报价相同时，按以下原则确定成交候选人的顺序：</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依次按带“▲”的实质性要求正偏离项数多的优先、均无正偏离或者正偏离项数一致时负偏离项数少的优先、质量保证期长优先、交货期短优先、故障响应时间短优先的顺序排列。</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6853" w:type="dxa"/>
            <w:noWrap w:val="0"/>
            <w:vAlign w:val="center"/>
          </w:tcPr>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5</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签订合同携带的材料</w:t>
            </w:r>
          </w:p>
        </w:tc>
        <w:tc>
          <w:tcPr>
            <w:tcW w:w="6853" w:type="dxa"/>
            <w:noWrap w:val="0"/>
            <w:vAlign w:val="center"/>
          </w:tcPr>
          <w:p>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2786" w:type="dxa"/>
            <w:noWrap w:val="0"/>
            <w:vAlign w:val="center"/>
          </w:tcPr>
          <w:p>
            <w:pPr>
              <w:spacing w:line="380" w:lineRule="exact"/>
              <w:jc w:val="center"/>
              <w:rPr>
                <w:rFonts w:hint="eastAsia" w:ascii="宋体" w:hAnsi="宋体"/>
                <w:color w:val="auto"/>
                <w:szCs w:val="21"/>
                <w:highlight w:val="none"/>
              </w:rPr>
            </w:pPr>
            <w:r>
              <w:rPr>
                <w:rFonts w:hint="eastAsia" w:ascii="宋体" w:hAnsi="宋体"/>
                <w:color w:val="auto"/>
                <w:szCs w:val="21"/>
                <w:highlight w:val="none"/>
              </w:rPr>
              <w:t>接收质疑函方式</w:t>
            </w:r>
          </w:p>
        </w:tc>
        <w:tc>
          <w:tcPr>
            <w:tcW w:w="6853" w:type="dxa"/>
            <w:noWrap w:val="0"/>
            <w:vAlign w:val="center"/>
          </w:tcPr>
          <w:p>
            <w:pPr>
              <w:snapToGrid w:val="0"/>
              <w:spacing w:line="380" w:lineRule="exact"/>
              <w:rPr>
                <w:rFonts w:hint="eastAsia" w:ascii="宋体" w:hAnsi="宋体"/>
                <w:color w:val="auto"/>
                <w:szCs w:val="21"/>
                <w:highlight w:val="none"/>
              </w:rPr>
            </w:pPr>
            <w:r>
              <w:rPr>
                <w:rFonts w:hint="eastAsia" w:ascii="宋体" w:hAnsi="宋体" w:eastAsia="宋体"/>
                <w:b/>
                <w:bCs/>
                <w:color w:val="auto"/>
                <w:szCs w:val="21"/>
                <w:highlight w:val="none"/>
              </w:rPr>
              <w:t>以书面形式</w:t>
            </w:r>
            <w:r>
              <w:rPr>
                <w:rFonts w:hint="eastAsia" w:ascii="宋体" w:hAnsi="宋体" w:eastAsia="宋体"/>
                <w:b/>
                <w:bCs/>
                <w:color w:val="auto"/>
                <w:szCs w:val="21"/>
                <w:highlight w:val="none"/>
                <w:lang w:eastAsia="zh-CN"/>
              </w:rPr>
              <w:t>，只接受</w:t>
            </w:r>
            <w:r>
              <w:rPr>
                <w:rFonts w:hint="eastAsia" w:ascii="宋体" w:hAnsi="宋体" w:eastAsia="宋体"/>
                <w:b/>
                <w:bCs/>
                <w:color w:val="auto"/>
                <w:szCs w:val="21"/>
                <w:highlight w:val="none"/>
                <w:lang w:val="en-US" w:eastAsia="zh-CN"/>
              </w:rPr>
              <w:t>EMS邮寄纸质质疑材料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pPr>
              <w:spacing w:line="360" w:lineRule="auto"/>
              <w:jc w:val="center"/>
              <w:rPr>
                <w:rFonts w:hint="eastAsia" w:ascii="宋体" w:hAnsi="宋体" w:cs="宋体"/>
                <w:color w:val="auto"/>
                <w:szCs w:val="21"/>
                <w:highlight w:val="none"/>
              </w:rPr>
            </w:pPr>
          </w:p>
        </w:tc>
        <w:tc>
          <w:tcPr>
            <w:tcW w:w="2786" w:type="dxa"/>
            <w:noWrap w:val="0"/>
            <w:vAlign w:val="center"/>
          </w:tcPr>
          <w:p>
            <w:pPr>
              <w:spacing w:line="380" w:lineRule="exact"/>
              <w:jc w:val="center"/>
              <w:rPr>
                <w:rFonts w:hint="eastAsia" w:ascii="宋体" w:hAnsi="宋体"/>
                <w:color w:val="auto"/>
                <w:szCs w:val="21"/>
                <w:highlight w:val="none"/>
              </w:rPr>
            </w:pPr>
            <w:r>
              <w:rPr>
                <w:rFonts w:hint="eastAsia" w:ascii="宋体" w:hAnsi="宋体"/>
                <w:color w:val="auto"/>
                <w:szCs w:val="21"/>
                <w:highlight w:val="none"/>
              </w:rPr>
              <w:t>质疑联系部门及联系方式</w:t>
            </w:r>
          </w:p>
        </w:tc>
        <w:tc>
          <w:tcPr>
            <w:tcW w:w="6853" w:type="dxa"/>
            <w:noWrap w:val="0"/>
            <w:vAlign w:val="center"/>
          </w:tcPr>
          <w:p>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（1）</w:t>
            </w:r>
            <w:r>
              <w:rPr>
                <w:rFonts w:hint="eastAsia" w:ascii="宋体" w:hAnsi="宋体"/>
                <w:color w:val="auto"/>
                <w:szCs w:val="21"/>
                <w:highlight w:val="none"/>
                <w:u w:val="single"/>
                <w:lang w:val="en-US" w:eastAsia="zh-CN"/>
              </w:rPr>
              <w:t>南宁市江南区政府采购中心</w:t>
            </w:r>
            <w:r>
              <w:rPr>
                <w:rFonts w:hint="eastAsia" w:ascii="宋体" w:hAnsi="宋体"/>
                <w:color w:val="auto"/>
                <w:szCs w:val="21"/>
                <w:highlight w:val="none"/>
                <w:u w:val="single"/>
              </w:rPr>
              <w:t xml:space="preserve">    </w:t>
            </w:r>
            <w:r>
              <w:rPr>
                <w:rFonts w:hint="eastAsia" w:ascii="宋体" w:hAnsi="宋体"/>
                <w:color w:val="auto"/>
                <w:szCs w:val="21"/>
                <w:highlight w:val="none"/>
              </w:rPr>
              <w:t>部门；</w:t>
            </w:r>
          </w:p>
          <w:p>
            <w:pPr>
              <w:snapToGrid w:val="0"/>
              <w:spacing w:line="380" w:lineRule="exact"/>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w:t>
            </w:r>
            <w:r>
              <w:rPr>
                <w:rFonts w:hint="eastAsia" w:ascii="宋体" w:hAnsi="宋体"/>
                <w:color w:val="auto"/>
                <w:szCs w:val="21"/>
                <w:highlight w:val="none"/>
                <w:lang w:val="en-US" w:eastAsia="zh-CN"/>
              </w:rPr>
              <w:t>0771-4950239</w:t>
            </w:r>
            <w:r>
              <w:rPr>
                <w:rFonts w:hint="eastAsia" w:ascii="宋体" w:hAnsi="宋体"/>
                <w:color w:val="auto"/>
                <w:szCs w:val="21"/>
                <w:highlight w:val="none"/>
              </w:rPr>
              <w:t>，</w:t>
            </w:r>
          </w:p>
          <w:p>
            <w:pPr>
              <w:snapToGrid w:val="0"/>
              <w:spacing w:line="380" w:lineRule="exact"/>
              <w:rPr>
                <w:rFonts w:hint="default" w:ascii="宋体" w:hAnsi="宋体"/>
                <w:color w:val="auto"/>
                <w:szCs w:val="21"/>
                <w:highlight w:val="none"/>
                <w:lang w:val="en-US"/>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lang w:val="en-US" w:eastAsia="zh-CN"/>
              </w:rPr>
              <w:t>南宁市江南区壮锦大道19号江南区人民政府B座</w:t>
            </w:r>
          </w:p>
          <w:p>
            <w:pPr>
              <w:snapToGrid w:val="0"/>
              <w:spacing w:line="380" w:lineRule="exact"/>
              <w:rPr>
                <w:rFonts w:hint="eastAsia" w:ascii="宋体" w:hAnsi="宋体"/>
                <w:color w:val="auto"/>
                <w:szCs w:val="21"/>
                <w:highlight w:val="none"/>
              </w:rPr>
            </w:pPr>
            <w:r>
              <w:rPr>
                <w:rFonts w:hint="eastAsia" w:ascii="宋体" w:hAnsi="宋体"/>
                <w:color w:val="auto"/>
                <w:szCs w:val="21"/>
                <w:highlight w:val="none"/>
                <w:u w:val="single"/>
              </w:rPr>
              <w:t>（2）南宁市江南区</w:t>
            </w:r>
            <w:r>
              <w:rPr>
                <w:rFonts w:hint="eastAsia" w:ascii="宋体" w:hAnsi="宋体"/>
                <w:color w:val="auto"/>
                <w:szCs w:val="21"/>
                <w:highlight w:val="none"/>
                <w:u w:val="single"/>
                <w:lang w:val="en-US" w:eastAsia="zh-CN"/>
              </w:rPr>
              <w:t>市政环卫工作站</w:t>
            </w:r>
            <w:r>
              <w:rPr>
                <w:rFonts w:hint="eastAsia" w:ascii="宋体" w:hAnsi="宋体"/>
                <w:color w:val="auto"/>
                <w:szCs w:val="21"/>
                <w:highlight w:val="none"/>
                <w:u w:val="single"/>
              </w:rPr>
              <w:t xml:space="preserve">  </w:t>
            </w:r>
            <w:r>
              <w:rPr>
                <w:rFonts w:hint="eastAsia" w:ascii="宋体" w:hAnsi="宋体"/>
                <w:color w:val="auto"/>
                <w:szCs w:val="21"/>
                <w:highlight w:val="none"/>
              </w:rPr>
              <w:t>部门；</w:t>
            </w:r>
          </w:p>
          <w:p>
            <w:pPr>
              <w:snapToGrid w:val="0"/>
              <w:spacing w:line="380" w:lineRule="exact"/>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：0771-</w:t>
            </w:r>
            <w:r>
              <w:rPr>
                <w:rFonts w:hint="eastAsia" w:ascii="宋体" w:hAnsi="宋体"/>
                <w:color w:val="auto"/>
                <w:szCs w:val="21"/>
                <w:highlight w:val="none"/>
                <w:lang w:val="en-US" w:eastAsia="zh-CN"/>
              </w:rPr>
              <w:t>4831092</w:t>
            </w:r>
            <w:r>
              <w:rPr>
                <w:rFonts w:hint="eastAsia" w:ascii="宋体" w:hAnsi="宋体"/>
                <w:color w:val="auto"/>
                <w:szCs w:val="21"/>
                <w:highlight w:val="none"/>
              </w:rPr>
              <w:t>，</w:t>
            </w:r>
          </w:p>
          <w:p>
            <w:pPr>
              <w:snapToGrid w:val="0"/>
              <w:spacing w:line="380" w:lineRule="exact"/>
              <w:rPr>
                <w:rFonts w:hint="eastAsia" w:ascii="宋体" w:hAnsi="宋体" w:eastAsia="宋体"/>
                <w:color w:val="auto"/>
                <w:szCs w:val="21"/>
                <w:highlight w:val="none"/>
                <w:lang w:eastAsia="zh-CN"/>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u w:val="single"/>
              </w:rPr>
              <w:t>南宁市江南区</w:t>
            </w:r>
            <w:r>
              <w:rPr>
                <w:rFonts w:hint="eastAsia" w:ascii="宋体" w:hAnsi="宋体"/>
                <w:color w:val="auto"/>
                <w:szCs w:val="21"/>
                <w:highlight w:val="none"/>
                <w:u w:val="single"/>
                <w:lang w:eastAsia="zh-CN"/>
              </w:rPr>
              <w:t>五一路南三里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noWrap w:val="0"/>
            <w:vAlign w:val="center"/>
          </w:tcPr>
          <w:p>
            <w:pPr>
              <w:spacing w:line="360" w:lineRule="auto"/>
              <w:jc w:val="center"/>
              <w:rPr>
                <w:rFonts w:ascii="宋体" w:hAnsi="宋体" w:cs="宋体"/>
                <w:color w:val="auto"/>
                <w:szCs w:val="21"/>
                <w:highlight w:val="none"/>
              </w:rPr>
            </w:pPr>
          </w:p>
        </w:tc>
        <w:tc>
          <w:tcPr>
            <w:tcW w:w="2786" w:type="dxa"/>
            <w:noWrap w:val="0"/>
            <w:vAlign w:val="center"/>
          </w:tcPr>
          <w:p>
            <w:pPr>
              <w:spacing w:line="380" w:lineRule="exact"/>
              <w:jc w:val="center"/>
              <w:rPr>
                <w:rFonts w:hint="eastAsia" w:ascii="宋体" w:hAnsi="宋体"/>
                <w:color w:val="auto"/>
                <w:szCs w:val="21"/>
                <w:highlight w:val="none"/>
              </w:rPr>
            </w:pPr>
            <w:r>
              <w:rPr>
                <w:rFonts w:hint="eastAsia" w:hAnsi="宋体"/>
                <w:color w:val="auto"/>
                <w:highlight w:val="none"/>
              </w:rPr>
              <w:t>现场提交质疑办理业务时间</w:t>
            </w:r>
          </w:p>
        </w:tc>
        <w:tc>
          <w:tcPr>
            <w:tcW w:w="6853" w:type="dxa"/>
            <w:noWrap w:val="0"/>
            <w:vAlign w:val="center"/>
          </w:tcPr>
          <w:p>
            <w:pPr>
              <w:snapToGrid w:val="0"/>
              <w:spacing w:line="380" w:lineRule="exact"/>
              <w:rPr>
                <w:rFonts w:hint="eastAsia" w:ascii="宋体" w:hAnsi="宋体"/>
                <w:color w:val="auto"/>
                <w:szCs w:val="21"/>
                <w:highlight w:val="none"/>
              </w:rPr>
            </w:pPr>
            <w:r>
              <w:rPr>
                <w:rFonts w:hint="eastAsia" w:hAnsi="宋体"/>
                <w:color w:val="auto"/>
                <w:highlight w:val="none"/>
              </w:rPr>
              <w:t>质疑期内每个工作日</w:t>
            </w:r>
            <w:r>
              <w:rPr>
                <w:rFonts w:hint="eastAsia" w:hAnsi="宋体"/>
                <w:color w:val="auto"/>
                <w:highlight w:val="none"/>
                <w:u w:val="single"/>
                <w:lang w:val="en-US" w:eastAsia="zh-CN"/>
              </w:rPr>
              <w:t>08</w:t>
            </w:r>
            <w:r>
              <w:rPr>
                <w:rFonts w:hint="eastAsia" w:hAnsi="宋体"/>
                <w:color w:val="auto"/>
                <w:highlight w:val="none"/>
              </w:rPr>
              <w:t>时</w:t>
            </w:r>
            <w:r>
              <w:rPr>
                <w:rFonts w:hint="eastAsia" w:hAnsi="宋体"/>
                <w:color w:val="auto"/>
                <w:highlight w:val="none"/>
                <w:u w:val="single"/>
                <w:lang w:val="en-US" w:eastAsia="zh-CN"/>
              </w:rPr>
              <w:t>00</w:t>
            </w:r>
            <w:r>
              <w:rPr>
                <w:rFonts w:hint="eastAsia" w:hAnsi="宋体"/>
                <w:color w:val="auto"/>
                <w:highlight w:val="none"/>
              </w:rPr>
              <w:t>分到</w:t>
            </w:r>
            <w:r>
              <w:rPr>
                <w:rFonts w:hint="eastAsia" w:hAnsi="宋体"/>
                <w:color w:val="auto"/>
                <w:highlight w:val="none"/>
                <w:u w:val="single"/>
                <w:lang w:val="en-US" w:eastAsia="zh-CN"/>
              </w:rPr>
              <w:t>11</w:t>
            </w:r>
            <w:r>
              <w:rPr>
                <w:rFonts w:hint="eastAsia" w:hAnsi="宋体"/>
                <w:color w:val="auto"/>
                <w:highlight w:val="none"/>
              </w:rPr>
              <w:t>时</w:t>
            </w:r>
            <w:r>
              <w:rPr>
                <w:rFonts w:hint="eastAsia" w:hAnsi="宋体"/>
                <w:color w:val="auto"/>
                <w:highlight w:val="none"/>
                <w:u w:val="single"/>
                <w:lang w:val="en-US" w:eastAsia="zh-CN"/>
              </w:rPr>
              <w:t>00</w:t>
            </w:r>
            <w:r>
              <w:rPr>
                <w:rFonts w:hint="eastAsia" w:hAnsi="宋体"/>
                <w:color w:val="auto"/>
                <w:highlight w:val="none"/>
              </w:rPr>
              <w:t>分，</w:t>
            </w:r>
            <w:r>
              <w:rPr>
                <w:rFonts w:hint="eastAsia" w:hAnsi="宋体"/>
                <w:color w:val="auto"/>
                <w:highlight w:val="none"/>
                <w:u w:val="single"/>
                <w:lang w:val="en-US" w:eastAsia="zh-CN"/>
              </w:rPr>
              <w:t>15</w:t>
            </w:r>
            <w:r>
              <w:rPr>
                <w:rFonts w:hint="eastAsia" w:hAnsi="宋体"/>
                <w:color w:val="auto"/>
                <w:highlight w:val="none"/>
              </w:rPr>
              <w:t>时</w:t>
            </w:r>
            <w:r>
              <w:rPr>
                <w:rFonts w:hint="eastAsia" w:hAnsi="宋体"/>
                <w:color w:val="auto"/>
                <w:highlight w:val="none"/>
                <w:u w:val="single"/>
                <w:lang w:val="en-US" w:eastAsia="zh-CN"/>
              </w:rPr>
              <w:t>00</w:t>
            </w:r>
            <w:r>
              <w:rPr>
                <w:rFonts w:hint="eastAsia" w:hAnsi="宋体"/>
                <w:color w:val="auto"/>
                <w:highlight w:val="none"/>
              </w:rPr>
              <w:t>分到</w:t>
            </w:r>
            <w:r>
              <w:rPr>
                <w:rFonts w:hint="eastAsia" w:hAnsi="宋体"/>
                <w:color w:val="auto"/>
                <w:highlight w:val="none"/>
                <w:u w:val="single"/>
                <w:lang w:val="en-US" w:eastAsia="zh-CN"/>
              </w:rPr>
              <w:t>17</w:t>
            </w:r>
            <w:r>
              <w:rPr>
                <w:rFonts w:hint="eastAsia" w:hAnsi="宋体"/>
                <w:color w:val="auto"/>
                <w:highlight w:val="none"/>
              </w:rPr>
              <w:t>时</w:t>
            </w:r>
            <w:r>
              <w:rPr>
                <w:rFonts w:hint="eastAsia" w:hAnsi="宋体"/>
                <w:color w:val="auto"/>
                <w:highlight w:val="none"/>
                <w:u w:val="single"/>
                <w:lang w:val="en-US" w:eastAsia="zh-CN"/>
              </w:rPr>
              <w:t>00</w:t>
            </w:r>
            <w:r>
              <w:rPr>
                <w:rFonts w:hint="eastAsia" w:hAnsi="宋体"/>
                <w:color w:val="auto"/>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受理投诉方式</w:t>
            </w:r>
          </w:p>
        </w:tc>
        <w:tc>
          <w:tcPr>
            <w:tcW w:w="6853" w:type="dxa"/>
            <w:noWrap w:val="0"/>
            <w:vAlign w:val="center"/>
          </w:tcPr>
          <w:p>
            <w:pPr>
              <w:snapToGrid w:val="0"/>
              <w:spacing w:line="380" w:lineRule="exact"/>
              <w:rPr>
                <w:rFonts w:hint="eastAsia" w:hAnsi="宋体"/>
                <w:color w:val="auto"/>
                <w:highlight w:val="none"/>
              </w:rPr>
            </w:pPr>
            <w:r>
              <w:rPr>
                <w:rFonts w:hint="eastAsia" w:hAnsi="宋体"/>
                <w:color w:val="auto"/>
                <w:highlight w:val="none"/>
              </w:rPr>
              <w:t>1、受理方式：以书面形式</w:t>
            </w:r>
            <w:r>
              <w:rPr>
                <w:rFonts w:hint="eastAsia" w:hAnsi="宋体"/>
                <w:color w:val="auto"/>
                <w:highlight w:val="none"/>
                <w:lang w:eastAsia="zh-CN"/>
              </w:rPr>
              <w:t>，</w:t>
            </w:r>
            <w:r>
              <w:rPr>
                <w:rFonts w:hint="eastAsia" w:hAnsi="宋体"/>
                <w:color w:val="auto"/>
                <w:highlight w:val="none"/>
                <w:lang w:val="en-US" w:eastAsia="zh-CN"/>
              </w:rPr>
              <w:t>接收EMS邮寄纸质质疑材料</w:t>
            </w:r>
            <w:r>
              <w:rPr>
                <w:rFonts w:hint="eastAsia" w:hAnsi="宋体"/>
                <w:color w:val="auto"/>
                <w:highlight w:val="none"/>
              </w:rPr>
              <w:t>，投诉书正、副本（经过质疑的事项才可投诉）。</w:t>
            </w:r>
          </w:p>
          <w:p>
            <w:pPr>
              <w:snapToGrid w:val="0"/>
              <w:spacing w:line="380" w:lineRule="exact"/>
              <w:rPr>
                <w:rFonts w:hint="eastAsia" w:hAnsi="宋体"/>
                <w:color w:val="auto"/>
                <w:highlight w:val="none"/>
              </w:rPr>
            </w:pPr>
            <w:r>
              <w:rPr>
                <w:rFonts w:hint="eastAsia" w:hAnsi="宋体"/>
                <w:color w:val="auto"/>
                <w:highlight w:val="none"/>
              </w:rPr>
              <w:t>2、邮寄地址：</w:t>
            </w:r>
          </w:p>
          <w:p>
            <w:pPr>
              <w:snapToGrid w:val="0"/>
              <w:spacing w:line="380" w:lineRule="exact"/>
              <w:rPr>
                <w:rFonts w:hint="eastAsia" w:ascii="Times New Roman" w:hAnsi="宋体" w:eastAsia="宋体" w:cs="Times New Roman"/>
                <w:color w:val="auto"/>
                <w:highlight w:val="none"/>
                <w:lang w:eastAsia="zh-CN"/>
              </w:rPr>
            </w:pPr>
            <w:r>
              <w:rPr>
                <w:rFonts w:hint="eastAsia" w:ascii="Times New Roman" w:hAnsi="宋体" w:eastAsia="宋体" w:cs="Times New Roman"/>
                <w:color w:val="auto"/>
                <w:highlight w:val="none"/>
                <w:lang w:eastAsia="zh-CN"/>
              </w:rPr>
              <w:t>名称：南宁市江南区财政局政府采购监督管理办公室</w:t>
            </w:r>
          </w:p>
          <w:p>
            <w:pPr>
              <w:snapToGrid w:val="0"/>
              <w:spacing w:line="380" w:lineRule="exact"/>
              <w:rPr>
                <w:rFonts w:hint="default" w:ascii="Times New Roman" w:hAnsi="宋体" w:eastAsia="宋体" w:cs="Times New Roman"/>
                <w:color w:val="auto"/>
                <w:highlight w:val="none"/>
                <w:lang w:val="en-US" w:eastAsia="zh-CN"/>
              </w:rPr>
            </w:pPr>
            <w:r>
              <w:rPr>
                <w:rFonts w:hint="eastAsia" w:ascii="Times New Roman" w:hAnsi="宋体" w:eastAsia="宋体" w:cs="Times New Roman"/>
                <w:color w:val="auto"/>
                <w:highlight w:val="none"/>
                <w:lang w:eastAsia="zh-CN"/>
              </w:rPr>
              <w:t>地址：南宁市壮锦大道</w:t>
            </w:r>
            <w:r>
              <w:rPr>
                <w:rFonts w:hint="eastAsia" w:ascii="Times New Roman" w:hAnsi="宋体" w:eastAsia="宋体" w:cs="Times New Roman"/>
                <w:color w:val="auto"/>
                <w:highlight w:val="none"/>
                <w:lang w:val="en-US" w:eastAsia="zh-CN"/>
              </w:rPr>
              <w:t>19号A座10层1017室</w:t>
            </w:r>
          </w:p>
          <w:p>
            <w:pPr>
              <w:snapToGrid w:val="0"/>
              <w:spacing w:line="380" w:lineRule="exact"/>
              <w:rPr>
                <w:rFonts w:hint="eastAsia" w:hAnsi="宋体" w:cs="宋体"/>
                <w:color w:val="auto"/>
                <w:sz w:val="21"/>
                <w:highlight w:val="none"/>
                <w:lang w:val="en-US" w:eastAsia="zh-CN"/>
              </w:rPr>
            </w:pPr>
            <w:r>
              <w:rPr>
                <w:rFonts w:hint="eastAsia" w:ascii="Times New Roman" w:hAnsi="宋体" w:eastAsia="宋体" w:cs="Times New Roman"/>
                <w:color w:val="auto"/>
                <w:highlight w:val="none"/>
                <w:lang w:eastAsia="zh-CN"/>
              </w:rPr>
              <w:t>联系电话：0771-</w:t>
            </w:r>
            <w:r>
              <w:rPr>
                <w:rFonts w:hint="eastAsia" w:ascii="Times New Roman" w:hAnsi="宋体" w:eastAsia="宋体" w:cs="Times New Roman"/>
                <w:color w:val="auto"/>
                <w:highlight w:val="none"/>
                <w:lang w:val="en-US" w:eastAsia="zh-CN"/>
              </w:rPr>
              <w:t>4802805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采购代理费</w:t>
            </w:r>
          </w:p>
        </w:tc>
        <w:tc>
          <w:tcPr>
            <w:tcW w:w="6853" w:type="dxa"/>
            <w:noWrap w:val="0"/>
            <w:vAlign w:val="center"/>
          </w:tcPr>
          <w:p>
            <w:pPr>
              <w:pStyle w:val="13"/>
              <w:snapToGrid w:val="0"/>
              <w:spacing w:line="360" w:lineRule="auto"/>
              <w:rPr>
                <w:rFonts w:hint="eastAsia" w:hAnsi="宋体" w:cs="宋体"/>
                <w:color w:val="auto"/>
                <w:sz w:val="21"/>
                <w:highlight w:val="none"/>
                <w:lang w:val="en-US" w:eastAsia="zh-CN"/>
              </w:rPr>
            </w:pPr>
            <w:r>
              <w:rPr>
                <w:rFonts w:hint="eastAsia" w:ascii="Times New Roman" w:hAnsi="宋体" w:eastAsia="宋体" w:cs="Times New Roman"/>
                <w:color w:val="auto"/>
                <w:kern w:val="2"/>
                <w:sz w:val="21"/>
                <w:szCs w:val="24"/>
                <w:highlight w:val="none"/>
                <w:lang w:val="en-US" w:eastAsia="zh-CN" w:bidi="ar-SA"/>
              </w:rPr>
              <w:t>本项目不收取采购代理费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w:t>
            </w:r>
            <w:r>
              <w:rPr>
                <w:rFonts w:ascii="宋体" w:hAnsi="宋体" w:cs="宋体"/>
                <w:color w:val="auto"/>
                <w:szCs w:val="21"/>
                <w:highlight w:val="none"/>
              </w:rPr>
              <w:t>.1</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685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宋体" w:eastAsia="宋体" w:cs="Times New Roman"/>
                <w:color w:val="auto"/>
                <w:highlight w:val="none"/>
                <w:lang w:val="en-US" w:eastAsia="zh-CN"/>
              </w:rPr>
            </w:pPr>
            <w:r>
              <w:rPr>
                <w:rFonts w:hint="eastAsia" w:ascii="Times New Roman" w:hAnsi="宋体" w:eastAsia="宋体" w:cs="Times New Roman"/>
                <w:color w:val="auto"/>
                <w:highlight w:val="none"/>
                <w:lang w:val="en-US" w:eastAsia="zh-CN"/>
              </w:rPr>
              <w:t>解释权：构成本谈判文件的各个组成文件应互为解释，互为说明；除谈判文件中有特别规定外，仅适用于竞标阶段的规定，按更正公告（澄清公告）、竞争性谈判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谈判文件不一致时以更正公告（澄清公告）为准。按本款前述规定仍不能形成结论的，</w:t>
            </w:r>
            <w:r>
              <w:rPr>
                <w:rFonts w:hint="eastAsia" w:ascii="Times New Roman" w:hAnsi="宋体" w:eastAsia="宋体" w:cs="Times New Roman"/>
                <w:b/>
                <w:bCs/>
                <w:color w:val="auto"/>
                <w:highlight w:val="none"/>
                <w:lang w:val="en-US" w:eastAsia="zh-CN"/>
              </w:rPr>
              <w:t>由采购人或者采购代理机构负责解释</w:t>
            </w:r>
            <w:r>
              <w:rPr>
                <w:rFonts w:hint="eastAsia" w:ascii="Times New Roman" w:hAnsi="宋体" w:eastAsia="宋体" w:cs="Times New Roman"/>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color w:val="auto"/>
                <w:highlight w:val="none"/>
              </w:rPr>
            </w:pPr>
            <w:r>
              <w:rPr>
                <w:rFonts w:hint="eastAsia" w:ascii="Times New Roman" w:hAnsi="宋体" w:eastAsia="宋体" w:cs="Times New Roman"/>
                <w:color w:val="auto"/>
                <w:highlight w:val="none"/>
              </w:rPr>
              <w:t>法律责任：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34</w:t>
            </w:r>
            <w:r>
              <w:rPr>
                <w:rFonts w:ascii="宋体" w:hAnsi="宋体" w:cs="宋体"/>
                <w:color w:val="auto"/>
                <w:szCs w:val="21"/>
                <w:highlight w:val="none"/>
              </w:rPr>
              <w:t>.2</w:t>
            </w:r>
          </w:p>
        </w:tc>
        <w:tc>
          <w:tcPr>
            <w:tcW w:w="2786"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6853" w:type="dxa"/>
            <w:noWrap w:val="0"/>
            <w:vAlign w:val="center"/>
          </w:tcPr>
          <w:p>
            <w:pPr>
              <w:pStyle w:val="13"/>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1.本谈判文件中描述供应商的“公章”是指供应商通过指定电子化政府采购平台办理数字证书（CA认证）获得的以法定主体行为名称制作的电子印章。</w:t>
            </w:r>
          </w:p>
          <w:p>
            <w:pPr>
              <w:pStyle w:val="13"/>
              <w:snapToGrid w:val="0"/>
              <w:spacing w:line="360" w:lineRule="auto"/>
              <w:rPr>
                <w:rFonts w:hAnsi="宋体" w:cs="宋体"/>
                <w:color w:val="auto"/>
                <w:sz w:val="21"/>
                <w:highlight w:val="none"/>
                <w:lang w:val="en-US" w:eastAsia="zh-CN"/>
              </w:rPr>
            </w:pPr>
            <w:r>
              <w:rPr>
                <w:rFonts w:hint="eastAsia" w:hAnsi="宋体" w:cs="宋体"/>
                <w:color w:val="auto"/>
                <w:sz w:val="21"/>
                <w:highlight w:val="none"/>
                <w:lang w:val="en-US" w:eastAsia="zh-CN"/>
              </w:rPr>
              <w:t>2.本谈判文件中描述供应商的“签字”是指供应商通过指定电子化政府采购平台办理数字证书（CA认证）获得的以供应商法定代表人或者委托代理人姓名制作的电子印章或手写签字。</w:t>
            </w:r>
          </w:p>
          <w:p>
            <w:pPr>
              <w:pStyle w:val="13"/>
              <w:snapToGrid w:val="0"/>
              <w:spacing w:line="360" w:lineRule="auto"/>
              <w:rPr>
                <w:rFonts w:hint="eastAsia" w:hAnsi="宋体" w:cs="宋体"/>
                <w:color w:val="auto"/>
                <w:sz w:val="21"/>
                <w:highlight w:val="none"/>
                <w:lang w:val="en-US" w:eastAsia="zh-CN"/>
              </w:rPr>
            </w:pPr>
            <w:r>
              <w:rPr>
                <w:rFonts w:hAnsi="宋体" w:cs="宋体"/>
                <w:color w:val="auto"/>
                <w:sz w:val="21"/>
                <w:highlight w:val="none"/>
                <w:lang w:val="en-US" w:eastAsia="zh-CN"/>
              </w:rPr>
              <w:t>3.</w:t>
            </w:r>
            <w:r>
              <w:rPr>
                <w:rFonts w:hint="eastAsia" w:hAnsi="宋体" w:cs="宋体"/>
                <w:color w:val="auto"/>
                <w:sz w:val="21"/>
                <w:highlight w:val="none"/>
                <w:lang w:val="en-US" w:eastAsia="zh-CN"/>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pPr>
              <w:pStyle w:val="13"/>
              <w:snapToGrid w:val="0"/>
              <w:spacing w:line="360" w:lineRule="auto"/>
              <w:rPr>
                <w:rFonts w:hAnsi="宋体" w:cs="宋体"/>
                <w:color w:val="auto"/>
                <w:sz w:val="21"/>
                <w:highlight w:val="none"/>
                <w:lang w:val="en-US" w:eastAsia="zh-CN"/>
              </w:rPr>
            </w:pPr>
            <w:r>
              <w:rPr>
                <w:rFonts w:hAnsi="宋体" w:cs="宋体"/>
                <w:color w:val="auto"/>
                <w:sz w:val="21"/>
                <w:highlight w:val="none"/>
                <w:lang w:val="en-US" w:eastAsia="zh-CN"/>
              </w:rPr>
              <w:t>4.</w:t>
            </w:r>
            <w:r>
              <w:rPr>
                <w:rFonts w:hint="eastAsia" w:hAnsi="宋体" w:cs="宋体"/>
                <w:color w:val="auto"/>
                <w:sz w:val="21"/>
                <w:highlight w:val="none"/>
                <w:lang w:val="en-US" w:eastAsia="zh-CN"/>
              </w:rPr>
              <w:t>自然人竞标的，谈判文件规定盖公章处由自然人摁手指指印。</w:t>
            </w:r>
          </w:p>
          <w:p>
            <w:pPr>
              <w:pStyle w:val="13"/>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5</w:t>
            </w:r>
            <w:r>
              <w:rPr>
                <w:rFonts w:hAnsi="宋体" w:cs="宋体"/>
                <w:color w:val="auto"/>
                <w:sz w:val="21"/>
                <w:highlight w:val="none"/>
                <w:lang w:val="en-US" w:eastAsia="zh-CN"/>
              </w:rPr>
              <w:t>.</w:t>
            </w:r>
            <w:r>
              <w:rPr>
                <w:rFonts w:hint="eastAsia" w:hAnsi="宋体" w:cs="宋体"/>
                <w:color w:val="auto"/>
                <w:sz w:val="21"/>
                <w:highlight w:val="none"/>
                <w:lang w:val="en-US" w:eastAsia="zh-CN"/>
              </w:rPr>
              <w:t>本谈判文件所称的“以上”“以下”“以内”“届满”，包括本数；所称的“不满”“超过”“以外”，不包括本数。</w:t>
            </w:r>
          </w:p>
        </w:tc>
      </w:tr>
    </w:tbl>
    <w:p>
      <w:pPr>
        <w:pStyle w:val="4"/>
        <w:spacing w:line="420" w:lineRule="exact"/>
        <w:jc w:val="center"/>
        <w:rPr>
          <w:rFonts w:hint="eastAsia" w:ascii="宋体" w:hAnsi="宋体"/>
          <w:b w:val="0"/>
          <w:color w:val="auto"/>
          <w:highlight w:val="none"/>
        </w:rPr>
      </w:pPr>
      <w:r>
        <w:rPr>
          <w:rFonts w:ascii="宋体" w:hAnsi="宋体"/>
          <w:b w:val="0"/>
          <w:color w:val="auto"/>
          <w:highlight w:val="none"/>
        </w:rPr>
        <w:br w:type="page"/>
      </w:r>
      <w:bookmarkStart w:id="36" w:name="_Toc80205924"/>
      <w:r>
        <w:rPr>
          <w:rFonts w:hint="eastAsia" w:ascii="宋体" w:hAnsi="宋体"/>
          <w:b w:val="0"/>
          <w:color w:val="auto"/>
          <w:highlight w:val="none"/>
        </w:rPr>
        <w:t>第二节 供应商须知正文</w:t>
      </w:r>
      <w:bookmarkEnd w:id="36"/>
    </w:p>
    <w:p>
      <w:pPr>
        <w:pStyle w:val="5"/>
        <w:spacing w:before="0" w:after="0" w:line="360" w:lineRule="auto"/>
        <w:ind w:firstLine="640" w:firstLineChars="200"/>
        <w:rPr>
          <w:rFonts w:hint="eastAsia" w:ascii="宋体" w:hAnsi="宋体"/>
          <w:b w:val="0"/>
          <w:color w:val="auto"/>
          <w:highlight w:val="none"/>
        </w:rPr>
      </w:pPr>
      <w:bookmarkStart w:id="37" w:name="_Toc80205925"/>
      <w:r>
        <w:rPr>
          <w:rFonts w:hint="eastAsia" w:ascii="宋体" w:hAnsi="宋体"/>
          <w:b w:val="0"/>
          <w:color w:val="auto"/>
          <w:highlight w:val="none"/>
        </w:rPr>
        <w:t>一、总则</w:t>
      </w:r>
      <w:bookmarkEnd w:id="37"/>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pPr>
        <w:spacing w:line="360" w:lineRule="auto"/>
        <w:ind w:firstLine="482" w:firstLineChars="200"/>
        <w:rPr>
          <w:rFonts w:hint="eastAsia" w:ascii="宋体" w:hAnsi="宋体" w:cs="宋体"/>
          <w:color w:val="auto"/>
          <w:szCs w:val="21"/>
          <w:highlight w:val="none"/>
        </w:rPr>
      </w:pPr>
      <w:r>
        <w:rPr>
          <w:rFonts w:hint="eastAsia" w:ascii="黑体" w:hAnsi="黑体" w:eastAsia="黑体" w:cs="宋体"/>
          <w:b/>
          <w:bCs/>
          <w:color w:val="auto"/>
          <w:sz w:val="24"/>
          <w:highlight w:val="none"/>
        </w:rPr>
        <w:t>2.定义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pPr>
        <w:spacing w:line="360" w:lineRule="auto"/>
        <w:ind w:firstLine="420" w:firstLineChars="200"/>
        <w:rPr>
          <w:rFonts w:hint="eastAsia" w:ascii="宋体" w:hAnsi="宋体"/>
          <w:b/>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2.3“供应商”是指向采购人提供货物、工程或者货物的法人、其他组织或者自然人。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2.6“售后服务” 是指包含但不限于供应商须承担的备品备件、包装、运输、装卸、保险、货到就位以及安装、调试、培训、保修和其他类似的义务。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是指：供应商根据本文件要求，编制包含报价、技术和货物等所有内容的文件。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“实质性要求”是指采购需求中带“▲”的条款或者不能负偏离的条款或者已经指明不满足按响应文件作无效处理的条款。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4.谈判费用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pPr>
        <w:spacing w:line="360" w:lineRule="auto"/>
        <w:ind w:firstLine="420" w:firstLineChars="200"/>
        <w:rPr>
          <w:rFonts w:hint="eastAsia" w:ascii="宋体" w:hAnsi="宋体"/>
          <w:bCs/>
          <w:color w:val="auto"/>
          <w:szCs w:val="21"/>
          <w:highlight w:val="none"/>
        </w:rPr>
      </w:pPr>
      <w:r>
        <w:rPr>
          <w:rFonts w:hint="eastAsia" w:ascii="宋体" w:hAnsi="宋体" w:cs="宋体"/>
          <w:color w:val="auto"/>
          <w:szCs w:val="21"/>
          <w:highlight w:val="none"/>
        </w:rPr>
        <w:t>5.3</w:t>
      </w:r>
      <w:r>
        <w:rPr>
          <w:rFonts w:hint="eastAsia" w:ascii="宋体" w:hAnsi="宋体"/>
          <w:bCs/>
          <w:color w:val="auto"/>
          <w:szCs w:val="21"/>
          <w:highlight w:val="none"/>
        </w:rPr>
        <w:t>根据《政府采购促进中小企业发展</w:t>
      </w:r>
      <w:r>
        <w:rPr>
          <w:rFonts w:hint="eastAsia"/>
          <w:color w:val="auto"/>
          <w:highlight w:val="none"/>
        </w:rPr>
        <w:t>管理</w:t>
      </w:r>
      <w:r>
        <w:rPr>
          <w:rFonts w:hint="eastAsia" w:ascii="宋体" w:hAnsi="宋体"/>
          <w:bCs/>
          <w:color w:val="auto"/>
          <w:szCs w:val="21"/>
          <w:highlight w:val="none"/>
        </w:rPr>
        <w:t>办法》（财库[2020]46号）</w:t>
      </w:r>
      <w:r>
        <w:rPr>
          <w:rFonts w:ascii="宋体" w:hAnsi="宋体"/>
          <w:bCs/>
          <w:color w:val="auto"/>
          <w:szCs w:val="21"/>
          <w:highlight w:val="none"/>
        </w:rPr>
        <w:t>第九条</w:t>
      </w:r>
      <w:r>
        <w:rPr>
          <w:rFonts w:hint="eastAsia" w:ascii="宋体" w:hAnsi="宋体"/>
          <w:bCs/>
          <w:color w:val="auto"/>
          <w:szCs w:val="21"/>
          <w:highlight w:val="none"/>
        </w:rPr>
        <w:t>及《广西壮族自治区财政厅关于进一步发挥政府采购政策功能促进企业发展的通知》（桂财采〔2022〕30号）、</w:t>
      </w:r>
      <w:r>
        <w:rPr>
          <w:rFonts w:hint="eastAsia"/>
          <w:color w:val="auto"/>
          <w:highlight w:val="none"/>
        </w:rPr>
        <w:t>《广西壮族自治区财政厅关于贯彻落实政府采购支持中小企业发展政策的通知》（桂财采〔2022〕31号）</w:t>
      </w:r>
      <w:r>
        <w:rPr>
          <w:rFonts w:hint="eastAsia" w:ascii="宋体" w:hAnsi="宋体"/>
          <w:bCs/>
          <w:color w:val="auto"/>
          <w:szCs w:val="21"/>
          <w:highlight w:val="none"/>
        </w:rPr>
        <w:t>规定，</w:t>
      </w:r>
      <w:r>
        <w:rPr>
          <w:rFonts w:ascii="宋体" w:hAnsi="宋体"/>
          <w:bCs/>
          <w:color w:val="auto"/>
          <w:szCs w:val="21"/>
          <w:highlight w:val="none"/>
        </w:rPr>
        <w:t xml:space="preserve">接受大中型企业与小微企业组成联合体的采购项目，对于联合协议约定小微企业的合同份额占到合同总金额 30%以上的，采购人、采购代理机构应当对联合体的报价给予 </w:t>
      </w:r>
      <w:r>
        <w:rPr>
          <w:rFonts w:hint="eastAsia" w:ascii="宋体" w:hAnsi="宋体"/>
          <w:bCs/>
          <w:color w:val="auto"/>
          <w:szCs w:val="21"/>
          <w:highlight w:val="none"/>
          <w:lang w:val="en-US" w:eastAsia="zh-CN"/>
        </w:rPr>
        <w:t>4</w:t>
      </w:r>
      <w:r>
        <w:rPr>
          <w:rFonts w:ascii="宋体" w:hAnsi="宋体"/>
          <w:bCs/>
          <w:color w:val="auto"/>
          <w:szCs w:val="21"/>
          <w:highlight w:val="none"/>
        </w:rPr>
        <w:t>%-</w:t>
      </w:r>
      <w:r>
        <w:rPr>
          <w:rFonts w:hint="eastAsia" w:ascii="宋体" w:hAnsi="宋体"/>
          <w:bCs/>
          <w:color w:val="auto"/>
          <w:szCs w:val="21"/>
          <w:highlight w:val="none"/>
          <w:lang w:val="en-US" w:eastAsia="zh-CN"/>
        </w:rPr>
        <w:t>6</w:t>
      </w:r>
      <w:r>
        <w:rPr>
          <w:rFonts w:ascii="宋体" w:hAnsi="宋体"/>
          <w:bCs/>
          <w:color w:val="auto"/>
          <w:szCs w:val="21"/>
          <w:highlight w:val="none"/>
        </w:rPr>
        <w:t>%（工程项目为 1%—2%）的扣除，用扣除后的价格参加评审。组成联合体的小微企业与联合体内其他企业、分包企业之间存在直接控股、管理关系的，不享受价格扣除优惠政策。</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w:t>
      </w:r>
      <w:r>
        <w:rPr>
          <w:rFonts w:hint="eastAsia" w:ascii="宋体" w:hAnsi="宋体"/>
          <w:bCs/>
          <w:color w:val="auto"/>
          <w:szCs w:val="21"/>
          <w:highlight w:val="none"/>
        </w:rPr>
        <w:t>根据《政府采购促进中小企业发展</w:t>
      </w:r>
      <w:r>
        <w:rPr>
          <w:rFonts w:hint="eastAsia"/>
          <w:color w:val="auto"/>
          <w:highlight w:val="none"/>
        </w:rPr>
        <w:t>管理</w:t>
      </w:r>
      <w:r>
        <w:rPr>
          <w:rFonts w:hint="eastAsia" w:ascii="宋体" w:hAnsi="宋体"/>
          <w:bCs/>
          <w:color w:val="auto"/>
          <w:szCs w:val="21"/>
          <w:highlight w:val="none"/>
        </w:rPr>
        <w:t>办法》（财库[2020]46号）</w:t>
      </w:r>
      <w:r>
        <w:rPr>
          <w:rFonts w:ascii="宋体" w:hAnsi="宋体"/>
          <w:bCs/>
          <w:color w:val="auto"/>
          <w:szCs w:val="21"/>
          <w:highlight w:val="none"/>
        </w:rPr>
        <w:t>第九条</w:t>
      </w:r>
      <w:r>
        <w:rPr>
          <w:rFonts w:hint="eastAsia" w:ascii="宋体" w:hAnsi="宋体"/>
          <w:bCs/>
          <w:color w:val="auto"/>
          <w:szCs w:val="21"/>
          <w:highlight w:val="none"/>
        </w:rPr>
        <w:t>及《广西壮族自治区财政厅关于进一步发挥政府采购政策功能促进企业发展的通知》（桂财采〔2022〕30号</w:t>
      </w:r>
      <w:r>
        <w:rPr>
          <w:rFonts w:hint="eastAsia" w:ascii="仿宋_GB2312" w:hAnsi="Calibri" w:eastAsia="仿宋_GB2312"/>
          <w:color w:val="auto"/>
          <w:sz w:val="24"/>
          <w:highlight w:val="none"/>
        </w:rPr>
        <w:t>）、</w:t>
      </w:r>
      <w:r>
        <w:rPr>
          <w:rFonts w:hint="eastAsia"/>
          <w:color w:val="auto"/>
          <w:highlight w:val="none"/>
        </w:rPr>
        <w:t>《广西壮族自治区财政厅关于贯彻落实政府采购支持中小企业发展政策的通知》（桂财采〔2022〕31号）</w:t>
      </w:r>
      <w:r>
        <w:rPr>
          <w:rFonts w:hint="eastAsia" w:ascii="宋体" w:hAnsi="宋体"/>
          <w:bCs/>
          <w:color w:val="auto"/>
          <w:szCs w:val="21"/>
          <w:highlight w:val="none"/>
        </w:rPr>
        <w:t>规定，</w:t>
      </w:r>
      <w:r>
        <w:rPr>
          <w:rFonts w:ascii="宋体" w:hAnsi="宋体"/>
          <w:bCs/>
          <w:color w:val="auto"/>
          <w:szCs w:val="21"/>
          <w:highlight w:val="none"/>
        </w:rPr>
        <w:t xml:space="preserve">允许大中型企业向一家或者多家小微企业分包的采购项目，对于分包意向协议约定小微企业的合同份额占到合同总金额 30%以上的，采购人、采购代理机构应当对大中型企业的报价给予 </w:t>
      </w:r>
      <w:r>
        <w:rPr>
          <w:rFonts w:hint="eastAsia" w:ascii="宋体" w:hAnsi="宋体"/>
          <w:bCs/>
          <w:color w:val="auto"/>
          <w:szCs w:val="21"/>
          <w:highlight w:val="none"/>
          <w:lang w:val="en-US" w:eastAsia="zh-CN"/>
        </w:rPr>
        <w:t>4</w:t>
      </w:r>
      <w:r>
        <w:rPr>
          <w:rFonts w:ascii="宋体" w:hAnsi="宋体"/>
          <w:bCs/>
          <w:color w:val="auto"/>
          <w:szCs w:val="21"/>
          <w:highlight w:val="none"/>
        </w:rPr>
        <w:t>%-</w:t>
      </w:r>
      <w:r>
        <w:rPr>
          <w:rFonts w:hint="eastAsia" w:ascii="宋体" w:hAnsi="宋体"/>
          <w:bCs/>
          <w:color w:val="auto"/>
          <w:szCs w:val="21"/>
          <w:highlight w:val="none"/>
          <w:lang w:val="en-US" w:eastAsia="zh-CN"/>
        </w:rPr>
        <w:t>6</w:t>
      </w:r>
      <w:r>
        <w:rPr>
          <w:rFonts w:ascii="宋体" w:hAnsi="宋体"/>
          <w:bCs/>
          <w:color w:val="auto"/>
          <w:szCs w:val="21"/>
          <w:highlight w:val="none"/>
        </w:rPr>
        <w:t>%的扣除，用扣除后的价格参加评审。接受分包的小微企业与分包企业之间存在直接控股、管理关系的，不享受价格扣除优惠政策。</w:t>
      </w:r>
    </w:p>
    <w:p>
      <w:pPr>
        <w:spacing w:line="360" w:lineRule="auto"/>
        <w:ind w:firstLine="482" w:firstLineChars="200"/>
        <w:rPr>
          <w:rFonts w:hint="eastAsia" w:ascii="黑体" w:hAnsi="黑体" w:eastAsia="黑体" w:cs="宋体"/>
          <w:b/>
          <w:bCs/>
          <w:color w:val="auto"/>
          <w:sz w:val="24"/>
          <w:highlight w:val="none"/>
        </w:rPr>
      </w:pPr>
      <w:bookmarkStart w:id="38" w:name="_Toc254970673"/>
      <w:bookmarkStart w:id="39" w:name="_Toc254970532"/>
      <w:r>
        <w:rPr>
          <w:rFonts w:hint="eastAsia" w:ascii="黑体" w:hAnsi="黑体" w:eastAsia="黑体" w:cs="宋体"/>
          <w:b/>
          <w:bCs/>
          <w:color w:val="auto"/>
          <w:sz w:val="24"/>
          <w:highlight w:val="none"/>
        </w:rPr>
        <w:t>7.特别说明</w:t>
      </w:r>
      <w:bookmarkEnd w:id="38"/>
      <w:bookmarkEnd w:id="39"/>
    </w:p>
    <w:p>
      <w:pPr>
        <w:spacing w:line="360" w:lineRule="auto"/>
        <w:ind w:firstLine="420" w:firstLineChars="200"/>
        <w:rPr>
          <w:rFonts w:hint="eastAsia" w:ascii="宋体" w:hAnsi="宋体" w:cs="宋体"/>
          <w:color w:val="auto"/>
          <w:szCs w:val="21"/>
          <w:highlight w:val="none"/>
        </w:rPr>
      </w:pPr>
      <w:bookmarkStart w:id="40" w:name="_8.1提供相同品牌产品且通过资格审查、符合性审查的不同投标人参加同一合"/>
      <w:bookmarkEnd w:id="40"/>
      <w:r>
        <w:rPr>
          <w:rFonts w:hint="eastAsia" w:ascii="宋体" w:hAnsi="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7.2供应商应仔细阅读谈判文件的所有内容，按照谈判文件的要求提交响应文件，并对所提供的全部资料的真实性承担法律责任。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（1）不同供应商的响应文件由同一单位或者个人编制；或者不同供应商报名的IP地址一致的；或者编制响应文件硬件设备CPU编号、硬盘编号、网卡地址一致的情况。</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bookmarkStart w:id="41" w:name="_Hlk54682620"/>
      <w:r>
        <w:rPr>
          <w:rFonts w:hint="eastAsia" w:ascii="宋体" w:hAnsi="宋体" w:cs="宋体"/>
          <w:color w:val="auto"/>
          <w:szCs w:val="21"/>
          <w:highlight w:val="none"/>
        </w:rPr>
        <w:t>，将报同级监督管理部门</w:t>
      </w:r>
      <w:bookmarkEnd w:id="41"/>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pPr>
        <w:spacing w:line="360" w:lineRule="auto"/>
        <w:ind w:firstLine="420" w:firstLineChars="200"/>
        <w:rPr>
          <w:rFonts w:hint="eastAsia"/>
          <w:color w:val="auto"/>
          <w:highlight w:val="none"/>
        </w:rPr>
      </w:pPr>
      <w:r>
        <w:rPr>
          <w:rFonts w:hint="eastAsia"/>
          <w:color w:val="auto"/>
          <w:highlight w:val="none"/>
        </w:rPr>
        <w:t>（7）供应商与采购人或者采购代理机构之间、供应商相互之间，为谋求特定供应商成交或者排斥其他供应商的其他串通行为。</w:t>
      </w:r>
      <w:bookmarkStart w:id="42" w:name="_Toc254970534"/>
      <w:bookmarkStart w:id="43" w:name="_Toc254970675"/>
    </w:p>
    <w:p>
      <w:pPr>
        <w:pStyle w:val="5"/>
        <w:spacing w:before="0" w:after="0" w:line="360" w:lineRule="auto"/>
        <w:ind w:firstLine="640" w:firstLineChars="200"/>
        <w:rPr>
          <w:rFonts w:hint="eastAsia" w:ascii="宋体" w:hAnsi="宋体"/>
          <w:b w:val="0"/>
          <w:bCs w:val="0"/>
          <w:color w:val="auto"/>
          <w:highlight w:val="none"/>
        </w:rPr>
      </w:pPr>
      <w:bookmarkStart w:id="44" w:name="_Toc80205926"/>
      <w:r>
        <w:rPr>
          <w:rFonts w:hint="eastAsia" w:ascii="宋体" w:hAnsi="宋体"/>
          <w:b w:val="0"/>
          <w:bCs w:val="0"/>
          <w:color w:val="auto"/>
          <w:highlight w:val="none"/>
        </w:rPr>
        <w:t>二、谈判文件</w:t>
      </w:r>
      <w:bookmarkEnd w:id="42"/>
      <w:bookmarkEnd w:id="43"/>
      <w:bookmarkEnd w:id="44"/>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8.谈判文件的构成</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第一章 竞争性谈判公告；</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第二章 采购需求；</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第三章 供应商须知； </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第四章 评审程序、评审方法和成交标准；</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第五章 响应文件格式；</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第六章 合同文本；</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第七章 质疑、投诉材料格式。</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供应商应认真阅读谈判文件的采购需求，如供应商对谈判文件有疑问的，如要求采购人作出澄清或者修改的，供应商尽应在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10.谈判文件的澄清和修改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3</w:t>
      </w:r>
      <w:r>
        <w:rPr>
          <w:rFonts w:ascii="宋体" w:hAnsi="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w:t>
      </w:r>
      <w:r>
        <w:rPr>
          <w:rFonts w:hint="eastAsia" w:ascii="宋体" w:hAnsi="宋体"/>
          <w:color w:val="auto"/>
          <w:szCs w:val="21"/>
          <w:highlight w:val="none"/>
        </w:rPr>
        <w:t>3</w:t>
      </w:r>
      <w:r>
        <w:rPr>
          <w:rFonts w:ascii="宋体" w:hAnsi="宋体"/>
          <w:color w:val="auto"/>
          <w:szCs w:val="21"/>
          <w:highlight w:val="none"/>
        </w:rPr>
        <w:t>个工作日前，以</w:t>
      </w:r>
      <w:r>
        <w:rPr>
          <w:rFonts w:hint="eastAsia" w:ascii="宋体" w:hAnsi="宋体"/>
          <w:color w:val="auto"/>
          <w:szCs w:val="21"/>
          <w:highlight w:val="none"/>
        </w:rPr>
        <w:t>书面形式（目前为网上公告和系统短信等形式）</w:t>
      </w:r>
      <w:r>
        <w:rPr>
          <w:rFonts w:ascii="宋体" w:hAnsi="宋体"/>
          <w:color w:val="auto"/>
          <w:szCs w:val="21"/>
          <w:highlight w:val="none"/>
        </w:rPr>
        <w:t>通知所有</w:t>
      </w:r>
      <w:r>
        <w:rPr>
          <w:rFonts w:hint="eastAsia" w:ascii="宋体" w:hAnsi="宋体"/>
          <w:color w:val="auto"/>
          <w:szCs w:val="21"/>
          <w:highlight w:val="none"/>
        </w:rPr>
        <w:t>获取</w:t>
      </w:r>
      <w:r>
        <w:rPr>
          <w:rFonts w:ascii="宋体" w:hAnsi="宋体"/>
          <w:color w:val="auto"/>
          <w:szCs w:val="21"/>
          <w:highlight w:val="none"/>
        </w:rPr>
        <w:t>谈判文件的供应商，不足</w:t>
      </w:r>
      <w:r>
        <w:rPr>
          <w:rFonts w:hint="eastAsia" w:ascii="宋体" w:hAnsi="宋体"/>
          <w:color w:val="auto"/>
          <w:szCs w:val="21"/>
          <w:highlight w:val="none"/>
        </w:rPr>
        <w:t>3</w:t>
      </w:r>
      <w:r>
        <w:rPr>
          <w:rFonts w:ascii="宋体" w:hAnsi="宋体"/>
          <w:color w:val="auto"/>
          <w:szCs w:val="21"/>
          <w:highlight w:val="none"/>
        </w:rPr>
        <w:t>个工作日的，应当顺延提交首次响应文件截止之日。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4</w:t>
      </w:r>
      <w:r>
        <w:rPr>
          <w:rFonts w:ascii="Arial" w:hAnsi="Arial" w:cs="Arial"/>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hint="eastAsia"/>
          <w:color w:val="auto"/>
          <w:highlight w:val="none"/>
        </w:rPr>
      </w:pPr>
      <w:r>
        <w:rPr>
          <w:rFonts w:hint="eastAsia" w:hAnsi="宋体"/>
          <w:color w:val="auto"/>
          <w:highlight w:val="none"/>
        </w:rPr>
        <w:t xml:space="preserve">10.5  </w:t>
      </w:r>
      <w:r>
        <w:rPr>
          <w:rFonts w:hint="eastAsia"/>
          <w:color w:val="auto"/>
          <w:highlight w:val="none"/>
        </w:rPr>
        <w:t>采购人和采购代理机构可以视采购具体情况，变更</w:t>
      </w:r>
      <w:r>
        <w:rPr>
          <w:rFonts w:hAnsi="宋体"/>
          <w:color w:val="auto"/>
          <w:highlight w:val="none"/>
        </w:rPr>
        <w:t>提交首次响应文件</w:t>
      </w:r>
      <w:r>
        <w:rPr>
          <w:rFonts w:hint="eastAsia"/>
          <w:color w:val="auto"/>
          <w:highlight w:val="none"/>
        </w:rPr>
        <w:t>截止时间和竞谈时间，将变更时间将在</w:t>
      </w:r>
      <w:r>
        <w:rPr>
          <w:rFonts w:hint="eastAsia" w:hAnsi="宋体"/>
          <w:color w:val="auto"/>
          <w:highlight w:val="none"/>
        </w:rPr>
        <w:t>“采购文件公告</w:t>
      </w:r>
      <w:r>
        <w:rPr>
          <w:rFonts w:hAnsi="宋体"/>
          <w:color w:val="auto"/>
          <w:highlight w:val="none"/>
        </w:rPr>
        <w:t>”</w:t>
      </w:r>
      <w:r>
        <w:rPr>
          <w:rFonts w:hint="eastAsia" w:hAnsi="宋体"/>
          <w:color w:val="auto"/>
          <w:highlight w:val="none"/>
        </w:rPr>
        <w:t>中“七、其他补充事宜3.网上查询地址”</w:t>
      </w:r>
      <w:r>
        <w:rPr>
          <w:rFonts w:hint="eastAsia" w:cs="宋体"/>
          <w:color w:val="auto"/>
          <w:highlight w:val="none"/>
        </w:rPr>
        <w:t>规定的政府采购信息发布媒体上</w:t>
      </w:r>
      <w:r>
        <w:rPr>
          <w:rFonts w:hint="eastAsia"/>
          <w:color w:val="auto"/>
          <w:highlight w:val="none"/>
        </w:rPr>
        <w:t>发布更正公告。</w:t>
      </w:r>
    </w:p>
    <w:p>
      <w:pPr>
        <w:spacing w:line="360" w:lineRule="auto"/>
        <w:ind w:firstLine="400" w:firstLineChars="200"/>
        <w:rPr>
          <w:rFonts w:hint="eastAsia" w:ascii="宋体" w:hAnsi="Courier New"/>
          <w:color w:val="auto"/>
          <w:kern w:val="0"/>
          <w:sz w:val="20"/>
          <w:szCs w:val="21"/>
          <w:highlight w:val="none"/>
        </w:rPr>
      </w:pPr>
      <w:r>
        <w:rPr>
          <w:rFonts w:hint="eastAsia" w:ascii="宋体" w:hAnsi="Courier New"/>
          <w:color w:val="auto"/>
          <w:kern w:val="0"/>
          <w:sz w:val="20"/>
          <w:szCs w:val="21"/>
          <w:highlight w:val="none"/>
        </w:rPr>
        <w:t>▲</w:t>
      </w:r>
      <w:r>
        <w:rPr>
          <w:rFonts w:hint="eastAsia" w:ascii="宋体" w:hAnsi="Courier New"/>
          <w:b/>
          <w:color w:val="auto"/>
          <w:kern w:val="0"/>
          <w:sz w:val="20"/>
          <w:szCs w:val="21"/>
          <w:highlight w:val="none"/>
        </w:rPr>
        <w:t>响应文件未按谈判文件的澄清、修改的内容编制，又不符合实质性要求的，其响应文件作无效处理。</w:t>
      </w:r>
    </w:p>
    <w:p>
      <w:pPr>
        <w:pStyle w:val="5"/>
        <w:spacing w:before="0" w:after="0" w:line="360" w:lineRule="auto"/>
        <w:ind w:firstLine="640" w:firstLineChars="200"/>
        <w:rPr>
          <w:rFonts w:hint="eastAsia" w:ascii="宋体" w:hAnsi="宋体"/>
          <w:b w:val="0"/>
          <w:bCs w:val="0"/>
          <w:color w:val="auto"/>
          <w:highlight w:val="none"/>
        </w:rPr>
      </w:pPr>
      <w:r>
        <w:rPr>
          <w:rFonts w:hint="eastAsia" w:ascii="宋体" w:hAnsi="宋体"/>
          <w:b w:val="0"/>
          <w:bCs w:val="0"/>
          <w:color w:val="auto"/>
          <w:highlight w:val="none"/>
          <w:lang w:eastAsia="zh-CN"/>
        </w:rPr>
        <w:t xml:space="preserve">  </w:t>
      </w:r>
      <w:bookmarkStart w:id="45" w:name="_Toc80205927"/>
      <w:r>
        <w:rPr>
          <w:rFonts w:hint="eastAsia" w:ascii="宋体" w:hAnsi="宋体"/>
          <w:b w:val="0"/>
          <w:bCs w:val="0"/>
          <w:color w:val="auto"/>
          <w:highlight w:val="none"/>
        </w:rPr>
        <w:t>三、响应文件的编制</w:t>
      </w:r>
      <w:bookmarkEnd w:id="45"/>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2.1.1</w:t>
      </w:r>
      <w:r>
        <w:rPr>
          <w:rFonts w:hint="eastAsia" w:ascii="宋体" w:hAnsi="宋体" w:cs="宋体"/>
          <w:color w:val="auto"/>
          <w:szCs w:val="21"/>
          <w:highlight w:val="none"/>
        </w:rPr>
        <w:t>资格证明文件：详见须知前附表</w:t>
      </w:r>
    </w:p>
    <w:p>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12.1.2商务技术文件：详见须知前附表</w:t>
      </w:r>
    </w:p>
    <w:p>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2.1.</w:t>
      </w:r>
      <w:r>
        <w:rPr>
          <w:rFonts w:hint="eastAsia" w:ascii="宋体" w:hAnsi="宋体" w:cs="宋体"/>
          <w:color w:val="auto"/>
          <w:szCs w:val="21"/>
          <w:highlight w:val="none"/>
        </w:rPr>
        <w:t>3报价文件：详见须知前附表</w:t>
      </w:r>
    </w:p>
    <w:p>
      <w:pPr>
        <w:spacing w:line="360" w:lineRule="auto"/>
        <w:ind w:left="420" w:leftChars="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2</w:t>
      </w:r>
      <w:r>
        <w:rPr>
          <w:rFonts w:hint="eastAsia" w:ascii="宋体" w:hAnsi="宋体" w:cs="宋体"/>
          <w:color w:val="auto"/>
          <w:szCs w:val="21"/>
          <w:highlight w:val="none"/>
        </w:rPr>
        <w:t>响应文件电子版：详见须知前附表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供应商没有按照谈判文件要求提供全部资料，或者供应商没有对谈判文件在各方面作出实质性响应可能导致其响应无效，是供应商应当考虑的风险。</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15.3响应报价要求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供应商的响应报价应符合以下要求，否则响应文件按无效响应处理：</w:t>
      </w:r>
    </w:p>
    <w:p>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响应报价（包含首次报价、最后报价）超过所竞标分标规定的采购预算金额或者最高限价的，其响应文件将作无效处理。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3</w:t>
      </w:r>
      <w:bookmarkStart w:id="46"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46"/>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17.谈判保证金</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18.2响应文件应按资格证明、报价分别编制，商务技术文件合并编制，本谈判只接收电子版响应文件，要求见本章“12.2响应文件电子版要求”。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w:t>
      </w:r>
      <w:bookmarkStart w:id="47" w:name="_Hlk65832699"/>
      <w:r>
        <w:rPr>
          <w:rFonts w:hint="eastAsia" w:ascii="宋体" w:hAnsi="宋体" w:cs="宋体"/>
          <w:color w:val="auto"/>
          <w:szCs w:val="21"/>
          <w:highlight w:val="none"/>
        </w:rPr>
        <w:t>3</w:t>
      </w:r>
      <w:r>
        <w:rPr>
          <w:rFonts w:hint="eastAsia" w:ascii="宋体" w:hAnsi="宋体"/>
          <w:color w:val="auto"/>
          <w:szCs w:val="21"/>
          <w:highlight w:val="none"/>
        </w:rPr>
        <w:t>响应文件须由供应商在</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第五章 响应文件格式</w:t>
      </w:r>
      <w:r>
        <w:rPr>
          <w:rFonts w:hint="eastAsia" w:ascii="宋体" w:hAnsi="宋体" w:cs="仿宋_GB2312"/>
          <w:color w:val="auto"/>
          <w:kern w:val="0"/>
          <w:szCs w:val="21"/>
          <w:highlight w:val="none"/>
          <w:lang w:val="zh-CN"/>
        </w:rPr>
        <w:t>”</w:t>
      </w:r>
      <w:r>
        <w:rPr>
          <w:rFonts w:hint="eastAsia" w:ascii="宋体" w:hAnsi="宋体"/>
          <w:color w:val="auto"/>
          <w:szCs w:val="21"/>
          <w:highlight w:val="none"/>
        </w:rPr>
        <w:t>规定位置</w:t>
      </w:r>
      <w:r>
        <w:rPr>
          <w:rFonts w:hint="eastAsia" w:ascii="宋体" w:hAnsi="宋体" w:cs="仿宋_GB2312"/>
          <w:color w:val="auto"/>
          <w:szCs w:val="21"/>
          <w:highlight w:val="none"/>
        </w:rPr>
        <w:t>进行签署、盖章</w:t>
      </w:r>
      <w:bookmarkEnd w:id="47"/>
      <w:r>
        <w:rPr>
          <w:rFonts w:hint="eastAsia" w:ascii="宋体" w:hAnsi="宋体" w:cs="宋体"/>
          <w:color w:val="auto"/>
          <w:szCs w:val="21"/>
          <w:highlight w:val="none"/>
        </w:rPr>
        <w:t>，否则其响应文件按无效响应处理。骑缝盖公章不视为在规定位置盖章。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19.响应文件的密封和标记</w:t>
      </w:r>
    </w:p>
    <w:p>
      <w:pPr>
        <w:spacing w:line="360" w:lineRule="auto"/>
        <w:ind w:firstLine="420" w:firstLineChars="2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19.1供应商进行电子交易应安装客户端软件—“政采云电子交易客户端”，并按照谈判文件和电子交易平台的要求编制并加密响应文件。供应商未按规定加密的响应文件，电子交易平台将拒收并提示。</w:t>
      </w:r>
    </w:p>
    <w:p>
      <w:pPr>
        <w:spacing w:line="360" w:lineRule="auto"/>
        <w:ind w:firstLine="420" w:firstLineChars="200"/>
        <w:rPr>
          <w:rFonts w:ascii="宋体" w:hAnsi="宋体" w:cs="仿宋_GB2312"/>
          <w:color w:val="auto"/>
          <w:kern w:val="0"/>
          <w:szCs w:val="21"/>
          <w:highlight w:val="none"/>
          <w:lang w:val="zh-CN"/>
        </w:rPr>
      </w:pPr>
      <w:r>
        <w:rPr>
          <w:rFonts w:hint="eastAsia" w:ascii="宋体" w:hAnsi="宋体" w:cs="仿宋_GB2312"/>
          <w:color w:val="auto"/>
          <w:kern w:val="0"/>
          <w:szCs w:val="21"/>
          <w:highlight w:val="none"/>
          <w:lang w:val="zh-CN"/>
        </w:rPr>
        <w:t>19.2使用“政采云电子交易客户端”需要提前申领CA数字证书，申领流程见该项目采购公告附件。</w:t>
      </w:r>
    </w:p>
    <w:p>
      <w:pPr>
        <w:pStyle w:val="13"/>
        <w:spacing w:line="360" w:lineRule="auto"/>
        <w:ind w:firstLine="420" w:firstLineChars="200"/>
        <w:rPr>
          <w:rFonts w:hAnsi="宋体" w:cs="仿宋_GB2312"/>
          <w:color w:val="auto"/>
          <w:sz w:val="21"/>
          <w:highlight w:val="none"/>
        </w:rPr>
      </w:pPr>
      <w:r>
        <w:rPr>
          <w:rFonts w:hint="eastAsia" w:hAnsi="宋体" w:cs="仿宋_GB2312"/>
          <w:color w:val="auto"/>
          <w:sz w:val="21"/>
          <w:highlight w:val="none"/>
          <w:lang w:eastAsia="zh-CN"/>
        </w:rPr>
        <w:t>19</w:t>
      </w:r>
      <w:r>
        <w:rPr>
          <w:rFonts w:hint="eastAsia" w:hAnsi="宋体" w:cs="仿宋_GB2312"/>
          <w:color w:val="auto"/>
          <w:sz w:val="21"/>
          <w:highlight w:val="none"/>
        </w:rPr>
        <w:t>.</w:t>
      </w:r>
      <w:r>
        <w:rPr>
          <w:rFonts w:hint="eastAsia" w:hAnsi="宋体" w:cs="仿宋_GB2312"/>
          <w:color w:val="auto"/>
          <w:sz w:val="21"/>
          <w:highlight w:val="none"/>
          <w:lang w:eastAsia="zh-CN"/>
        </w:rPr>
        <w:t>3</w:t>
      </w:r>
      <w:r>
        <w:rPr>
          <w:rFonts w:hint="eastAsia" w:hAnsi="宋体" w:cs="仿宋_GB2312"/>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20</w:t>
      </w:r>
      <w:r>
        <w:rPr>
          <w:rFonts w:hint="eastAsia" w:ascii="宋体" w:hAnsi="宋体"/>
          <w:color w:val="auto"/>
          <w:szCs w:val="21"/>
          <w:highlight w:val="none"/>
        </w:rPr>
        <w:t>.2 在响应文件提交截止时间以后，不能补充、修改响应文件。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20.3 在提交“最后报价”后，供应商不能退出谈判。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20.5 采购机构不可视情况延长提交响应文件的截止时间。</w:t>
      </w:r>
    </w:p>
    <w:p>
      <w:pPr>
        <w:spacing w:line="360" w:lineRule="auto"/>
        <w:ind w:firstLine="420" w:firstLineChars="200"/>
        <w:rPr>
          <w:rFonts w:hint="eastAsia" w:ascii="黑体" w:hAnsi="黑体" w:eastAsia="黑体"/>
          <w:color w:val="auto"/>
          <w:sz w:val="24"/>
          <w:highlight w:val="none"/>
        </w:rPr>
      </w:pPr>
      <w:r>
        <w:rPr>
          <w:rFonts w:hint="eastAsia" w:ascii="宋体" w:hAnsi="宋体"/>
          <w:color w:val="auto"/>
          <w:szCs w:val="21"/>
          <w:highlight w:val="none"/>
        </w:rPr>
        <w:t>20.6备份响应文件。</w:t>
      </w:r>
      <w:r>
        <w:rPr>
          <w:rFonts w:hint="eastAsia" w:hAnsi="宋体"/>
          <w:bCs/>
          <w:color w:val="auto"/>
          <w:szCs w:val="21"/>
          <w:highlight w:val="none"/>
        </w:rPr>
        <w:t>详见在“供应商须知前附表”。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pPr>
        <w:pStyle w:val="25"/>
        <w:spacing w:before="0"/>
        <w:ind w:firstLine="420"/>
        <w:rPr>
          <w:rFonts w:ascii="宋体" w:hAnsi="宋体" w:cs="仿宋_GB2312"/>
          <w:color w:val="auto"/>
          <w:sz w:val="21"/>
          <w:szCs w:val="21"/>
          <w:highlight w:val="none"/>
        </w:rPr>
      </w:pPr>
      <w:r>
        <w:rPr>
          <w:rFonts w:hint="eastAsia" w:ascii="宋体" w:hAnsi="宋体" w:cs="仿宋_GB2312"/>
          <w:color w:val="auto"/>
          <w:sz w:val="21"/>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firstLineChars="200"/>
        <w:rPr>
          <w:rFonts w:ascii="黑体" w:hAnsi="黑体" w:eastAsia="黑体" w:cs="宋体"/>
          <w:b/>
          <w:bCs/>
          <w:color w:val="auto"/>
          <w:sz w:val="24"/>
          <w:highlight w:val="none"/>
        </w:rPr>
      </w:pPr>
      <w:bookmarkStart w:id="48" w:name="_Hlk45702405"/>
      <w:r>
        <w:rPr>
          <w:rFonts w:hint="eastAsia" w:ascii="黑体" w:hAnsi="黑体" w:eastAsia="黑体" w:cs="宋体"/>
          <w:b/>
          <w:bCs/>
          <w:color w:val="auto"/>
          <w:sz w:val="24"/>
          <w:highlight w:val="none"/>
        </w:rPr>
        <w:t>22. 首次响应文件的退回</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本项目不收取谈判保证金，供应商在首次响应文件提交截止时间后可向采购人、采购代理机构书面申请撤回响应文件。</w:t>
      </w:r>
      <w:bookmarkEnd w:id="48"/>
    </w:p>
    <w:p>
      <w:pPr>
        <w:pStyle w:val="5"/>
        <w:spacing w:before="0" w:after="0" w:line="360" w:lineRule="auto"/>
        <w:ind w:firstLine="640" w:firstLineChars="200"/>
        <w:rPr>
          <w:rFonts w:hint="eastAsia" w:ascii="宋体" w:hAnsi="宋体"/>
          <w:b w:val="0"/>
          <w:bCs w:val="0"/>
          <w:color w:val="auto"/>
          <w:highlight w:val="none"/>
        </w:rPr>
      </w:pPr>
      <w:r>
        <w:rPr>
          <w:rFonts w:hint="eastAsia" w:ascii="宋体" w:hAnsi="宋体"/>
          <w:b w:val="0"/>
          <w:bCs w:val="0"/>
          <w:color w:val="auto"/>
          <w:highlight w:val="none"/>
          <w:lang w:eastAsia="zh-CN"/>
        </w:rPr>
        <w:t xml:space="preserve">  </w:t>
      </w:r>
      <w:bookmarkStart w:id="49" w:name="_Toc80205928"/>
      <w:r>
        <w:rPr>
          <w:rFonts w:hint="eastAsia" w:ascii="宋体" w:hAnsi="宋体"/>
          <w:b w:val="0"/>
          <w:bCs w:val="0"/>
          <w:color w:val="auto"/>
          <w:highlight w:val="none"/>
        </w:rPr>
        <w:t>四、评审及谈判</w:t>
      </w:r>
      <w:bookmarkEnd w:id="49"/>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24.谈判小组成立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24.2评审专家应当从政府采购评审专家库内相关专业的专家名单中随机抽取。技术复杂、专业性强的竞争性谈判采购项目，评审专家中应当包含1名法律专家。</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5.1</w:t>
      </w:r>
      <w:r>
        <w:rPr>
          <w:rFonts w:hint="eastAsia" w:ascii="宋体" w:hAnsi="宋体" w:cs="宋体"/>
          <w:color w:val="auto"/>
          <w:szCs w:val="21"/>
          <w:highlight w:val="none"/>
        </w:rPr>
        <w:t>首次响应文件由谈判小组或者采购代理机构在“供应商须知前附表”规定的时间开启。</w:t>
      </w:r>
    </w:p>
    <w:p>
      <w:pPr>
        <w:pStyle w:val="13"/>
        <w:spacing w:line="360" w:lineRule="auto"/>
        <w:ind w:firstLine="400" w:firstLineChars="200"/>
        <w:rPr>
          <w:rFonts w:hint="eastAsia" w:hAnsi="宋体"/>
          <w:bCs/>
          <w:color w:val="auto"/>
          <w:highlight w:val="none"/>
        </w:rPr>
      </w:pPr>
      <w:r>
        <w:rPr>
          <w:rFonts w:hAnsi="宋体" w:cs="宋体"/>
          <w:color w:val="auto"/>
          <w:highlight w:val="none"/>
        </w:rPr>
        <w:t xml:space="preserve">25.2 </w:t>
      </w:r>
      <w:r>
        <w:rPr>
          <w:rFonts w:hint="eastAsia" w:hAnsi="宋体"/>
          <w:bCs/>
          <w:color w:val="auto"/>
          <w:highlight w:val="none"/>
          <w:lang w:eastAsia="zh-CN"/>
        </w:rPr>
        <w:t>响应</w:t>
      </w:r>
      <w:r>
        <w:rPr>
          <w:rFonts w:hint="eastAsia" w:hAnsi="宋体"/>
          <w:bCs/>
          <w:color w:val="auto"/>
          <w:highlight w:val="none"/>
        </w:rPr>
        <w:t>文件解密</w:t>
      </w:r>
    </w:p>
    <w:p>
      <w:pPr>
        <w:pStyle w:val="13"/>
        <w:snapToGrid w:val="0"/>
        <w:spacing w:line="440" w:lineRule="exact"/>
        <w:ind w:firstLine="400" w:firstLineChars="200"/>
        <w:rPr>
          <w:rFonts w:hint="eastAsia" w:ascii="宋体" w:hAnsi="宋体" w:eastAsia="宋体" w:cs="Times New Roman"/>
          <w:color w:val="auto"/>
          <w:highlight w:val="none"/>
          <w:lang w:eastAsia="zh-CN"/>
        </w:rPr>
      </w:pPr>
      <w:r>
        <w:rPr>
          <w:rFonts w:hint="eastAsia" w:hAnsi="宋体"/>
          <w:bCs/>
          <w:color w:val="auto"/>
          <w:highlight w:val="none"/>
        </w:rPr>
        <w:t>采购代理机构将在“</w:t>
      </w:r>
      <w:r>
        <w:rPr>
          <w:rFonts w:hint="eastAsia" w:hAnsi="宋体"/>
          <w:bCs/>
          <w:color w:val="auto"/>
          <w:highlight w:val="none"/>
          <w:lang w:eastAsia="zh-CN"/>
        </w:rPr>
        <w:t>供应商</w:t>
      </w:r>
      <w:r>
        <w:rPr>
          <w:rFonts w:hint="eastAsia" w:hAnsi="宋体"/>
          <w:bCs/>
          <w:color w:val="auto"/>
          <w:highlight w:val="none"/>
        </w:rPr>
        <w:t>须知前附表”规定的时</w:t>
      </w:r>
      <w:r>
        <w:rPr>
          <w:rFonts w:hint="eastAsia" w:hAnsi="宋体"/>
          <w:color w:val="auto"/>
          <w:highlight w:val="none"/>
        </w:rPr>
        <w:t>间通过电子交易平台组织响应文件开启，采购机构依托电子交易平台发起开始解密指令，</w:t>
      </w:r>
      <w:r>
        <w:rPr>
          <w:rFonts w:hint="eastAsia" w:hAnsi="宋体"/>
          <w:color w:val="auto"/>
          <w:highlight w:val="none"/>
          <w:lang w:eastAsia="zh-CN"/>
        </w:rPr>
        <w:t>供应商</w:t>
      </w:r>
      <w:r>
        <w:rPr>
          <w:rFonts w:hint="eastAsia" w:hAnsi="宋体"/>
          <w:color w:val="auto"/>
          <w:highlight w:val="none"/>
        </w:rPr>
        <w:t>的法定代表人或其委托代理人</w:t>
      </w:r>
      <w:r>
        <w:rPr>
          <w:rFonts w:hint="eastAsia" w:hAnsi="宋体"/>
          <w:b/>
          <w:color w:val="auto"/>
          <w:highlight w:val="none"/>
        </w:rPr>
        <w:t>须携带加密时所用的CA锁</w:t>
      </w:r>
      <w:r>
        <w:rPr>
          <w:rFonts w:hint="eastAsia" w:hAnsi="宋体"/>
          <w:b/>
          <w:color w:val="auto"/>
          <w:highlight w:val="none"/>
          <w:lang w:eastAsia="zh-CN"/>
        </w:rPr>
        <w:t>按平台提示和采购文件的规定</w:t>
      </w:r>
      <w:r>
        <w:rPr>
          <w:rFonts w:hint="eastAsia" w:hAnsi="宋体"/>
          <w:b/>
          <w:color w:val="auto"/>
          <w:highlight w:val="none"/>
        </w:rPr>
        <w:t>登录到“政采云”平台电子开标大厅签到并</w:t>
      </w:r>
      <w:r>
        <w:rPr>
          <w:rFonts w:hint="eastAsia" w:hAnsi="宋体"/>
          <w:b/>
          <w:color w:val="auto"/>
          <w:highlight w:val="none"/>
          <w:lang w:eastAsia="zh-CN"/>
        </w:rPr>
        <w:t>在</w:t>
      </w:r>
      <w:r>
        <w:rPr>
          <w:rFonts w:hint="eastAsia" w:hAnsi="宋体"/>
          <w:b/>
          <w:color w:val="auto"/>
          <w:highlight w:val="none"/>
        </w:rPr>
        <w:t>发起解密指令之时起30分钟</w:t>
      </w:r>
      <w:r>
        <w:rPr>
          <w:rFonts w:hint="eastAsia" w:hAnsi="宋体"/>
          <w:b/>
          <w:color w:val="auto"/>
          <w:highlight w:val="none"/>
          <w:lang w:eastAsia="zh-CN"/>
        </w:rPr>
        <w:t>内完成</w:t>
      </w:r>
      <w:r>
        <w:rPr>
          <w:rFonts w:hint="eastAsia" w:hAnsi="宋体"/>
          <w:b/>
          <w:color w:val="auto"/>
          <w:highlight w:val="none"/>
        </w:rPr>
        <w:t>对电子</w:t>
      </w:r>
      <w:r>
        <w:rPr>
          <w:rFonts w:hint="eastAsia" w:hAnsi="宋体"/>
          <w:b/>
          <w:color w:val="auto"/>
          <w:highlight w:val="none"/>
          <w:lang w:eastAsia="zh-CN"/>
        </w:rPr>
        <w:t>响应</w:t>
      </w:r>
      <w:r>
        <w:rPr>
          <w:rFonts w:hint="eastAsia" w:hAnsi="宋体"/>
          <w:b/>
          <w:color w:val="auto"/>
          <w:highlight w:val="none"/>
        </w:rPr>
        <w:t>文件</w:t>
      </w:r>
      <w:r>
        <w:rPr>
          <w:rFonts w:hint="eastAsia" w:hAnsi="宋体"/>
          <w:b/>
          <w:color w:val="auto"/>
          <w:highlight w:val="none"/>
          <w:lang w:eastAsia="zh-CN"/>
        </w:rPr>
        <w:t>在线</w:t>
      </w:r>
      <w:r>
        <w:rPr>
          <w:rFonts w:hint="eastAsia" w:hAnsi="宋体"/>
          <w:b/>
          <w:color w:val="auto"/>
          <w:highlight w:val="none"/>
        </w:rPr>
        <w:t>解密</w:t>
      </w:r>
      <w:r>
        <w:rPr>
          <w:rFonts w:hint="eastAsia" w:hAnsi="宋体"/>
          <w:color w:val="auto"/>
          <w:highlight w:val="none"/>
        </w:rPr>
        <w:t>。发起解密指令</w:t>
      </w:r>
      <w:r>
        <w:rPr>
          <w:rFonts w:hint="eastAsia" w:hAnsi="宋体"/>
          <w:color w:val="auto"/>
          <w:highlight w:val="none"/>
          <w:lang w:val="en-US" w:eastAsia="zh-CN"/>
        </w:rPr>
        <w:t>之时起</w:t>
      </w:r>
      <w:r>
        <w:rPr>
          <w:rFonts w:hint="eastAsia" w:hAnsi="宋体"/>
          <w:color w:val="auto"/>
          <w:highlight w:val="none"/>
        </w:rPr>
        <w:t>5分钟</w:t>
      </w:r>
      <w:r>
        <w:rPr>
          <w:rFonts w:hint="eastAsia" w:hAnsi="宋体"/>
          <w:color w:val="auto"/>
          <w:highlight w:val="none"/>
          <w:lang w:eastAsia="zh-CN"/>
        </w:rPr>
        <w:t>内供应商</w:t>
      </w:r>
      <w:r>
        <w:rPr>
          <w:rFonts w:hint="eastAsia" w:hAnsi="宋体"/>
          <w:color w:val="auto"/>
          <w:highlight w:val="none"/>
        </w:rPr>
        <w:t>还未进行解密的，代理机构要通知</w:t>
      </w:r>
      <w:r>
        <w:rPr>
          <w:rFonts w:hint="eastAsia" w:hAnsi="宋体"/>
          <w:color w:val="auto"/>
          <w:highlight w:val="none"/>
          <w:lang w:eastAsia="zh-CN"/>
        </w:rPr>
        <w:t>供应商</w:t>
      </w:r>
      <w:r>
        <w:rPr>
          <w:rFonts w:hint="eastAsia" w:hAnsi="宋体"/>
          <w:color w:val="auto"/>
          <w:highlight w:val="none"/>
        </w:rPr>
        <w:t>，</w:t>
      </w:r>
      <w:r>
        <w:rPr>
          <w:rFonts w:hint="eastAsia" w:hAnsi="宋体"/>
          <w:color w:val="auto"/>
          <w:highlight w:val="none"/>
          <w:lang w:eastAsia="zh-CN"/>
        </w:rPr>
        <w:t>供应商</w:t>
      </w:r>
      <w:r>
        <w:rPr>
          <w:rFonts w:hint="eastAsia" w:hAnsi="宋体"/>
          <w:color w:val="auto"/>
          <w:highlight w:val="none"/>
        </w:rPr>
        <w:t>没预留联系方式或预留联系方式无效，导致代理机构无法联系到</w:t>
      </w:r>
      <w:r>
        <w:rPr>
          <w:rFonts w:hint="eastAsia" w:hAnsi="宋体"/>
          <w:color w:val="auto"/>
          <w:highlight w:val="none"/>
          <w:lang w:eastAsia="zh-CN"/>
        </w:rPr>
        <w:t>供应商</w:t>
      </w:r>
      <w:r>
        <w:rPr>
          <w:rFonts w:hint="eastAsia" w:hAnsi="宋体"/>
          <w:color w:val="auto"/>
          <w:highlight w:val="none"/>
        </w:rPr>
        <w:t>进行解密的，</w:t>
      </w:r>
      <w:r>
        <w:rPr>
          <w:rFonts w:hint="eastAsia" w:hAnsi="宋体"/>
          <w:b/>
          <w:color w:val="auto"/>
          <w:highlight w:val="none"/>
        </w:rPr>
        <w:t>视为</w:t>
      </w:r>
      <w:r>
        <w:rPr>
          <w:rFonts w:hint="eastAsia" w:hAnsi="宋体"/>
          <w:b/>
          <w:color w:val="auto"/>
          <w:highlight w:val="none"/>
          <w:lang w:eastAsia="zh-CN"/>
        </w:rPr>
        <w:t>响应文件无效</w:t>
      </w:r>
      <w:r>
        <w:rPr>
          <w:rFonts w:hint="eastAsia" w:hAnsi="宋体"/>
          <w:b/>
          <w:color w:val="auto"/>
          <w:highlight w:val="none"/>
        </w:rPr>
        <w:t>。</w:t>
      </w:r>
      <w:r>
        <w:rPr>
          <w:rFonts w:hint="eastAsia" w:ascii="宋体" w:hAnsi="宋体" w:eastAsia="宋体" w:cs="Times New Roman"/>
          <w:color w:val="auto"/>
          <w:highlight w:val="none"/>
        </w:rPr>
        <w:t>（解密异常情况处理：详见本章</w:t>
      </w:r>
      <w:r>
        <w:rPr>
          <w:rFonts w:hint="eastAsia" w:ascii="宋体" w:hAnsi="宋体" w:eastAsia="宋体" w:cs="Times New Roman"/>
          <w:color w:val="auto"/>
          <w:highlight w:val="none"/>
          <w:lang w:eastAsia="zh-CN"/>
        </w:rPr>
        <w:t>26.3</w:t>
      </w:r>
      <w:r>
        <w:rPr>
          <w:rFonts w:hint="eastAsia" w:ascii="宋体" w:hAnsi="宋体" w:eastAsia="宋体" w:cs="Times New Roman"/>
          <w:color w:val="auto"/>
          <w:highlight w:val="none"/>
        </w:rPr>
        <w:t xml:space="preserve"> 电子交易活动的中止。）</w:t>
      </w:r>
    </w:p>
    <w:p>
      <w:pPr>
        <w:pStyle w:val="13"/>
        <w:snapToGrid w:val="0"/>
        <w:spacing w:line="440" w:lineRule="exact"/>
        <w:ind w:firstLine="400" w:firstLineChars="200"/>
        <w:rPr>
          <w:rFonts w:hint="eastAsia"/>
          <w:color w:val="auto"/>
          <w:highlight w:val="none"/>
          <w:lang w:eastAsia="zh-CN"/>
        </w:rPr>
      </w:pPr>
      <w:r>
        <w:rPr>
          <w:rFonts w:hint="eastAsia" w:ascii="宋体" w:hAnsi="宋体" w:eastAsia="宋体" w:cs="Times New Roman"/>
          <w:color w:val="auto"/>
          <w:highlight w:val="none"/>
        </w:rPr>
        <w:t>如</w:t>
      </w:r>
      <w:r>
        <w:rPr>
          <w:rFonts w:hint="eastAsia" w:ascii="宋体" w:hAnsi="宋体" w:eastAsia="宋体" w:cs="Times New Roman"/>
          <w:color w:val="auto"/>
          <w:highlight w:val="none"/>
          <w:lang w:eastAsia="zh-CN"/>
        </w:rPr>
        <w:t>供应商</w:t>
      </w:r>
      <w:r>
        <w:rPr>
          <w:rFonts w:hint="eastAsia" w:ascii="宋体" w:hAnsi="宋体" w:eastAsia="宋体" w:cs="Times New Roman"/>
          <w:color w:val="auto"/>
          <w:highlight w:val="none"/>
        </w:rPr>
        <w:t>成功解密</w:t>
      </w:r>
      <w:r>
        <w:rPr>
          <w:rFonts w:hint="eastAsia" w:ascii="宋体" w:hAnsi="宋体" w:eastAsia="宋体" w:cs="Times New Roman"/>
          <w:color w:val="auto"/>
          <w:highlight w:val="none"/>
          <w:lang w:eastAsia="zh-CN"/>
        </w:rPr>
        <w:t>响应</w:t>
      </w:r>
      <w:r>
        <w:rPr>
          <w:rFonts w:hint="eastAsia" w:ascii="宋体" w:hAnsi="宋体" w:eastAsia="宋体" w:cs="Times New Roman"/>
          <w:color w:val="auto"/>
          <w:highlight w:val="none"/>
        </w:rPr>
        <w:t>文件，但未在“政采云”电子开标大厅参加</w:t>
      </w:r>
      <w:r>
        <w:rPr>
          <w:rFonts w:hint="eastAsia" w:ascii="宋体" w:hAnsi="宋体" w:eastAsia="宋体" w:cs="Times New Roman"/>
          <w:color w:val="auto"/>
          <w:highlight w:val="none"/>
          <w:lang w:eastAsia="zh-CN"/>
        </w:rPr>
        <w:t>谈判</w:t>
      </w:r>
      <w:r>
        <w:rPr>
          <w:rFonts w:hint="eastAsia" w:ascii="宋体" w:hAnsi="宋体" w:eastAsia="宋体" w:cs="Times New Roman"/>
          <w:color w:val="auto"/>
          <w:highlight w:val="none"/>
        </w:rPr>
        <w:t>的，视同认可</w:t>
      </w:r>
      <w:r>
        <w:rPr>
          <w:rFonts w:hint="eastAsia" w:ascii="宋体" w:hAnsi="宋体" w:eastAsia="宋体" w:cs="Times New Roman"/>
          <w:color w:val="auto"/>
          <w:highlight w:val="none"/>
          <w:lang w:eastAsia="zh-CN"/>
        </w:rPr>
        <w:t>谈判</w:t>
      </w:r>
      <w:r>
        <w:rPr>
          <w:rFonts w:hint="eastAsia" w:ascii="宋体" w:hAnsi="宋体" w:eastAsia="宋体" w:cs="Times New Roman"/>
          <w:color w:val="auto"/>
          <w:highlight w:val="none"/>
        </w:rPr>
        <w:t>过程和</w:t>
      </w:r>
      <w:r>
        <w:rPr>
          <w:rFonts w:hint="eastAsia" w:hAnsi="宋体"/>
          <w:bCs/>
          <w:color w:val="auto"/>
          <w:highlight w:val="none"/>
        </w:rPr>
        <w:t>结果，</w:t>
      </w:r>
      <w:r>
        <w:rPr>
          <w:rFonts w:hint="eastAsia" w:hAnsi="宋体"/>
          <w:color w:val="auto"/>
          <w:highlight w:val="none"/>
        </w:rPr>
        <w:t>由此产生的后果由供应商自行负责。参与谈判的供应商</w:t>
      </w:r>
      <w:r>
        <w:rPr>
          <w:rFonts w:hint="eastAsia"/>
          <w:color w:val="auto"/>
          <w:highlight w:val="none"/>
        </w:rPr>
        <w:t>不足3家的，不得</w:t>
      </w:r>
      <w:r>
        <w:rPr>
          <w:rFonts w:hint="eastAsia"/>
          <w:color w:val="auto"/>
          <w:highlight w:val="none"/>
          <w:lang w:eastAsia="zh-CN"/>
        </w:rPr>
        <w:t>谈判</w:t>
      </w:r>
      <w:r>
        <w:rPr>
          <w:rFonts w:hint="eastAsia"/>
          <w:color w:val="auto"/>
          <w:highlight w:val="none"/>
        </w:rPr>
        <w:t>。</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.评审程序、评审方法和成交标准</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26.1</w:t>
      </w:r>
      <w:r>
        <w:rPr>
          <w:rFonts w:hint="eastAsia" w:ascii="宋体" w:hAnsi="宋体" w:cs="宋体"/>
          <w:color w:val="auto"/>
          <w:szCs w:val="21"/>
          <w:highlight w:val="none"/>
        </w:rPr>
        <w:t>谈判小组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评审程序、评审方法和成交标准”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6.2 </w:t>
      </w:r>
      <w:r>
        <w:rPr>
          <w:rFonts w:hint="eastAsia" w:ascii="宋体" w:hAnsi="宋体"/>
          <w:color w:val="auto"/>
          <w:szCs w:val="21"/>
          <w:highlight w:val="none"/>
        </w:rPr>
        <w:t>采购需求负偏离要求及谈判顺序详见 “供应商须知前附表”。</w:t>
      </w:r>
    </w:p>
    <w:p>
      <w:pPr>
        <w:spacing w:line="360" w:lineRule="auto"/>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6.3</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pPr>
        <w:spacing w:line="360" w:lineRule="auto"/>
        <w:ind w:firstLine="420" w:firstLineChars="200"/>
        <w:rPr>
          <w:rFonts w:hint="eastAsia" w:hAnsi="宋体"/>
          <w:color w:val="auto"/>
          <w:highlight w:val="none"/>
        </w:rPr>
      </w:pPr>
      <w:r>
        <w:rPr>
          <w:rFonts w:hint="eastAsia" w:hAnsi="宋体"/>
          <w:color w:val="auto"/>
          <w:highlight w:val="none"/>
        </w:rPr>
        <w:t xml:space="preserve">（4）病毒发作导致不能进行正常操作的； </w:t>
      </w:r>
    </w:p>
    <w:p>
      <w:pPr>
        <w:spacing w:line="360" w:lineRule="auto"/>
        <w:ind w:firstLine="420" w:firstLineChars="200"/>
        <w:rPr>
          <w:rFonts w:hint="eastAsia" w:hAnsi="宋体"/>
          <w:color w:val="auto"/>
          <w:highlight w:val="none"/>
        </w:rPr>
      </w:pPr>
      <w:r>
        <w:rPr>
          <w:rFonts w:hint="eastAsia" w:hAnsi="宋体"/>
          <w:color w:val="auto"/>
          <w:highlight w:val="none"/>
        </w:rPr>
        <w:t>（4）其他无法保证电子交易的公平、公正和安全的情况。</w:t>
      </w:r>
    </w:p>
    <w:p>
      <w:pPr>
        <w:spacing w:line="360" w:lineRule="auto"/>
        <w:ind w:firstLine="420" w:firstLineChars="200"/>
        <w:rPr>
          <w:rFonts w:hint="eastAsia" w:hAnsi="宋体"/>
          <w:color w:val="auto"/>
          <w:highlight w:val="none"/>
        </w:rPr>
      </w:pPr>
      <w:r>
        <w:rPr>
          <w:rFonts w:hint="eastAsia" w:hAnsi="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5"/>
        <w:spacing w:before="0" w:after="0" w:line="360" w:lineRule="auto"/>
        <w:ind w:firstLine="640" w:firstLineChars="200"/>
        <w:rPr>
          <w:rFonts w:hint="eastAsia" w:ascii="宋体" w:hAnsi="宋体"/>
          <w:b w:val="0"/>
          <w:bCs w:val="0"/>
          <w:color w:val="auto"/>
          <w:highlight w:val="none"/>
        </w:rPr>
      </w:pPr>
      <w:r>
        <w:rPr>
          <w:rFonts w:hint="eastAsia" w:ascii="宋体" w:hAnsi="宋体"/>
          <w:b w:val="0"/>
          <w:bCs w:val="0"/>
          <w:color w:val="auto"/>
          <w:highlight w:val="none"/>
          <w:lang w:eastAsia="zh-CN"/>
        </w:rPr>
        <w:t xml:space="preserve">  </w:t>
      </w:r>
      <w:bookmarkStart w:id="50" w:name="_Toc80205929"/>
      <w:r>
        <w:rPr>
          <w:rFonts w:hint="eastAsia" w:ascii="宋体" w:hAnsi="宋体"/>
          <w:b w:val="0"/>
          <w:bCs w:val="0"/>
          <w:color w:val="auto"/>
          <w:highlight w:val="none"/>
        </w:rPr>
        <w:t>五、成交及合同</w:t>
      </w:r>
      <w:bookmarkEnd w:id="50"/>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供应商确定后2个工作日内，在省级以上财政部门指定的媒体上公告成交结果（成交通知及成交</w:t>
      </w:r>
      <w:r>
        <w:rPr>
          <w:rFonts w:ascii="宋体" w:hAnsi="宋体" w:cs="宋体"/>
          <w:color w:val="auto"/>
          <w:szCs w:val="21"/>
          <w:highlight w:val="none"/>
        </w:rPr>
        <w:t>结果公告</w:t>
      </w:r>
      <w:r>
        <w:rPr>
          <w:rFonts w:hint="eastAsia" w:ascii="宋体" w:hAnsi="宋体" w:cs="宋体"/>
          <w:color w:val="auto"/>
          <w:szCs w:val="21"/>
          <w:highlight w:val="none"/>
        </w:rPr>
        <w:t>应使用南宁市本级模板进行公告，公告内容除包含《政府采购公告和公示信息格式规范（2020年版）》要求内容外，还应包含采购人专门面向中小企业预留份额情况及成交供应商评审价格、优惠率等内容），同时向成交供应商发出成交通知书，成交通知书规定签订合同的时间不得超过25日。</w:t>
      </w:r>
    </w:p>
    <w:p>
      <w:pPr>
        <w:spacing w:line="360" w:lineRule="auto"/>
        <w:ind w:firstLine="420" w:firstLineChars="200"/>
        <w:rPr>
          <w:rFonts w:hint="eastAsia" w:ascii="宋体" w:hAnsi="宋体" w:cs="Courier New"/>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谈判文件一并保存。</w:t>
      </w:r>
      <w:bookmarkStart w:id="51"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5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7.</w:t>
      </w:r>
      <w:r>
        <w:rPr>
          <w:rFonts w:hint="eastAsia" w:ascii="宋体" w:hAnsi="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cs="宋体"/>
          <w:color w:val="auto"/>
          <w:szCs w:val="21"/>
          <w:highlight w:val="none"/>
        </w:rPr>
      </w:pPr>
      <w:r>
        <w:rPr>
          <w:rFonts w:ascii="宋体" w:hAnsi="宋体"/>
          <w:bCs/>
          <w:color w:val="auto"/>
          <w:szCs w:val="21"/>
          <w:highlight w:val="none"/>
        </w:rPr>
        <w:t>27.</w:t>
      </w:r>
      <w:r>
        <w:rPr>
          <w:rFonts w:hint="eastAsia" w:ascii="宋体" w:hAnsi="宋体"/>
          <w:bCs/>
          <w:color w:val="auto"/>
          <w:szCs w:val="21"/>
          <w:highlight w:val="none"/>
        </w:rPr>
        <w:t>5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pPr>
        <w:spacing w:line="360" w:lineRule="auto"/>
        <w:ind w:firstLine="420" w:firstLineChars="200"/>
        <w:rPr>
          <w:rFonts w:ascii="黑体" w:hAnsi="黑体" w:eastAsia="黑体" w:cs="宋体"/>
          <w:b/>
          <w:bCs/>
          <w:color w:val="auto"/>
          <w:sz w:val="24"/>
          <w:highlight w:val="none"/>
        </w:rPr>
      </w:pPr>
      <w:r>
        <w:rPr>
          <w:rFonts w:hint="eastAsia" w:ascii="宋体" w:hAnsi="宋体" w:cs="宋体"/>
          <w:color w:val="auto"/>
          <w:szCs w:val="21"/>
          <w:highlight w:val="none"/>
        </w:rPr>
        <w:t>详见 “供应商须知前附表”</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pPr>
        <w:pStyle w:val="25"/>
        <w:snapToGrid w:val="0"/>
        <w:spacing w:before="0"/>
        <w:ind w:firstLine="420"/>
        <w:rPr>
          <w:rFonts w:hint="eastAsia" w:ascii="宋体" w:hAnsi="宋体"/>
          <w:color w:val="auto"/>
          <w:sz w:val="21"/>
          <w:szCs w:val="21"/>
          <w:highlight w:val="none"/>
          <w:lang w:val="zh-CN"/>
        </w:rPr>
      </w:pPr>
      <w:r>
        <w:rPr>
          <w:rFonts w:ascii="宋体" w:hAnsi="宋体" w:cs="宋体"/>
          <w:color w:val="auto"/>
          <w:sz w:val="21"/>
          <w:szCs w:val="21"/>
          <w:highlight w:val="none"/>
        </w:rPr>
        <w:t>29.1</w:t>
      </w:r>
      <w:r>
        <w:rPr>
          <w:rFonts w:hint="eastAsia" w:ascii="宋体" w:hAnsi="宋体"/>
          <w:color w:val="auto"/>
          <w:sz w:val="21"/>
          <w:szCs w:val="21"/>
          <w:highlight w:val="none"/>
        </w:rPr>
        <w:t>采购人与成交供应商应当在</w:t>
      </w:r>
      <w:r>
        <w:rPr>
          <w:rFonts w:hint="eastAsia" w:ascii="宋体" w:hAnsi="宋体" w:cs="宋体"/>
          <w:color w:val="auto"/>
          <w:sz w:val="21"/>
          <w:szCs w:val="21"/>
          <w:highlight w:val="none"/>
        </w:rPr>
        <w:t>成交通知书规定的时间内</w:t>
      </w:r>
      <w:r>
        <w:rPr>
          <w:rFonts w:hint="eastAsia" w:ascii="宋体" w:hAnsi="宋体"/>
          <w:color w:val="auto"/>
          <w:sz w:val="21"/>
          <w:szCs w:val="21"/>
          <w:highlight w:val="none"/>
        </w:rPr>
        <w:t>，按照谈判文件确定的合同文本以及采购标的、货物技术、采购金额、采购数量、技术和货物要求等事项签订政府采购合同。</w:t>
      </w:r>
      <w:r>
        <w:rPr>
          <w:rFonts w:hint="eastAsia" w:ascii="宋体" w:hAnsi="宋体"/>
          <w:color w:val="auto"/>
          <w:sz w:val="21"/>
          <w:szCs w:val="21"/>
          <w:highlight w:val="none"/>
          <w:lang w:val="zh-CN"/>
        </w:rPr>
        <w:t>如成交供应商为联合体的，由联合体成员各方法定代表人或其授权代表与采购人代表签订合同。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29.3成交供应商拒绝签订政府采购合同的，</w:t>
      </w:r>
      <w:r>
        <w:rPr>
          <w:rFonts w:hint="eastAsia" w:ascii="宋体" w:hAnsi="宋体" w:cs="宋体"/>
          <w:color w:val="auto"/>
          <w:szCs w:val="21"/>
          <w:highlight w:val="none"/>
        </w:rPr>
        <w:t>采购人可以按照评审报告推荐的成交候选人名单排序，确定下一候选人为成交供应商</w:t>
      </w:r>
      <w:r>
        <w:rPr>
          <w:rFonts w:hint="eastAsia" w:ascii="宋体" w:hAnsi="宋体"/>
          <w:color w:val="auto"/>
          <w:szCs w:val="21"/>
          <w:highlight w:val="none"/>
        </w:rPr>
        <w:t>，也可以重新开展采购活动。拒绝签订政府采购合同的成交供应商不得参加对该项目重新开展的采购活动。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29.4如签订合同并生效后，供应商无故拒绝或延期，除按照合同条款处理外，列入不良行为记录，并给予通报。</w:t>
      </w:r>
    </w:p>
    <w:p>
      <w:pPr>
        <w:pStyle w:val="25"/>
        <w:spacing w:before="0"/>
        <w:ind w:firstLine="420"/>
        <w:rPr>
          <w:rFonts w:hint="eastAsia" w:ascii="宋体" w:hAnsi="宋体" w:cs="宋体"/>
          <w:color w:val="auto"/>
          <w:szCs w:val="21"/>
          <w:highlight w:val="none"/>
        </w:rPr>
      </w:pPr>
      <w:r>
        <w:rPr>
          <w:rFonts w:hint="eastAsia" w:ascii="宋体" w:hAnsi="宋体" w:cs="仿宋_GB2312"/>
          <w:color w:val="auto"/>
          <w:sz w:val="21"/>
          <w:szCs w:val="21"/>
          <w:highlight w:val="none"/>
        </w:rPr>
        <w:t>29</w:t>
      </w:r>
      <w:r>
        <w:rPr>
          <w:rFonts w:ascii="宋体" w:hAnsi="宋体" w:cs="仿宋_GB2312"/>
          <w:color w:val="auto"/>
          <w:sz w:val="21"/>
          <w:szCs w:val="21"/>
          <w:highlight w:val="none"/>
        </w:rPr>
        <w:t>.5采购合同由采购人与</w:t>
      </w:r>
      <w:r>
        <w:rPr>
          <w:rFonts w:hint="eastAsia" w:ascii="宋体" w:hAnsi="宋体" w:cs="仿宋_GB2312"/>
          <w:color w:val="auto"/>
          <w:sz w:val="21"/>
          <w:szCs w:val="21"/>
          <w:highlight w:val="none"/>
        </w:rPr>
        <w:t>成交</w:t>
      </w:r>
      <w:r>
        <w:rPr>
          <w:rFonts w:ascii="宋体" w:hAnsi="宋体" w:cs="仿宋_GB2312"/>
          <w:color w:val="auto"/>
          <w:sz w:val="21"/>
          <w:szCs w:val="21"/>
          <w:highlight w:val="none"/>
        </w:rPr>
        <w:t>供应商根据</w:t>
      </w:r>
      <w:r>
        <w:rPr>
          <w:rFonts w:hint="eastAsia" w:ascii="宋体" w:hAnsi="宋体"/>
          <w:color w:val="auto"/>
          <w:sz w:val="21"/>
          <w:szCs w:val="21"/>
          <w:highlight w:val="none"/>
        </w:rPr>
        <w:t>谈判</w:t>
      </w:r>
      <w:r>
        <w:rPr>
          <w:rFonts w:hint="eastAsia" w:ascii="宋体" w:hAnsi="宋体" w:cs="仿宋_GB2312"/>
          <w:color w:val="auto"/>
          <w:sz w:val="21"/>
          <w:szCs w:val="21"/>
          <w:highlight w:val="none"/>
        </w:rPr>
        <w:t>文件、响应文件等内容通过政府采购电子交易平台在线签订，自动备案，在线签订须携带的材料见“</w:t>
      </w:r>
      <w:r>
        <w:rPr>
          <w:rFonts w:hint="eastAsia"/>
          <w:color w:val="auto"/>
          <w:highlight w:val="none"/>
          <w:lang w:val="en-US" w:eastAsia="zh-CN"/>
        </w:rPr>
        <w:t xml:space="preserve"> </w:t>
      </w:r>
      <w:r>
        <w:rPr>
          <w:rFonts w:hint="eastAsia" w:ascii="宋体" w:hAnsi="宋体" w:cs="仿宋_GB2312"/>
          <w:color w:val="auto"/>
          <w:sz w:val="21"/>
          <w:szCs w:val="21"/>
          <w:highlight w:val="none"/>
        </w:rPr>
        <w:t>供应商须</w:t>
      </w:r>
      <w:r>
        <w:rPr>
          <w:rFonts w:hint="eastAsia" w:ascii="宋体" w:hAnsi="宋体"/>
          <w:color w:val="auto"/>
          <w:sz w:val="21"/>
          <w:szCs w:val="21"/>
          <w:highlight w:val="none"/>
        </w:rPr>
        <w:t>知前附表</w:t>
      </w:r>
      <w:r>
        <w:rPr>
          <w:rFonts w:hint="eastAsia" w:ascii="宋体" w:hAnsi="宋体" w:cs="仿宋_GB2312"/>
          <w:color w:val="auto"/>
          <w:sz w:val="21"/>
          <w:szCs w:val="21"/>
          <w:highlight w:val="none"/>
        </w:rPr>
        <w:t>”。</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.2供应商认为谈判文件、采购过程或者成交结果使自己的合法权益受到损害的，应当在知道或者应知其权益受到损害之日起7个工作日内，以书面形式向采购人、采购代理机构提出质疑，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w:t>
      </w:r>
      <w:r>
        <w:rPr>
          <w:rFonts w:hint="eastAsia" w:ascii="宋体" w:hAnsi="宋体" w:cs="宋体"/>
          <w:color w:val="auto"/>
          <w:highlight w:val="none"/>
          <w:lang w:val="en-US" w:eastAsia="zh-CN"/>
        </w:rPr>
        <w:t>及处理方式</w:t>
      </w:r>
      <w:r>
        <w:rPr>
          <w:rFonts w:hint="eastAsia" w:ascii="宋体" w:hAnsi="宋体" w:cs="宋体"/>
          <w:color w:val="auto"/>
          <w:highlight w:val="none"/>
        </w:rPr>
        <w:t>如下：</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（1）潜在供应商依法获取采购文件后，认为</w:t>
      </w:r>
      <w:r>
        <w:rPr>
          <w:rFonts w:hint="eastAsia" w:ascii="宋体" w:hAnsi="宋体" w:cs="宋体"/>
          <w:color w:val="auto"/>
          <w:highlight w:val="none"/>
          <w:lang w:val="en-US" w:eastAsia="zh-CN"/>
        </w:rPr>
        <w:t>谈判</w:t>
      </w:r>
      <w:r>
        <w:rPr>
          <w:rFonts w:hint="eastAsia" w:ascii="宋体" w:hAnsi="宋体" w:cs="宋体"/>
          <w:color w:val="auto"/>
          <w:highlight w:val="none"/>
        </w:rPr>
        <w:t>文件使自己的权益受到损害的，应当在竞争性</w:t>
      </w:r>
      <w:r>
        <w:rPr>
          <w:rFonts w:hint="eastAsia" w:ascii="宋体" w:hAnsi="宋体" w:cs="宋体"/>
          <w:color w:val="auto"/>
          <w:highlight w:val="none"/>
          <w:lang w:val="en-US" w:eastAsia="zh-CN"/>
        </w:rPr>
        <w:t>谈判</w:t>
      </w:r>
      <w:r>
        <w:rPr>
          <w:rFonts w:hint="eastAsia" w:ascii="宋体" w:hAnsi="宋体" w:cs="宋体"/>
          <w:color w:val="auto"/>
          <w:highlight w:val="none"/>
        </w:rPr>
        <w:t>采购文件公告期限届满之日起7个工作日内提出质疑。委托代理协议无特殊约定的，对竞争性</w:t>
      </w:r>
      <w:r>
        <w:rPr>
          <w:rFonts w:hint="eastAsia" w:ascii="宋体" w:hAnsi="宋体" w:cs="宋体"/>
          <w:color w:val="auto"/>
          <w:highlight w:val="none"/>
          <w:lang w:val="en-US" w:eastAsia="zh-CN"/>
        </w:rPr>
        <w:t>谈判</w:t>
      </w:r>
      <w:r>
        <w:rPr>
          <w:rFonts w:hint="eastAsia" w:ascii="宋体" w:hAnsi="宋体" w:cs="宋体"/>
          <w:color w:val="auto"/>
          <w:highlight w:val="none"/>
        </w:rPr>
        <w:t>文件中采购需求（含资格要求、采购预算和评分办法）的质疑由采购人受理并负责答</w:t>
      </w:r>
    </w:p>
    <w:p>
      <w:pPr>
        <w:spacing w:line="360" w:lineRule="auto"/>
        <w:rPr>
          <w:rFonts w:hint="eastAsia" w:ascii="宋体" w:hAnsi="宋体" w:cs="宋体"/>
          <w:color w:val="auto"/>
          <w:highlight w:val="none"/>
          <w:lang w:eastAsia="zh-CN"/>
        </w:rPr>
      </w:pPr>
      <w:r>
        <w:rPr>
          <w:rFonts w:hint="eastAsia" w:ascii="宋体" w:hAnsi="宋体" w:cs="宋体"/>
          <w:color w:val="auto"/>
          <w:highlight w:val="none"/>
        </w:rPr>
        <w:t>复；对竞争性</w:t>
      </w:r>
      <w:r>
        <w:rPr>
          <w:rFonts w:hint="eastAsia" w:ascii="宋体" w:hAnsi="宋体" w:cs="宋体"/>
          <w:color w:val="auto"/>
          <w:highlight w:val="none"/>
          <w:lang w:val="en-US" w:eastAsia="zh-CN"/>
        </w:rPr>
        <w:t>谈判</w:t>
      </w:r>
      <w:r>
        <w:rPr>
          <w:rFonts w:hint="eastAsia" w:ascii="宋体" w:hAnsi="宋体" w:cs="宋体"/>
          <w:color w:val="auto"/>
          <w:highlight w:val="none"/>
        </w:rPr>
        <w:t>文件中的采购执行程序的质疑由采购代理机构受理并负责答复</w:t>
      </w:r>
      <w:r>
        <w:rPr>
          <w:rFonts w:hint="eastAsia" w:ascii="宋体" w:hAnsi="宋体" w:cs="宋体"/>
          <w:color w:val="auto"/>
          <w:highlight w:val="none"/>
          <w:lang w:eastAsia="zh-CN"/>
        </w:rPr>
        <w:t>。</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（3）供应商认为成交结果使自己的权益受到损害的，应当在成交结果公告期限届满之日起7个工作日内提出质疑，由采购人受理并负责答复。</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供应商为自然人的，应当由本人签字；供应商为法人或者其他组织的，应当由法定代表人、主要负责人，或者其委托代理人签字，并加盖公章。</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pPr>
        <w:pStyle w:val="5"/>
        <w:spacing w:before="0" w:after="0" w:line="360" w:lineRule="auto"/>
        <w:ind w:firstLine="643" w:firstLineChars="200"/>
        <w:rPr>
          <w:rFonts w:ascii="宋体" w:hAnsi="宋体"/>
          <w:b w:val="0"/>
          <w:color w:val="auto"/>
          <w:highlight w:val="none"/>
        </w:rPr>
      </w:pPr>
      <w:bookmarkStart w:id="52" w:name="_Toc80205930"/>
      <w:r>
        <w:rPr>
          <w:rFonts w:hint="eastAsia" w:ascii="宋体" w:hAnsi="宋体"/>
          <w:color w:val="auto"/>
          <w:highlight w:val="none"/>
        </w:rPr>
        <w:t>六</w:t>
      </w:r>
      <w:r>
        <w:rPr>
          <w:rFonts w:hint="eastAsia" w:ascii="宋体" w:hAnsi="宋体"/>
          <w:b w:val="0"/>
          <w:color w:val="auto"/>
          <w:highlight w:val="none"/>
        </w:rPr>
        <w:t>、验收</w:t>
      </w:r>
      <w:bookmarkEnd w:id="52"/>
    </w:p>
    <w:p>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cs="Helvetica"/>
          <w:color w:val="auto"/>
          <w:kern w:val="0"/>
          <w:szCs w:val="21"/>
          <w:highlight w:val="none"/>
        </w:rPr>
      </w:pPr>
      <w:r>
        <w:rPr>
          <w:rFonts w:hint="eastAsia" w:ascii="宋体" w:hAnsi="宋体" w:cs="Helvetica"/>
          <w:color w:val="auto"/>
          <w:kern w:val="0"/>
          <w:szCs w:val="21"/>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20" w:firstLineChars="200"/>
        <w:rPr>
          <w:rFonts w:hint="eastAsia" w:ascii="宋体" w:hAnsi="宋体" w:cs="宋体"/>
          <w:color w:val="auto"/>
          <w:szCs w:val="21"/>
          <w:highlight w:val="none"/>
        </w:rPr>
      </w:pPr>
      <w:r>
        <w:rPr>
          <w:rFonts w:hint="eastAsia" w:ascii="宋体" w:hAnsi="宋体" w:cs="Helvetica"/>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5"/>
        <w:spacing w:before="0" w:after="0" w:line="360" w:lineRule="auto"/>
        <w:ind w:firstLine="640" w:firstLineChars="200"/>
        <w:rPr>
          <w:rFonts w:hint="eastAsia" w:ascii="宋体" w:hAnsi="宋体"/>
          <w:b w:val="0"/>
          <w:bCs w:val="0"/>
          <w:color w:val="auto"/>
          <w:highlight w:val="none"/>
        </w:rPr>
      </w:pPr>
      <w:r>
        <w:rPr>
          <w:rFonts w:hint="eastAsia" w:ascii="宋体" w:hAnsi="宋体"/>
          <w:b w:val="0"/>
          <w:bCs w:val="0"/>
          <w:color w:val="auto"/>
          <w:highlight w:val="none"/>
          <w:lang w:eastAsia="zh-CN"/>
        </w:rPr>
        <w:t xml:space="preserve">  </w:t>
      </w:r>
      <w:bookmarkStart w:id="53" w:name="_Toc80205931"/>
      <w:r>
        <w:rPr>
          <w:rFonts w:hint="eastAsia" w:ascii="宋体" w:hAnsi="宋体"/>
          <w:b w:val="0"/>
          <w:bCs w:val="0"/>
          <w:color w:val="auto"/>
          <w:highlight w:val="none"/>
          <w:lang w:eastAsia="zh-CN"/>
        </w:rPr>
        <w:t>七</w:t>
      </w:r>
      <w:r>
        <w:rPr>
          <w:rFonts w:hint="eastAsia" w:ascii="宋体" w:hAnsi="宋体"/>
          <w:b w:val="0"/>
          <w:bCs w:val="0"/>
          <w:color w:val="auto"/>
          <w:highlight w:val="none"/>
        </w:rPr>
        <w:t>、其他事项</w:t>
      </w:r>
      <w:bookmarkEnd w:id="53"/>
    </w:p>
    <w:p>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3.代理货物费</w:t>
      </w:r>
    </w:p>
    <w:p>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代理货物收费标准及缴费账户详见“供应商须知前附表”，供应商为联合体的，可以由联合体中的一方或者多方共同交纳代理货物费。</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34</w:t>
      </w:r>
      <w:r>
        <w:rPr>
          <w:rFonts w:ascii="黑体" w:hAnsi="黑体" w:eastAsia="黑体" w:cs="宋体"/>
          <w:b/>
          <w:bCs/>
          <w:color w:val="auto"/>
          <w:sz w:val="24"/>
          <w:highlight w:val="none"/>
        </w:rPr>
        <w:t>.需要补充的其他内容</w:t>
      </w:r>
    </w:p>
    <w:p>
      <w:pPr>
        <w:pStyle w:val="13"/>
        <w:spacing w:line="360" w:lineRule="auto"/>
        <w:ind w:firstLine="420" w:firstLineChars="200"/>
        <w:contextualSpacing/>
        <w:rPr>
          <w:rFonts w:hAnsi="宋体"/>
          <w:color w:val="auto"/>
          <w:sz w:val="21"/>
          <w:highlight w:val="none"/>
        </w:rPr>
      </w:pPr>
      <w:r>
        <w:rPr>
          <w:rFonts w:hAnsi="宋体"/>
          <w:color w:val="auto"/>
          <w:sz w:val="21"/>
          <w:highlight w:val="none"/>
        </w:rPr>
        <w:t>3</w:t>
      </w:r>
      <w:r>
        <w:rPr>
          <w:rFonts w:hint="eastAsia" w:hAnsi="宋体"/>
          <w:color w:val="auto"/>
          <w:sz w:val="21"/>
          <w:highlight w:val="none"/>
          <w:lang w:eastAsia="zh-CN"/>
        </w:rPr>
        <w:t>4</w:t>
      </w:r>
      <w:r>
        <w:rPr>
          <w:rFonts w:hAnsi="宋体"/>
          <w:color w:val="auto"/>
          <w:sz w:val="21"/>
          <w:highlight w:val="none"/>
        </w:rPr>
        <w:t>.1</w:t>
      </w:r>
      <w:r>
        <w:rPr>
          <w:rFonts w:hint="eastAsia" w:hAnsi="宋体" w:cs="宋体"/>
          <w:color w:val="auto"/>
          <w:sz w:val="21"/>
          <w:highlight w:val="none"/>
        </w:rPr>
        <w:t>本谈判文件解释规则详见</w:t>
      </w:r>
      <w:r>
        <w:rPr>
          <w:rFonts w:hint="eastAsia" w:hAnsi="宋体"/>
          <w:color w:val="auto"/>
          <w:sz w:val="21"/>
          <w:highlight w:val="none"/>
        </w:rPr>
        <w:t>“供应商须知前附表”。</w:t>
      </w:r>
    </w:p>
    <w:p>
      <w:pPr>
        <w:spacing w:line="360" w:lineRule="auto"/>
        <w:ind w:firstLine="420" w:firstLineChars="200"/>
        <w:contextualSpacing/>
        <w:rPr>
          <w:rFonts w:hAnsi="宋体"/>
          <w:color w:val="auto"/>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4</w:t>
      </w:r>
      <w:r>
        <w:rPr>
          <w:rFonts w:ascii="宋体" w:hAnsi="宋体" w:cs="宋体"/>
          <w:color w:val="auto"/>
          <w:kern w:val="0"/>
          <w:szCs w:val="21"/>
          <w:highlight w:val="none"/>
        </w:rPr>
        <w:t>.2</w:t>
      </w:r>
      <w:r>
        <w:rPr>
          <w:rFonts w:hint="eastAsia" w:ascii="宋体" w:hAnsi="宋体" w:cs="宋体"/>
          <w:color w:val="auto"/>
          <w:kern w:val="0"/>
          <w:szCs w:val="21"/>
          <w:highlight w:val="none"/>
        </w:rPr>
        <w:t xml:space="preserve"> 其他事</w:t>
      </w:r>
      <w:r>
        <w:rPr>
          <w:rFonts w:hint="eastAsia" w:hAnsi="宋体"/>
          <w:color w:val="auto"/>
          <w:highlight w:val="none"/>
        </w:rPr>
        <w:t>项详见“供应商须知前附表”。</w:t>
      </w:r>
    </w:p>
    <w:p>
      <w:pPr>
        <w:pStyle w:val="13"/>
        <w:spacing w:line="360" w:lineRule="auto"/>
        <w:ind w:firstLine="400" w:firstLineChars="200"/>
        <w:contextualSpacing/>
        <w:rPr>
          <w:rFonts w:hint="eastAsia" w:hAnsi="宋体"/>
          <w:color w:val="auto"/>
          <w:sz w:val="21"/>
          <w:highlight w:val="none"/>
        </w:rPr>
      </w:pPr>
      <w:r>
        <w:rPr>
          <w:rFonts w:hint="eastAsia" w:hAnsi="宋体"/>
          <w:color w:val="auto"/>
          <w:highlight w:val="none"/>
        </w:rPr>
        <w:t>3</w:t>
      </w:r>
      <w:r>
        <w:rPr>
          <w:rFonts w:hint="eastAsia" w:hAnsi="宋体"/>
          <w:color w:val="auto"/>
          <w:highlight w:val="none"/>
          <w:lang w:eastAsia="zh-CN"/>
        </w:rPr>
        <w:t>4</w:t>
      </w:r>
      <w:r>
        <w:rPr>
          <w:rFonts w:hAnsi="宋体"/>
          <w:color w:val="auto"/>
          <w:highlight w:val="none"/>
        </w:rPr>
        <w:t>.3</w:t>
      </w:r>
      <w:bookmarkStart w:id="54" w:name="_Hlk65857140"/>
      <w:r>
        <w:rPr>
          <w:rFonts w:hint="eastAsia" w:hAnsi="宋体"/>
          <w:color w:val="auto"/>
          <w:sz w:val="21"/>
          <w:highlight w:val="none"/>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货物符合下列情形的，享受本文件规定的中小企业扶持政策：</w:t>
      </w:r>
    </w:p>
    <w:p>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（1）在货物采购项目中，货物由中小企业制造，即货物由中小企业生产且使用该中小企业商号或者注册商标，不对其中涉及的工程承建商和货物的承接商作出要求；</w:t>
      </w:r>
    </w:p>
    <w:p>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（2）在工程采购项目中，工程由中小企业承建，即工程施工单位为中小企业，不对其中涉及的货物的制造商和货物的承接商作出要求；</w:t>
      </w:r>
    </w:p>
    <w:p>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（3）在货物采购项目中，货物由中小企业承接，即提供货物的人员为中小企业依照《中华人民共和国劳动合同法》订立劳动合同的从业人员，不对其中涉及的货物的制造商和工程承建商作出要求。</w:t>
      </w:r>
    </w:p>
    <w:p>
      <w:pPr>
        <w:pStyle w:val="13"/>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pStyle w:val="13"/>
        <w:spacing w:line="360" w:lineRule="auto"/>
        <w:ind w:firstLine="400" w:firstLineChars="200"/>
        <w:textAlignment w:val="center"/>
        <w:rPr>
          <w:rFonts w:hint="eastAsia" w:hAnsi="宋体"/>
          <w:color w:val="auto"/>
          <w:highlight w:val="none"/>
          <w:lang w:eastAsia="zh-CN"/>
        </w:rPr>
      </w:pPr>
      <w:r>
        <w:rPr>
          <w:rFonts w:hint="eastAsia" w:hAnsi="宋体"/>
          <w:color w:val="auto"/>
          <w:highlight w:val="none"/>
        </w:rPr>
        <w:t>依据本文件规定享受扶持政策获得政府采购合同的，小微企业不得将合同分包给大中型企业，中型企业不得将合同分包给大型企业。</w:t>
      </w:r>
      <w:bookmarkEnd w:id="54"/>
    </w:p>
    <w:p>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35. 政采贷相关说明</w:t>
      </w:r>
    </w:p>
    <w:p>
      <w:pPr>
        <w:spacing w:line="360" w:lineRule="auto"/>
        <w:ind w:firstLine="420" w:firstLineChars="200"/>
        <w:rPr>
          <w:rFonts w:hint="eastAsia"/>
          <w:color w:val="auto"/>
          <w:highlight w:val="none"/>
        </w:rPr>
      </w:pPr>
      <w:r>
        <w:rPr>
          <w:rFonts w:hint="eastAsia" w:hAnsi="宋体"/>
          <w:color w:val="auto"/>
          <w:highlight w:val="none"/>
        </w:rPr>
        <w:t>为优化政府采购营商环境，缓解供应商资金难题，南宁市政府采购试行政府采购信用融资制度，中标供应商如有融资需求，可凭政府采购合同在“南宁市公共资源交易中心”官网（网址：http://www.nnggzy.org.cn）“交易信息-政府采购-政府采购信用融资”中融资银行和南宁市企业融资货物中心专栏信息申请政府采购信用融资。</w:t>
      </w:r>
      <w:bookmarkStart w:id="55" w:name="_Toc80205932"/>
    </w:p>
    <w:p>
      <w:pPr>
        <w:pStyle w:val="3"/>
        <w:jc w:val="both"/>
        <w:rPr>
          <w:rFonts w:hint="eastAsia"/>
          <w:color w:val="auto"/>
          <w:highlight w:val="none"/>
        </w:rPr>
      </w:pPr>
    </w:p>
    <w:p>
      <w:pPr>
        <w:rPr>
          <w:rFonts w:hint="eastAsia"/>
          <w:color w:val="auto"/>
          <w:highlight w:val="none"/>
        </w:rPr>
      </w:pPr>
    </w:p>
    <w:p>
      <w:pPr>
        <w:pStyle w:val="18"/>
        <w:rPr>
          <w:rFonts w:hint="eastAsia"/>
          <w:color w:val="auto"/>
          <w:highlight w:val="none"/>
        </w:rPr>
      </w:pPr>
    </w:p>
    <w:p>
      <w:pPr>
        <w:rPr>
          <w:rFonts w:hint="eastAsia"/>
          <w:color w:val="auto"/>
          <w:highlight w:val="none"/>
        </w:rPr>
      </w:pPr>
    </w:p>
    <w:p>
      <w:pPr>
        <w:pStyle w:val="18"/>
        <w:rPr>
          <w:rFonts w:hint="eastAsia"/>
          <w:color w:val="auto"/>
          <w:highlight w:val="none"/>
        </w:rPr>
      </w:pPr>
    </w:p>
    <w:p>
      <w:pPr>
        <w:pStyle w:val="3"/>
        <w:jc w:val="center"/>
        <w:rPr>
          <w:rFonts w:hint="eastAsia"/>
          <w:color w:val="auto"/>
          <w:highlight w:val="none"/>
        </w:rPr>
      </w:pPr>
      <w:r>
        <w:rPr>
          <w:rFonts w:hint="eastAsia"/>
          <w:color w:val="auto"/>
          <w:highlight w:val="none"/>
        </w:rPr>
        <w:t>第四章  评审程序、评审方法和成交标准</w:t>
      </w:r>
      <w:bookmarkEnd w:id="55"/>
    </w:p>
    <w:p>
      <w:pPr>
        <w:pStyle w:val="4"/>
        <w:spacing w:before="0" w:after="0" w:line="360" w:lineRule="auto"/>
        <w:ind w:firstLine="640" w:firstLineChars="200"/>
        <w:jc w:val="center"/>
        <w:rPr>
          <w:rFonts w:hint="eastAsia" w:ascii="宋体" w:hAnsi="宋体"/>
          <w:b w:val="0"/>
          <w:color w:val="auto"/>
          <w:highlight w:val="none"/>
        </w:rPr>
      </w:pPr>
      <w:bookmarkStart w:id="56" w:name="_Toc80205933"/>
      <w:r>
        <w:rPr>
          <w:rFonts w:hint="eastAsia" w:ascii="宋体" w:hAnsi="宋体"/>
          <w:b w:val="0"/>
          <w:color w:val="auto"/>
          <w:highlight w:val="none"/>
        </w:rPr>
        <w:t>第一节 评审程序和评审方法</w:t>
      </w:r>
      <w:bookmarkEnd w:id="56"/>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由谈判小组确认谈判文件。</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pPr>
        <w:snapToGrid w:val="0"/>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2.1</w:t>
      </w:r>
      <w:r>
        <w:rPr>
          <w:rFonts w:hint="eastAsia" w:ascii="宋体" w:hAnsi="宋体"/>
          <w:color w:val="auto"/>
          <w:szCs w:val="21"/>
          <w:highlight w:val="none"/>
        </w:rPr>
        <w:t>响应文件开启后，谈判小组依法对供应商的资格证明文件进行审查。</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（1）查询渠道：“政采云”平台“信用中国”网站(</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instrText>
      </w:r>
      <w:r>
        <w:rPr>
          <w:rFonts w:hint="eastAsia" w:ascii="宋体" w:hAnsi="宋体" w:cs="宋体"/>
          <w:color w:val="auto"/>
          <w:szCs w:val="21"/>
          <w:highlight w:val="none"/>
        </w:rPr>
        <w:instrText xml:space="preserve">www.creditchina.gov.cn</w:instrText>
      </w:r>
      <w:r>
        <w:rPr>
          <w:rFonts w:ascii="宋体" w:hAnsi="宋体" w:cs="宋体"/>
          <w:color w:val="auto"/>
          <w:szCs w:val="21"/>
          <w:highlight w:val="none"/>
        </w:rPr>
        <w:instrText xml:space="preserve">" </w:instrText>
      </w:r>
      <w:r>
        <w:rPr>
          <w:rFonts w:ascii="宋体" w:hAnsi="宋体" w:cs="宋体"/>
          <w:color w:val="auto"/>
          <w:szCs w:val="21"/>
          <w:highlight w:val="none"/>
        </w:rPr>
        <w:fldChar w:fldCharType="separate"/>
      </w:r>
      <w:r>
        <w:rPr>
          <w:rStyle w:val="24"/>
          <w:rFonts w:hint="eastAsia" w:ascii="宋体" w:hAnsi="宋体" w:cs="宋体"/>
          <w:color w:val="auto"/>
          <w:szCs w:val="21"/>
          <w:highlight w:val="none"/>
        </w:rPr>
        <w:t>www.creditchina.gov.cn</w:t>
      </w:r>
      <w:r>
        <w:rPr>
          <w:rFonts w:ascii="宋体" w:hAnsi="宋体" w:cs="宋体"/>
          <w:color w:val="auto"/>
          <w:szCs w:val="21"/>
          <w:highlight w:val="none"/>
        </w:rPr>
        <w:fldChar w:fldCharType="end"/>
      </w:r>
      <w:r>
        <w:rPr>
          <w:rFonts w:hint="eastAsia" w:ascii="宋体" w:hAnsi="宋体" w:cs="宋体"/>
          <w:color w:val="auto"/>
          <w:szCs w:val="21"/>
          <w:highlight w:val="none"/>
        </w:rPr>
        <w:t>)、中国政府采购网(</w:t>
      </w:r>
      <w:r>
        <w:rPr>
          <w:rFonts w:ascii="宋体" w:hAnsi="宋体" w:cs="宋体"/>
          <w:color w:val="auto"/>
          <w:szCs w:val="21"/>
          <w:highlight w:val="none"/>
        </w:rPr>
        <w:fldChar w:fldCharType="begin"/>
      </w:r>
      <w:r>
        <w:rPr>
          <w:rFonts w:ascii="宋体" w:hAnsi="宋体" w:cs="宋体"/>
          <w:color w:val="auto"/>
          <w:szCs w:val="21"/>
          <w:highlight w:val="none"/>
        </w:rPr>
        <w:instrText xml:space="preserve"> HYPERLINK "http://</w:instrText>
      </w:r>
      <w:r>
        <w:rPr>
          <w:rFonts w:hint="eastAsia" w:ascii="宋体" w:hAnsi="宋体" w:cs="宋体"/>
          <w:color w:val="auto"/>
          <w:szCs w:val="21"/>
          <w:highlight w:val="none"/>
        </w:rPr>
        <w:instrText xml:space="preserve">www.ccgp.gov.cn</w:instrText>
      </w:r>
      <w:r>
        <w:rPr>
          <w:rFonts w:ascii="宋体" w:hAnsi="宋体" w:cs="宋体"/>
          <w:color w:val="auto"/>
          <w:szCs w:val="21"/>
          <w:highlight w:val="none"/>
        </w:rPr>
        <w:instrText xml:space="preserve">" </w:instrText>
      </w:r>
      <w:r>
        <w:rPr>
          <w:rFonts w:ascii="宋体" w:hAnsi="宋体" w:cs="宋体"/>
          <w:color w:val="auto"/>
          <w:szCs w:val="21"/>
          <w:highlight w:val="none"/>
        </w:rPr>
        <w:fldChar w:fldCharType="separate"/>
      </w:r>
      <w:r>
        <w:rPr>
          <w:rStyle w:val="24"/>
          <w:rFonts w:hint="eastAsia" w:ascii="宋体" w:hAnsi="宋体" w:cs="宋体"/>
          <w:color w:val="auto"/>
          <w:szCs w:val="21"/>
          <w:highlight w:val="none"/>
        </w:rPr>
        <w:t>www.ccgp.gov.cn</w:t>
      </w:r>
      <w:r>
        <w:rPr>
          <w:rFonts w:ascii="宋体" w:hAnsi="宋体" w:cs="宋体"/>
          <w:color w:val="auto"/>
          <w:szCs w:val="21"/>
          <w:highlight w:val="none"/>
        </w:rPr>
        <w:fldChar w:fldCharType="end"/>
      </w:r>
      <w:r>
        <w:rPr>
          <w:rFonts w:hint="eastAsia" w:ascii="宋体" w:hAnsi="宋体" w:cs="宋体"/>
          <w:color w:val="auto"/>
          <w:szCs w:val="21"/>
          <w:highlight w:val="none"/>
        </w:rPr>
        <w:t>)链接入口。</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w:t>
      </w:r>
      <w:r>
        <w:rPr>
          <w:rFonts w:hint="eastAsia" w:ascii="宋体" w:hAnsi="宋体" w:cs="宋体"/>
          <w:color w:val="auto"/>
          <w:szCs w:val="21"/>
          <w:highlight w:val="none"/>
          <w:lang w:val="en-US" w:eastAsia="zh-CN"/>
        </w:rPr>
        <w:t>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）响应文件未提供任一项“供应商须知前附表”资格证明文件规定的“必须提供”的文件资料的；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）响应文件提供的资格证明文件出现任一项不符合“供应商须知前附表”资格证明文件规定的“必须提供”的文件资料要求或者无效的。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cs="宋体"/>
          <w:color w:val="auto"/>
          <w:szCs w:val="21"/>
          <w:highlight w:val="none"/>
        </w:rPr>
      </w:pPr>
      <w:bookmarkStart w:id="57"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（4）同一合同项下的不同供应商，单位负责人为同一人或者存在直接控股、管理关系的；为本项目提供过整体设计、规范编制或者项目管理、监理、检测等货物的。</w:t>
      </w:r>
      <w:bookmarkEnd w:id="57"/>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w:t>
      </w:r>
      <w:r>
        <w:rPr>
          <w:rFonts w:hint="eastAsia" w:ascii="宋体" w:hAnsi="宋体"/>
          <w:color w:val="auto"/>
          <w:szCs w:val="21"/>
          <w:highlight w:val="none"/>
        </w:rPr>
        <w:t>采购人或者采购代理机构应当重新开展采购活动。</w:t>
      </w:r>
    </w:p>
    <w:p>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pPr>
        <w:spacing w:line="360" w:lineRule="auto"/>
        <w:ind w:firstLine="420" w:firstLineChars="200"/>
        <w:rPr>
          <w:rFonts w:hint="eastAsia" w:ascii="宋体" w:hAnsi="宋体" w:cs="宋体"/>
          <w:color w:val="auto"/>
          <w:szCs w:val="21"/>
          <w:highlight w:val="none"/>
        </w:rPr>
      </w:pPr>
      <w:bookmarkStart w:id="58" w:name="_Hlk42528882"/>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由谈判小组对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的响应文件的响应报价、商务、技术等实质性要求进行符合性审查，以确定其是否满足谈判文件的实质性要求。</w:t>
      </w:r>
    </w:p>
    <w:bookmarkEnd w:id="58"/>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谈判小组要求供应商澄清、说明或者更正响应文件应当以电子澄清函形式作出。供应商的澄清、说明或者更正应当已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pPr>
        <w:spacing w:line="360" w:lineRule="auto"/>
        <w:ind w:firstLine="396" w:firstLineChars="200"/>
        <w:rPr>
          <w:rFonts w:hint="eastAsia" w:ascii="宋体" w:hAnsi="宋体" w:cs="宋体"/>
          <w:color w:val="auto"/>
          <w:szCs w:val="21"/>
          <w:highlight w:val="none"/>
        </w:rPr>
      </w:pPr>
      <w:r>
        <w:rPr>
          <w:rFonts w:hint="eastAsia" w:ascii="宋体" w:hAnsi="宋体" w:cs="宋体"/>
          <w:color w:val="auto"/>
          <w:spacing w:val="-6"/>
          <w:szCs w:val="21"/>
          <w:highlight w:val="none"/>
        </w:rPr>
        <w:t>3</w:t>
      </w:r>
      <w:r>
        <w:rPr>
          <w:rFonts w:ascii="宋体" w:hAnsi="宋体" w:cs="宋体"/>
          <w:color w:val="auto"/>
          <w:spacing w:val="-6"/>
          <w:szCs w:val="21"/>
          <w:highlight w:val="none"/>
        </w:rPr>
        <w:t>.4</w:t>
      </w:r>
      <w:r>
        <w:rPr>
          <w:rFonts w:hint="eastAsia" w:ascii="宋体" w:hAnsi="宋体" w:cs="宋体"/>
          <w:color w:val="auto"/>
          <w:szCs w:val="21"/>
          <w:highlight w:val="none"/>
        </w:rPr>
        <w:t xml:space="preserve">首次响应文件报价出现前后不一致的，按照下列规定修正：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1）响应文件未按谈判文件要求签署、盖章；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5）未对竞标有效期作出响应或者响应文件承诺的竞标有效期不满足谈判文件要求；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6）响应文件的实质性内容未使用中文表述、使用计量单位不符合谈判文件要求；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7）响应文件中的文件资料因填写不齐全或者内容虚假或者出现其他情形而导致被谈判小组认定无效；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11）虚假竞标，或者出现其他情形而导致被谈判小组认定无效；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12）竞标技术方案不明确，谈判文件未允许</w:t>
      </w:r>
      <w:r>
        <w:rPr>
          <w:rFonts w:hint="eastAsia" w:ascii="宋体" w:hAnsi="宋体"/>
          <w:color w:val="auto"/>
          <w:szCs w:val="21"/>
          <w:highlight w:val="none"/>
        </w:rPr>
        <w:t>但响应文件中</w:t>
      </w:r>
      <w:r>
        <w:rPr>
          <w:rFonts w:hint="eastAsia" w:ascii="宋体" w:hAnsi="宋体" w:cs="宋体"/>
          <w:color w:val="auto"/>
          <w:szCs w:val="21"/>
          <w:highlight w:val="none"/>
        </w:rPr>
        <w:t>存在一个或者一个以上备选（替代）竞标方案；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13）响应文件标注的项目名称或者项目编号与竞争性谈判文件标注的项目名称或者项目编号不一致的；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14）未响应谈判文件实质性要求；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15）法律、法规和谈判文件规定的其他无效情形。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报价文件中规定的“响应报价表”；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w:t>
      </w:r>
      <w:bookmarkStart w:id="59" w:name="_Hlk42596405"/>
      <w:r>
        <w:rPr>
          <w:rFonts w:hint="eastAsia" w:ascii="宋体" w:hAnsi="宋体" w:cs="宋体"/>
          <w:color w:val="auto"/>
          <w:szCs w:val="21"/>
          <w:highlight w:val="none"/>
        </w:rPr>
        <w:t>响应报价（包含首次报价、最后报价）</w:t>
      </w:r>
      <w:bookmarkEnd w:id="59"/>
      <w:bookmarkStart w:id="60" w:name="_Hlk42596276"/>
      <w:r>
        <w:rPr>
          <w:rFonts w:hint="eastAsia" w:ascii="宋体" w:hAnsi="宋体" w:cs="宋体"/>
          <w:color w:val="auto"/>
          <w:szCs w:val="21"/>
          <w:highlight w:val="none"/>
        </w:rPr>
        <w:t>超过谈判文件分项采购预算金额或者最高限价的</w:t>
      </w:r>
      <w:bookmarkEnd w:id="60"/>
      <w:r>
        <w:rPr>
          <w:rFonts w:hint="eastAsia" w:ascii="宋体" w:hAnsi="宋体" w:cs="宋体"/>
          <w:color w:val="auto"/>
          <w:szCs w:val="21"/>
          <w:highlight w:val="none"/>
        </w:rPr>
        <w:t>（如本项目公布了最高限价）；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谈判文件分项采购预算金额或者最高限价的（如本项目公布了最高限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响应文件响应的标的数量及单位与竞争性谈判采购文件要求实质性不一致的。</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.7通过符合性审查的合格供应商不足3家的，不得进入谈判环节，应当重新开展采购活动。</w:t>
      </w:r>
    </w:p>
    <w:p>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4.谈判程序</w:t>
      </w:r>
    </w:p>
    <w:p>
      <w:pPr>
        <w:spacing w:line="360" w:lineRule="auto"/>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.1</w:t>
      </w:r>
      <w:r>
        <w:rPr>
          <w:rFonts w:hint="eastAsia" w:ascii="宋体" w:hAnsi="宋体" w:cs="宋体"/>
          <w:color w:val="auto"/>
          <w:kern w:val="0"/>
          <w:szCs w:val="21"/>
          <w:highlight w:val="none"/>
        </w:rPr>
        <w:t>谈判小组按照“供应商须知前附表”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cs="宋体"/>
          <w:b/>
          <w:color w:val="auto"/>
          <w:szCs w:val="21"/>
          <w:highlight w:val="none"/>
        </w:rPr>
        <w:t>其响应文件按无效响应处理。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.4</w:t>
      </w:r>
      <w:r>
        <w:rPr>
          <w:rFonts w:hint="eastAsia" w:ascii="宋体" w:hAnsi="宋体" w:cs="宋体"/>
          <w:color w:val="auto"/>
          <w:szCs w:val="21"/>
          <w:highlight w:val="none"/>
        </w:rPr>
        <w:t>供应商必须按照谈判文件的变动情况和谈判小组的要求以回函的形式重新提交响应文件，并加盖电子公章。供应商为自然人的，必须由本人签字并附身份证明。参加谈判的供应商未在规定时间内重新提交响应文件的，视同退出谈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.5</w:t>
      </w:r>
      <w:r>
        <w:rPr>
          <w:rFonts w:hint="eastAsia" w:ascii="宋体" w:hAnsi="宋体" w:cs="宋体"/>
          <w:color w:val="auto"/>
          <w:szCs w:val="21"/>
          <w:highlight w:val="none"/>
        </w:rPr>
        <w:t>谈判中，</w:t>
      </w:r>
      <w:r>
        <w:rPr>
          <w:rFonts w:hint="eastAsia" w:ascii="宋体" w:hAnsi="宋体" w:cs="宋体"/>
          <w:color w:val="auto"/>
          <w:spacing w:val="-6"/>
          <w:szCs w:val="21"/>
          <w:highlight w:val="none"/>
        </w:rPr>
        <w:t>谈判的任何一方不得透露与谈判有关的其他供应商的技术资料、价格和其他信息。</w:t>
      </w:r>
    </w:p>
    <w:p>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.6</w:t>
      </w:r>
      <w:r>
        <w:rPr>
          <w:rFonts w:hint="eastAsia" w:ascii="宋体" w:hAnsi="宋体" w:cs="宋体"/>
          <w:color w:val="auto"/>
          <w:szCs w:val="21"/>
          <w:highlight w:val="none"/>
        </w:rPr>
        <w:t>谈判小组应对谈判过程和重要谈判内容进行记录，作为评标报告一部分，谈判小组在记录上签字确认。</w:t>
      </w:r>
      <w:r>
        <w:rPr>
          <w:rFonts w:hint="eastAsia" w:ascii="仿宋" w:hAnsi="仿宋" w:eastAsia="仿宋" w:cs="仿宋_GB2312"/>
          <w:b/>
          <w:color w:val="auto"/>
          <w:highlight w:val="none"/>
        </w:rPr>
        <w:t>主要内容包括：</w:t>
      </w:r>
    </w:p>
    <w:p>
      <w:pPr>
        <w:pStyle w:val="2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pPr>
        <w:pStyle w:val="25"/>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（2）谈判日期和地点，谈判人员名单；</w:t>
      </w:r>
    </w:p>
    <w:p>
      <w:pPr>
        <w:pStyle w:val="25"/>
        <w:spacing w:before="0"/>
        <w:ind w:firstLine="396"/>
        <w:rPr>
          <w:rFonts w:hint="eastAsia"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.7</w:t>
      </w:r>
      <w:r>
        <w:rPr>
          <w:rFonts w:hint="eastAsia" w:ascii="宋体" w:hAnsi="宋体" w:cs="宋体"/>
          <w:color w:val="auto"/>
          <w:szCs w:val="21"/>
          <w:highlight w:val="none"/>
        </w:rPr>
        <w:t>谈判过程中重新提交的响应文件，供应商可以在开启前补充、修改。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.8</w:t>
      </w:r>
      <w:r>
        <w:rPr>
          <w:rFonts w:hint="eastAsia" w:ascii="宋体" w:hAnsi="宋体"/>
          <w:color w:val="auto"/>
          <w:szCs w:val="21"/>
          <w:highlight w:val="none"/>
        </w:rPr>
        <w:t>对谈判过程提交的响应文件进行有效性、完整性和响应程度审查，通过审查的合格供应商不足3家的，采购人或者采购代理机构应当重新开展采购活动。</w:t>
      </w:r>
    </w:p>
    <w:p>
      <w:pPr>
        <w:spacing w:line="360" w:lineRule="auto"/>
        <w:ind w:firstLine="482" w:firstLineChars="200"/>
        <w:rPr>
          <w:rFonts w:ascii="宋体" w:hAnsi="宋体" w:cs="宋体"/>
          <w:color w:val="auto"/>
          <w:szCs w:val="21"/>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 xml:space="preserve"> 最后报价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.1</w:t>
      </w:r>
      <w:r>
        <w:rPr>
          <w:rFonts w:hint="eastAsia" w:ascii="宋体" w:hAnsi="宋体" w:cs="宋体"/>
          <w:color w:val="auto"/>
          <w:szCs w:val="21"/>
          <w:highlight w:val="none"/>
        </w:rPr>
        <w:t>谈判文件能够详细列明采购标的的技术、货物要求的，谈判结束后，由谈判小组要求所有继续参加谈判的供应商在规定时间内密封提交最后报价，提交最后报价的供应商不得少于3家，否则必须重新采购。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政采云”平台远程不见面开标大厅响应最后报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.3</w:t>
      </w:r>
      <w:r>
        <w:rPr>
          <w:rFonts w:hint="eastAsia" w:ascii="宋体" w:hAnsi="宋体" w:cs="宋体"/>
          <w:color w:val="auto"/>
          <w:szCs w:val="21"/>
          <w:highlight w:val="none"/>
        </w:rPr>
        <w:t xml:space="preserve"> 最后报价是供应商响应文件的有效组成部分。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.5</w:t>
      </w:r>
      <w:r>
        <w:rPr>
          <w:rFonts w:hint="eastAsia" w:ascii="宋体" w:hAnsi="宋体" w:cs="宋体"/>
          <w:color w:val="auto"/>
          <w:szCs w:val="21"/>
          <w:highlight w:val="none"/>
        </w:rPr>
        <w:t>供应商未在规定时间内提交最后报价的</w:t>
      </w:r>
      <w:r>
        <w:rPr>
          <w:rFonts w:hint="eastAsia" w:ascii="宋体" w:hAnsi="宋体" w:cs="宋体"/>
          <w:b/>
          <w:color w:val="auto"/>
          <w:szCs w:val="21"/>
          <w:highlight w:val="none"/>
        </w:rPr>
        <w:t>，视同放弃报价权利退出谈判。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6最终响应文件的报价出现前后不一致的，按照本章第3</w:t>
      </w:r>
      <w:r>
        <w:rPr>
          <w:rFonts w:ascii="宋体" w:hAnsi="宋体" w:cs="宋体"/>
          <w:color w:val="auto"/>
          <w:szCs w:val="21"/>
          <w:highlight w:val="none"/>
        </w:rPr>
        <w:t>.4</w:t>
      </w:r>
      <w:r>
        <w:rPr>
          <w:rFonts w:hint="eastAsia" w:ascii="宋体" w:hAnsi="宋体" w:cs="宋体"/>
          <w:color w:val="auto"/>
          <w:szCs w:val="21"/>
          <w:highlight w:val="none"/>
        </w:rPr>
        <w:t xml:space="preserve">条的规定修正。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7修正后的最终报价出现下列情形的，按无效响应处理：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全流程电子化评标多轮报价设置了上线控制价，即预算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w:t>
      </w:r>
      <w:r>
        <w:rPr>
          <w:rFonts w:hint="eastAsia" w:ascii="宋体" w:hAnsi="宋体" w:cs="宋体"/>
          <w:color w:val="auto"/>
          <w:szCs w:val="21"/>
          <w:highlight w:val="none"/>
        </w:rPr>
        <w:t>8经供应商确认修正后的最后报价作为评审及签订合同的依据。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5.9供应商出现最后报价按无效响应处理或者响应文件按无效处理时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pPr>
        <w:pStyle w:val="18"/>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5.10异常低价审查：</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（1）供应商的报价如触发下列任一情形，谈判小组应当启动异常低价审查程序：</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1.报价低于全部通过符合性审查供应商响应报价平均值50%的；</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2.报价低于通过符合性审查的次低报价供应商响应报价50%的；</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3.报价低于采购项目最高限价45%的；</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4.谈判小组基于专业判断，认为供应商报价过低，有可能影响产品质量或者不能诚信履约的其他情形。</w:t>
      </w:r>
    </w:p>
    <w:p>
      <w:pPr>
        <w:spacing w:line="360" w:lineRule="auto"/>
        <w:ind w:firstLine="420" w:firstLineChars="200"/>
      </w:pPr>
      <w:r>
        <w:rPr>
          <w:rFonts w:hint="eastAsia" w:ascii="宋体" w:hAnsi="宋体" w:eastAsia="宋体" w:cs="宋体"/>
          <w:color w:val="auto"/>
          <w:szCs w:val="21"/>
          <w:highlight w:val="none"/>
          <w:lang w:val="en-US" w:eastAsia="zh-CN"/>
        </w:rPr>
        <w:t>（1）谈判小组认为竞标人的报价明显低于其他通过符合性审查竞标人的报价，有可能影响产品质量或者不能诚信履约的，谈判小组通过电子询标方式，要求相关供应商在规定时间内提供有关书面说明及必要的证明材料。供应商不能提供书面说明、证明材料，或者提供的提供书面说明、证明材料不能证明其报价合理性的，评标小组应将其作为无效响应处理。</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最后报价结束后，谈判小组不得再与供应商进行任何形式的商谈。</w:t>
      </w:r>
    </w:p>
    <w:p>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6.</w:t>
      </w:r>
      <w:r>
        <w:rPr>
          <w:rFonts w:hint="eastAsia" w:ascii="黑体" w:hAnsi="黑体" w:eastAsia="黑体" w:cs="宋体"/>
          <w:b/>
          <w:bCs/>
          <w:color w:val="auto"/>
          <w:sz w:val="24"/>
          <w:highlight w:val="none"/>
        </w:rPr>
        <w:t xml:space="preserve"> 最后报价政府采购政策性扣除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6.2</w:t>
      </w:r>
      <w:r>
        <w:rPr>
          <w:rFonts w:hint="eastAsia" w:ascii="宋体" w:hAnsi="宋体" w:cs="宋体"/>
          <w:color w:val="auto"/>
          <w:highlight w:val="none"/>
        </w:rPr>
        <w:t>政策性扣除计算方法。</w:t>
      </w:r>
    </w:p>
    <w:p>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根据《政府采购促进中小企业发展管理办法》（财库〔2020〕46号）的规定，供应商在其响应文件中提供《中小企业声明函》，</w:t>
      </w:r>
      <w:r>
        <w:rPr>
          <w:rFonts w:hint="eastAsia" w:ascii="宋体" w:hAnsi="宋体"/>
          <w:bCs/>
          <w:color w:val="auto"/>
          <w:szCs w:val="21"/>
          <w:highlight w:val="none"/>
        </w:rPr>
        <w:t>且其竞标全部货物均由小微企业提供的</w:t>
      </w:r>
      <w:r>
        <w:rPr>
          <w:rFonts w:hint="eastAsia" w:ascii="宋体" w:hAnsi="宋体" w:cs="宋体"/>
          <w:color w:val="auto"/>
          <w:szCs w:val="21"/>
          <w:highlight w:val="none"/>
        </w:rPr>
        <w:t>，</w:t>
      </w:r>
      <w:r>
        <w:rPr>
          <w:rFonts w:hint="eastAsia" w:ascii="宋体" w:hAnsi="宋体"/>
          <w:bCs/>
          <w:color w:val="auto"/>
          <w:szCs w:val="21"/>
          <w:highlight w:val="none"/>
        </w:rPr>
        <w:t>对供应商的竞标报价给予</w:t>
      </w:r>
      <w:r>
        <w:rPr>
          <w:rFonts w:hint="eastAsia" w:ascii="宋体" w:hAnsi="宋体"/>
          <w:bCs/>
          <w:color w:val="auto"/>
          <w:szCs w:val="21"/>
          <w:highlight w:val="none"/>
          <w:lang w:val="en-US" w:eastAsia="zh-CN"/>
        </w:rPr>
        <w:t>20</w:t>
      </w:r>
      <w:r>
        <w:rPr>
          <w:rFonts w:hint="eastAsia" w:ascii="宋体" w:hAnsi="宋体"/>
          <w:bCs/>
          <w:color w:val="auto"/>
          <w:szCs w:val="21"/>
          <w:highlight w:val="none"/>
        </w:rPr>
        <w:t>%的扣除，扣除后的价格为评审价，即评审价=竞标报价×（1-</w:t>
      </w:r>
      <w:r>
        <w:rPr>
          <w:rFonts w:hint="eastAsia" w:ascii="宋体" w:hAnsi="宋体"/>
          <w:bCs/>
          <w:color w:val="auto"/>
          <w:szCs w:val="21"/>
          <w:highlight w:val="none"/>
          <w:lang w:val="en-US" w:eastAsia="zh-CN"/>
        </w:rPr>
        <w:t>20</w:t>
      </w:r>
      <w:r>
        <w:rPr>
          <w:rFonts w:hint="eastAsia" w:ascii="宋体" w:hAnsi="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bCs/>
          <w:color w:val="auto"/>
          <w:szCs w:val="21"/>
          <w:highlight w:val="none"/>
          <w:u w:val="single"/>
        </w:rPr>
        <w:t xml:space="preserve">    </w:t>
      </w:r>
      <w:r>
        <w:rPr>
          <w:rFonts w:hint="eastAsia" w:ascii="宋体" w:hAnsi="宋体"/>
          <w:bCs/>
          <w:color w:val="auto"/>
          <w:szCs w:val="21"/>
          <w:highlight w:val="none"/>
        </w:rPr>
        <w:t>（范围为</w:t>
      </w:r>
      <w:r>
        <w:rPr>
          <w:rFonts w:hint="eastAsia" w:ascii="宋体" w:hAnsi="宋体"/>
          <w:bCs/>
          <w:color w:val="auto"/>
          <w:szCs w:val="21"/>
          <w:highlight w:val="none"/>
          <w:lang w:val="en-US" w:eastAsia="zh-CN"/>
        </w:rPr>
        <w:t>4</w:t>
      </w:r>
      <w:r>
        <w:rPr>
          <w:rFonts w:hint="eastAsia" w:ascii="宋体" w:hAnsi="宋体"/>
          <w:bCs/>
          <w:color w:val="auto"/>
          <w:szCs w:val="21"/>
          <w:highlight w:val="none"/>
        </w:rPr>
        <w:t>%-</w:t>
      </w:r>
      <w:r>
        <w:rPr>
          <w:rFonts w:hint="eastAsia" w:ascii="宋体" w:hAnsi="宋体"/>
          <w:bCs/>
          <w:color w:val="auto"/>
          <w:szCs w:val="21"/>
          <w:highlight w:val="none"/>
          <w:lang w:val="en-US" w:eastAsia="zh-CN"/>
        </w:rPr>
        <w:t>6</w:t>
      </w:r>
      <w:r>
        <w:rPr>
          <w:rFonts w:hint="eastAsia" w:ascii="宋体" w:hAnsi="宋体"/>
          <w:bCs/>
          <w:color w:val="auto"/>
          <w:szCs w:val="21"/>
          <w:highlight w:val="none"/>
        </w:rPr>
        <w:t>%） 的扣除，用扣除后的价格参加评审，扣除后的价格为评审价，即评审价=竞标报价×（1-</w:t>
      </w:r>
      <w:r>
        <w:rPr>
          <w:rFonts w:ascii="宋体" w:hAnsi="宋体"/>
          <w:bCs/>
          <w:color w:val="auto"/>
          <w:szCs w:val="21"/>
          <w:highlight w:val="none"/>
          <w:u w:val="single"/>
        </w:rPr>
        <w:t xml:space="preserve">   </w:t>
      </w:r>
      <w:r>
        <w:rPr>
          <w:rFonts w:hint="eastAsia" w:ascii="宋体" w:hAnsi="宋体"/>
          <w:bCs/>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rPr>
          <w:rFonts w:hint="eastAsia" w:ascii="宋体" w:hAnsi="宋体" w:cs="宋体"/>
          <w:color w:val="auto"/>
          <w:highlight w:val="none"/>
        </w:rPr>
      </w:pPr>
      <w:r>
        <w:rPr>
          <w:rFonts w:ascii="宋体" w:hAnsi="宋体" w:cs="宋体"/>
          <w:color w:val="auto"/>
          <w:highlight w:val="none"/>
        </w:rPr>
        <w:t>6.</w:t>
      </w:r>
      <w:r>
        <w:rPr>
          <w:rFonts w:hint="eastAsia" w:ascii="宋体" w:hAnsi="宋体" w:cs="宋体"/>
          <w:color w:val="auto"/>
          <w:highlight w:val="none"/>
        </w:rPr>
        <w:t>5除上述情况外，评审价＝最后报价。</w:t>
      </w:r>
    </w:p>
    <w:p>
      <w:pPr>
        <w:pStyle w:val="4"/>
        <w:spacing w:before="0" w:after="0" w:line="360" w:lineRule="auto"/>
        <w:ind w:firstLine="640" w:firstLineChars="200"/>
        <w:jc w:val="center"/>
        <w:rPr>
          <w:rFonts w:ascii="宋体" w:hAnsi="宋体"/>
          <w:b w:val="0"/>
          <w:color w:val="auto"/>
          <w:highlight w:val="none"/>
        </w:rPr>
      </w:pPr>
      <w:bookmarkStart w:id="61" w:name="_Toc80205934"/>
      <w:r>
        <w:rPr>
          <w:rFonts w:hint="eastAsia" w:ascii="宋体" w:hAnsi="宋体"/>
          <w:b w:val="0"/>
          <w:color w:val="auto"/>
          <w:highlight w:val="none"/>
        </w:rPr>
        <w:t>第二节 评审原则</w:t>
      </w:r>
      <w:bookmarkEnd w:id="61"/>
    </w:p>
    <w:p>
      <w:pPr>
        <w:spacing w:line="360" w:lineRule="auto"/>
        <w:ind w:firstLine="480" w:firstLineChars="200"/>
        <w:jc w:val="left"/>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1.评审原则</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1.2根据</w:t>
      </w:r>
      <w:r>
        <w:rPr>
          <w:rFonts w:hint="eastAsia"/>
          <w:color w:val="auto"/>
          <w:highlight w:val="none"/>
        </w:rPr>
        <w:t>《政府采购非招标采购方式管理办法》（财政部令第74号）第二十一条</w:t>
      </w:r>
      <w:r>
        <w:rPr>
          <w:rFonts w:hint="eastAsia" w:ascii="宋体" w:hAnsi="宋体" w:cs="宋体"/>
          <w:color w:val="auto"/>
          <w:highlight w:val="none"/>
        </w:rPr>
        <w:t>规定，评审结果汇总完成后，采购人、采购代理机构和谈判小组均不得修改评审结果或者要求重新评审，但资格性检查认定错误、分值汇总计算错误、分项评分超出评分标准范围、客观分评分不一致、经评审委员会一致认定评分畸高、畸低的情形除外。出现上述除外情形的，谈判小组应当现场修改评审结果，并在评审报告中明确记载。</w:t>
      </w:r>
      <w:bookmarkStart w:id="62" w:name="_Toc432194885"/>
      <w:bookmarkStart w:id="63" w:name="_Toc321836413"/>
      <w:bookmarkStart w:id="64" w:name="_Toc432106535"/>
    </w:p>
    <w:bookmarkEnd w:id="62"/>
    <w:bookmarkEnd w:id="63"/>
    <w:bookmarkEnd w:id="64"/>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2.终止竞争性谈判采购活动</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出现下列情形之一的，采购人或者采购代理机构应当终止竞争性谈判采购活动，发布项目终止公告并说明原因，重新开展采购活动：</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（1）因情况变化，不再符合规定的竞争性谈判采购方式适用情形的； </w:t>
      </w:r>
    </w:p>
    <w:p>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（2）出现影响采购公正的违法、违规行为的；</w:t>
      </w:r>
    </w:p>
    <w:p>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（3）在采购过程中符合竞争要求的供应商或者报价未超过采购预算的供应商不足3家的，但《政府采购非招标采购方式管理办法》第二十七条第二款规定的情形除外。</w:t>
      </w:r>
    </w:p>
    <w:p>
      <w:pPr>
        <w:pStyle w:val="4"/>
        <w:spacing w:before="0" w:after="0" w:line="360" w:lineRule="auto"/>
        <w:ind w:firstLine="640" w:firstLineChars="200"/>
        <w:jc w:val="center"/>
        <w:rPr>
          <w:rFonts w:hint="eastAsia" w:ascii="宋体" w:hAnsi="宋体"/>
          <w:b w:val="0"/>
          <w:color w:val="auto"/>
          <w:highlight w:val="none"/>
          <w:lang w:eastAsia="zh-CN"/>
        </w:rPr>
      </w:pPr>
      <w:bookmarkStart w:id="65" w:name="_Toc80205935"/>
      <w:r>
        <w:rPr>
          <w:rFonts w:hint="eastAsia" w:ascii="宋体" w:hAnsi="宋体"/>
          <w:b w:val="0"/>
          <w:color w:val="auto"/>
          <w:highlight w:val="none"/>
        </w:rPr>
        <w:t>第</w:t>
      </w:r>
      <w:r>
        <w:rPr>
          <w:rFonts w:hint="eastAsia" w:ascii="宋体" w:hAnsi="宋体"/>
          <w:b w:val="0"/>
          <w:color w:val="auto"/>
          <w:highlight w:val="none"/>
          <w:lang w:eastAsia="zh-CN"/>
        </w:rPr>
        <w:t>三</w:t>
      </w:r>
      <w:r>
        <w:rPr>
          <w:rFonts w:hint="eastAsia" w:ascii="宋体" w:hAnsi="宋体"/>
          <w:b w:val="0"/>
          <w:color w:val="auto"/>
          <w:highlight w:val="none"/>
        </w:rPr>
        <w:t xml:space="preserve">节 </w:t>
      </w:r>
      <w:r>
        <w:rPr>
          <w:rFonts w:hint="eastAsia" w:ascii="宋体" w:hAnsi="宋体"/>
          <w:b w:val="0"/>
          <w:color w:val="auto"/>
          <w:highlight w:val="none"/>
          <w:lang w:eastAsia="zh-CN"/>
        </w:rPr>
        <w:t>评标报告</w:t>
      </w:r>
      <w:bookmarkEnd w:id="65"/>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w:t>
      </w:r>
      <w:r>
        <w:rPr>
          <w:rFonts w:ascii="宋体" w:hAnsi="宋体" w:cs="宋体"/>
          <w:color w:val="auto"/>
          <w:highlight w:val="none"/>
        </w:rPr>
        <w:t>6</w:t>
      </w:r>
      <w:r>
        <w:rPr>
          <w:rFonts w:hint="eastAsia" w:ascii="宋体" w:hAnsi="宋体" w:cs="宋体"/>
          <w:color w:val="auto"/>
          <w:highlight w:val="none"/>
        </w:rPr>
        <w:t>.2条规定的顺序推荐）,并在线编写电子评审报告。</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采用最低评标价法的采购项目，提供相同品牌产品的不同</w:t>
      </w:r>
      <w:r>
        <w:rPr>
          <w:rFonts w:hint="eastAsia" w:ascii="宋体" w:hAnsi="宋体" w:cs="宋体"/>
          <w:color w:val="auto"/>
          <w:kern w:val="2"/>
          <w:sz w:val="21"/>
          <w:szCs w:val="24"/>
          <w:highlight w:val="none"/>
          <w:lang w:val="en-US" w:eastAsia="zh-CN" w:bidi="ar-SA"/>
        </w:rPr>
        <w:t>竞</w:t>
      </w:r>
      <w:r>
        <w:rPr>
          <w:rFonts w:hint="eastAsia" w:ascii="宋体" w:hAnsi="宋体" w:eastAsia="宋体" w:cs="宋体"/>
          <w:color w:val="auto"/>
          <w:kern w:val="2"/>
          <w:sz w:val="21"/>
          <w:szCs w:val="24"/>
          <w:highlight w:val="none"/>
          <w:lang w:val="en-US" w:eastAsia="zh-CN" w:bidi="ar-SA"/>
        </w:rPr>
        <w:t>标人参加同一合同项下</w:t>
      </w:r>
      <w:r>
        <w:rPr>
          <w:rFonts w:hint="eastAsia" w:ascii="宋体" w:hAnsi="宋体" w:cs="宋体"/>
          <w:color w:val="auto"/>
          <w:kern w:val="2"/>
          <w:sz w:val="21"/>
          <w:szCs w:val="24"/>
          <w:highlight w:val="none"/>
          <w:lang w:val="en-US" w:eastAsia="zh-CN" w:bidi="ar-SA"/>
        </w:rPr>
        <w:t>竞</w:t>
      </w:r>
      <w:r>
        <w:rPr>
          <w:rFonts w:hint="eastAsia" w:ascii="宋体" w:hAnsi="宋体" w:eastAsia="宋体" w:cs="宋体"/>
          <w:color w:val="auto"/>
          <w:kern w:val="2"/>
          <w:sz w:val="21"/>
          <w:szCs w:val="24"/>
          <w:highlight w:val="none"/>
          <w:lang w:val="en-US" w:eastAsia="zh-CN" w:bidi="ar-SA"/>
        </w:rPr>
        <w:t>标的，以其中通过资格审查、符合性审查且报价最低的参加评标；报价相同的，由谈判小组按照</w:t>
      </w:r>
      <w:r>
        <w:rPr>
          <w:rFonts w:hint="eastAsia" w:ascii="宋体" w:hAnsi="宋体" w:cs="宋体"/>
          <w:color w:val="auto"/>
          <w:kern w:val="2"/>
          <w:sz w:val="21"/>
          <w:szCs w:val="24"/>
          <w:highlight w:val="none"/>
          <w:lang w:val="en-US" w:eastAsia="zh-CN" w:bidi="ar-SA"/>
        </w:rPr>
        <w:t>采购</w:t>
      </w:r>
      <w:r>
        <w:rPr>
          <w:rFonts w:hint="eastAsia" w:ascii="宋体" w:hAnsi="宋体" w:eastAsia="宋体" w:cs="宋体"/>
          <w:color w:val="auto"/>
          <w:kern w:val="2"/>
          <w:sz w:val="21"/>
          <w:szCs w:val="24"/>
          <w:highlight w:val="none"/>
          <w:lang w:val="en-US" w:eastAsia="zh-CN" w:bidi="ar-SA"/>
        </w:rPr>
        <w:t>文件规定的方式确定一个参加评标的</w:t>
      </w:r>
      <w:r>
        <w:rPr>
          <w:rFonts w:hint="eastAsia" w:ascii="宋体" w:hAnsi="宋体" w:cs="宋体"/>
          <w:color w:val="auto"/>
          <w:kern w:val="2"/>
          <w:sz w:val="21"/>
          <w:szCs w:val="24"/>
          <w:highlight w:val="none"/>
          <w:lang w:val="en-US" w:eastAsia="zh-CN" w:bidi="ar-SA"/>
        </w:rPr>
        <w:t>竞</w:t>
      </w:r>
      <w:r>
        <w:rPr>
          <w:rFonts w:hint="eastAsia" w:ascii="宋体" w:hAnsi="宋体" w:eastAsia="宋体" w:cs="宋体"/>
          <w:color w:val="auto"/>
          <w:kern w:val="2"/>
          <w:sz w:val="21"/>
          <w:szCs w:val="24"/>
          <w:highlight w:val="none"/>
          <w:lang w:val="en-US" w:eastAsia="zh-CN" w:bidi="ar-SA"/>
        </w:rPr>
        <w:t>标人，</w:t>
      </w:r>
      <w:r>
        <w:rPr>
          <w:rFonts w:hint="eastAsia" w:ascii="宋体" w:hAnsi="宋体" w:cs="宋体"/>
          <w:color w:val="auto"/>
          <w:kern w:val="2"/>
          <w:sz w:val="21"/>
          <w:szCs w:val="24"/>
          <w:highlight w:val="none"/>
          <w:lang w:val="en-US" w:eastAsia="zh-CN" w:bidi="ar-SA"/>
        </w:rPr>
        <w:t>采购</w:t>
      </w:r>
      <w:r>
        <w:rPr>
          <w:rFonts w:hint="eastAsia" w:ascii="宋体" w:hAnsi="宋体" w:eastAsia="宋体" w:cs="宋体"/>
          <w:color w:val="auto"/>
          <w:kern w:val="2"/>
          <w:sz w:val="21"/>
          <w:szCs w:val="24"/>
          <w:highlight w:val="none"/>
          <w:lang w:val="en-US" w:eastAsia="zh-CN" w:bidi="ar-SA"/>
        </w:rPr>
        <w:t>文件未规定的采取随机抽取方式确定，其他</w:t>
      </w:r>
      <w:r>
        <w:rPr>
          <w:rFonts w:hint="eastAsia" w:ascii="宋体" w:hAnsi="宋体" w:cs="宋体"/>
          <w:color w:val="auto"/>
          <w:kern w:val="2"/>
          <w:sz w:val="21"/>
          <w:szCs w:val="24"/>
          <w:highlight w:val="none"/>
          <w:lang w:val="en-US" w:eastAsia="zh-CN" w:bidi="ar-SA"/>
        </w:rPr>
        <w:t>竞</w:t>
      </w:r>
      <w:r>
        <w:rPr>
          <w:rFonts w:hint="eastAsia" w:ascii="宋体" w:hAnsi="宋体" w:eastAsia="宋体" w:cs="宋体"/>
          <w:color w:val="auto"/>
          <w:kern w:val="2"/>
          <w:sz w:val="21"/>
          <w:szCs w:val="24"/>
          <w:highlight w:val="none"/>
          <w:lang w:val="en-US" w:eastAsia="zh-CN" w:bidi="ar-SA"/>
        </w:rPr>
        <w:t>标无效。</w:t>
      </w:r>
    </w:p>
    <w:p>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color w:val="auto"/>
          <w:highlight w:val="none"/>
        </w:rPr>
      </w:pPr>
      <w:r>
        <w:rPr>
          <w:rFonts w:hint="eastAsia" w:ascii="宋体" w:hAnsi="宋体" w:eastAsia="宋体" w:cs="宋体"/>
          <w:color w:val="auto"/>
          <w:kern w:val="2"/>
          <w:sz w:val="21"/>
          <w:szCs w:val="24"/>
          <w:highlight w:val="none"/>
          <w:lang w:val="en-US" w:eastAsia="zh-CN" w:bidi="ar-SA"/>
        </w:rPr>
        <w:t>非单一产品采购项目，采购人应当根据采购项目技术构成、产品价格比重等合理确定核心产品，并在招标文件中载明。多家竞标人提供的核心产品品牌相同的，按上述规定处理。</w:t>
      </w:r>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pPr>
        <w:pStyle w:val="25"/>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谈判小组</w:t>
      </w:r>
      <w:r>
        <w:rPr>
          <w:rFonts w:ascii="宋体" w:hAnsi="宋体" w:cs="宋体"/>
          <w:color w:val="auto"/>
          <w:kern w:val="2"/>
          <w:sz w:val="21"/>
          <w:szCs w:val="24"/>
          <w:highlight w:val="none"/>
        </w:rPr>
        <w:t>成员对需要共同认定的事项存在争议的，应当按照少数服从多数的原则作出结论。持不同意见的</w:t>
      </w:r>
      <w:r>
        <w:rPr>
          <w:rFonts w:hint="eastAsia" w:ascii="宋体" w:hAnsi="宋体" w:cs="宋体"/>
          <w:color w:val="auto"/>
          <w:kern w:val="2"/>
          <w:sz w:val="21"/>
          <w:szCs w:val="24"/>
          <w:highlight w:val="none"/>
        </w:rPr>
        <w:t>谈判小组</w:t>
      </w:r>
      <w:r>
        <w:rPr>
          <w:rFonts w:ascii="宋体" w:hAnsi="宋体" w:cs="宋体"/>
          <w:color w:val="auto"/>
          <w:kern w:val="2"/>
          <w:sz w:val="21"/>
          <w:szCs w:val="24"/>
          <w:highlight w:val="none"/>
        </w:rPr>
        <w:t>成员应当在评标报告上签署不同意见及理由，否则视为同意评标报告。</w:t>
      </w:r>
    </w:p>
    <w:p>
      <w:pPr>
        <w:pStyle w:val="4"/>
        <w:spacing w:before="0" w:after="0" w:line="360" w:lineRule="auto"/>
        <w:ind w:firstLine="640" w:firstLineChars="200"/>
        <w:jc w:val="center"/>
        <w:rPr>
          <w:rFonts w:ascii="宋体" w:hAnsi="宋体"/>
          <w:b w:val="0"/>
          <w:color w:val="auto"/>
          <w:highlight w:val="none"/>
        </w:rPr>
      </w:pPr>
      <w:bookmarkStart w:id="66" w:name="_Toc80205936"/>
      <w:r>
        <w:rPr>
          <w:rFonts w:hint="eastAsia" w:ascii="宋体" w:hAnsi="宋体"/>
          <w:b w:val="0"/>
          <w:color w:val="auto"/>
          <w:highlight w:val="none"/>
        </w:rPr>
        <w:t>第四节 评审过程的保密与录像</w:t>
      </w:r>
      <w:bookmarkEnd w:id="66"/>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pPr>
        <w:widowControl/>
        <w:spacing w:line="360" w:lineRule="auto"/>
        <w:ind w:firstLine="420" w:firstLineChars="200"/>
        <w:rPr>
          <w:rFonts w:ascii="宋体" w:hAnsi="宋体" w:cs="宋体"/>
          <w:color w:val="auto"/>
          <w:highlight w:val="none"/>
        </w:rPr>
      </w:pPr>
      <w:r>
        <w:rPr>
          <w:rFonts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pPr>
        <w:spacing w:line="360" w:lineRule="auto"/>
        <w:ind w:firstLine="420" w:firstLineChars="200"/>
        <w:rPr>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color w:val="auto"/>
          <w:highlight w:val="none"/>
        </w:rPr>
        <w:br w:type="page"/>
      </w:r>
    </w:p>
    <w:p>
      <w:pPr>
        <w:pStyle w:val="4"/>
        <w:jc w:val="center"/>
        <w:rPr>
          <w:color w:val="auto"/>
          <w:highlight w:val="none"/>
        </w:rPr>
      </w:pPr>
    </w:p>
    <w:p>
      <w:pPr>
        <w:pStyle w:val="4"/>
        <w:jc w:val="center"/>
        <w:rPr>
          <w:color w:val="auto"/>
          <w:highlight w:val="none"/>
        </w:rPr>
      </w:pPr>
    </w:p>
    <w:p>
      <w:pPr>
        <w:pStyle w:val="4"/>
        <w:jc w:val="center"/>
        <w:rPr>
          <w:color w:val="auto"/>
          <w:highlight w:val="none"/>
        </w:rPr>
      </w:pPr>
    </w:p>
    <w:p>
      <w:pPr>
        <w:pStyle w:val="4"/>
        <w:jc w:val="center"/>
        <w:rPr>
          <w:color w:val="auto"/>
          <w:highlight w:val="none"/>
        </w:rPr>
      </w:pPr>
    </w:p>
    <w:p>
      <w:pPr>
        <w:pStyle w:val="4"/>
        <w:jc w:val="center"/>
        <w:rPr>
          <w:color w:val="auto"/>
          <w:highlight w:val="none"/>
        </w:rPr>
      </w:pPr>
    </w:p>
    <w:p>
      <w:pPr>
        <w:pStyle w:val="3"/>
        <w:jc w:val="center"/>
        <w:rPr>
          <w:rFonts w:hint="eastAsia"/>
          <w:color w:val="auto"/>
          <w:highlight w:val="none"/>
          <w:lang w:eastAsia="zh-CN"/>
        </w:rPr>
      </w:pPr>
      <w:bookmarkStart w:id="67" w:name="_Toc80205937"/>
      <w:r>
        <w:rPr>
          <w:rFonts w:hint="eastAsia"/>
          <w:color w:val="auto"/>
          <w:highlight w:val="none"/>
        </w:rPr>
        <w:t>第五章 响应文件格式</w:t>
      </w:r>
      <w:bookmarkEnd w:id="67"/>
      <w:r>
        <w:rPr>
          <w:color w:val="auto"/>
          <w:highlight w:val="none"/>
        </w:rPr>
        <w:br w:type="page"/>
      </w:r>
    </w:p>
    <w:p>
      <w:pPr>
        <w:pStyle w:val="4"/>
        <w:jc w:val="center"/>
        <w:rPr>
          <w:rFonts w:hint="eastAsia" w:ascii="宋体" w:hAnsi="宋体"/>
          <w:b w:val="0"/>
          <w:color w:val="auto"/>
          <w:highlight w:val="none"/>
          <w:lang w:val="en-US" w:eastAsia="zh-CN"/>
        </w:rPr>
      </w:pPr>
      <w:bookmarkStart w:id="68" w:name="_Toc80205938"/>
      <w:r>
        <w:rPr>
          <w:rFonts w:hint="eastAsia" w:ascii="宋体" w:hAnsi="宋体"/>
          <w:b w:val="0"/>
          <w:color w:val="auto"/>
          <w:highlight w:val="none"/>
          <w:lang w:val="en-US" w:eastAsia="zh-CN"/>
        </w:rPr>
        <w:t>第一节 封面格式</w:t>
      </w:r>
      <w:bookmarkEnd w:id="68"/>
    </w:p>
    <w:p>
      <w:pPr>
        <w:rPr>
          <w:rFonts w:hint="eastAsia" w:ascii="宋体" w:hAnsi="宋体"/>
          <w:b/>
          <w:bCs/>
          <w:color w:val="auto"/>
          <w:sz w:val="32"/>
          <w:szCs w:val="32"/>
          <w:highlight w:val="none"/>
        </w:rPr>
      </w:pPr>
      <w:bookmarkStart w:id="69" w:name="_Toc44229898"/>
      <w:r>
        <w:rPr>
          <w:rFonts w:hint="eastAsia" w:ascii="宋体" w:hAnsi="宋体"/>
          <w:b/>
          <w:color w:val="auto"/>
          <w:sz w:val="32"/>
          <w:szCs w:val="32"/>
          <w:highlight w:val="none"/>
        </w:rPr>
        <w:t>（</w:t>
      </w:r>
      <w:bookmarkStart w:id="70" w:name="_Toc35611437"/>
      <w:bookmarkStart w:id="71" w:name="_Toc35611515"/>
      <w:r>
        <w:rPr>
          <w:rFonts w:hint="eastAsia" w:ascii="宋体" w:hAnsi="宋体"/>
          <w:b/>
          <w:bCs/>
          <w:color w:val="auto"/>
          <w:sz w:val="32"/>
          <w:szCs w:val="32"/>
          <w:highlight w:val="none"/>
        </w:rPr>
        <w:t>响应文件外层包装封面格式</w:t>
      </w:r>
      <w:bookmarkEnd w:id="70"/>
      <w:bookmarkEnd w:id="71"/>
      <w:r>
        <w:rPr>
          <w:rFonts w:hint="eastAsia" w:ascii="宋体" w:hAnsi="宋体"/>
          <w:b/>
          <w:color w:val="auto"/>
          <w:sz w:val="32"/>
          <w:szCs w:val="32"/>
          <w:highlight w:val="none"/>
        </w:rPr>
        <w:t xml:space="preserve"> ）</w:t>
      </w:r>
      <w:bookmarkEnd w:id="69"/>
    </w:p>
    <w:p>
      <w:pPr>
        <w:snapToGrid w:val="0"/>
        <w:spacing w:before="120" w:beforeLines="50" w:after="50"/>
        <w:rPr>
          <w:rFonts w:hint="eastAsia" w:ascii="宋体" w:hAnsi="宋体"/>
          <w:color w:val="auto"/>
          <w:sz w:val="24"/>
          <w:szCs w:val="20"/>
          <w:highlight w:val="none"/>
        </w:rPr>
      </w:pPr>
    </w:p>
    <w:p>
      <w:pPr>
        <w:snapToGrid w:val="0"/>
        <w:spacing w:before="120" w:beforeLines="50" w:after="50"/>
        <w:jc w:val="center"/>
        <w:rPr>
          <w:rFonts w:hint="eastAsia" w:ascii="宋体" w:hAnsi="宋体"/>
          <w:bCs/>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响  应  文  件</w:t>
      </w: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仿宋_GB2312" w:hAnsi="仿宋_GB2312" w:eastAsia="仿宋_GB2312"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20" w:beforeLines="50" w:after="50"/>
        <w:ind w:firstLine="480" w:firstLineChars="150"/>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20" w:beforeLines="50" w:after="50"/>
        <w:ind w:firstLine="480" w:firstLineChars="150"/>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20" w:beforeLines="50" w:after="50"/>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snapToGrid w:val="0"/>
        <w:spacing w:before="120" w:beforeLines="50" w:after="50"/>
        <w:rPr>
          <w:rFonts w:hint="eastAsia" w:ascii="宋体" w:hAnsi="宋体" w:cs="仿宋_GB2312"/>
          <w:bCs/>
          <w:color w:val="auto"/>
          <w:sz w:val="32"/>
          <w:szCs w:val="32"/>
          <w:highlight w:val="none"/>
        </w:rPr>
      </w:pPr>
    </w:p>
    <w:p>
      <w:pPr>
        <w:snapToGrid w:val="0"/>
        <w:spacing w:before="120" w:beforeLines="50" w:after="50"/>
        <w:ind w:firstLine="480" w:firstLineChars="150"/>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首次响应文件提交截止时间前不得解密</w:t>
      </w:r>
    </w:p>
    <w:p>
      <w:pPr>
        <w:snapToGrid w:val="0"/>
        <w:spacing w:before="120" w:beforeLines="50" w:after="50"/>
        <w:ind w:firstLine="5440" w:firstLineChars="1700"/>
        <w:jc w:val="center"/>
        <w:rPr>
          <w:rFonts w:hint="eastAsia" w:ascii="宋体" w:hAnsi="宋体" w:cs="仿宋_GB2312"/>
          <w:bCs/>
          <w:color w:val="auto"/>
          <w:sz w:val="32"/>
          <w:szCs w:val="32"/>
          <w:highlight w:val="none"/>
        </w:rPr>
      </w:pPr>
    </w:p>
    <w:p>
      <w:pPr>
        <w:snapToGrid w:val="0"/>
        <w:spacing w:before="120" w:beforeLines="50" w:after="50"/>
        <w:ind w:firstLine="645"/>
        <w:jc w:val="center"/>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年    月    日</w:t>
      </w:r>
    </w:p>
    <w:p>
      <w:pPr>
        <w:spacing w:line="240" w:lineRule="atLeast"/>
        <w:rPr>
          <w:rFonts w:ascii="宋体" w:hAnsi="宋体"/>
          <w:b/>
          <w:bCs/>
          <w:color w:val="auto"/>
          <w:highlight w:val="none"/>
        </w:rPr>
      </w:pPr>
      <w:r>
        <w:rPr>
          <w:rFonts w:ascii="宋体" w:hAnsi="宋体"/>
          <w:bCs/>
          <w:color w:val="auto"/>
          <w:sz w:val="24"/>
          <w:highlight w:val="none"/>
        </w:rPr>
        <w:br w:type="page"/>
      </w:r>
    </w:p>
    <w:p>
      <w:pPr>
        <w:snapToGrid w:val="0"/>
        <w:spacing w:before="120" w:beforeLines="50" w:after="50" w:line="360" w:lineRule="auto"/>
        <w:jc w:val="center"/>
        <w:outlineLvl w:val="1"/>
        <w:rPr>
          <w:rFonts w:hint="eastAsia" w:ascii="宋体" w:hAnsi="宋体"/>
          <w:bCs/>
          <w:color w:val="auto"/>
          <w:sz w:val="32"/>
          <w:szCs w:val="32"/>
          <w:highlight w:val="none"/>
        </w:rPr>
      </w:pPr>
      <w:bookmarkStart w:id="72" w:name="_Toc80205939"/>
      <w:r>
        <w:rPr>
          <w:rFonts w:hint="eastAsia" w:ascii="宋体" w:hAnsi="宋体"/>
          <w:bCs/>
          <w:color w:val="auto"/>
          <w:sz w:val="32"/>
          <w:szCs w:val="32"/>
          <w:highlight w:val="none"/>
        </w:rPr>
        <w:t>第二节 资格证明文件格式</w:t>
      </w:r>
      <w:bookmarkEnd w:id="72"/>
    </w:p>
    <w:p>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件（封面）</w:t>
      </w: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20" w:beforeLines="50" w:after="50"/>
        <w:ind w:firstLine="720" w:firstLineChars="225"/>
        <w:rPr>
          <w:rFonts w:hint="eastAsia" w:ascii="宋体" w:hAnsi="宋体" w:cs="仿宋_GB2312"/>
          <w:bCs/>
          <w:color w:val="auto"/>
          <w:sz w:val="32"/>
          <w:szCs w:val="32"/>
          <w:highlight w:val="none"/>
        </w:rPr>
      </w:pP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1280" w:firstLineChars="400"/>
        <w:rPr>
          <w:rFonts w:hint="eastAsia" w:ascii="宋体" w:hAnsi="宋体" w:cs="仿宋_GB2312"/>
          <w:bCs/>
          <w:color w:val="auto"/>
          <w:sz w:val="32"/>
          <w:szCs w:val="32"/>
          <w:highlight w:val="none"/>
        </w:rPr>
      </w:pPr>
    </w:p>
    <w:p>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napToGrid w:val="0"/>
        <w:spacing w:before="120" w:beforeLines="50" w:after="50" w:line="360" w:lineRule="auto"/>
        <w:ind w:left="142" w:firstLine="480" w:firstLineChars="200"/>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二、资格证明文件目录</w:t>
      </w:r>
    </w:p>
    <w:p>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pPr>
        <w:snapToGrid w:val="0"/>
        <w:spacing w:line="360" w:lineRule="auto"/>
        <w:rPr>
          <w:rFonts w:hint="eastAsia" w:ascii="仿宋_GB2312" w:hAnsi="仿宋" w:eastAsia="仿宋_GB2312" w:cs="仿宋_GB2312"/>
          <w:color w:val="auto"/>
          <w:kern w:val="0"/>
          <w:sz w:val="24"/>
          <w:highlight w:val="none"/>
        </w:rPr>
      </w:pP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w:t>
      </w:r>
      <w:r>
        <w:rPr>
          <w:rFonts w:hint="eastAsia" w:ascii="仿宋_GB2312" w:hAnsi="仿宋" w:eastAsia="仿宋_GB2312"/>
          <w:color w:val="auto"/>
          <w:sz w:val="24"/>
          <w:highlight w:val="none"/>
          <w:lang w:val="en-US" w:eastAsia="zh-CN"/>
        </w:rPr>
        <w:t>原件扫描件</w:t>
      </w:r>
      <w:r>
        <w:rPr>
          <w:rFonts w:hint="eastAsia" w:ascii="仿宋_GB2312" w:hAnsi="仿宋" w:eastAsia="仿宋_GB2312"/>
          <w:color w:val="auto"/>
          <w:sz w:val="24"/>
          <w:highlight w:val="none"/>
        </w:rPr>
        <w:t>（供应商为自然人的，须提供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四、供应商直接控股股东信息</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五、供应商直接关联关系信息表</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六、资格声明函……………………………………………………………（页码）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en-US" w:eastAsia="zh-CN"/>
        </w:rPr>
        <w:t>七、</w:t>
      </w:r>
      <w:r>
        <w:rPr>
          <w:rFonts w:hint="eastAsia" w:ascii="仿宋_GB2312" w:hAnsi="仿宋" w:eastAsia="仿宋_GB2312" w:cs="仿宋_GB2312"/>
          <w:color w:val="auto"/>
          <w:spacing w:val="-6"/>
          <w:kern w:val="0"/>
          <w:sz w:val="24"/>
          <w:highlight w:val="none"/>
        </w:rPr>
        <w:t>本项目专门面向中小企业采购，供应商请提供中小企业声明函或其他证明材料（监狱企业、残疾人福利性单位视同小型、微型企业）（格式自拟）</w:t>
      </w:r>
      <w:r>
        <w:rPr>
          <w:rFonts w:hint="eastAsia" w:ascii="仿宋_GB2312" w:hAnsi="仿宋" w:eastAsia="仿宋_GB2312" w:cs="仿宋_GB2312"/>
          <w:color w:val="auto"/>
          <w:kern w:val="0"/>
          <w:sz w:val="24"/>
          <w:highlight w:val="none"/>
        </w:rPr>
        <w:t>…………………（页码）</w:t>
      </w:r>
    </w:p>
    <w:p>
      <w:pPr>
        <w:snapToGrid w:val="0"/>
        <w:spacing w:line="360" w:lineRule="auto"/>
        <w:rPr>
          <w:rFonts w:hint="eastAsia"/>
          <w:color w:val="auto"/>
          <w:highlight w:val="none"/>
        </w:rPr>
      </w:pPr>
      <w:r>
        <w:rPr>
          <w:rFonts w:hint="eastAsia" w:ascii="仿宋_GB2312" w:hAnsi="仿宋" w:eastAsia="仿宋_GB2312" w:cs="仿宋_GB2312"/>
          <w:color w:val="auto"/>
          <w:sz w:val="24"/>
          <w:highlight w:val="none"/>
          <w:lang w:val="en-US" w:eastAsia="zh-CN"/>
        </w:rPr>
        <w:t>八、特定资格要求的资格证明材料扫描件</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eastAsia="zh-CN"/>
        </w:rPr>
        <w:t>九</w:t>
      </w:r>
      <w:r>
        <w:rPr>
          <w:rFonts w:hint="eastAsia" w:ascii="仿宋_GB2312" w:hAnsi="仿宋" w:eastAsia="仿宋_GB2312" w:cs="仿宋_GB2312"/>
          <w:color w:val="auto"/>
          <w:kern w:val="0"/>
          <w:sz w:val="24"/>
          <w:highlight w:val="none"/>
        </w:rPr>
        <w:t>、</w:t>
      </w:r>
      <w:r>
        <w:rPr>
          <w:rFonts w:hint="eastAsia" w:ascii="仿宋_GB2312" w:hAnsi="仿宋" w:eastAsia="仿宋_GB2312" w:cs="仿宋_GB2312"/>
          <w:color w:val="auto"/>
          <w:spacing w:val="-11"/>
          <w:sz w:val="24"/>
          <w:highlight w:val="none"/>
        </w:rPr>
        <w:t>除谈判文件规定必须提供以外，供应商认为需要提供的其他证明材料</w:t>
      </w:r>
      <w:r>
        <w:rPr>
          <w:rFonts w:hint="eastAsia" w:ascii="仿宋_GB2312" w:hAnsi="仿宋" w:eastAsia="仿宋_GB2312" w:cs="仿宋_GB2312"/>
          <w:color w:val="auto"/>
          <w:kern w:val="0"/>
          <w:sz w:val="24"/>
          <w:highlight w:val="none"/>
        </w:rPr>
        <w:t>…………（页码）</w:t>
      </w:r>
    </w:p>
    <w:p>
      <w:pPr>
        <w:spacing w:line="360" w:lineRule="auto"/>
        <w:rPr>
          <w:rFonts w:hint="eastAsia" w:ascii="仿宋_GB2312" w:hAnsi="仿宋_GB2312" w:eastAsia="仿宋_GB2312" w:cs="仿宋_GB2312"/>
          <w:b/>
          <w:bCs/>
          <w:color w:val="auto"/>
          <w:sz w:val="24"/>
          <w:highlight w:val="none"/>
        </w:rPr>
      </w:pPr>
    </w:p>
    <w:p>
      <w:pPr>
        <w:spacing w:line="360" w:lineRule="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注：以上目录是编制供应商响应文件的基本格式要求，各供应商可根据自身情况进一步细化。</w:t>
      </w:r>
    </w:p>
    <w:p>
      <w:pPr>
        <w:snapToGrid w:val="0"/>
        <w:spacing w:before="120" w:beforeLines="50" w:after="50"/>
        <w:rPr>
          <w:rFonts w:ascii="宋体" w:hAnsi="宋体"/>
          <w:color w:val="auto"/>
          <w:sz w:val="24"/>
          <w:szCs w:val="20"/>
          <w:highlight w:val="none"/>
        </w:rPr>
        <w:sectPr>
          <w:footerReference r:id="rId8" w:type="first"/>
          <w:footerReference r:id="rId7" w:type="default"/>
          <w:pgSz w:w="11910" w:h="16840"/>
          <w:pgMar w:top="1340" w:right="1500" w:bottom="280" w:left="1680" w:header="720" w:footer="720" w:gutter="0"/>
          <w:cols w:space="720" w:num="1"/>
        </w:sectPr>
      </w:pPr>
    </w:p>
    <w:p>
      <w:pPr>
        <w:pStyle w:val="13"/>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一、营业执照(或事业法人登记证或其他工商等登记证明材料)</w:t>
      </w:r>
      <w:r>
        <w:rPr>
          <w:rFonts w:hint="eastAsia" w:ascii="仿宋" w:hAnsi="仿宋" w:eastAsia="仿宋" w:cs="仿宋_GB2312"/>
          <w:b/>
          <w:color w:val="auto"/>
          <w:sz w:val="30"/>
          <w:szCs w:val="30"/>
          <w:highlight w:val="none"/>
          <w:lang w:val="en-US" w:eastAsia="zh-CN"/>
        </w:rPr>
        <w:t>原件扫描件</w:t>
      </w:r>
      <w:r>
        <w:rPr>
          <w:rFonts w:hint="eastAsia" w:ascii="仿宋" w:hAnsi="仿宋" w:eastAsia="仿宋" w:cs="仿宋_GB2312"/>
          <w:b/>
          <w:color w:val="auto"/>
          <w:sz w:val="30"/>
          <w:szCs w:val="30"/>
          <w:highlight w:val="none"/>
        </w:rPr>
        <w:t>（</w:t>
      </w:r>
      <w:r>
        <w:rPr>
          <w:rFonts w:hint="eastAsia" w:ascii="仿宋" w:hAnsi="仿宋" w:eastAsia="仿宋" w:cs="仿宋_GB2312"/>
          <w:b/>
          <w:color w:val="auto"/>
          <w:sz w:val="30"/>
          <w:szCs w:val="30"/>
          <w:highlight w:val="none"/>
          <w:lang w:eastAsia="zh-CN"/>
        </w:rPr>
        <w:t>供应商</w:t>
      </w:r>
      <w:r>
        <w:rPr>
          <w:rFonts w:hint="eastAsia" w:ascii="仿宋" w:hAnsi="仿宋" w:eastAsia="仿宋" w:cs="仿宋_GB2312"/>
          <w:b/>
          <w:color w:val="auto"/>
          <w:sz w:val="30"/>
          <w:szCs w:val="30"/>
          <w:highlight w:val="none"/>
        </w:rPr>
        <w:t>为自然人的，提供自然人的身份证明）</w:t>
      </w:r>
    </w:p>
    <w:p>
      <w:pPr>
        <w:pStyle w:val="13"/>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napToGrid w:val="0"/>
        <w:spacing w:before="120" w:beforeLines="50" w:after="50"/>
        <w:rPr>
          <w:rFonts w:ascii="宋体" w:hAnsi="宋体"/>
          <w:color w:val="auto"/>
          <w:sz w:val="24"/>
          <w:szCs w:val="20"/>
          <w:highlight w:val="none"/>
        </w:rPr>
      </w:pPr>
    </w:p>
    <w:p>
      <w:pPr>
        <w:pStyle w:val="13"/>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lang w:eastAsia="zh-CN"/>
        </w:rPr>
        <w:t>二、</w:t>
      </w:r>
      <w:r>
        <w:rPr>
          <w:rFonts w:hint="eastAsia" w:ascii="仿宋" w:hAnsi="仿宋" w:eastAsia="仿宋" w:cs="仿宋_GB2312"/>
          <w:b/>
          <w:color w:val="auto"/>
          <w:sz w:val="30"/>
          <w:szCs w:val="30"/>
          <w:highlight w:val="none"/>
        </w:rPr>
        <w:t>符合参与政府采购活动的资格条件依法缴纳税收、社会保障资金等方面的材料</w:t>
      </w:r>
    </w:p>
    <w:p>
      <w:pPr>
        <w:spacing w:line="300" w:lineRule="auto"/>
        <w:rPr>
          <w:rFonts w:hint="eastAsia" w:ascii="宋体" w:hAnsi="宋体"/>
          <w:color w:val="auto"/>
          <w:szCs w:val="21"/>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pacing w:line="300" w:lineRule="auto"/>
        <w:rPr>
          <w:rFonts w:hint="eastAsia" w:ascii="宋体" w:hAnsi="宋体"/>
          <w:color w:val="auto"/>
          <w:szCs w:val="21"/>
          <w:highlight w:val="none"/>
        </w:rPr>
      </w:pPr>
    </w:p>
    <w:p>
      <w:pPr>
        <w:spacing w:line="300" w:lineRule="auto"/>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三、财务状况报告方面的材料</w:t>
      </w:r>
    </w:p>
    <w:p>
      <w:pPr>
        <w:spacing w:line="300" w:lineRule="auto"/>
        <w:rPr>
          <w:rFonts w:hint="eastAsia" w:ascii="宋体" w:hAnsi="宋体"/>
          <w:color w:val="auto"/>
          <w:szCs w:val="21"/>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pacing w:line="320" w:lineRule="exact"/>
        <w:jc w:val="left"/>
        <w:rPr>
          <w:rFonts w:hint="eastAsia" w:ascii="宋体" w:hAnsi="宋体"/>
          <w:color w:val="auto"/>
          <w:szCs w:val="21"/>
          <w:highlight w:val="none"/>
        </w:rPr>
      </w:pPr>
      <w:r>
        <w:rPr>
          <w:rFonts w:hint="eastAsia" w:ascii="宋体" w:hAnsi="宋体"/>
          <w:color w:val="auto"/>
          <w:szCs w:val="21"/>
          <w:highlight w:val="none"/>
        </w:rPr>
        <w:t xml:space="preserve"> </w:t>
      </w:r>
    </w:p>
    <w:p>
      <w:pPr>
        <w:snapToGrid w:val="0"/>
        <w:spacing w:before="120" w:beforeLines="50" w:after="50" w:line="360" w:lineRule="auto"/>
        <w:jc w:val="center"/>
        <w:rPr>
          <w:rFonts w:hint="eastAsia" w:ascii="宋体" w:hAnsi="宋体"/>
          <w:b/>
          <w:color w:val="auto"/>
          <w:sz w:val="24"/>
          <w:highlight w:val="none"/>
        </w:rPr>
      </w:pPr>
    </w:p>
    <w:p>
      <w:pPr>
        <w:spacing w:line="360" w:lineRule="auto"/>
        <w:ind w:firstLine="596" w:firstLineChars="198"/>
        <w:contextualSpacing/>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四、供应商直接控股股东信息</w:t>
      </w:r>
    </w:p>
    <w:p>
      <w:pPr>
        <w:spacing w:line="360" w:lineRule="auto"/>
        <w:contextualSpacing/>
        <w:jc w:val="center"/>
        <w:rPr>
          <w:rFonts w:hint="eastAsia" w:ascii="宋体" w:hAnsi="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hint="eastAsia" w:ascii="宋体" w:hAnsi="宋体" w:cs="宋体"/>
                <w:color w:val="auto"/>
                <w:kern w:val="0"/>
                <w:sz w:val="24"/>
                <w:highlight w:val="none"/>
              </w:rPr>
            </w:pPr>
          </w:p>
        </w:tc>
      </w:tr>
    </w:tbl>
    <w:p>
      <w:pPr>
        <w:spacing w:line="360" w:lineRule="auto"/>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3.供应商不存在直接控股股东的，则填“无”。</w:t>
      </w:r>
    </w:p>
    <w:p>
      <w:pPr>
        <w:snapToGrid w:val="0"/>
        <w:spacing w:line="360" w:lineRule="auto"/>
        <w:jc w:val="left"/>
        <w:rPr>
          <w:rFonts w:hint="eastAsia" w:ascii="宋体" w:hAnsi="宋体" w:cs="宋体"/>
          <w:color w:val="auto"/>
          <w:sz w:val="24"/>
          <w:highlight w:val="none"/>
        </w:rPr>
      </w:pPr>
    </w:p>
    <w:p>
      <w:pPr>
        <w:snapToGrid w:val="0"/>
        <w:spacing w:line="360" w:lineRule="auto"/>
        <w:jc w:val="left"/>
        <w:rPr>
          <w:rFonts w:hint="eastAsia" w:ascii="宋体" w:hAnsi="宋体" w:cs="宋体"/>
          <w:color w:val="auto"/>
          <w:sz w:val="24"/>
          <w:highlight w:val="none"/>
        </w:rPr>
      </w:pPr>
    </w:p>
    <w:p>
      <w:pPr>
        <w:snapToGrid w:val="0"/>
        <w:spacing w:line="360" w:lineRule="auto"/>
        <w:jc w:val="left"/>
        <w:rPr>
          <w:rFonts w:hint="eastAsia" w:ascii="宋体" w:hAnsi="宋体" w:cs="宋体"/>
          <w:color w:val="auto"/>
          <w:sz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napToGrid w:val="0"/>
        <w:rPr>
          <w:rFonts w:hint="eastAsia" w:ascii="仿宋" w:hAnsi="仿宋" w:eastAsia="仿宋" w:cs="仿宋_GB2312"/>
          <w:b/>
          <w:color w:val="auto"/>
          <w:kern w:val="0"/>
          <w:sz w:val="30"/>
          <w:szCs w:val="30"/>
          <w:highlight w:val="none"/>
        </w:rPr>
      </w:pPr>
    </w:p>
    <w:p>
      <w:pPr>
        <w:snapToGrid w:val="0"/>
        <w:ind w:firstLine="596" w:firstLineChars="198"/>
        <w:rPr>
          <w:rFonts w:hint="eastAsia" w:ascii="仿宋" w:hAnsi="仿宋" w:eastAsia="仿宋" w:cs="仿宋_GB2312"/>
          <w:b/>
          <w:color w:val="auto"/>
          <w:kern w:val="0"/>
          <w:sz w:val="30"/>
          <w:szCs w:val="30"/>
          <w:highlight w:val="none"/>
        </w:rPr>
      </w:pPr>
      <w:r>
        <w:rPr>
          <w:rFonts w:hint="eastAsia" w:ascii="仿宋" w:hAnsi="仿宋" w:eastAsia="仿宋" w:cs="仿宋_GB2312"/>
          <w:b/>
          <w:color w:val="auto"/>
          <w:kern w:val="0"/>
          <w:sz w:val="30"/>
          <w:szCs w:val="30"/>
          <w:highlight w:val="none"/>
        </w:rPr>
        <w:t>五、供应商直接管理关系信息表</w:t>
      </w:r>
    </w:p>
    <w:p>
      <w:pPr>
        <w:snapToGrid w:val="0"/>
        <w:spacing w:line="360" w:lineRule="auto"/>
        <w:jc w:val="center"/>
        <w:rPr>
          <w:rFonts w:hint="eastAsia" w:ascii="宋体" w:hAnsi="宋体"/>
          <w:b/>
          <w:color w:val="auto"/>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pPr>
              <w:widowControl/>
              <w:spacing w:line="360" w:lineRule="auto"/>
              <w:contextualSpacing/>
              <w:jc w:val="center"/>
              <w:rPr>
                <w:rFonts w:ascii="宋体" w:hAnsi="宋体" w:cs="宋体"/>
                <w:color w:val="auto"/>
                <w:kern w:val="0"/>
                <w:sz w:val="24"/>
                <w:highlight w:val="none"/>
              </w:rPr>
            </w:pPr>
          </w:p>
        </w:tc>
      </w:tr>
    </w:tbl>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注：</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2.本表所指的管理关系仅限于直接管理关系，不包括间接的管理关系。</w:t>
      </w:r>
    </w:p>
    <w:p>
      <w:pPr>
        <w:spacing w:line="360" w:lineRule="auto"/>
        <w:ind w:firstLine="480" w:firstLineChars="200"/>
        <w:contextualSpacing/>
        <w:jc w:val="left"/>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3.供应商不存在直接管理关系的，则填“无”。</w:t>
      </w:r>
    </w:p>
    <w:p>
      <w:pPr>
        <w:spacing w:line="360" w:lineRule="auto"/>
        <w:contextualSpacing/>
        <w:jc w:val="left"/>
        <w:rPr>
          <w:rFonts w:hint="eastAsia"/>
          <w:color w:val="auto"/>
          <w:sz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pacing w:line="360" w:lineRule="auto"/>
        <w:ind w:right="480" w:firstLine="240" w:firstLineChars="100"/>
        <w:contextualSpacing/>
        <w:jc w:val="center"/>
        <w:rPr>
          <w:rFonts w:ascii="宋体" w:hAnsi="宋体"/>
          <w:color w:val="auto"/>
          <w:sz w:val="28"/>
          <w:szCs w:val="28"/>
          <w:highlight w:val="none"/>
        </w:rPr>
      </w:pPr>
      <w:r>
        <w:rPr>
          <w:rFonts w:hint="eastAsia" w:ascii="宋体" w:hAnsi="宋体"/>
          <w:color w:val="auto"/>
          <w:sz w:val="24"/>
          <w:highlight w:val="none"/>
        </w:rPr>
        <w:t xml:space="preserve">                                  </w:t>
      </w:r>
    </w:p>
    <w:p>
      <w:pPr>
        <w:spacing w:line="320" w:lineRule="exact"/>
        <w:ind w:firstLine="560" w:firstLineChars="200"/>
        <w:jc w:val="left"/>
        <w:rPr>
          <w:rFonts w:ascii="宋体" w:hAnsi="宋体"/>
          <w:color w:val="auto"/>
          <w:sz w:val="28"/>
          <w:szCs w:val="28"/>
          <w:highlight w:val="none"/>
        </w:rPr>
      </w:pPr>
      <w:r>
        <w:rPr>
          <w:rFonts w:ascii="宋体" w:hAnsi="宋体"/>
          <w:color w:val="auto"/>
          <w:sz w:val="28"/>
          <w:szCs w:val="28"/>
          <w:highlight w:val="none"/>
        </w:rPr>
        <w:br w:type="page"/>
      </w:r>
      <w:r>
        <w:rPr>
          <w:rFonts w:hint="eastAsia" w:ascii="仿宋" w:hAnsi="仿宋" w:eastAsia="仿宋" w:cs="仿宋_GB2312"/>
          <w:b/>
          <w:color w:val="auto"/>
          <w:kern w:val="0"/>
          <w:sz w:val="30"/>
          <w:szCs w:val="30"/>
          <w:highlight w:val="none"/>
        </w:rPr>
        <w:t>六、资格声明函</w:t>
      </w:r>
    </w:p>
    <w:p>
      <w:pPr>
        <w:spacing w:line="320" w:lineRule="exact"/>
        <w:jc w:val="center"/>
        <w:rPr>
          <w:rFonts w:hint="eastAsia" w:ascii="宋体" w:hAnsi="宋体"/>
          <w:b/>
          <w:color w:val="auto"/>
          <w:sz w:val="32"/>
          <w:szCs w:val="32"/>
          <w:highlight w:val="none"/>
        </w:rPr>
      </w:pPr>
    </w:p>
    <w:p>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资格声明函</w:t>
      </w:r>
    </w:p>
    <w:p>
      <w:pPr>
        <w:spacing w:line="320" w:lineRule="exact"/>
        <w:jc w:val="center"/>
        <w:rPr>
          <w:rFonts w:hint="eastAsia" w:ascii="宋体" w:hAnsi="宋体"/>
          <w:color w:val="auto"/>
          <w:sz w:val="24"/>
          <w:szCs w:val="20"/>
          <w:highlight w:val="none"/>
        </w:rPr>
      </w:pPr>
    </w:p>
    <w:p>
      <w:pPr>
        <w:spacing w:line="360" w:lineRule="auto"/>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致：</w:t>
      </w:r>
      <w:r>
        <w:rPr>
          <w:rFonts w:hint="eastAsia" w:ascii="仿宋_GB2312" w:hAnsi="宋体" w:eastAsia="仿宋_GB2312" w:cs="宋体"/>
          <w:color w:val="auto"/>
          <w:sz w:val="24"/>
          <w:highlight w:val="none"/>
          <w:u w:val="single"/>
        </w:rPr>
        <w:t>（采购代理机构名称）</w:t>
      </w:r>
      <w:r>
        <w:rPr>
          <w:rFonts w:hint="eastAsia" w:ascii="仿宋_GB2312" w:hAnsi="宋体" w:eastAsia="仿宋_GB2312" w:cs="宋体"/>
          <w:color w:val="auto"/>
          <w:sz w:val="24"/>
          <w:highlight w:val="none"/>
        </w:rPr>
        <w:t>：</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u w:val="single"/>
        </w:rPr>
        <w:t>（供应商名称）</w:t>
      </w:r>
      <w:r>
        <w:rPr>
          <w:rFonts w:hint="eastAsia" w:ascii="仿宋_GB2312" w:hAnsi="宋体" w:eastAsia="仿宋_GB2312" w:cs="宋体"/>
          <w:color w:val="auto"/>
          <w:sz w:val="24"/>
          <w:highlight w:val="none"/>
        </w:rPr>
        <w:t>系中华人民共和国合法供应商，经营地址</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我方愿意参加贵方组织的</w:t>
      </w:r>
      <w:r>
        <w:rPr>
          <w:rFonts w:hint="eastAsia" w:ascii="仿宋_GB2312" w:hAnsi="宋体" w:eastAsia="仿宋_GB2312" w:cs="宋体"/>
          <w:color w:val="auto"/>
          <w:sz w:val="24"/>
          <w:highlight w:val="none"/>
          <w:u w:val="single"/>
        </w:rPr>
        <w:t>（项目名称）</w:t>
      </w:r>
      <w:r>
        <w:rPr>
          <w:rFonts w:hint="eastAsia" w:ascii="仿宋_GB2312" w:hAnsi="宋体" w:eastAsia="仿宋_GB2312" w:cs="宋体"/>
          <w:color w:val="auto"/>
          <w:sz w:val="24"/>
          <w:highlight w:val="none"/>
        </w:rPr>
        <w:t>项目的竞标，为便于贵方公正、择优地确定成交供应商及其竞标产品和货物，我方就本次竞标有关事项郑重声明如下：</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1.我方向贵方提交的所有响应文件、资料都是准确的</w:t>
      </w:r>
      <w:r>
        <w:rPr>
          <w:rFonts w:hint="eastAsia" w:ascii="仿宋_GB2312" w:hAnsi="宋体" w:eastAsia="仿宋_GB2312" w:cs="宋体"/>
          <w:color w:val="auto"/>
          <w:sz w:val="24"/>
          <w:highlight w:val="none"/>
          <w:lang w:eastAsia="zh-CN"/>
        </w:rPr>
        <w:t>、</w:t>
      </w:r>
      <w:r>
        <w:rPr>
          <w:rFonts w:hint="eastAsia" w:ascii="仿宋_GB2312" w:hAnsi="宋体" w:eastAsia="仿宋_GB2312" w:cs="宋体"/>
          <w:color w:val="auto"/>
          <w:sz w:val="24"/>
          <w:highlight w:val="none"/>
          <w:lang w:val="en-US" w:eastAsia="zh-CN"/>
        </w:rPr>
        <w:t>有效的</w:t>
      </w:r>
      <w:r>
        <w:rPr>
          <w:rFonts w:hint="eastAsia" w:ascii="仿宋_GB2312" w:hAnsi="宋体" w:eastAsia="仿宋_GB2312" w:cs="宋体"/>
          <w:color w:val="auto"/>
          <w:sz w:val="24"/>
          <w:highlight w:val="none"/>
        </w:rPr>
        <w:t>和真实的。</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3.在此，我方宣布同意如下：</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（1）将按谈判文件的约定履行合同责任和义务；</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（2）已详细审查全部谈判文件，包括澄清或者更正公告（如有）；</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（3）同意提供按照贵方可能要求的与谈判有关的一切数据或者资料；</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（4）响应谈判文件规定的竞标有效期。</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4.我方承诺符合《中华人民共和国政府采购法》第二十二条规定：</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（1）具有独立承担民事责任的能力；</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（2）具有良好的商业信誉和健全的财务会计制度；</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（3）具有履行合同所必需的设备和专业技术能力；</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（4）有依法缴纳税收和社会保障资金的良好记录；</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（5）参加政府采购活动前三年内，在经营活动中没有重大违法记录；</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（6）法律、行政法规规定的其他条件。</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w:t>
      </w:r>
      <w:r>
        <w:rPr>
          <w:rFonts w:hint="eastAsia" w:ascii="仿宋_GB2312" w:hAnsi="宋体" w:eastAsia="仿宋_GB2312" w:cs="宋体"/>
          <w:color w:val="auto"/>
          <w:sz w:val="24"/>
          <w:highlight w:val="none"/>
          <w:lang w:val="en-US" w:eastAsia="zh-CN"/>
        </w:rPr>
        <w:t>失信主体</w:t>
      </w:r>
      <w:r>
        <w:rPr>
          <w:rFonts w:hint="eastAsia" w:ascii="仿宋_GB2312" w:hAnsi="宋体" w:eastAsia="仿宋_GB2312" w:cs="宋体"/>
          <w:color w:val="auto"/>
          <w:sz w:val="24"/>
          <w:highlight w:val="none"/>
        </w:rPr>
        <w:t>、政府采购严重违法失信行为记录名单，完全符合《中华人民共和国政府采购法》第二十二条规定的供应商资格条件，我方对此声明负全部法律责任。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内容中</w:t>
      </w:r>
      <w:r>
        <w:rPr>
          <w:rFonts w:hint="eastAsia" w:ascii="仿宋_GB2312" w:hAnsi="宋体" w:eastAsia="仿宋_GB2312" w:cs="宋体"/>
          <w:color w:val="auto"/>
          <w:sz w:val="24"/>
          <w:highlight w:val="none"/>
        </w:rPr>
        <w:t>未</w:t>
      </w:r>
      <w:r>
        <w:rPr>
          <w:rFonts w:hint="eastAsia" w:ascii="仿宋_GB2312" w:hAnsi="宋体" w:eastAsia="仿宋_GB2312" w:cs="宋体"/>
          <w:color w:val="auto"/>
          <w:kern w:val="0"/>
          <w:sz w:val="24"/>
          <w:highlight w:val="none"/>
        </w:rPr>
        <w:t>涉及商业秘密；</w:t>
      </w:r>
    </w:p>
    <w:p>
      <w:pPr>
        <w:spacing w:line="360" w:lineRule="auto"/>
        <w:ind w:firstLine="480" w:firstLineChars="200"/>
        <w:contextualSpacing/>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□我方本次响应文件</w:t>
      </w:r>
      <w:r>
        <w:rPr>
          <w:rFonts w:hint="eastAsia" w:ascii="仿宋_GB2312" w:hAnsi="宋体" w:eastAsia="仿宋_GB2312" w:cs="宋体"/>
          <w:color w:val="auto"/>
          <w:kern w:val="0"/>
          <w:sz w:val="24"/>
          <w:highlight w:val="none"/>
        </w:rPr>
        <w:t>涉及商业秘密的内容有：</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w:t>
      </w:r>
    </w:p>
    <w:p>
      <w:pPr>
        <w:pStyle w:val="13"/>
        <w:spacing w:line="360" w:lineRule="auto"/>
        <w:ind w:firstLine="480" w:firstLineChars="200"/>
        <w:contextualSpacing/>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sz w:val="24"/>
          <w:szCs w:val="24"/>
          <w:highlight w:val="none"/>
        </w:rPr>
        <w:t>7.与本谈判有关的一切正式往来信函请寄：</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邮政编号：</w:t>
      </w:r>
      <w:r>
        <w:rPr>
          <w:rFonts w:hint="eastAsia" w:ascii="仿宋_GB2312" w:hAnsi="宋体" w:eastAsia="仿宋_GB2312" w:cs="宋体"/>
          <w:color w:val="auto"/>
          <w:sz w:val="24"/>
          <w:szCs w:val="24"/>
          <w:highlight w:val="none"/>
          <w:u w:val="single"/>
        </w:rPr>
        <w:t xml:space="preserve">        </w:t>
      </w:r>
    </w:p>
    <w:p>
      <w:pPr>
        <w:pStyle w:val="13"/>
        <w:spacing w:line="360" w:lineRule="auto"/>
        <w:ind w:firstLine="480" w:firstLineChars="200"/>
        <w:contextualSpacing/>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电话/传真：</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电子函件：</w:t>
      </w:r>
      <w:r>
        <w:rPr>
          <w:rFonts w:hint="eastAsia" w:ascii="仿宋_GB2312" w:hAnsi="宋体" w:eastAsia="仿宋_GB2312" w:cs="宋体"/>
          <w:color w:val="auto"/>
          <w:sz w:val="24"/>
          <w:szCs w:val="24"/>
          <w:highlight w:val="none"/>
          <w:u w:val="single"/>
        </w:rPr>
        <w:t xml:space="preserve">                            </w:t>
      </w:r>
      <w:r>
        <w:rPr>
          <w:rFonts w:hint="eastAsia" w:ascii="仿宋_GB2312" w:hAnsi="宋体" w:eastAsia="仿宋_GB2312" w:cs="宋体"/>
          <w:color w:val="auto"/>
          <w:sz w:val="24"/>
          <w:szCs w:val="24"/>
          <w:highlight w:val="none"/>
        </w:rPr>
        <w:t xml:space="preserve">    </w:t>
      </w:r>
    </w:p>
    <w:p>
      <w:pPr>
        <w:pStyle w:val="11"/>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开户银行：</w:t>
      </w:r>
      <w:r>
        <w:rPr>
          <w:rFonts w:hint="eastAsia" w:ascii="仿宋_GB2312" w:hAnsi="宋体" w:eastAsia="仿宋_GB2312" w:cs="宋体"/>
          <w:color w:val="auto"/>
          <w:sz w:val="24"/>
          <w:highlight w:val="none"/>
          <w:u w:val="single"/>
        </w:rPr>
        <w:t xml:space="preserve">                         </w:t>
      </w:r>
      <w:r>
        <w:rPr>
          <w:rFonts w:hint="eastAsia" w:ascii="仿宋_GB2312" w:hAnsi="宋体" w:eastAsia="仿宋_GB2312" w:cs="宋体"/>
          <w:color w:val="auto"/>
          <w:sz w:val="24"/>
          <w:highlight w:val="none"/>
        </w:rPr>
        <w:t xml:space="preserve">  帐号：</w:t>
      </w:r>
      <w:r>
        <w:rPr>
          <w:rFonts w:hint="eastAsia" w:ascii="仿宋_GB2312" w:hAnsi="宋体" w:eastAsia="仿宋_GB2312" w:cs="宋体"/>
          <w:color w:val="auto"/>
          <w:sz w:val="24"/>
          <w:highlight w:val="none"/>
          <w:u w:val="single"/>
        </w:rPr>
        <w:t xml:space="preserve">                               </w:t>
      </w:r>
    </w:p>
    <w:p>
      <w:pPr>
        <w:pStyle w:val="11"/>
        <w:tabs>
          <w:tab w:val="left" w:pos="939"/>
        </w:tabs>
        <w:spacing w:line="360" w:lineRule="auto"/>
        <w:ind w:left="0" w:leftChars="0" w:firstLine="480" w:firstLineChars="20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8.以上事项如有虚假或者隐瞒，我方愿意承担一切后果，并不再寻求任何旨在减轻或者免除法律责任的辩解。</w:t>
      </w:r>
    </w:p>
    <w:p>
      <w:pPr>
        <w:pStyle w:val="11"/>
        <w:tabs>
          <w:tab w:val="left" w:pos="939"/>
        </w:tabs>
        <w:spacing w:line="360" w:lineRule="auto"/>
        <w:ind w:left="141" w:leftChars="67" w:firstLine="360" w:firstLineChars="150"/>
        <w:rPr>
          <w:rFonts w:hint="eastAsia" w:ascii="仿宋_GB2312" w:hAnsi="宋体" w:eastAsia="仿宋_GB2312" w:cs="宋体"/>
          <w:color w:val="auto"/>
          <w:sz w:val="24"/>
          <w:highlight w:val="none"/>
        </w:rPr>
      </w:pPr>
      <w:r>
        <w:rPr>
          <w:rFonts w:hint="eastAsia" w:ascii="仿宋_GB2312" w:hAnsi="宋体" w:eastAsia="仿宋_GB2312" w:cs="宋体"/>
          <w:color w:val="auto"/>
          <w:sz w:val="24"/>
          <w:highlight w:val="none"/>
        </w:rPr>
        <w:t>特此承诺。</w:t>
      </w:r>
    </w:p>
    <w:p>
      <w:pPr>
        <w:pStyle w:val="11"/>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仿宋_GB2312" w:hAnsi="宋体" w:eastAsia="仿宋_GB2312" w:cs="宋体"/>
          <w:color w:val="auto"/>
          <w:sz w:val="24"/>
          <w:highlight w:val="none"/>
        </w:rPr>
        <w:t>注：如为联合体竞标，盖章处须加盖联合体各方公章并由联合体各方法定代表人签署，否则其响应文件按无效响应处理。</w:t>
      </w:r>
    </w:p>
    <w:p>
      <w:pPr>
        <w:pStyle w:val="11"/>
        <w:tabs>
          <w:tab w:val="left" w:pos="939"/>
        </w:tabs>
        <w:spacing w:line="360" w:lineRule="auto"/>
        <w:ind w:left="0" w:leftChars="0" w:firstLine="480" w:firstLineChars="200"/>
        <w:rPr>
          <w:rFonts w:hint="eastAsia" w:ascii="宋体" w:hAnsi="宋体" w:cs="宋体"/>
          <w:color w:val="auto"/>
          <w:sz w:val="24"/>
          <w:highlight w:val="none"/>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sectPr>
          <w:pgSz w:w="11910" w:h="16840"/>
          <w:pgMar w:top="1340" w:right="1500" w:bottom="280" w:left="1680" w:header="720" w:footer="720" w:gutter="0"/>
          <w:cols w:space="720" w:num="1"/>
        </w:sectPr>
      </w:pPr>
      <w:r>
        <w:rPr>
          <w:rFonts w:hint="eastAsia" w:ascii="仿宋_GB2312" w:hAnsi="仿宋" w:eastAsia="仿宋_GB2312" w:cs="仿宋_GB2312"/>
          <w:color w:val="auto"/>
          <w:kern w:val="0"/>
          <w:sz w:val="24"/>
          <w:highlight w:val="none"/>
          <w:lang w:val="zh-CN"/>
        </w:rPr>
        <w:t>日期：  年  月   日</w:t>
      </w:r>
    </w:p>
    <w:p>
      <w:pPr>
        <w:keepNext w:val="0"/>
        <w:keepLines w:val="0"/>
        <w:pageBreakBefore w:val="0"/>
        <w:widowControl w:val="0"/>
        <w:kinsoku/>
        <w:wordWrap/>
        <w:overflowPunct/>
        <w:topLinePunct w:val="0"/>
        <w:autoSpaceDE/>
        <w:autoSpaceDN/>
        <w:bidi w:val="0"/>
        <w:adjustRightInd/>
        <w:snapToGrid w:val="0"/>
        <w:spacing w:before="50" w:after="165" w:afterLines="50"/>
        <w:ind w:firstLine="602" w:firstLineChars="200"/>
        <w:jc w:val="left"/>
        <w:textAlignment w:val="auto"/>
        <w:rPr>
          <w:rFonts w:hint="eastAsia" w:ascii="宋体" w:hAnsi="宋体" w:eastAsia="宋体" w:cs="Times New Roman"/>
          <w:b/>
          <w:color w:val="auto"/>
          <w:sz w:val="32"/>
          <w:szCs w:val="32"/>
          <w:highlight w:val="none"/>
        </w:rPr>
      </w:pPr>
      <w:r>
        <w:rPr>
          <w:rFonts w:hint="eastAsia" w:ascii="仿宋_GB2312" w:hAnsi="仿宋" w:eastAsia="仿宋_GB2312" w:cs="仿宋_GB2312"/>
          <w:b/>
          <w:color w:val="auto"/>
          <w:sz w:val="30"/>
          <w:szCs w:val="30"/>
          <w:highlight w:val="none"/>
        </w:rPr>
        <w:t>七、本项目专门面向中小企业采购，供应商请提供中小企业声明函或其他证明材料（监狱企业、残疾人福利性单位视同小型、微型企业）</w:t>
      </w:r>
      <w:r>
        <w:rPr>
          <w:rFonts w:hint="eastAsia" w:ascii="仿宋_GB2312" w:hAnsi="仿宋" w:eastAsia="仿宋_GB2312" w:cs="仿宋_GB2312"/>
          <w:color w:val="auto"/>
          <w:sz w:val="24"/>
          <w:highlight w:val="none"/>
        </w:rPr>
        <w:t>（格式自拟）</w:t>
      </w:r>
    </w:p>
    <w:p>
      <w:pPr>
        <w:pStyle w:val="13"/>
        <w:spacing w:line="600" w:lineRule="exact"/>
        <w:jc w:val="center"/>
        <w:rPr>
          <w:rFonts w:hint="eastAsia" w:ascii="Times New Roman" w:hAnsi="Times New Roman"/>
          <w:b/>
          <w:bCs/>
          <w:color w:val="auto"/>
          <w:sz w:val="30"/>
          <w:szCs w:val="30"/>
          <w:highlight w:val="none"/>
        </w:rPr>
      </w:pPr>
    </w:p>
    <w:p>
      <w:pPr>
        <w:rPr>
          <w:rFonts w:hint="eastAsia"/>
          <w:color w:val="auto"/>
          <w:highlight w:val="none"/>
        </w:rPr>
      </w:pPr>
    </w:p>
    <w:p>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供应商名称（电子签章）：</w:t>
      </w:r>
    </w:p>
    <w:p>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pPr>
        <w:snapToGrid w:val="0"/>
        <w:spacing w:line="360" w:lineRule="auto"/>
        <w:rPr>
          <w:rFonts w:hint="eastAsia" w:ascii="仿宋" w:hAnsi="仿宋" w:eastAsia="仿宋" w:cs="仿宋_GB2312"/>
          <w:b/>
          <w:color w:val="auto"/>
          <w:kern w:val="0"/>
          <w:sz w:val="30"/>
          <w:szCs w:val="30"/>
          <w:highlight w:val="none"/>
        </w:rPr>
      </w:pPr>
    </w:p>
    <w:p>
      <w:pPr>
        <w:keepNext w:val="0"/>
        <w:keepLines w:val="0"/>
        <w:pageBreakBefore w:val="0"/>
        <w:widowControl w:val="0"/>
        <w:numPr>
          <w:ilvl w:val="0"/>
          <w:numId w:val="10"/>
        </w:numPr>
        <w:kinsoku/>
        <w:wordWrap/>
        <w:overflowPunct/>
        <w:topLinePunct w:val="0"/>
        <w:autoSpaceDE w:val="0"/>
        <w:autoSpaceDN w:val="0"/>
        <w:bidi w:val="0"/>
        <w:adjustRightInd/>
        <w:snapToGrid/>
        <w:spacing w:line="360" w:lineRule="auto"/>
        <w:ind w:firstLine="602" w:firstLineChars="200"/>
        <w:jc w:val="both"/>
        <w:textAlignment w:val="auto"/>
        <w:rPr>
          <w:rFonts w:hint="eastAsia" w:ascii="仿宋" w:hAnsi="仿宋" w:eastAsia="仿宋" w:cs="仿宋_GB2312"/>
          <w:b/>
          <w:color w:val="auto"/>
          <w:sz w:val="30"/>
          <w:szCs w:val="30"/>
          <w:highlight w:val="none"/>
          <w:lang w:val="en-US" w:eastAsia="zh-CN"/>
        </w:rPr>
      </w:pPr>
      <w:r>
        <w:rPr>
          <w:rFonts w:hint="eastAsia" w:ascii="仿宋" w:hAnsi="仿宋" w:eastAsia="仿宋" w:cs="仿宋_GB2312"/>
          <w:b/>
          <w:color w:val="auto"/>
          <w:sz w:val="30"/>
          <w:szCs w:val="30"/>
          <w:highlight w:val="none"/>
          <w:lang w:val="en-US" w:eastAsia="zh-CN"/>
        </w:rPr>
        <w:t>特定资格要求的资格证明材料扫描件</w:t>
      </w:r>
    </w:p>
    <w:p>
      <w:pPr>
        <w:pStyle w:val="18"/>
        <w:numPr>
          <w:ilvl w:val="0"/>
          <w:numId w:val="0"/>
        </w:numPr>
        <w:ind w:left="420" w:leftChars="0"/>
        <w:rPr>
          <w:rFonts w:hint="default"/>
          <w:color w:val="auto"/>
          <w:highlight w:val="none"/>
          <w:lang w:val="en-US"/>
        </w:rPr>
      </w:pPr>
    </w:p>
    <w:p>
      <w:pPr>
        <w:rPr>
          <w:rFonts w:hint="default"/>
          <w:color w:val="auto"/>
          <w:highlight w:val="none"/>
          <w:lang w:val="en-US"/>
        </w:rPr>
      </w:pPr>
    </w:p>
    <w:p>
      <w:pPr>
        <w:pStyle w:val="18"/>
        <w:rPr>
          <w:rFonts w:hint="default"/>
          <w:color w:val="auto"/>
          <w:highlight w:val="none"/>
          <w:lang w:val="en-US"/>
        </w:rPr>
      </w:pPr>
    </w:p>
    <w:p>
      <w:pPr>
        <w:rPr>
          <w:rFonts w:hint="default"/>
          <w:color w:val="auto"/>
          <w:highlight w:val="none"/>
          <w:lang w:val="en-US"/>
        </w:rPr>
      </w:pPr>
    </w:p>
    <w:p>
      <w:pPr>
        <w:pStyle w:val="18"/>
        <w:rPr>
          <w:rFonts w:hint="default"/>
          <w:color w:val="auto"/>
          <w:highlight w:val="none"/>
          <w:lang w:val="en-US"/>
        </w:rPr>
      </w:pPr>
    </w:p>
    <w:p>
      <w:pPr>
        <w:autoSpaceDE w:val="0"/>
        <w:autoSpaceDN w:val="0"/>
        <w:spacing w:line="360" w:lineRule="auto"/>
        <w:ind w:left="4365" w:leftChars="1850" w:hanging="480" w:hangingChars="2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snapToGrid w:val="0"/>
        <w:spacing w:line="360" w:lineRule="auto"/>
        <w:ind w:firstLine="602" w:firstLineChars="200"/>
        <w:rPr>
          <w:rFonts w:hint="eastAsia" w:ascii="仿宋" w:hAnsi="仿宋" w:eastAsia="仿宋" w:cs="仿宋_GB2312"/>
          <w:b/>
          <w:color w:val="auto"/>
          <w:kern w:val="0"/>
          <w:sz w:val="30"/>
          <w:szCs w:val="30"/>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kern w:val="0"/>
          <w:sz w:val="30"/>
          <w:szCs w:val="30"/>
          <w:highlight w:val="none"/>
          <w:lang w:val="en-US" w:eastAsia="zh-CN"/>
        </w:rPr>
        <w:t>九</w:t>
      </w:r>
      <w:r>
        <w:rPr>
          <w:rFonts w:hint="eastAsia" w:ascii="仿宋" w:hAnsi="仿宋" w:eastAsia="仿宋" w:cs="仿宋_GB2312"/>
          <w:b/>
          <w:color w:val="auto"/>
          <w:kern w:val="0"/>
          <w:sz w:val="30"/>
          <w:szCs w:val="30"/>
          <w:highlight w:val="none"/>
        </w:rPr>
        <w:t>、</w:t>
      </w:r>
      <w:bookmarkStart w:id="73" w:name="_Toc80205940"/>
      <w:r>
        <w:rPr>
          <w:rFonts w:hint="eastAsia" w:ascii="仿宋" w:hAnsi="仿宋" w:eastAsia="仿宋" w:cs="仿宋_GB2312"/>
          <w:b/>
          <w:color w:val="auto"/>
          <w:sz w:val="30"/>
          <w:szCs w:val="30"/>
          <w:highlight w:val="none"/>
        </w:rPr>
        <w:t>除谈判文件规定必须提供以外，供应商认为需要提供的其他证明材料</w:t>
      </w:r>
    </w:p>
    <w:p>
      <w:pPr>
        <w:snapToGrid w:val="0"/>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ascii="宋体" w:hAnsi="宋体"/>
          <w:color w:val="auto"/>
          <w:highlight w:val="none"/>
        </w:rPr>
        <w:sectPr>
          <w:pgSz w:w="11910" w:h="16840"/>
          <w:pgMar w:top="1340" w:right="1500" w:bottom="280" w:left="1680" w:header="720" w:footer="720" w:gutter="0"/>
          <w:cols w:space="720" w:num="1"/>
        </w:sectPr>
      </w:pPr>
      <w:r>
        <w:rPr>
          <w:rFonts w:hint="eastAsia" w:ascii="仿宋_GB2312" w:hAnsi="仿宋" w:eastAsia="仿宋_GB2312" w:cs="仿宋_GB2312"/>
          <w:color w:val="auto"/>
          <w:kern w:val="0"/>
          <w:sz w:val="24"/>
          <w:highlight w:val="none"/>
          <w:lang w:val="zh-CN"/>
        </w:rPr>
        <w:t xml:space="preserve">日期：  年  月 </w:t>
      </w:r>
      <w:r>
        <w:rPr>
          <w:rFonts w:hint="eastAsia" w:ascii="仿宋_GB2312" w:hAnsi="仿宋" w:eastAsia="仿宋_GB2312" w:cs="仿宋_GB2312"/>
          <w:color w:val="auto"/>
          <w:kern w:val="0"/>
          <w:sz w:val="24"/>
          <w:highlight w:val="none"/>
          <w:lang w:val="en-US" w:eastAsia="zh-CN"/>
        </w:rPr>
        <w:t xml:space="preserve"> 日</w:t>
      </w:r>
      <w:r>
        <w:rPr>
          <w:rFonts w:hint="eastAsia" w:ascii="仿宋_GB2312" w:hAnsi="仿宋" w:eastAsia="仿宋_GB2312" w:cs="仿宋_GB2312"/>
          <w:color w:val="auto"/>
          <w:kern w:val="0"/>
          <w:sz w:val="24"/>
          <w:highlight w:val="none"/>
          <w:lang w:val="zh-CN"/>
        </w:rPr>
        <w:t xml:space="preserve">  </w:t>
      </w:r>
    </w:p>
    <w:p>
      <w:pPr>
        <w:pStyle w:val="4"/>
        <w:jc w:val="center"/>
        <w:rPr>
          <w:rFonts w:hint="eastAsia" w:ascii="宋体" w:hAnsi="宋体"/>
          <w:b w:val="0"/>
          <w:color w:val="auto"/>
          <w:highlight w:val="none"/>
        </w:rPr>
      </w:pPr>
      <w:r>
        <w:rPr>
          <w:rFonts w:hint="eastAsia" w:ascii="宋体" w:hAnsi="宋体"/>
          <w:b w:val="0"/>
          <w:bCs w:val="0"/>
          <w:color w:val="auto"/>
          <w:highlight w:val="none"/>
        </w:rPr>
        <w:t>第</w:t>
      </w:r>
      <w:r>
        <w:rPr>
          <w:rFonts w:hint="eastAsia" w:ascii="宋体" w:hAnsi="宋体"/>
          <w:b w:val="0"/>
          <w:bCs w:val="0"/>
          <w:color w:val="auto"/>
          <w:highlight w:val="none"/>
          <w:lang w:eastAsia="zh-CN"/>
        </w:rPr>
        <w:t>二</w:t>
      </w:r>
      <w:r>
        <w:rPr>
          <w:rFonts w:hint="eastAsia" w:ascii="宋体" w:hAnsi="宋体"/>
          <w:b w:val="0"/>
          <w:bCs w:val="0"/>
          <w:color w:val="auto"/>
          <w:highlight w:val="none"/>
        </w:rPr>
        <w:t xml:space="preserve">节 </w:t>
      </w:r>
      <w:r>
        <w:rPr>
          <w:rFonts w:hint="eastAsia" w:ascii="宋体" w:hAnsi="宋体"/>
          <w:b w:val="0"/>
          <w:color w:val="auto"/>
          <w:highlight w:val="none"/>
        </w:rPr>
        <w:t>商务技术文件格式</w:t>
      </w:r>
      <w:bookmarkEnd w:id="73"/>
    </w:p>
    <w:p>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件（封面）</w:t>
      </w: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20" w:beforeLines="50" w:after="50"/>
        <w:ind w:firstLine="720" w:firstLineChars="225"/>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1280" w:firstLineChars="400"/>
        <w:rPr>
          <w:rFonts w:hint="eastAsia" w:ascii="宋体" w:hAnsi="宋体" w:cs="仿宋_GB2312"/>
          <w:bCs/>
          <w:color w:val="auto"/>
          <w:sz w:val="32"/>
          <w:szCs w:val="32"/>
          <w:highlight w:val="none"/>
        </w:rPr>
      </w:pPr>
    </w:p>
    <w:p>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jc w:val="center"/>
        <w:rPr>
          <w:rFonts w:hint="eastAsia" w:ascii="仿宋_GB2312" w:hAnsi="仿宋" w:eastAsia="仿宋_GB2312" w:cs="仿宋_GB2312"/>
          <w:b/>
          <w:color w:val="auto"/>
          <w:kern w:val="0"/>
          <w:sz w:val="28"/>
          <w:szCs w:val="28"/>
          <w:highlight w:val="none"/>
        </w:rPr>
      </w:pPr>
      <w:r>
        <w:rPr>
          <w:rFonts w:ascii="宋体" w:hAnsi="宋体"/>
          <w:color w:val="auto"/>
          <w:sz w:val="24"/>
          <w:highlight w:val="none"/>
        </w:rPr>
        <w:br w:type="page"/>
      </w:r>
      <w:r>
        <w:rPr>
          <w:rFonts w:hint="eastAsia" w:ascii="仿宋_GB2312" w:hAnsi="仿宋" w:eastAsia="仿宋_GB2312" w:cs="仿宋_GB2312"/>
          <w:b/>
          <w:color w:val="auto"/>
          <w:kern w:val="0"/>
          <w:sz w:val="28"/>
          <w:szCs w:val="28"/>
          <w:highlight w:val="none"/>
        </w:rPr>
        <w:t>商务技术文件目录</w:t>
      </w:r>
    </w:p>
    <w:p>
      <w:pPr>
        <w:pStyle w:val="26"/>
        <w:spacing w:line="360" w:lineRule="auto"/>
        <w:rPr>
          <w:rFonts w:hint="eastAsia" w:cs="仿宋_GB2312"/>
          <w:color w:val="auto"/>
          <w:highlight w:val="none"/>
        </w:rPr>
      </w:pPr>
      <w:r>
        <w:rPr>
          <w:rFonts w:hint="eastAsia" w:cs="仿宋_GB2312"/>
          <w:color w:val="auto"/>
          <w:highlight w:val="none"/>
        </w:rPr>
        <w:t>一、无串标行为承诺函………………………………………………………（页码）</w:t>
      </w:r>
    </w:p>
    <w:p>
      <w:pPr>
        <w:pStyle w:val="26"/>
        <w:spacing w:line="360" w:lineRule="auto"/>
        <w:rPr>
          <w:rFonts w:hint="eastAsia" w:cs="仿宋_GB2312"/>
          <w:color w:val="auto"/>
          <w:spacing w:val="-11"/>
          <w:sz w:val="24"/>
          <w:highlight w:val="none"/>
        </w:rPr>
      </w:pPr>
      <w:r>
        <w:rPr>
          <w:rFonts w:hint="eastAsia" w:cs="仿宋_GB2312"/>
          <w:color w:val="auto"/>
          <w:highlight w:val="none"/>
        </w:rPr>
        <w:t>二、</w:t>
      </w:r>
      <w:r>
        <w:rPr>
          <w:rFonts w:hint="eastAsia" w:cs="仿宋_GB2312"/>
          <w:color w:val="auto"/>
          <w:spacing w:val="-11"/>
          <w:sz w:val="24"/>
          <w:highlight w:val="none"/>
        </w:rPr>
        <w:t>法定代表人身份证明及法定代表人有效身份证正反面</w:t>
      </w:r>
      <w:r>
        <w:rPr>
          <w:rFonts w:hint="eastAsia" w:cs="仿宋_GB2312"/>
          <w:color w:val="auto"/>
          <w:spacing w:val="-11"/>
          <w:sz w:val="24"/>
          <w:highlight w:val="none"/>
          <w:lang w:val="en-US" w:eastAsia="zh-CN"/>
        </w:rPr>
        <w:t>原件扫描件</w:t>
      </w:r>
      <w:r>
        <w:rPr>
          <w:rFonts w:hint="eastAsia" w:cs="仿宋_GB2312"/>
          <w:color w:val="auto"/>
          <w:spacing w:val="-11"/>
          <w:sz w:val="24"/>
          <w:highlight w:val="none"/>
        </w:rPr>
        <w:t>………（页码）</w:t>
      </w:r>
    </w:p>
    <w:p>
      <w:pPr>
        <w:pStyle w:val="26"/>
        <w:spacing w:line="360" w:lineRule="auto"/>
        <w:rPr>
          <w:rFonts w:hint="eastAsia" w:cs="仿宋_GB2312"/>
          <w:color w:val="auto"/>
          <w:highlight w:val="none"/>
        </w:rPr>
      </w:pPr>
      <w:r>
        <w:rPr>
          <w:rFonts w:hint="eastAsia" w:cs="仿宋_GB2312"/>
          <w:color w:val="auto"/>
          <w:highlight w:val="none"/>
        </w:rPr>
        <w:t>三、法定代表人授权委托书（如有委托时）………………………………（页码）</w:t>
      </w:r>
    </w:p>
    <w:p>
      <w:pPr>
        <w:pStyle w:val="26"/>
        <w:spacing w:line="360" w:lineRule="auto"/>
        <w:rPr>
          <w:rFonts w:hint="eastAsia" w:cs="仿宋_GB2312"/>
          <w:color w:val="auto"/>
          <w:highlight w:val="none"/>
        </w:rPr>
      </w:pPr>
      <w:r>
        <w:rPr>
          <w:rFonts w:hint="eastAsia" w:cs="仿宋_GB2312"/>
          <w:color w:val="auto"/>
          <w:highlight w:val="none"/>
        </w:rPr>
        <w:t>四、</w:t>
      </w:r>
      <w:r>
        <w:rPr>
          <w:rFonts w:hint="eastAsia" w:cs="仿宋_GB2312"/>
          <w:color w:val="auto"/>
          <w:highlight w:val="none"/>
          <w:lang w:val="zh-CN"/>
        </w:rPr>
        <w:t>商务条款偏离表………………………………</w:t>
      </w:r>
      <w:r>
        <w:rPr>
          <w:rFonts w:hint="eastAsia" w:cs="仿宋_GB2312"/>
          <w:color w:val="auto"/>
          <w:highlight w:val="none"/>
        </w:rPr>
        <w:t>…………………………（页码）</w:t>
      </w:r>
    </w:p>
    <w:p>
      <w:pPr>
        <w:pStyle w:val="26"/>
        <w:spacing w:line="360" w:lineRule="auto"/>
        <w:rPr>
          <w:rFonts w:hint="eastAsia" w:cs="仿宋_GB2312"/>
          <w:color w:val="auto"/>
          <w:highlight w:val="none"/>
        </w:rPr>
      </w:pPr>
      <w:bookmarkStart w:id="74" w:name="OLE_LINK7"/>
      <w:bookmarkStart w:id="75" w:name="OLE_LINK6"/>
      <w:bookmarkStart w:id="76" w:name="OLE_LINK5"/>
      <w:r>
        <w:rPr>
          <w:rFonts w:hint="eastAsia" w:cs="仿宋_GB2312"/>
          <w:color w:val="auto"/>
          <w:highlight w:val="none"/>
        </w:rPr>
        <w:t>五、竞标人情况介绍</w:t>
      </w:r>
      <w:r>
        <w:rPr>
          <w:rFonts w:hint="eastAsia" w:cs="仿宋_GB2312"/>
          <w:color w:val="auto"/>
          <w:highlight w:val="none"/>
          <w:lang w:val="zh-CN"/>
        </w:rPr>
        <w:t>………………………………</w:t>
      </w:r>
      <w:r>
        <w:rPr>
          <w:rFonts w:hint="eastAsia" w:cs="仿宋_GB2312"/>
          <w:color w:val="auto"/>
          <w:highlight w:val="none"/>
        </w:rPr>
        <w:t>…………………………（页码）</w:t>
      </w:r>
    </w:p>
    <w:p>
      <w:pPr>
        <w:pStyle w:val="26"/>
        <w:spacing w:line="360" w:lineRule="auto"/>
        <w:rPr>
          <w:rFonts w:hint="eastAsia" w:cs="仿宋_GB2312"/>
          <w:color w:val="auto"/>
          <w:highlight w:val="none"/>
        </w:rPr>
      </w:pPr>
      <w:r>
        <w:rPr>
          <w:rFonts w:hint="eastAsia" w:cs="仿宋_GB2312"/>
          <w:color w:val="auto"/>
          <w:highlight w:val="none"/>
        </w:rPr>
        <w:t>六、供应商类似业绩的证明文件（如有要求）</w:t>
      </w:r>
      <w:r>
        <w:rPr>
          <w:rFonts w:hint="eastAsia" w:cs="仿宋_GB2312"/>
          <w:color w:val="auto"/>
          <w:highlight w:val="none"/>
          <w:lang w:val="zh-CN"/>
        </w:rPr>
        <w:t>……………………………</w:t>
      </w:r>
      <w:r>
        <w:rPr>
          <w:rFonts w:hint="eastAsia" w:cs="仿宋_GB2312"/>
          <w:color w:val="auto"/>
          <w:highlight w:val="none"/>
        </w:rPr>
        <w:t>（页码）</w:t>
      </w:r>
      <w:bookmarkEnd w:id="74"/>
      <w:bookmarkEnd w:id="75"/>
    </w:p>
    <w:bookmarkEnd w:id="76"/>
    <w:p>
      <w:pPr>
        <w:pStyle w:val="26"/>
        <w:spacing w:line="360" w:lineRule="auto"/>
        <w:rPr>
          <w:rFonts w:hint="eastAsia" w:cs="仿宋_GB2312"/>
          <w:color w:val="auto"/>
          <w:highlight w:val="none"/>
        </w:rPr>
      </w:pPr>
      <w:r>
        <w:rPr>
          <w:rFonts w:hint="eastAsia" w:cs="仿宋_GB2312"/>
          <w:color w:val="auto"/>
          <w:highlight w:val="none"/>
        </w:rPr>
        <w:t>七、货物需求偏离表…………………………………………………………（页码）</w:t>
      </w:r>
    </w:p>
    <w:p>
      <w:pPr>
        <w:pStyle w:val="26"/>
        <w:spacing w:line="360" w:lineRule="auto"/>
        <w:rPr>
          <w:rFonts w:hint="eastAsia" w:cs="仿宋_GB2312"/>
          <w:color w:val="auto"/>
          <w:highlight w:val="none"/>
        </w:rPr>
      </w:pPr>
      <w:r>
        <w:rPr>
          <w:rFonts w:hint="eastAsia" w:cs="仿宋_GB2312"/>
          <w:color w:val="auto"/>
          <w:highlight w:val="none"/>
        </w:rPr>
        <w:t>八、配置清单…………………………………………………………………（页码）</w:t>
      </w:r>
    </w:p>
    <w:p>
      <w:pPr>
        <w:pStyle w:val="26"/>
        <w:spacing w:line="360" w:lineRule="auto"/>
        <w:rPr>
          <w:rFonts w:hint="eastAsia" w:cs="仿宋_GB2312"/>
          <w:color w:val="auto"/>
          <w:highlight w:val="none"/>
        </w:rPr>
      </w:pPr>
      <w:r>
        <w:rPr>
          <w:rFonts w:hint="eastAsia" w:cs="仿宋_GB2312"/>
          <w:color w:val="auto"/>
          <w:highlight w:val="none"/>
        </w:rPr>
        <w:t>九、售后服务方案………………………………</w:t>
      </w:r>
      <w:r>
        <w:rPr>
          <w:rFonts w:hint="eastAsia" w:cs="仿宋_GB2312"/>
          <w:color w:val="auto"/>
          <w:highlight w:val="none"/>
          <w:lang w:val="zh-CN"/>
        </w:rPr>
        <w:t>………</w:t>
      </w:r>
      <w:r>
        <w:rPr>
          <w:rFonts w:hint="eastAsia" w:cs="仿宋_GB2312"/>
          <w:color w:val="auto"/>
          <w:highlight w:val="none"/>
        </w:rPr>
        <w:t>……………………（页码）</w:t>
      </w:r>
    </w:p>
    <w:p>
      <w:pPr>
        <w:pStyle w:val="26"/>
        <w:spacing w:line="360" w:lineRule="auto"/>
        <w:rPr>
          <w:rFonts w:hint="eastAsia" w:cs="仿宋_GB2312"/>
          <w:color w:val="auto"/>
          <w:highlight w:val="none"/>
        </w:rPr>
      </w:pPr>
      <w:r>
        <w:rPr>
          <w:rFonts w:hint="eastAsia" w:cs="仿宋_GB2312"/>
          <w:color w:val="auto"/>
          <w:highlight w:val="none"/>
        </w:rPr>
        <w:t>十、</w:t>
      </w:r>
      <w:r>
        <w:rPr>
          <w:rFonts w:hint="eastAsia" w:cs="仿宋_GB2312"/>
          <w:color w:val="auto"/>
          <w:highlight w:val="none"/>
          <w:lang w:val="zh-CN"/>
        </w:rPr>
        <w:t>项目实施人员一览表（如有要求）…………………………</w:t>
      </w:r>
      <w:r>
        <w:rPr>
          <w:rFonts w:hint="eastAsia" w:cs="仿宋_GB2312"/>
          <w:color w:val="auto"/>
          <w:highlight w:val="none"/>
        </w:rPr>
        <w:t>…………（页码）</w:t>
      </w:r>
    </w:p>
    <w:p>
      <w:pPr>
        <w:pStyle w:val="26"/>
        <w:spacing w:line="360" w:lineRule="auto"/>
        <w:rPr>
          <w:rFonts w:hint="eastAsia" w:cs="仿宋_GB2312"/>
          <w:color w:val="auto"/>
          <w:highlight w:val="none"/>
        </w:rPr>
      </w:pPr>
      <w:r>
        <w:rPr>
          <w:rFonts w:hint="eastAsia" w:cs="仿宋_GB2312"/>
          <w:color w:val="auto"/>
          <w:highlight w:val="none"/>
        </w:rPr>
        <w:t>十一、货物需求、商务条款要求提供的其他材料</w:t>
      </w:r>
      <w:r>
        <w:rPr>
          <w:rFonts w:hint="eastAsia" w:cs="仿宋_GB2312"/>
          <w:color w:val="auto"/>
          <w:highlight w:val="none"/>
          <w:lang w:val="zh-CN"/>
        </w:rPr>
        <w:t>…………………</w:t>
      </w:r>
      <w:r>
        <w:rPr>
          <w:rFonts w:hint="eastAsia" w:cs="仿宋_GB2312"/>
          <w:color w:val="auto"/>
          <w:highlight w:val="none"/>
        </w:rPr>
        <w:t>………（页码）</w:t>
      </w:r>
    </w:p>
    <w:p>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注：以上目录是基本格式要求，各供应商可根据自身情况进一步向下增加内容或细化。</w:t>
      </w:r>
    </w:p>
    <w:p>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pPr>
        <w:spacing w:line="520" w:lineRule="exact"/>
        <w:ind w:firstLine="880" w:firstLineChars="200"/>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一、无串标行为承诺函</w:t>
      </w:r>
    </w:p>
    <w:p>
      <w:pPr>
        <w:spacing w:line="520" w:lineRule="exact"/>
        <w:jc w:val="center"/>
        <w:rPr>
          <w:rFonts w:hint="eastAsia" w:ascii="方正小标宋简体" w:hAnsi="方正小标宋简体" w:eastAsia="方正小标宋简体" w:cs="方正小标宋简体"/>
          <w:color w:val="auto"/>
          <w:sz w:val="44"/>
          <w:szCs w:val="44"/>
          <w:highlight w:val="none"/>
        </w:rPr>
      </w:pPr>
    </w:p>
    <w:p>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无串通竞标行为的承诺函</w:t>
      </w:r>
    </w:p>
    <w:p>
      <w:pPr>
        <w:spacing w:line="360" w:lineRule="auto"/>
        <w:contextualSpacing/>
        <w:rPr>
          <w:rFonts w:hint="eastAsia" w:ascii="仿宋_GB2312" w:hAnsi="仿宋_GB2312" w:eastAsia="仿宋_GB2312" w:cs="仿宋_GB2312"/>
          <w:color w:val="auto"/>
          <w:sz w:val="32"/>
          <w:szCs w:val="32"/>
          <w:highlight w:val="none"/>
        </w:rPr>
      </w:pPr>
    </w:p>
    <w:p>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1.不同供应商的响应文件由同一单位或者个人编制；</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3.不同的供应商的响应文件载明的项目管理员为同一个人；</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6.不同供应商的竞标保证金从同一单位或者个人账户转出。</w:t>
      </w:r>
    </w:p>
    <w:p>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pPr>
        <w:spacing w:line="360" w:lineRule="auto"/>
        <w:ind w:firstLine="480" w:firstLineChars="200"/>
        <w:contextualSpacing/>
        <w:rPr>
          <w:rFonts w:hint="eastAsia" w:ascii="宋体" w:hAnsi="宋体" w:cs="仿宋_GB2312"/>
          <w:color w:val="auto"/>
          <w:sz w:val="24"/>
          <w:highlight w:val="none"/>
        </w:rPr>
      </w:pPr>
    </w:p>
    <w:p>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spacing w:line="520" w:lineRule="exact"/>
        <w:ind w:firstLine="6360" w:firstLineChars="2650"/>
        <w:jc w:val="left"/>
        <w:rPr>
          <w:rFonts w:hint="eastAsia" w:ascii="方正小标宋简体" w:hAnsi="方正小标宋简体" w:eastAsia="仿宋" w:cs="方正小标宋简体"/>
          <w:bCs/>
          <w:color w:val="auto"/>
          <w:spacing w:val="-11"/>
          <w:sz w:val="44"/>
          <w:szCs w:val="44"/>
          <w:highlight w:val="none"/>
          <w:lang w:eastAsia="zh-CN"/>
        </w:rPr>
      </w:pPr>
      <w:r>
        <w:rPr>
          <w:rFonts w:hint="eastAsia" w:ascii="仿宋_GB2312" w:hAnsi="仿宋" w:eastAsia="仿宋_GB2312" w:cs="仿宋_GB2312"/>
          <w:color w:val="auto"/>
          <w:kern w:val="0"/>
          <w:sz w:val="24"/>
          <w:highlight w:val="none"/>
          <w:lang w:val="zh-CN"/>
        </w:rPr>
        <w:t xml:space="preserve">日期：  年  月   日        </w:t>
      </w:r>
      <w:r>
        <w:rPr>
          <w:rFonts w:ascii="宋体" w:hAnsi="宋体"/>
          <w:b/>
          <w:bCs/>
          <w:color w:val="auto"/>
          <w:sz w:val="32"/>
          <w:szCs w:val="32"/>
          <w:highlight w:val="none"/>
        </w:rPr>
        <w:br w:type="page"/>
      </w:r>
      <w:r>
        <w:rPr>
          <w:rFonts w:hint="eastAsia" w:ascii="仿宋" w:hAnsi="仿宋" w:eastAsia="仿宋" w:cs="仿宋_GB2312"/>
          <w:b/>
          <w:color w:val="auto"/>
          <w:sz w:val="30"/>
          <w:szCs w:val="30"/>
          <w:highlight w:val="none"/>
        </w:rPr>
        <w:t>二、</w:t>
      </w:r>
      <w:r>
        <w:rPr>
          <w:rFonts w:hint="eastAsia" w:ascii="仿宋" w:hAnsi="仿宋" w:eastAsia="仿宋" w:cs="仿宋_GB2312"/>
          <w:b/>
          <w:color w:val="auto"/>
          <w:spacing w:val="-11"/>
          <w:sz w:val="30"/>
          <w:szCs w:val="30"/>
          <w:highlight w:val="none"/>
        </w:rPr>
        <w:t>法定代表人身份证明及法定代表人有效身份证正反面</w:t>
      </w:r>
      <w:r>
        <w:rPr>
          <w:rFonts w:hint="eastAsia" w:ascii="仿宋" w:hAnsi="仿宋" w:eastAsia="仿宋" w:cs="仿宋_GB2312"/>
          <w:b/>
          <w:color w:val="auto"/>
          <w:spacing w:val="-11"/>
          <w:sz w:val="30"/>
          <w:szCs w:val="30"/>
          <w:highlight w:val="none"/>
          <w:lang w:val="en-US" w:eastAsia="zh-CN"/>
        </w:rPr>
        <w:t>原件扫描件</w:t>
      </w:r>
    </w:p>
    <w:p>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pPr>
        <w:spacing w:line="360" w:lineRule="auto"/>
        <w:ind w:left="540"/>
        <w:contextualSpacing/>
        <w:rPr>
          <w:rFonts w:hint="eastAsia" w:ascii="仿宋_GB2312" w:hAnsi="仿宋_GB2312" w:eastAsia="仿宋_GB2312" w:cs="仿宋_GB2312"/>
          <w:color w:val="auto"/>
          <w:sz w:val="32"/>
          <w:szCs w:val="32"/>
          <w:highlight w:val="none"/>
        </w:rPr>
      </w:pP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pPr>
        <w:spacing w:line="360" w:lineRule="auto"/>
        <w:ind w:left="540"/>
        <w:contextualSpacing/>
        <w:rPr>
          <w:rFonts w:hint="eastAsia" w:ascii="宋体" w:hAnsi="宋体" w:cs="仿宋_GB2312"/>
          <w:color w:val="auto"/>
          <w:sz w:val="24"/>
          <w:highlight w:val="none"/>
        </w:rPr>
      </w:pPr>
    </w:p>
    <w:p>
      <w:pPr>
        <w:spacing w:line="360" w:lineRule="auto"/>
        <w:ind w:left="540"/>
        <w:contextualSpacing/>
        <w:rPr>
          <w:rFonts w:hint="eastAsia" w:ascii="宋体" w:hAnsi="宋体" w:cs="仿宋_GB2312"/>
          <w:color w:val="auto"/>
          <w:sz w:val="24"/>
          <w:highlight w:val="none"/>
        </w:rPr>
      </w:pPr>
    </w:p>
    <w:p>
      <w:pPr>
        <w:spacing w:line="360" w:lineRule="auto"/>
        <w:ind w:left="540"/>
        <w:contextualSpacing/>
        <w:rPr>
          <w:rFonts w:hint="eastAsia" w:ascii="宋体" w:hAnsi="宋体" w:cs="仿宋_GB2312"/>
          <w:color w:val="auto"/>
          <w:sz w:val="24"/>
          <w:highlight w:val="none"/>
        </w:rPr>
      </w:pPr>
    </w:p>
    <w:p>
      <w:pPr>
        <w:spacing w:line="360" w:lineRule="auto"/>
        <w:ind w:left="540"/>
        <w:contextualSpacing/>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附件：法定代表人有效身份证正反面</w:t>
      </w:r>
      <w:r>
        <w:rPr>
          <w:rFonts w:hint="eastAsia" w:ascii="宋体" w:hAnsi="宋体" w:cs="仿宋_GB2312"/>
          <w:color w:val="auto"/>
          <w:sz w:val="24"/>
          <w:highlight w:val="none"/>
          <w:lang w:val="en-US" w:eastAsia="zh-CN"/>
        </w:rPr>
        <w:t>原件扫描件</w:t>
      </w:r>
    </w:p>
    <w:p>
      <w:pPr>
        <w:spacing w:line="360" w:lineRule="auto"/>
        <w:ind w:left="540"/>
        <w:contextualSpacing/>
        <w:rPr>
          <w:rFonts w:hint="eastAsia" w:ascii="宋体" w:hAnsi="宋体" w:cs="仿宋_GB2312"/>
          <w:color w:val="auto"/>
          <w:sz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pPr>
        <w:spacing w:line="360" w:lineRule="auto"/>
        <w:contextualSpacing/>
        <w:jc w:val="left"/>
        <w:rPr>
          <w:rFonts w:hint="eastAsia" w:ascii="宋体" w:hAnsi="宋体" w:cs="仿宋_GB2312"/>
          <w:color w:val="auto"/>
          <w:sz w:val="24"/>
          <w:highlight w:val="none"/>
        </w:rPr>
      </w:pPr>
    </w:p>
    <w:p>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注：1</w:t>
      </w:r>
      <w:r>
        <w:rPr>
          <w:rFonts w:ascii="宋体" w:hAnsi="宋体" w:cs="仿宋_GB2312"/>
          <w:color w:val="auto"/>
          <w:sz w:val="24"/>
          <w:highlight w:val="none"/>
        </w:rPr>
        <w:t>.</w:t>
      </w:r>
      <w:r>
        <w:rPr>
          <w:rFonts w:hint="eastAsia" w:ascii="宋体" w:hAnsi="宋体" w:cs="仿宋_GB2312"/>
          <w:color w:val="auto"/>
          <w:sz w:val="24"/>
          <w:highlight w:val="none"/>
        </w:rPr>
        <w:t>自然人竞标的无需提供，联合体竞标的只需牵头人出具。</w:t>
      </w:r>
    </w:p>
    <w:p>
      <w:pPr>
        <w:spacing w:line="360" w:lineRule="auto"/>
        <w:ind w:firstLine="480" w:firstLineChars="200"/>
        <w:contextualSpacing/>
        <w:jc w:val="left"/>
        <w:rPr>
          <w:rFonts w:ascii="宋体" w:hAnsi="宋体" w:cs="仿宋_GB2312"/>
          <w:color w:val="auto"/>
          <w:sz w:val="24"/>
          <w:highlight w:val="none"/>
        </w:rPr>
        <w:sectPr>
          <w:pgSz w:w="11910" w:h="16840"/>
          <w:pgMar w:top="1340" w:right="1500" w:bottom="280" w:left="1680" w:header="720" w:footer="720" w:gutter="0"/>
          <w:cols w:space="720" w:num="1"/>
        </w:sectPr>
      </w:pPr>
      <w:r>
        <w:rPr>
          <w:rFonts w:hint="eastAsia" w:ascii="宋体" w:hAnsi="宋体" w:cs="仿宋_GB2312"/>
          <w:color w:val="auto"/>
          <w:sz w:val="24"/>
          <w:highlight w:val="none"/>
        </w:rPr>
        <w:t>2</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20"/>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pPr>
              <w:spacing w:line="360" w:lineRule="auto"/>
              <w:rPr>
                <w:rFonts w:ascii="宋体"/>
                <w:b/>
                <w:color w:val="auto"/>
                <w:sz w:val="24"/>
                <w:highlight w:val="none"/>
              </w:rPr>
            </w:pPr>
          </w:p>
          <w:p>
            <w:pPr>
              <w:spacing w:line="360" w:lineRule="auto"/>
              <w:rPr>
                <w:rFonts w:ascii="宋体"/>
                <w:b/>
                <w:color w:val="auto"/>
                <w:sz w:val="24"/>
                <w:highlight w:val="none"/>
              </w:rPr>
            </w:pPr>
            <w:r>
              <w:rPr>
                <w:rFonts w:hint="eastAsia" w:ascii="宋体"/>
                <w:b/>
                <w:color w:val="auto"/>
                <w:sz w:val="24"/>
                <w:highlight w:val="none"/>
              </w:rPr>
              <w:t>法定代表身份证</w:t>
            </w:r>
            <w:r>
              <w:rPr>
                <w:rFonts w:hint="eastAsia" w:ascii="宋体"/>
                <w:b/>
                <w:color w:val="auto"/>
                <w:sz w:val="24"/>
                <w:highlight w:val="none"/>
                <w:lang w:val="en-US" w:eastAsia="zh-CN"/>
              </w:rPr>
              <w:t>原件扫描件</w:t>
            </w:r>
            <w:r>
              <w:rPr>
                <w:rFonts w:hint="eastAsia" w:ascii="宋体"/>
                <w:b/>
                <w:color w:val="auto"/>
                <w:sz w:val="24"/>
                <w:highlight w:val="none"/>
              </w:rPr>
              <w:t>粘帖处（正、反面）</w:t>
            </w:r>
          </w:p>
        </w:tc>
      </w:tr>
    </w:tbl>
    <w:p>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hAnsi="宋体"/>
          <w:b/>
          <w:color w:val="auto"/>
          <w:sz w:val="24"/>
          <w:highlight w:val="none"/>
        </w:rPr>
        <w:t>附件：</w:t>
      </w:r>
    </w:p>
    <w:p>
      <w:pPr>
        <w:adjustRightInd w:val="0"/>
        <w:snapToGrid w:val="0"/>
        <w:spacing w:line="300" w:lineRule="auto"/>
        <w:jc w:val="left"/>
        <w:rPr>
          <w:rFonts w:hint="eastAsia" w:ascii="宋体" w:hAnsi="宋体"/>
          <w:b/>
          <w:color w:val="auto"/>
          <w:szCs w:val="21"/>
          <w:highlight w:val="none"/>
        </w:rPr>
      </w:pPr>
    </w:p>
    <w:p>
      <w:pPr>
        <w:snapToGrid w:val="0"/>
        <w:spacing w:line="360" w:lineRule="auto"/>
        <w:ind w:firstLine="880" w:firstLineChars="200"/>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仿宋" w:hAnsi="仿宋" w:eastAsia="仿宋" w:cs="仿宋_GB2312"/>
          <w:b/>
          <w:color w:val="auto"/>
          <w:sz w:val="30"/>
          <w:szCs w:val="30"/>
          <w:highlight w:val="none"/>
        </w:rPr>
        <w:t>三、法定代表人授权委托书</w:t>
      </w:r>
    </w:p>
    <w:p>
      <w:pPr>
        <w:spacing w:line="500" w:lineRule="exact"/>
        <w:jc w:val="center"/>
        <w:rPr>
          <w:rFonts w:hint="eastAsia" w:ascii="方正小标宋简体" w:hAnsi="方正小标宋简体" w:eastAsia="方正小标宋简体" w:cs="方正小标宋简体"/>
          <w:color w:val="auto"/>
          <w:sz w:val="44"/>
          <w:szCs w:val="44"/>
          <w:highlight w:val="none"/>
        </w:rPr>
      </w:pPr>
    </w:p>
    <w:p>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授权委托书（非联合体竞标格式）</w:t>
      </w:r>
    </w:p>
    <w:p>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pPr>
        <w:spacing w:line="520" w:lineRule="exact"/>
        <w:rPr>
          <w:rFonts w:hint="eastAsia" w:ascii="仿宋_GB2312" w:hAnsi="仿宋_GB2312" w:eastAsia="仿宋_GB2312" w:cs="仿宋_GB2312"/>
          <w:color w:val="auto"/>
          <w:sz w:val="32"/>
          <w:szCs w:val="32"/>
          <w:highlight w:val="none"/>
        </w:rPr>
      </w:pP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我方对委托代理人的签字事项负全部责任。</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pPr>
        <w:spacing w:line="360" w:lineRule="auto"/>
        <w:rPr>
          <w:rFonts w:hint="eastAsia" w:ascii="宋体" w:hAnsi="宋体" w:cs="仿宋_GB2312"/>
          <w:color w:val="auto"/>
          <w:sz w:val="24"/>
          <w:highlight w:val="none"/>
        </w:rPr>
      </w:pP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委托代理人（签字）：                 法定代表人（签字或盖章）：                    </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pPr>
        <w:spacing w:line="360" w:lineRule="auto"/>
        <w:ind w:firstLine="3840" w:firstLineChars="1600"/>
        <w:rPr>
          <w:rFonts w:ascii="宋体" w:hAnsi="宋体" w:cs="仿宋_GB2312"/>
          <w:color w:val="auto"/>
          <w:sz w:val="24"/>
          <w:highlight w:val="none"/>
        </w:rPr>
      </w:pPr>
      <w:r>
        <w:rPr>
          <w:rFonts w:hint="eastAsia" w:ascii="宋体" w:hAnsi="宋体" w:cs="仿宋_GB2312"/>
          <w:color w:val="auto"/>
          <w:sz w:val="24"/>
          <w:highlight w:val="none"/>
        </w:rPr>
        <w:t xml:space="preserve">  </w:t>
      </w:r>
      <w:r>
        <w:rPr>
          <w:rFonts w:hint="eastAsia" w:ascii="仿宋_GB2312" w:hAnsi="仿宋" w:eastAsia="仿宋_GB2312" w:cs="仿宋_GB2312"/>
          <w:color w:val="auto"/>
          <w:kern w:val="0"/>
          <w:sz w:val="24"/>
          <w:highlight w:val="none"/>
        </w:rPr>
        <w:t>供应商名称（电子签章）：</w:t>
      </w:r>
    </w:p>
    <w:p>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pPr>
        <w:spacing w:line="360" w:lineRule="auto"/>
        <w:rPr>
          <w:rFonts w:hint="eastAsia" w:ascii="宋体" w:hAnsi="宋体" w:cs="仿宋_GB2312"/>
          <w:color w:val="auto"/>
          <w:sz w:val="24"/>
          <w:highlight w:val="none"/>
        </w:rPr>
      </w:pPr>
    </w:p>
    <w:p>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 xml:space="preserve"> 法人、其他组织竞标时“我方”是指“我单位”，自然人竞标时“我方”是指“本人”。</w:t>
      </w:r>
    </w:p>
    <w:p>
      <w:pPr>
        <w:spacing w:line="360" w:lineRule="auto"/>
        <w:ind w:firstLine="420" w:firstLineChars="200"/>
        <w:jc w:val="left"/>
        <w:rPr>
          <w:rFonts w:hint="eastAsia" w:ascii="仿宋_GB2312" w:hAnsi="仿宋_GB2312" w:eastAsia="仿宋_GB2312" w:cs="仿宋_GB2312"/>
          <w:color w:val="auto"/>
          <w:szCs w:val="21"/>
          <w:highlight w:val="none"/>
        </w:rPr>
      </w:pPr>
    </w:p>
    <w:p>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授权委托书（联合体竞标格式）</w:t>
      </w:r>
    </w:p>
    <w:p>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pPr>
        <w:spacing w:line="500" w:lineRule="exact"/>
        <w:jc w:val="center"/>
        <w:rPr>
          <w:rFonts w:ascii="方正小标宋简体" w:hAnsi="方正小标宋简体" w:eastAsia="方正小标宋简体" w:cs="方正小标宋简体"/>
          <w:color w:val="auto"/>
          <w:sz w:val="44"/>
          <w:szCs w:val="44"/>
          <w:highlight w:val="none"/>
        </w:rPr>
      </w:pPr>
    </w:p>
    <w:p>
      <w:pPr>
        <w:spacing w:line="500" w:lineRule="exact"/>
        <w:jc w:val="center"/>
        <w:rPr>
          <w:rFonts w:hint="eastAsia" w:ascii="仿宋_GB2312" w:hAnsi="仿宋_GB2312" w:eastAsia="仿宋_GB2312" w:cs="仿宋_GB2312"/>
          <w:color w:val="auto"/>
          <w:sz w:val="32"/>
          <w:szCs w:val="32"/>
          <w:highlight w:val="none"/>
        </w:rPr>
      </w:pPr>
    </w:p>
    <w:p>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（姓名）现授权</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（姓名）为联合委托代理人，并代表我方全权办理针对上述项目的所有采购程序和环节的具体事务和签署相关文件。</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我方对委托代理人的签字事项负全部责任。</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pPr>
        <w:spacing w:line="360" w:lineRule="auto"/>
        <w:ind w:firstLine="1560" w:firstLineChars="650"/>
        <w:rPr>
          <w:rFonts w:hint="eastAsia" w:ascii="宋体" w:hAnsi="宋体" w:cs="仿宋_GB2312"/>
          <w:color w:val="auto"/>
          <w:sz w:val="24"/>
          <w:highlight w:val="none"/>
        </w:rPr>
      </w:pPr>
      <w:r>
        <w:rPr>
          <w:rFonts w:hint="eastAsia" w:ascii="宋体" w:hAnsi="宋体" w:cs="仿宋_GB2312"/>
          <w:color w:val="auto"/>
          <w:sz w:val="24"/>
          <w:highlight w:val="none"/>
        </w:rPr>
        <w:t>牵头人法定代表人（签字或盖章）：</w:t>
      </w:r>
    </w:p>
    <w:p>
      <w:pPr>
        <w:spacing w:line="360" w:lineRule="auto"/>
        <w:ind w:firstLine="3000" w:firstLineChars="1250"/>
        <w:rPr>
          <w:rFonts w:hint="eastAsia" w:ascii="宋体" w:hAnsi="宋体" w:cs="仿宋_GB2312"/>
          <w:color w:val="auto"/>
          <w:sz w:val="24"/>
          <w:highlight w:val="none"/>
        </w:rPr>
      </w:pPr>
      <w:r>
        <w:rPr>
          <w:rFonts w:hint="eastAsia" w:ascii="宋体" w:hAnsi="宋体" w:cs="仿宋_GB2312"/>
          <w:color w:val="auto"/>
          <w:sz w:val="24"/>
          <w:highlight w:val="none"/>
        </w:rPr>
        <w:t>牵头人（电子签章）：</w:t>
      </w:r>
    </w:p>
    <w:p>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pPr>
        <w:spacing w:line="360" w:lineRule="auto"/>
        <w:rPr>
          <w:rFonts w:hint="eastAsia" w:ascii="宋体" w:hAnsi="宋体" w:cs="仿宋_GB2312"/>
          <w:color w:val="auto"/>
          <w:sz w:val="24"/>
          <w:highlight w:val="none"/>
        </w:rPr>
      </w:pPr>
    </w:p>
    <w:p>
      <w:pPr>
        <w:spacing w:line="360" w:lineRule="auto"/>
        <w:ind w:firstLine="3120" w:firstLineChars="1300"/>
        <w:rPr>
          <w:rFonts w:hint="eastAsia" w:ascii="宋体" w:hAnsi="宋体" w:cs="仿宋_GB2312"/>
          <w:color w:val="auto"/>
          <w:sz w:val="24"/>
          <w:highlight w:val="none"/>
        </w:rPr>
      </w:pPr>
      <w:r>
        <w:rPr>
          <w:rFonts w:hint="eastAsia" w:ascii="宋体" w:hAnsi="宋体" w:cs="仿宋_GB2312"/>
          <w:color w:val="auto"/>
          <w:sz w:val="24"/>
          <w:highlight w:val="none"/>
        </w:rPr>
        <w:t>被授权人（签字）：</w:t>
      </w:r>
    </w:p>
    <w:p>
      <w:pPr>
        <w:spacing w:line="360" w:lineRule="auto"/>
        <w:ind w:firstLine="3840" w:firstLineChars="1600"/>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pPr>
        <w:spacing w:line="360" w:lineRule="auto"/>
        <w:rPr>
          <w:rFonts w:hint="eastAsia" w:ascii="宋体" w:hAnsi="宋体" w:cs="仿宋_GB2312"/>
          <w:color w:val="auto"/>
          <w:sz w:val="24"/>
          <w:highlight w:val="none"/>
        </w:rPr>
      </w:pP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注：</w:t>
      </w:r>
    </w:p>
    <w:p>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1. 法定代表人必须在授权委托书上亲笔签字或盖章，委托代理人必须在授权委托书上亲笔签字，</w:t>
      </w:r>
      <w:r>
        <w:rPr>
          <w:rFonts w:hint="eastAsia" w:ascii="宋体" w:hAnsi="宋体" w:cs="仿宋_GB2312"/>
          <w:b/>
          <w:color w:val="auto"/>
          <w:sz w:val="24"/>
          <w:highlight w:val="none"/>
        </w:rPr>
        <w:t>否则其响应文件按无效响应处理。</w:t>
      </w:r>
    </w:p>
    <w:p>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2.本授权委托书应由联合体牵头人的法定代表人按上述规定签署。</w:t>
      </w:r>
    </w:p>
    <w:p>
      <w:pPr>
        <w:spacing w:line="360" w:lineRule="auto"/>
        <w:ind w:firstLine="480" w:firstLineChars="200"/>
        <w:jc w:val="left"/>
        <w:rPr>
          <w:rFonts w:ascii="宋体" w:hAnsi="宋体" w:cs="仿宋_GB2312"/>
          <w:color w:val="auto"/>
          <w:sz w:val="24"/>
          <w:highlight w:val="none"/>
        </w:rPr>
      </w:pPr>
      <w:r>
        <w:rPr>
          <w:rFonts w:hint="eastAsia" w:ascii="宋体" w:hAnsi="宋体" w:cs="仿宋_GB2312"/>
          <w:color w:val="auto"/>
          <w:sz w:val="24"/>
          <w:highlight w:val="none"/>
        </w:rPr>
        <w:t>3</w:t>
      </w:r>
      <w:r>
        <w:rPr>
          <w:rFonts w:ascii="宋体" w:hAnsi="宋体" w:cs="仿宋_GB2312"/>
          <w:color w:val="auto"/>
          <w:sz w:val="24"/>
          <w:highlight w:val="none"/>
        </w:rPr>
        <w:t>.</w:t>
      </w:r>
      <w:r>
        <w:rPr>
          <w:rFonts w:hint="eastAsia" w:ascii="宋体" w:hAnsi="宋体" w:cs="仿宋_GB2312"/>
          <w:color w:val="auto"/>
          <w:sz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hint="eastAsia" w:ascii="仿宋_GB2312" w:hAnsi="仿宋_GB2312" w:eastAsia="仿宋_GB2312" w:cs="仿宋_GB2312"/>
          <w:color w:val="auto"/>
          <w:szCs w:val="21"/>
          <w:highlight w:val="none"/>
        </w:rPr>
      </w:pPr>
      <w:r>
        <w:rPr>
          <w:rFonts w:hint="eastAsia" w:ascii="宋体" w:hAnsi="宋体" w:cs="仿宋_GB2312"/>
          <w:color w:val="auto"/>
          <w:sz w:val="24"/>
          <w:highlight w:val="none"/>
        </w:rPr>
        <w:t>4</w:t>
      </w:r>
      <w:r>
        <w:rPr>
          <w:rFonts w:ascii="宋体" w:hAnsi="宋体" w:cs="仿宋_GB2312"/>
          <w:color w:val="auto"/>
          <w:sz w:val="24"/>
          <w:highlight w:val="none"/>
        </w:rPr>
        <w:t>.</w:t>
      </w:r>
      <w:r>
        <w:rPr>
          <w:rFonts w:hint="eastAsia" w:ascii="宋体" w:hAnsi="宋体" w:cs="仿宋_GB2312"/>
          <w:color w:val="auto"/>
          <w:sz w:val="24"/>
          <w:highlight w:val="none"/>
        </w:rPr>
        <w:t>法人、其他组织竞标时“我方”是指“我单位”，自然人竞标时“我方”是指“本人”。</w:t>
      </w:r>
    </w:p>
    <w:p>
      <w:pPr>
        <w:snapToGrid w:val="0"/>
        <w:spacing w:line="360" w:lineRule="auto"/>
        <w:ind w:firstLine="640" w:firstLineChars="200"/>
        <w:rPr>
          <w:rFonts w:hint="eastAsia" w:ascii="宋体" w:hAnsi="宋体"/>
          <w:b/>
          <w:bCs/>
          <w:color w:val="auto"/>
          <w:sz w:val="32"/>
          <w:szCs w:val="32"/>
          <w:highlight w:val="none"/>
        </w:rPr>
      </w:pPr>
      <w:r>
        <w:rPr>
          <w:rFonts w:hint="eastAsia" w:ascii="仿宋_GB2312" w:hAnsi="仿宋_GB2312" w:eastAsia="仿宋_GB2312" w:cs="仿宋_GB2312"/>
          <w:color w:val="auto"/>
          <w:sz w:val="32"/>
          <w:szCs w:val="32"/>
          <w:highlight w:val="none"/>
        </w:rPr>
        <w:br w:type="page"/>
      </w:r>
      <w:r>
        <w:rPr>
          <w:rFonts w:hint="eastAsia" w:ascii="仿宋" w:hAnsi="仿宋" w:eastAsia="仿宋" w:cs="仿宋_GB2312"/>
          <w:b/>
          <w:color w:val="auto"/>
          <w:sz w:val="30"/>
          <w:szCs w:val="30"/>
          <w:highlight w:val="none"/>
        </w:rPr>
        <w:t>四、商务条款偏离表</w:t>
      </w:r>
    </w:p>
    <w:p>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商务条款偏离表（格式）</w:t>
      </w:r>
    </w:p>
    <w:p>
      <w:pPr>
        <w:spacing w:line="360" w:lineRule="auto"/>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分标号</w:t>
      </w:r>
      <w:r>
        <w:rPr>
          <w:rFonts w:hint="eastAsia" w:ascii="宋体" w:hAnsi="宋体"/>
          <w:color w:val="auto"/>
          <w:szCs w:val="21"/>
          <w:highlight w:val="none"/>
        </w:rPr>
        <w:t>（此处有分标时填写具体分标号，无分标时填写“无”）</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jc w:val="center"/>
              <w:rPr>
                <w:rFonts w:ascii="宋体" w:hAnsi="宋体"/>
                <w:color w:val="auto"/>
                <w:szCs w:val="21"/>
                <w:highlight w:val="none"/>
              </w:rPr>
            </w:pPr>
            <w:r>
              <w:rPr>
                <w:rFonts w:hint="eastAsia" w:ascii="宋体" w:hAnsi="宋体"/>
                <w:color w:val="auto"/>
                <w:szCs w:val="21"/>
                <w:highlight w:val="none"/>
              </w:rPr>
              <w:t>竞争性谈判采购文件的商务需求</w:t>
            </w:r>
          </w:p>
        </w:tc>
        <w:tc>
          <w:tcPr>
            <w:tcW w:w="2606" w:type="dxa"/>
            <w:tcBorders>
              <w:top w:val="single" w:color="auto" w:sz="4" w:space="0"/>
              <w:left w:val="single" w:color="auto" w:sz="4" w:space="0"/>
              <w:right w:val="single" w:color="auto" w:sz="4" w:space="0"/>
            </w:tcBorders>
            <w:noWrap w:val="0"/>
            <w:vAlign w:val="top"/>
          </w:tcPr>
          <w:p>
            <w:pPr>
              <w:spacing w:line="340" w:lineRule="exact"/>
              <w:jc w:val="center"/>
              <w:rPr>
                <w:rFonts w:ascii="宋体" w:hAnsi="宋体"/>
                <w:color w:val="auto"/>
                <w:szCs w:val="21"/>
                <w:highlight w:val="none"/>
              </w:rPr>
            </w:pPr>
            <w:r>
              <w:rPr>
                <w:rFonts w:hint="eastAsia" w:ascii="宋体" w:hAnsi="宋体"/>
                <w:color w:val="auto"/>
                <w:szCs w:val="21"/>
                <w:highlight w:val="none"/>
              </w:rPr>
              <w:t>响应文件承诺的商务条款</w:t>
            </w:r>
          </w:p>
        </w:tc>
        <w:tc>
          <w:tcPr>
            <w:tcW w:w="2426" w:type="dxa"/>
            <w:tcBorders>
              <w:top w:val="single" w:color="auto" w:sz="4" w:space="0"/>
              <w:left w:val="single" w:color="auto" w:sz="4" w:space="0"/>
              <w:right w:val="single" w:color="auto" w:sz="4" w:space="0"/>
            </w:tcBorders>
            <w:noWrap w:val="0"/>
            <w:vAlign w:val="top"/>
          </w:tcPr>
          <w:p>
            <w:pPr>
              <w:spacing w:line="300" w:lineRule="exact"/>
              <w:jc w:val="center"/>
              <w:rPr>
                <w:rFonts w:ascii="宋体" w:hAnsi="宋体"/>
                <w:color w:val="auto"/>
                <w:szCs w:val="21"/>
                <w:highlight w:val="none"/>
              </w:rPr>
            </w:pPr>
            <w:r>
              <w:rPr>
                <w:rFonts w:hint="eastAsia" w:ascii="宋体" w:hAnsi="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vAlign w:val="top"/>
          </w:tcPr>
          <w:p>
            <w:pPr>
              <w:rPr>
                <w:rFonts w:ascii="宋体" w:hAnsi="宋体"/>
                <w:color w:val="auto"/>
                <w:szCs w:val="21"/>
                <w:highlight w:val="none"/>
              </w:rPr>
            </w:pPr>
            <w:r>
              <w:rPr>
                <w:rFonts w:hint="eastAsia" w:ascii="宋体" w:hAnsi="宋体"/>
                <w:color w:val="auto"/>
                <w:szCs w:val="21"/>
                <w:highlight w:val="none"/>
              </w:rPr>
              <w:t>1  ……</w:t>
            </w:r>
          </w:p>
        </w:tc>
        <w:tc>
          <w:tcPr>
            <w:tcW w:w="2606" w:type="dxa"/>
            <w:tcBorders>
              <w:top w:val="single" w:color="auto" w:sz="4" w:space="0"/>
              <w:left w:val="single" w:color="auto" w:sz="4" w:space="0"/>
              <w:right w:val="single" w:color="auto" w:sz="4" w:space="0"/>
            </w:tcBorders>
            <w:noWrap w:val="0"/>
            <w:vAlign w:val="top"/>
          </w:tcPr>
          <w:p>
            <w:pPr>
              <w:rPr>
                <w:rFonts w:ascii="宋体" w:hAnsi="宋体"/>
                <w:color w:val="auto"/>
                <w:szCs w:val="21"/>
                <w:highlight w:val="none"/>
              </w:rPr>
            </w:pPr>
            <w:r>
              <w:rPr>
                <w:rFonts w:hint="eastAsia" w:ascii="宋体" w:hAnsi="宋体"/>
                <w:color w:val="auto"/>
                <w:szCs w:val="21"/>
                <w:highlight w:val="none"/>
              </w:rPr>
              <w:t>1  ……</w:t>
            </w:r>
          </w:p>
        </w:tc>
        <w:tc>
          <w:tcPr>
            <w:tcW w:w="2426" w:type="dxa"/>
            <w:tcBorders>
              <w:top w:val="single" w:color="auto" w:sz="4" w:space="0"/>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60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42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vAlign w:val="top"/>
          </w:tcPr>
          <w:p>
            <w:pPr>
              <w:rPr>
                <w:rFonts w:ascii="宋体" w:hAnsi="宋体"/>
                <w:color w:val="auto"/>
                <w:szCs w:val="21"/>
                <w:highlight w:val="none"/>
              </w:rPr>
            </w:pPr>
            <w:r>
              <w:rPr>
                <w:rFonts w:hint="eastAsia" w:ascii="宋体" w:hAnsi="宋体"/>
                <w:color w:val="auto"/>
                <w:szCs w:val="21"/>
                <w:highlight w:val="none"/>
              </w:rPr>
              <w:t>1  ……</w:t>
            </w:r>
          </w:p>
        </w:tc>
        <w:tc>
          <w:tcPr>
            <w:tcW w:w="2606" w:type="dxa"/>
            <w:tcBorders>
              <w:top w:val="single" w:color="auto" w:sz="4" w:space="0"/>
              <w:left w:val="single" w:color="auto" w:sz="4" w:space="0"/>
              <w:right w:val="single" w:color="auto" w:sz="4" w:space="0"/>
            </w:tcBorders>
            <w:noWrap w:val="0"/>
            <w:vAlign w:val="top"/>
          </w:tcPr>
          <w:p>
            <w:pPr>
              <w:rPr>
                <w:rFonts w:ascii="宋体" w:hAnsi="宋体"/>
                <w:color w:val="auto"/>
                <w:szCs w:val="21"/>
                <w:highlight w:val="none"/>
              </w:rPr>
            </w:pPr>
            <w:r>
              <w:rPr>
                <w:rFonts w:hint="eastAsia" w:ascii="宋体" w:hAnsi="宋体"/>
                <w:color w:val="auto"/>
                <w:szCs w:val="21"/>
                <w:highlight w:val="none"/>
              </w:rPr>
              <w:t>1  ……</w:t>
            </w:r>
          </w:p>
        </w:tc>
        <w:tc>
          <w:tcPr>
            <w:tcW w:w="2426" w:type="dxa"/>
            <w:tcBorders>
              <w:top w:val="single" w:color="auto" w:sz="4" w:space="0"/>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60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42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center"/>
          </w:tcPr>
          <w:p>
            <w:pPr>
              <w:spacing w:line="340" w:lineRule="exact"/>
              <w:jc w:val="center"/>
              <w:rPr>
                <w:rFonts w:ascii="宋体" w:hAnsi="宋体"/>
                <w:color w:val="auto"/>
                <w:szCs w:val="21"/>
                <w:highlight w:val="none"/>
              </w:rPr>
            </w:pPr>
            <w:r>
              <w:rPr>
                <w:rFonts w:hint="eastAsia" w:ascii="宋体" w:hAnsi="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vAlign w:val="top"/>
          </w:tcPr>
          <w:p>
            <w:pPr>
              <w:rPr>
                <w:rFonts w:ascii="宋体" w:hAnsi="宋体"/>
                <w:color w:val="auto"/>
                <w:szCs w:val="21"/>
                <w:highlight w:val="none"/>
              </w:rPr>
            </w:pPr>
            <w:r>
              <w:rPr>
                <w:rFonts w:hint="eastAsia" w:ascii="宋体" w:hAnsi="宋体"/>
                <w:color w:val="auto"/>
                <w:szCs w:val="21"/>
                <w:highlight w:val="none"/>
              </w:rPr>
              <w:t>1  ……</w:t>
            </w:r>
          </w:p>
        </w:tc>
        <w:tc>
          <w:tcPr>
            <w:tcW w:w="2606" w:type="dxa"/>
            <w:tcBorders>
              <w:top w:val="single" w:color="auto" w:sz="4" w:space="0"/>
              <w:left w:val="single" w:color="auto" w:sz="4" w:space="0"/>
              <w:right w:val="single" w:color="auto" w:sz="4" w:space="0"/>
            </w:tcBorders>
            <w:noWrap w:val="0"/>
            <w:vAlign w:val="top"/>
          </w:tcPr>
          <w:p>
            <w:pPr>
              <w:rPr>
                <w:rFonts w:ascii="宋体" w:hAnsi="宋体"/>
                <w:color w:val="auto"/>
                <w:szCs w:val="21"/>
                <w:highlight w:val="none"/>
              </w:rPr>
            </w:pPr>
            <w:r>
              <w:rPr>
                <w:rFonts w:hint="eastAsia" w:ascii="宋体" w:hAnsi="宋体"/>
                <w:color w:val="auto"/>
                <w:szCs w:val="21"/>
                <w:highlight w:val="none"/>
              </w:rPr>
              <w:t>1  ……</w:t>
            </w:r>
          </w:p>
        </w:tc>
        <w:tc>
          <w:tcPr>
            <w:tcW w:w="2426" w:type="dxa"/>
            <w:tcBorders>
              <w:top w:val="single" w:color="auto" w:sz="4" w:space="0"/>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2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40" w:lineRule="exact"/>
              <w:rPr>
                <w:rFonts w:ascii="宋体" w:hAnsi="宋体"/>
                <w:color w:val="auto"/>
                <w:szCs w:val="21"/>
                <w:highlight w:val="none"/>
              </w:rPr>
            </w:pPr>
          </w:p>
        </w:tc>
        <w:tc>
          <w:tcPr>
            <w:tcW w:w="2606" w:type="dxa"/>
            <w:tcBorders>
              <w:left w:val="single" w:color="auto" w:sz="4" w:space="0"/>
              <w:right w:val="single" w:color="auto" w:sz="4" w:space="0"/>
            </w:tcBorders>
            <w:noWrap w:val="0"/>
            <w:vAlign w:val="top"/>
          </w:tcPr>
          <w:p>
            <w:pPr>
              <w:spacing w:line="340" w:lineRule="exact"/>
              <w:rPr>
                <w:rFonts w:ascii="宋体" w:hAnsi="宋体"/>
                <w:color w:val="auto"/>
                <w:szCs w:val="21"/>
                <w:highlight w:val="none"/>
              </w:rPr>
            </w:pPr>
            <w:r>
              <w:rPr>
                <w:rFonts w:hint="eastAsia" w:ascii="宋体" w:hAnsi="宋体"/>
                <w:color w:val="auto"/>
                <w:szCs w:val="21"/>
                <w:highlight w:val="none"/>
              </w:rPr>
              <w:t>3  ……</w:t>
            </w:r>
          </w:p>
          <w:p>
            <w:pPr>
              <w:spacing w:line="300" w:lineRule="exact"/>
              <w:rPr>
                <w:rFonts w:ascii="宋体" w:hAnsi="宋体"/>
                <w:color w:val="auto"/>
                <w:szCs w:val="21"/>
                <w:highlight w:val="none"/>
              </w:rPr>
            </w:pPr>
          </w:p>
        </w:tc>
        <w:tc>
          <w:tcPr>
            <w:tcW w:w="2426" w:type="dxa"/>
            <w:tcBorders>
              <w:left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60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426" w:type="dxa"/>
            <w:tcBorders>
              <w:left w:val="single" w:color="auto" w:sz="4" w:space="0"/>
              <w:bottom w:val="single" w:color="auto" w:sz="4" w:space="0"/>
              <w:right w:val="single" w:color="auto" w:sz="4" w:space="0"/>
            </w:tcBorders>
            <w:noWrap w:val="0"/>
            <w:vAlign w:val="top"/>
          </w:tcPr>
          <w:p>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pPr>
              <w:spacing w:line="3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pPr>
        <w:pStyle w:val="10"/>
        <w:spacing w:line="400" w:lineRule="exact"/>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pPr>
        <w:pStyle w:val="10"/>
        <w:spacing w:line="400" w:lineRule="exact"/>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1.说明：应对照谈判文件“第</w:t>
      </w:r>
      <w:r>
        <w:rPr>
          <w:rFonts w:hint="eastAsia" w:ascii="宋体" w:hAnsi="宋体" w:eastAsia="宋体" w:cs="仿宋_GB2312"/>
          <w:color w:val="auto"/>
          <w:sz w:val="24"/>
          <w:szCs w:val="24"/>
          <w:highlight w:val="none"/>
          <w:lang w:eastAsia="zh-CN"/>
        </w:rPr>
        <w:t>二</w:t>
      </w:r>
      <w:r>
        <w:rPr>
          <w:rFonts w:hint="eastAsia" w:ascii="宋体" w:hAnsi="宋体" w:eastAsia="宋体" w:cs="仿宋_GB2312"/>
          <w:color w:val="auto"/>
          <w:sz w:val="24"/>
          <w:szCs w:val="24"/>
          <w:highlight w:val="none"/>
        </w:rPr>
        <w:t>章 采购需求”中的</w:t>
      </w:r>
      <w:r>
        <w:rPr>
          <w:rFonts w:hint="eastAsia" w:ascii="宋体" w:hAnsi="宋体" w:eastAsia="宋体" w:cs="仿宋_GB2312"/>
          <w:color w:val="auto"/>
          <w:sz w:val="24"/>
          <w:szCs w:val="24"/>
          <w:highlight w:val="none"/>
          <w:lang w:eastAsia="zh-CN"/>
        </w:rPr>
        <w:t>商务条款</w:t>
      </w:r>
      <w:r>
        <w:rPr>
          <w:rFonts w:hint="eastAsia" w:ascii="宋体" w:hAnsi="宋体" w:eastAsia="宋体" w:cs="仿宋_GB2312"/>
          <w:color w:val="auto"/>
          <w:sz w:val="24"/>
          <w:szCs w:val="24"/>
          <w:highlight w:val="none"/>
        </w:rPr>
        <w:t>逐条作出明确响应，并作出偏离说明。</w:t>
      </w:r>
    </w:p>
    <w:p>
      <w:pPr>
        <w:pStyle w:val="10"/>
        <w:spacing w:line="400" w:lineRule="exact"/>
        <w:ind w:firstLine="0" w:firstLineChars="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2.供应商应根据自身的承诺，对照谈判文件要求，在“偏离说明”中注明“正偏离”、“负偏离”或者“无偏离”。既不属于“正偏离”也不属于“负偏离”即为“无偏离”。</w:t>
      </w:r>
      <w:r>
        <w:rPr>
          <w:rFonts w:hint="eastAsia" w:ascii="宋体" w:hAnsi="宋体" w:cs="仿宋_GB2312"/>
          <w:color w:val="auto"/>
          <w:sz w:val="24"/>
          <w:szCs w:val="24"/>
          <w:highlight w:val="none"/>
        </w:rPr>
        <w:t xml:space="preserve"> 当响应文件的</w:t>
      </w:r>
      <w:r>
        <w:rPr>
          <w:rFonts w:hint="eastAsia" w:ascii="宋体" w:hAnsi="宋体" w:eastAsia="宋体" w:cs="仿宋_GB2312"/>
          <w:color w:val="auto"/>
          <w:sz w:val="24"/>
          <w:szCs w:val="24"/>
          <w:highlight w:val="none"/>
        </w:rPr>
        <w:t>商务内容低于竞争性谈判采购文件要求时，竞标人应当如实写明“负偏离”，否则视为虚假应标</w:t>
      </w:r>
    </w:p>
    <w:p>
      <w:pPr>
        <w:spacing w:line="400" w:lineRule="exact"/>
        <w:rPr>
          <w:rFonts w:ascii="宋体" w:hAnsi="宋体" w:cs="仿宋_GB2312"/>
          <w:color w:val="auto"/>
          <w:kern w:val="0"/>
          <w:sz w:val="24"/>
          <w:highlight w:val="none"/>
        </w:rPr>
      </w:pPr>
      <w:r>
        <w:rPr>
          <w:rFonts w:hint="eastAsia" w:ascii="宋体" w:hAnsi="宋体" w:cs="仿宋_GB2312"/>
          <w:color w:val="auto"/>
          <w:kern w:val="0"/>
          <w:sz w:val="24"/>
          <w:highlight w:val="none"/>
        </w:rPr>
        <w:t>3</w:t>
      </w:r>
      <w:r>
        <w:rPr>
          <w:rFonts w:ascii="宋体" w:hAnsi="宋体" w:cs="仿宋_GB2312"/>
          <w:color w:val="auto"/>
          <w:kern w:val="0"/>
          <w:sz w:val="24"/>
          <w:highlight w:val="none"/>
        </w:rPr>
        <w:t>.</w:t>
      </w:r>
      <w:r>
        <w:rPr>
          <w:rFonts w:hint="eastAsia" w:ascii="宋体" w:hAnsi="宋体" w:cs="仿宋_GB2312"/>
          <w:color w:val="auto"/>
          <w:kern w:val="0"/>
          <w:sz w:val="24"/>
          <w:highlight w:val="none"/>
        </w:rPr>
        <w:t>表格内容均需按要求填写并盖章，不得留空，否则按竞标无效处理。</w:t>
      </w:r>
    </w:p>
    <w:p>
      <w:pPr>
        <w:pStyle w:val="13"/>
        <w:spacing w:line="400" w:lineRule="exact"/>
        <w:contextualSpacing/>
        <w:rPr>
          <w:rFonts w:hAnsi="宋体" w:cs="仿宋_GB2312"/>
          <w:color w:val="auto"/>
          <w:sz w:val="24"/>
          <w:szCs w:val="24"/>
          <w:highlight w:val="none"/>
        </w:rPr>
      </w:pPr>
      <w:r>
        <w:rPr>
          <w:rFonts w:hint="eastAsia" w:hAnsi="宋体" w:cs="仿宋_GB2312"/>
          <w:color w:val="auto"/>
          <w:sz w:val="24"/>
          <w:szCs w:val="24"/>
          <w:highlight w:val="none"/>
          <w:lang w:eastAsia="zh-CN"/>
        </w:rPr>
        <w:t>4</w:t>
      </w:r>
      <w:r>
        <w:rPr>
          <w:rFonts w:hAnsi="宋体" w:cs="仿宋_GB2312"/>
          <w:color w:val="auto"/>
          <w:sz w:val="24"/>
          <w:szCs w:val="24"/>
          <w:highlight w:val="none"/>
          <w:lang w:eastAsia="zh-CN"/>
        </w:rPr>
        <w:t>.</w:t>
      </w:r>
      <w:r>
        <w:rPr>
          <w:rFonts w:hint="eastAsia" w:hAnsi="宋体" w:cs="仿宋_GB2312"/>
          <w:color w:val="auto"/>
          <w:sz w:val="24"/>
          <w:szCs w:val="24"/>
          <w:highlight w:val="none"/>
        </w:rPr>
        <w:t>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pPr>
        <w:spacing w:line="360" w:lineRule="auto"/>
        <w:ind w:right="-817" w:rightChars="-389"/>
        <w:contextualSpacing/>
        <w:rPr>
          <w:rFonts w:hint="eastAsia" w:ascii="宋体" w:hAnsi="宋体" w:cs="仿宋_GB2312"/>
          <w:color w:val="auto"/>
          <w:sz w:val="24"/>
          <w:highlight w:val="none"/>
        </w:rPr>
      </w:pPr>
    </w:p>
    <w:p>
      <w:pPr>
        <w:spacing w:line="360" w:lineRule="auto"/>
        <w:ind w:firstLine="3840" w:firstLineChars="1600"/>
        <w:rPr>
          <w:rFonts w:ascii="宋体" w:hAnsi="宋体" w:cs="仿宋_GB2312"/>
          <w:color w:val="auto"/>
          <w:sz w:val="24"/>
          <w:highlight w:val="none"/>
        </w:rPr>
      </w:pPr>
      <w:r>
        <w:rPr>
          <w:rFonts w:hint="eastAsia" w:ascii="仿宋_GB2312" w:hAnsi="仿宋" w:eastAsia="仿宋_GB2312" w:cs="仿宋_GB2312"/>
          <w:color w:val="auto"/>
          <w:kern w:val="0"/>
          <w:sz w:val="24"/>
          <w:highlight w:val="none"/>
        </w:rPr>
        <w:t>供应商名称（电子签章）：</w:t>
      </w:r>
    </w:p>
    <w:p>
      <w:pPr>
        <w:spacing w:line="360" w:lineRule="auto"/>
        <w:contextualSpacing/>
        <w:jc w:val="center"/>
        <w:rPr>
          <w:rFonts w:hint="eastAsia" w:ascii="宋体" w:hAnsi="宋体" w:cs="仿宋_GB2312"/>
          <w:b/>
          <w:color w:val="auto"/>
          <w:sz w:val="24"/>
          <w:highlight w:val="none"/>
        </w:rPr>
      </w:pPr>
      <w:r>
        <w:rPr>
          <w:rFonts w:hint="eastAsia" w:ascii="仿宋_GB2312" w:hAnsi="仿宋" w:eastAsia="仿宋_GB2312" w:cs="仿宋_GB2312"/>
          <w:color w:val="auto"/>
          <w:kern w:val="0"/>
          <w:sz w:val="24"/>
          <w:highlight w:val="none"/>
          <w:lang w:val="zh-CN"/>
        </w:rPr>
        <w:t xml:space="preserve">                                                   日期：  年  月   日</w:t>
      </w:r>
    </w:p>
    <w:p>
      <w:pPr>
        <w:snapToGrid w:val="0"/>
        <w:spacing w:line="360" w:lineRule="auto"/>
        <w:ind w:firstLine="602" w:firstLineChars="200"/>
        <w:rPr>
          <w:rFonts w:hint="eastAsia" w:ascii="仿宋" w:hAnsi="仿宋" w:eastAsia="仿宋" w:cs="仿宋_GB2312"/>
          <w:b/>
          <w:color w:val="auto"/>
          <w:sz w:val="30"/>
          <w:szCs w:val="30"/>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五、竞标人情况介绍</w:t>
      </w:r>
    </w:p>
    <w:p>
      <w:pPr>
        <w:snapToGrid w:val="0"/>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napToGrid w:val="0"/>
        <w:spacing w:before="120" w:beforeLines="50" w:after="50"/>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六、供应商类似的业绩证明文件</w:t>
      </w:r>
    </w:p>
    <w:p>
      <w:pPr>
        <w:pStyle w:val="17"/>
        <w:snapToGrid w:val="0"/>
        <w:rPr>
          <w:rFonts w:hint="eastAsia" w:ascii="宋体" w:hAnsi="宋体"/>
          <w:color w:val="auto"/>
          <w:sz w:val="24"/>
          <w:highlight w:val="none"/>
        </w:rPr>
      </w:pPr>
    </w:p>
    <w:tbl>
      <w:tblPr>
        <w:tblStyle w:val="20"/>
        <w:tblpPr w:leftFromText="180" w:rightFromText="180" w:vertAnchor="page" w:horzAnchor="margin" w:tblpXSpec="center" w:tblpY="4783"/>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4"/>
        <w:gridCol w:w="1843"/>
        <w:gridCol w:w="1134"/>
        <w:gridCol w:w="1134"/>
        <w:gridCol w:w="1701"/>
        <w:gridCol w:w="1276"/>
        <w:gridCol w:w="18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4"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843"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4"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highlight w:val="none"/>
              </w:rPr>
            </w:pPr>
          </w:p>
        </w:tc>
        <w:tc>
          <w:tcPr>
            <w:tcW w:w="1843"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line="240" w:lineRule="exact"/>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hint="eastAsia" w:ascii="宋体" w:hAnsi="宋体"/>
                <w:color w:val="auto"/>
                <w:sz w:val="24"/>
                <w:highlight w:val="none"/>
              </w:rPr>
            </w:pPr>
          </w:p>
        </w:tc>
      </w:tr>
    </w:tbl>
    <w:p>
      <w:pPr>
        <w:pStyle w:val="17"/>
        <w:snapToGrid w:val="0"/>
        <w:ind w:left="0" w:leftChars="0" w:firstLine="0" w:firstLineChars="0"/>
        <w:rPr>
          <w:rFonts w:hint="eastAsia" w:ascii="宋体" w:hAnsi="宋体"/>
          <w:color w:val="auto"/>
          <w:sz w:val="24"/>
          <w:highlight w:val="none"/>
        </w:rPr>
      </w:pPr>
    </w:p>
    <w:p>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:相关项目业绩一览表（供应商同类项目合同</w:t>
      </w:r>
      <w:r>
        <w:rPr>
          <w:rFonts w:hint="eastAsia" w:ascii="仿宋_GB2312" w:hAnsi="仿宋" w:eastAsia="仿宋_GB2312" w:cs="仿宋_GB2312"/>
          <w:b/>
          <w:color w:val="auto"/>
          <w:sz w:val="24"/>
          <w:highlight w:val="none"/>
          <w:lang w:val="en-US" w:eastAsia="zh-CN"/>
        </w:rPr>
        <w:t>扫描件</w:t>
      </w:r>
      <w:r>
        <w:rPr>
          <w:rFonts w:hint="eastAsia" w:ascii="仿宋_GB2312" w:hAnsi="仿宋" w:eastAsia="仿宋_GB2312" w:cs="仿宋_GB2312"/>
          <w:b/>
          <w:color w:val="auto"/>
          <w:sz w:val="24"/>
          <w:highlight w:val="none"/>
        </w:rPr>
        <w:t>、用户验收报告、用户评价意见格式自拟）</w:t>
      </w:r>
    </w:p>
    <w:p>
      <w:pPr>
        <w:pStyle w:val="13"/>
        <w:spacing w:line="360" w:lineRule="auto"/>
        <w:ind w:left="72"/>
        <w:rPr>
          <w:rFonts w:hint="eastAsia" w:ascii="Times New Roman" w:hAnsi="Times New Roman"/>
          <w:color w:val="auto"/>
          <w:highlight w:val="none"/>
        </w:rPr>
      </w:pPr>
      <w:r>
        <w:rPr>
          <w:rFonts w:hint="eastAsia" w:ascii="Times New Roman" w:hAnsi="Times New Roman"/>
          <w:color w:val="auto"/>
          <w:highlight w:val="none"/>
        </w:rPr>
        <w:t>注：</w:t>
      </w:r>
      <w:r>
        <w:rPr>
          <w:rFonts w:hint="eastAsia" w:ascii="Times New Roman" w:hAnsi="Times New Roman"/>
          <w:color w:val="auto"/>
          <w:highlight w:val="none"/>
          <w:lang w:eastAsia="zh-CN"/>
        </w:rPr>
        <w:t>供应商</w:t>
      </w:r>
      <w:r>
        <w:rPr>
          <w:rFonts w:hint="eastAsia" w:ascii="Times New Roman" w:hAnsi="Times New Roman"/>
          <w:color w:val="auto"/>
          <w:highlight w:val="none"/>
        </w:rPr>
        <w:t>可按上述的格式自行编制，须随表提交相应的合同复印件和用户单位验收证明并注明所在供应商商务技术文件页码。</w:t>
      </w:r>
    </w:p>
    <w:p>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pPr>
        <w:snapToGrid w:val="0"/>
        <w:spacing w:line="360" w:lineRule="auto"/>
        <w:ind w:firstLine="4935" w:firstLineChars="2350"/>
        <w:rPr>
          <w:rFonts w:hint="eastAsia" w:hAnsi="宋体"/>
          <w:color w:val="auto"/>
          <w:szCs w:val="21"/>
          <w:highlight w:val="none"/>
        </w:rPr>
      </w:pPr>
    </w:p>
    <w:p>
      <w:pPr>
        <w:snapToGrid w:val="0"/>
        <w:spacing w:line="360" w:lineRule="auto"/>
        <w:ind w:left="4410" w:leftChars="2100" w:firstLine="5670" w:firstLineChars="270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供应商名称(电子签章)：</w:t>
      </w:r>
    </w:p>
    <w:p>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cols w:space="720" w:num="1"/>
        </w:sect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七、货物需求偏离表</w:t>
      </w:r>
    </w:p>
    <w:p>
      <w:pPr>
        <w:spacing w:line="500" w:lineRule="exact"/>
        <w:jc w:val="center"/>
        <w:rPr>
          <w:rFonts w:hint="eastAsia" w:ascii="仿宋_GB2312" w:hAnsi="仿宋_GB2312" w:eastAsia="仿宋_GB2312" w:cs="仿宋_GB2312"/>
          <w:color w:val="auto"/>
          <w:sz w:val="32"/>
          <w:szCs w:val="32"/>
          <w:highlight w:val="none"/>
        </w:rPr>
      </w:pPr>
    </w:p>
    <w:p>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货物需求偏离表</w:t>
      </w:r>
    </w:p>
    <w:p>
      <w:pPr>
        <w:spacing w:line="50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(注：按采购需求具体条款修改)</w:t>
      </w:r>
    </w:p>
    <w:p>
      <w:pPr>
        <w:spacing w:line="360" w:lineRule="auto"/>
        <w:contextualSpacing/>
        <w:jc w:val="left"/>
        <w:rPr>
          <w:rFonts w:hint="eastAsia" w:ascii="宋体" w:hAnsi="宋体"/>
          <w:color w:val="auto"/>
          <w:sz w:val="24"/>
          <w:highlight w:val="none"/>
        </w:rPr>
      </w:pPr>
    </w:p>
    <w:p>
      <w:pPr>
        <w:pStyle w:val="13"/>
        <w:spacing w:line="360" w:lineRule="auto"/>
        <w:contextualSpacing/>
        <w:rPr>
          <w:rFonts w:hint="eastAsia" w:hAnsi="宋体" w:cs="仿宋_GB2312"/>
          <w:color w:val="auto"/>
          <w:sz w:val="24"/>
          <w:szCs w:val="24"/>
          <w:highlight w:val="none"/>
        </w:rPr>
      </w:pPr>
      <w:r>
        <w:rPr>
          <w:rFonts w:hint="eastAsia" w:hAnsi="宋体" w:cs="仿宋_GB2312"/>
          <w:color w:val="auto"/>
          <w:sz w:val="24"/>
          <w:szCs w:val="24"/>
          <w:highlight w:val="none"/>
        </w:rPr>
        <w:t>所竞分标：</w:t>
      </w:r>
      <w:r>
        <w:rPr>
          <w:rFonts w:hint="eastAsia" w:hAnsi="宋体" w:cs="仿宋_GB2312"/>
          <w:color w:val="auto"/>
          <w:sz w:val="24"/>
          <w:szCs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142"/>
        <w:gridCol w:w="736"/>
        <w:gridCol w:w="1576"/>
        <w:gridCol w:w="1140"/>
        <w:gridCol w:w="658"/>
        <w:gridCol w:w="1146"/>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3"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项号</w:t>
            </w:r>
          </w:p>
        </w:tc>
        <w:tc>
          <w:tcPr>
            <w:tcW w:w="345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竞争性谈判采购文件需求</w:t>
            </w:r>
          </w:p>
        </w:tc>
        <w:tc>
          <w:tcPr>
            <w:tcW w:w="294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响应文件承诺</w:t>
            </w:r>
          </w:p>
        </w:tc>
        <w:tc>
          <w:tcPr>
            <w:tcW w:w="1095" w:type="dxa"/>
            <w:vMerge w:val="restart"/>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货物名称</w:t>
            </w:r>
          </w:p>
        </w:tc>
        <w:tc>
          <w:tcPr>
            <w:tcW w:w="73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数量</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货物参数要求</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货物名称</w:t>
            </w:r>
          </w:p>
        </w:tc>
        <w:tc>
          <w:tcPr>
            <w:tcW w:w="6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数量</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货物参数</w:t>
            </w:r>
          </w:p>
        </w:tc>
        <w:tc>
          <w:tcPr>
            <w:tcW w:w="10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  ……</w:t>
            </w:r>
          </w:p>
          <w:p>
            <w:pPr>
              <w:rPr>
                <w:rFonts w:ascii="宋体" w:hAnsi="宋体"/>
                <w:color w:val="auto"/>
                <w:szCs w:val="21"/>
                <w:highlight w:val="none"/>
              </w:rPr>
            </w:pPr>
            <w:r>
              <w:rPr>
                <w:rFonts w:hint="eastAsia" w:ascii="宋体" w:hAnsi="宋体"/>
                <w:color w:val="auto"/>
                <w:szCs w:val="21"/>
                <w:highlight w:val="none"/>
              </w:rPr>
              <w:t>2  ……</w:t>
            </w:r>
          </w:p>
          <w:p>
            <w:pPr>
              <w:rPr>
                <w:rFonts w:ascii="宋体" w:hAnsi="宋体"/>
                <w:color w:val="auto"/>
                <w:szCs w:val="21"/>
                <w:highlight w:val="none"/>
              </w:rPr>
            </w:pPr>
            <w:r>
              <w:rPr>
                <w:rFonts w:hint="eastAsia" w:ascii="宋体" w:hAnsi="宋体"/>
                <w:color w:val="auto"/>
                <w:szCs w:val="21"/>
                <w:highlight w:val="none"/>
              </w:rPr>
              <w:t>3  ……</w:t>
            </w:r>
          </w:p>
          <w:p>
            <w:pPr>
              <w:rPr>
                <w:rFonts w:ascii="宋体" w:hAnsi="宋体"/>
                <w:color w:val="auto"/>
                <w:szCs w:val="21"/>
                <w:highlight w:val="none"/>
              </w:rPr>
            </w:pPr>
            <w:r>
              <w:rPr>
                <w:rFonts w:hint="eastAsia" w:ascii="宋体" w:hAnsi="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  ……</w:t>
            </w:r>
          </w:p>
          <w:p>
            <w:pPr>
              <w:rPr>
                <w:rFonts w:ascii="宋体" w:hAnsi="宋体"/>
                <w:color w:val="auto"/>
                <w:szCs w:val="21"/>
                <w:highlight w:val="none"/>
              </w:rPr>
            </w:pPr>
            <w:r>
              <w:rPr>
                <w:rFonts w:hint="eastAsia" w:ascii="宋体" w:hAnsi="宋体"/>
                <w:color w:val="auto"/>
                <w:szCs w:val="21"/>
                <w:highlight w:val="none"/>
              </w:rPr>
              <w:t>2  ……</w:t>
            </w:r>
          </w:p>
          <w:p>
            <w:pPr>
              <w:rPr>
                <w:rFonts w:ascii="宋体" w:hAnsi="宋体"/>
                <w:color w:val="auto"/>
                <w:szCs w:val="21"/>
                <w:highlight w:val="none"/>
              </w:rPr>
            </w:pPr>
            <w:r>
              <w:rPr>
                <w:rFonts w:hint="eastAsia" w:ascii="宋体" w:hAnsi="宋体"/>
                <w:color w:val="auto"/>
                <w:szCs w:val="21"/>
                <w:highlight w:val="none"/>
              </w:rPr>
              <w:t>3  ……</w:t>
            </w:r>
          </w:p>
          <w:p>
            <w:pPr>
              <w:rPr>
                <w:rFonts w:ascii="宋体" w:hAnsi="宋体"/>
                <w:color w:val="auto"/>
                <w:szCs w:val="21"/>
                <w:highlight w:val="none"/>
              </w:rPr>
            </w:pPr>
            <w:r>
              <w:rPr>
                <w:rFonts w:hint="eastAsia" w:ascii="宋体" w:hAnsi="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2</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  ……</w:t>
            </w:r>
          </w:p>
          <w:p>
            <w:pPr>
              <w:rPr>
                <w:rFonts w:ascii="宋体" w:hAnsi="宋体"/>
                <w:color w:val="auto"/>
                <w:szCs w:val="21"/>
                <w:highlight w:val="none"/>
              </w:rPr>
            </w:pPr>
            <w:r>
              <w:rPr>
                <w:rFonts w:hint="eastAsia" w:ascii="宋体" w:hAnsi="宋体"/>
                <w:color w:val="auto"/>
                <w:szCs w:val="21"/>
                <w:highlight w:val="none"/>
              </w:rPr>
              <w:t>2  ……</w:t>
            </w:r>
          </w:p>
          <w:p>
            <w:pPr>
              <w:rPr>
                <w:rFonts w:ascii="宋体" w:hAnsi="宋体"/>
                <w:color w:val="auto"/>
                <w:szCs w:val="21"/>
                <w:highlight w:val="none"/>
              </w:rPr>
            </w:pPr>
            <w:r>
              <w:rPr>
                <w:rFonts w:hint="eastAsia" w:ascii="宋体" w:hAnsi="宋体"/>
                <w:color w:val="auto"/>
                <w:szCs w:val="21"/>
                <w:highlight w:val="none"/>
              </w:rPr>
              <w:t>3  ……</w:t>
            </w:r>
          </w:p>
          <w:p>
            <w:pPr>
              <w:rPr>
                <w:rFonts w:ascii="宋体" w:hAnsi="宋体"/>
                <w:color w:val="auto"/>
                <w:szCs w:val="21"/>
                <w:highlight w:val="none"/>
              </w:rPr>
            </w:pPr>
            <w:r>
              <w:rPr>
                <w:rFonts w:hint="eastAsia" w:ascii="宋体" w:hAnsi="宋体"/>
                <w:color w:val="auto"/>
                <w:szCs w:val="21"/>
                <w:highlight w:val="none"/>
              </w:rPr>
              <w:t>……</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1  ……</w:t>
            </w:r>
          </w:p>
          <w:p>
            <w:pPr>
              <w:rPr>
                <w:rFonts w:ascii="宋体" w:hAnsi="宋体"/>
                <w:color w:val="auto"/>
                <w:szCs w:val="21"/>
                <w:highlight w:val="none"/>
              </w:rPr>
            </w:pPr>
            <w:r>
              <w:rPr>
                <w:rFonts w:hint="eastAsia" w:ascii="宋体" w:hAnsi="宋体"/>
                <w:color w:val="auto"/>
                <w:szCs w:val="21"/>
                <w:highlight w:val="none"/>
              </w:rPr>
              <w:t>2  ……</w:t>
            </w:r>
          </w:p>
          <w:p>
            <w:pPr>
              <w:rPr>
                <w:rFonts w:ascii="宋体" w:hAnsi="宋体"/>
                <w:color w:val="auto"/>
                <w:szCs w:val="21"/>
                <w:highlight w:val="none"/>
              </w:rPr>
            </w:pPr>
            <w:r>
              <w:rPr>
                <w:rFonts w:hint="eastAsia" w:ascii="宋体" w:hAnsi="宋体"/>
                <w:color w:val="auto"/>
                <w:szCs w:val="21"/>
                <w:highlight w:val="none"/>
              </w:rPr>
              <w:t>3  ……</w:t>
            </w:r>
          </w:p>
          <w:p>
            <w:pPr>
              <w:rPr>
                <w:rFonts w:ascii="宋体" w:hAnsi="宋体"/>
                <w:color w:val="auto"/>
                <w:szCs w:val="21"/>
                <w:highlight w:val="none"/>
              </w:rPr>
            </w:pPr>
            <w:r>
              <w:rPr>
                <w:rFonts w:hint="eastAsia" w:ascii="宋体" w:hAnsi="宋体"/>
                <w:color w:val="auto"/>
                <w:szCs w:val="21"/>
                <w:highlight w:val="none"/>
              </w:rPr>
              <w:t>……</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r>
              <w:rPr>
                <w:rFonts w:hint="eastAsia" w:ascii="宋体" w:hAnsi="宋体"/>
                <w:color w:val="auto"/>
                <w:szCs w:val="21"/>
                <w:highlight w:val="none"/>
              </w:rPr>
              <w:t>...</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57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1"/>
                <w:highlight w:val="none"/>
              </w:rPr>
            </w:pPr>
          </w:p>
        </w:tc>
      </w:tr>
    </w:tbl>
    <w:p>
      <w:pPr>
        <w:pStyle w:val="9"/>
        <w:spacing w:after="0" w:line="360" w:lineRule="auto"/>
        <w:contextualSpacing/>
        <w:rPr>
          <w:rFonts w:hint="eastAsia" w:ascii="宋体" w:hAnsi="宋体"/>
          <w:color w:val="auto"/>
          <w:kern w:val="0"/>
          <w:sz w:val="21"/>
          <w:szCs w:val="21"/>
          <w:highlight w:val="none"/>
        </w:rPr>
      </w:pPr>
      <w:r>
        <w:rPr>
          <w:rFonts w:hint="eastAsia" w:ascii="宋体" w:hAnsi="宋体"/>
          <w:color w:val="auto"/>
          <w:kern w:val="0"/>
          <w:sz w:val="21"/>
          <w:szCs w:val="21"/>
          <w:highlight w:val="none"/>
        </w:rPr>
        <w:t>注：</w:t>
      </w:r>
    </w:p>
    <w:p>
      <w:pPr>
        <w:pStyle w:val="9"/>
        <w:spacing w:after="0" w:line="360" w:lineRule="auto"/>
        <w:contextualSpacing/>
        <w:rPr>
          <w:rFonts w:hint="eastAsia" w:ascii="宋体" w:hAnsi="宋体" w:cs="仿宋_GB2312"/>
          <w:color w:val="auto"/>
          <w:kern w:val="0"/>
          <w:sz w:val="21"/>
          <w:szCs w:val="21"/>
          <w:highlight w:val="none"/>
        </w:rPr>
      </w:pPr>
      <w:r>
        <w:rPr>
          <w:rFonts w:hint="eastAsia" w:ascii="宋体" w:hAnsi="宋体" w:cs="仿宋_GB2312"/>
          <w:color w:val="auto"/>
          <w:kern w:val="0"/>
          <w:sz w:val="21"/>
          <w:szCs w:val="21"/>
          <w:highlight w:val="none"/>
        </w:rPr>
        <w:t>1.说明：应对照谈判文件“第</w:t>
      </w:r>
      <w:r>
        <w:rPr>
          <w:rFonts w:hint="eastAsia" w:ascii="宋体" w:hAnsi="宋体" w:cs="仿宋_GB2312"/>
          <w:color w:val="auto"/>
          <w:kern w:val="0"/>
          <w:sz w:val="21"/>
          <w:szCs w:val="21"/>
          <w:highlight w:val="none"/>
          <w:lang w:eastAsia="zh-CN"/>
        </w:rPr>
        <w:t>二</w:t>
      </w:r>
      <w:r>
        <w:rPr>
          <w:rFonts w:hint="eastAsia" w:ascii="宋体" w:hAnsi="宋体" w:cs="仿宋_GB2312"/>
          <w:color w:val="auto"/>
          <w:kern w:val="0"/>
          <w:sz w:val="21"/>
          <w:szCs w:val="21"/>
          <w:highlight w:val="none"/>
        </w:rPr>
        <w:t>章”中</w:t>
      </w:r>
      <w:r>
        <w:rPr>
          <w:rFonts w:hint="eastAsia" w:ascii="宋体" w:hAnsi="宋体" w:cs="仿宋_GB2312"/>
          <w:color w:val="auto"/>
          <w:kern w:val="0"/>
          <w:sz w:val="21"/>
          <w:szCs w:val="21"/>
          <w:highlight w:val="none"/>
          <w:lang w:eastAsia="zh-CN"/>
        </w:rPr>
        <w:t>“货物需求一览表”</w:t>
      </w:r>
      <w:r>
        <w:rPr>
          <w:rFonts w:hint="eastAsia" w:ascii="宋体" w:hAnsi="宋体" w:cs="仿宋_GB2312"/>
          <w:color w:val="auto"/>
          <w:kern w:val="0"/>
          <w:sz w:val="21"/>
          <w:szCs w:val="21"/>
          <w:highlight w:val="none"/>
        </w:rPr>
        <w:t>的采购清单及技术参数条款逐条作出明确响应，并作出偏离说明。</w:t>
      </w:r>
    </w:p>
    <w:p>
      <w:pPr>
        <w:pStyle w:val="10"/>
        <w:spacing w:line="400" w:lineRule="exact"/>
        <w:ind w:firstLine="0" w:firstLineChars="0"/>
        <w:contextualSpacing/>
        <w:rPr>
          <w:rFonts w:hint="eastAsia" w:ascii="宋体" w:hAnsi="宋体" w:eastAsia="宋体" w:cs="仿宋_GB2312"/>
          <w:color w:val="auto"/>
          <w:sz w:val="21"/>
          <w:szCs w:val="21"/>
          <w:highlight w:val="none"/>
        </w:rPr>
      </w:pPr>
      <w:r>
        <w:rPr>
          <w:rFonts w:hint="eastAsia" w:ascii="宋体" w:hAnsi="宋体" w:eastAsia="宋体" w:cs="仿宋_GB2312"/>
          <w:color w:val="auto"/>
          <w:sz w:val="21"/>
          <w:szCs w:val="21"/>
          <w:highlight w:val="none"/>
        </w:rPr>
        <w:t>2.供应商应根据自身的承诺，对照谈判文件要求，在“偏离说明”中注明“正偏离”、“负偏离”或者“无偏离”。既不属于“正偏离”也不属于“负偏离”即为“无偏离”。 当响应文件的商务内容低于竞争性谈判采购文件要求时，竞标人应当如实写明“负偏离”，否则视为虚假应标</w:t>
      </w:r>
    </w:p>
    <w:p>
      <w:pPr>
        <w:spacing w:line="40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3</w:t>
      </w:r>
      <w:r>
        <w:rPr>
          <w:rFonts w:ascii="宋体" w:hAnsi="宋体" w:cs="仿宋_GB2312"/>
          <w:color w:val="auto"/>
          <w:kern w:val="0"/>
          <w:szCs w:val="21"/>
          <w:highlight w:val="none"/>
        </w:rPr>
        <w:t>.</w:t>
      </w:r>
      <w:r>
        <w:rPr>
          <w:rFonts w:hint="eastAsia" w:ascii="宋体" w:hAnsi="宋体" w:cs="仿宋_GB2312"/>
          <w:color w:val="auto"/>
          <w:kern w:val="0"/>
          <w:szCs w:val="21"/>
          <w:highlight w:val="none"/>
        </w:rPr>
        <w:t>表格内容均需按要求填写并盖章，不得留空，否则按竞标无效处理。</w:t>
      </w:r>
    </w:p>
    <w:p>
      <w:pPr>
        <w:pStyle w:val="10"/>
        <w:spacing w:line="360" w:lineRule="auto"/>
        <w:ind w:firstLine="0" w:firstLineChars="0"/>
        <w:contextualSpacing/>
        <w:rPr>
          <w:rFonts w:hint="eastAsia" w:ascii="宋体" w:hAnsi="宋体" w:cs="仿宋_GB2312"/>
          <w:color w:val="auto"/>
          <w:sz w:val="24"/>
          <w:highlight w:val="none"/>
        </w:rPr>
      </w:pPr>
      <w:r>
        <w:rPr>
          <w:rFonts w:hint="eastAsia" w:ascii="宋体" w:hAnsi="宋体" w:eastAsia="宋体" w:cs="仿宋_GB2312"/>
          <w:color w:val="auto"/>
          <w:sz w:val="21"/>
          <w:szCs w:val="21"/>
          <w:highlight w:val="none"/>
          <w:lang w:val="en-US" w:eastAsia="zh-CN"/>
        </w:rPr>
        <w:t>4</w:t>
      </w:r>
      <w:r>
        <w:rPr>
          <w:rFonts w:ascii="宋体" w:hAnsi="宋体" w:eastAsia="宋体" w:cs="仿宋_GB2312"/>
          <w:color w:val="auto"/>
          <w:sz w:val="21"/>
          <w:szCs w:val="21"/>
          <w:highlight w:val="none"/>
        </w:rPr>
        <w:t>.</w:t>
      </w:r>
      <w:r>
        <w:rPr>
          <w:rFonts w:hint="eastAsia" w:ascii="宋体" w:hAnsi="宋体" w:eastAsia="宋体" w:cs="仿宋_GB2312"/>
          <w:color w:val="auto"/>
          <w:sz w:val="21"/>
          <w:szCs w:val="21"/>
          <w:highlight w:val="none"/>
        </w:rPr>
        <w:t xml:space="preserve"> 如技术偏离表中的竞标响应与佐证材料不一致的，以佐证材料为准。</w:t>
      </w:r>
    </w:p>
    <w:p>
      <w:pPr>
        <w:snapToGrid w:val="0"/>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pacing w:line="500" w:lineRule="exact"/>
        <w:jc w:val="center"/>
        <w:rPr>
          <w:rFonts w:ascii="仿宋_GB2312" w:hAnsi="仿宋_GB2312" w:eastAsia="仿宋_GB2312" w:cs="仿宋_GB2312"/>
          <w:color w:val="auto"/>
          <w:sz w:val="32"/>
          <w:szCs w:val="32"/>
          <w:highlight w:val="none"/>
        </w:rPr>
        <w:sectPr>
          <w:pgSz w:w="11910" w:h="16840"/>
          <w:pgMar w:top="1340" w:right="1500" w:bottom="280" w:left="1680" w:header="720" w:footer="720" w:gutter="0"/>
          <w:cols w:space="720" w:num="1"/>
        </w:sectPr>
      </w:pPr>
    </w:p>
    <w:p>
      <w:pPr>
        <w:snapToGrid w:val="0"/>
        <w:spacing w:line="360" w:lineRule="auto"/>
        <w:ind w:firstLine="602" w:firstLineChars="200"/>
        <w:rPr>
          <w:rFonts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八、配置清单</w:t>
      </w:r>
    </w:p>
    <w:p>
      <w:pPr>
        <w:spacing w:line="500" w:lineRule="exact"/>
        <w:jc w:val="center"/>
        <w:rPr>
          <w:rFonts w:ascii="仿宋_GB2312" w:hAnsi="仿宋_GB2312" w:eastAsia="仿宋_GB2312" w:cs="仿宋_GB2312"/>
          <w:color w:val="auto"/>
          <w:sz w:val="32"/>
          <w:szCs w:val="32"/>
          <w:highlight w:val="none"/>
        </w:rPr>
      </w:pPr>
    </w:p>
    <w:p>
      <w:pPr>
        <w:adjustRightInd w:val="0"/>
        <w:snapToGrid w:val="0"/>
        <w:spacing w:line="520" w:lineRule="exact"/>
        <w:jc w:val="center"/>
        <w:rPr>
          <w:rFonts w:hint="eastAsia" w:ascii="宋体" w:hAns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货物配置清单</w:t>
      </w:r>
    </w:p>
    <w:p>
      <w:pPr>
        <w:spacing w:line="300" w:lineRule="auto"/>
        <w:rPr>
          <w:rFonts w:hint="eastAsia" w:ascii="宋体" w:hAnsi="宋体"/>
          <w:color w:val="auto"/>
          <w:szCs w:val="21"/>
          <w:highlight w:val="none"/>
        </w:rPr>
      </w:pPr>
    </w:p>
    <w:p>
      <w:pPr>
        <w:spacing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所竞分标：</w:t>
      </w:r>
      <w:r>
        <w:rPr>
          <w:rFonts w:hint="eastAsia" w:ascii="宋体" w:hAnsi="宋体" w:cs="仿宋_GB2312"/>
          <w:color w:val="auto"/>
          <w:sz w:val="24"/>
          <w:highlight w:val="none"/>
          <w:u w:val="single"/>
        </w:rPr>
        <w:t xml:space="preserve">                 </w:t>
      </w:r>
    </w:p>
    <w:tbl>
      <w:tblPr>
        <w:tblStyle w:val="2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9"/>
        <w:gridCol w:w="1245"/>
        <w:gridCol w:w="803"/>
        <w:gridCol w:w="895"/>
        <w:gridCol w:w="1786"/>
        <w:gridCol w:w="1245"/>
        <w:gridCol w:w="737"/>
        <w:gridCol w:w="149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货物名称</w:t>
            </w:r>
          </w:p>
        </w:tc>
        <w:tc>
          <w:tcPr>
            <w:tcW w:w="4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50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99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ascii="宋体" w:hAnsi="宋体"/>
                <w:color w:val="auto"/>
                <w:sz w:val="24"/>
                <w:highlight w:val="none"/>
              </w:rPr>
            </w:pPr>
          </w:p>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49"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500"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998" w:type="pct"/>
            <w:tcBorders>
              <w:top w:val="single" w:color="auto" w:sz="4" w:space="0"/>
              <w:left w:val="single" w:color="auto" w:sz="4" w:space="0"/>
              <w:bottom w:val="single" w:color="auto" w:sz="4" w:space="0"/>
              <w:right w:val="single" w:color="auto" w:sz="4" w:space="0"/>
            </w:tcBorders>
            <w:noWrap w:val="0"/>
            <w:vAlign w:val="top"/>
          </w:tcPr>
          <w:p>
            <w:pPr>
              <w:snapToGrid w:val="0"/>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color w:val="auto"/>
                <w:sz w:val="24"/>
                <w:highlight w:val="none"/>
              </w:rPr>
            </w:pPr>
          </w:p>
        </w:tc>
      </w:tr>
    </w:tbl>
    <w:p>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pPr>
        <w:tabs>
          <w:tab w:val="left" w:pos="1065"/>
        </w:tabs>
        <w:adjustRightInd w:val="0"/>
        <w:spacing w:line="360" w:lineRule="auto"/>
        <w:contextualSpacing/>
        <w:rPr>
          <w:rFonts w:hint="eastAsia" w:ascii="宋体" w:hAnsi="宋体" w:cs="仿宋_GB2312"/>
          <w:color w:val="auto"/>
          <w:sz w:val="24"/>
          <w:highlight w:val="none"/>
        </w:rPr>
      </w:pPr>
      <w:r>
        <w:rPr>
          <w:rFonts w:hint="eastAsia" w:ascii="宋体" w:hAnsi="宋体"/>
          <w:b/>
          <w:bCs/>
          <w:color w:val="auto"/>
          <w:sz w:val="24"/>
          <w:highlight w:val="none"/>
        </w:rPr>
        <w:t>以上性能配置清单中“货物名称、数量及单位、品牌、规格型号、制造商、原产地、参数性能、指标及配置”必须如实填写完整，品牌、规格型号没有则填无，填写有缺漏的，响应文件作无效处理</w:t>
      </w:r>
      <w:r>
        <w:rPr>
          <w:rFonts w:hint="eastAsia" w:ascii="宋体" w:hAnsi="宋体"/>
          <w:b/>
          <w:color w:val="auto"/>
          <w:sz w:val="24"/>
          <w:highlight w:val="none"/>
        </w:rPr>
        <w:t>。</w:t>
      </w:r>
      <w:r>
        <w:rPr>
          <w:rFonts w:hint="eastAsia" w:ascii="宋体" w:hAnsi="宋体"/>
          <w:color w:val="auto"/>
          <w:sz w:val="24"/>
          <w:highlight w:val="none"/>
        </w:rPr>
        <w:t>货物名称、数量及单位、品牌必须与“货物需求一览表”一致，</w:t>
      </w:r>
      <w:r>
        <w:rPr>
          <w:rFonts w:hint="eastAsia" w:ascii="宋体" w:hAnsi="宋体"/>
          <w:bCs/>
          <w:color w:val="auto"/>
          <w:sz w:val="24"/>
          <w:highlight w:val="none"/>
        </w:rPr>
        <w:t>否则响应文件作无效处理</w:t>
      </w:r>
      <w:r>
        <w:rPr>
          <w:rFonts w:hint="eastAsia" w:ascii="宋体" w:hAnsi="宋体"/>
          <w:b/>
          <w:color w:val="auto"/>
          <w:sz w:val="24"/>
          <w:highlight w:val="none"/>
        </w:rPr>
        <w:t>。</w:t>
      </w:r>
      <w:r>
        <w:rPr>
          <w:rFonts w:hint="eastAsia" w:ascii="宋体" w:hAnsi="宋体" w:cs="仿宋_GB2312"/>
          <w:color w:val="auto"/>
          <w:sz w:val="24"/>
          <w:highlight w:val="none"/>
        </w:rPr>
        <w:tab/>
      </w:r>
    </w:p>
    <w:p>
      <w:pPr>
        <w:adjustRightInd w:val="0"/>
        <w:spacing w:line="360" w:lineRule="auto"/>
        <w:contextualSpacing/>
        <w:jc w:val="left"/>
        <w:rPr>
          <w:rFonts w:hint="eastAsia" w:ascii="宋体" w:hAnsi="宋体" w:cs="仿宋_GB2312"/>
          <w:color w:val="auto"/>
          <w:sz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ascii="仿宋_GB2312" w:hAnsi="仿宋" w:eastAsia="仿宋_GB2312" w:cs="仿宋_GB2312"/>
          <w:b/>
          <w:bCs/>
          <w:color w:val="auto"/>
          <w:sz w:val="24"/>
          <w:highlight w:val="none"/>
        </w:rPr>
      </w:pPr>
      <w:r>
        <w:rPr>
          <w:rFonts w:hint="eastAsia" w:ascii="仿宋_GB2312" w:hAnsi="仿宋" w:eastAsia="仿宋_GB2312" w:cs="仿宋_GB2312"/>
          <w:color w:val="auto"/>
          <w:kern w:val="0"/>
          <w:sz w:val="24"/>
          <w:highlight w:val="none"/>
          <w:lang w:val="zh-CN"/>
        </w:rPr>
        <w:t>日期：  年  月   日</w:t>
      </w:r>
    </w:p>
    <w:p>
      <w:pPr>
        <w:spacing w:line="500" w:lineRule="exact"/>
        <w:rPr>
          <w:rFonts w:hint="eastAsia" w:ascii="仿宋_GB2312" w:hAnsi="仿宋_GB2312" w:eastAsia="仿宋_GB2312" w:cs="仿宋_GB2312"/>
          <w:color w:val="auto"/>
          <w:sz w:val="32"/>
          <w:szCs w:val="32"/>
          <w:highlight w:val="none"/>
        </w:rPr>
      </w:pPr>
    </w:p>
    <w:p>
      <w:pPr>
        <w:snapToGrid w:val="0"/>
        <w:spacing w:before="120" w:beforeLines="50" w:after="50"/>
        <w:ind w:left="143" w:leftChars="68" w:firstLine="596" w:firstLineChars="198"/>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九、售后服务方案</w:t>
      </w:r>
    </w:p>
    <w:p>
      <w:pPr>
        <w:snapToGrid w:val="0"/>
        <w:spacing w:before="120" w:beforeLines="50" w:after="50"/>
        <w:ind w:left="143" w:leftChars="68" w:firstLine="420" w:firstLineChars="200"/>
        <w:rPr>
          <w:rFonts w:hint="eastAsia" w:hAnsi="宋体"/>
          <w:color w:val="auto"/>
          <w:highlight w:val="none"/>
        </w:rPr>
      </w:pPr>
      <w:r>
        <w:rPr>
          <w:rFonts w:hint="eastAsia" w:hAnsi="宋体"/>
          <w:color w:val="auto"/>
          <w:highlight w:val="none"/>
        </w:rPr>
        <w:t>由竞标人按本项目竞争性谈判采购文件第二章“货物需求一览表”中商务条款部分的售后服务要求自行填写，其中要包含售后服务承诺书。</w:t>
      </w:r>
    </w:p>
    <w:p>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1、售后服务承诺</w:t>
      </w:r>
    </w:p>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附表A:售后服务机构情况表</w:t>
      </w:r>
      <w:r>
        <w:rPr>
          <w:rFonts w:hint="eastAsia" w:ascii="仿宋_GB2312" w:hAnsi="仿宋" w:eastAsia="仿宋_GB2312" w:cs="仿宋_GB2312"/>
          <w:color w:val="auto"/>
          <w:sz w:val="24"/>
          <w:highlight w:val="none"/>
        </w:rPr>
        <w:t>（按此格式自制）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序号</w:t>
            </w:r>
          </w:p>
        </w:tc>
        <w:tc>
          <w:tcPr>
            <w:tcW w:w="2340"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机构名称</w:t>
            </w:r>
          </w:p>
        </w:tc>
        <w:tc>
          <w:tcPr>
            <w:tcW w:w="1095"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机构性质</w:t>
            </w:r>
          </w:p>
        </w:tc>
        <w:tc>
          <w:tcPr>
            <w:tcW w:w="1245"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注册地址</w:t>
            </w:r>
          </w:p>
        </w:tc>
        <w:tc>
          <w:tcPr>
            <w:tcW w:w="1980"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货物技术人员数量</w:t>
            </w:r>
          </w:p>
        </w:tc>
        <w:tc>
          <w:tcPr>
            <w:tcW w:w="1260" w:type="dxa"/>
            <w:noWrap w:val="0"/>
            <w:vAlign w:val="center"/>
          </w:tcPr>
          <w:p>
            <w:pPr>
              <w:autoSpaceDE w:val="0"/>
              <w:autoSpaceDN w:val="0"/>
              <w:spacing w:line="360" w:lineRule="auto"/>
              <w:jc w:val="center"/>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234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09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45"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98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r>
    </w:tbl>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注：关于项目涉及的所有售后服务机构均在本表注明，包括供应商本单位和符合条件的第三方货物机构；</w:t>
      </w:r>
    </w:p>
    <w:p>
      <w:pPr>
        <w:autoSpaceDE w:val="0"/>
        <w:autoSpaceDN w:val="0"/>
        <w:spacing w:line="360" w:lineRule="auto"/>
        <w:rPr>
          <w:rFonts w:hint="eastAsia" w:ascii="仿宋_GB2312" w:hAnsi="仿宋" w:eastAsia="仿宋_GB2312" w:cs="仿宋_GB2312"/>
          <w:color w:val="auto"/>
          <w:kern w:val="0"/>
          <w:sz w:val="24"/>
          <w:highlight w:val="none"/>
        </w:rPr>
      </w:pPr>
    </w:p>
    <w:p>
      <w:pPr>
        <w:autoSpaceDE w:val="0"/>
        <w:autoSpaceDN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b/>
          <w:color w:val="auto"/>
          <w:kern w:val="0"/>
          <w:sz w:val="24"/>
          <w:highlight w:val="none"/>
        </w:rPr>
        <w:t>附表B：售后服务人员情况表</w:t>
      </w:r>
      <w:r>
        <w:rPr>
          <w:rFonts w:hint="eastAsia" w:ascii="仿宋_GB2312" w:hAnsi="仿宋" w:eastAsia="仿宋_GB2312" w:cs="仿宋_GB2312"/>
          <w:color w:val="auto"/>
          <w:sz w:val="24"/>
          <w:highlight w:val="none"/>
        </w:rPr>
        <w:t>（按此格式自制）</w:t>
      </w:r>
    </w:p>
    <w:tbl>
      <w:tblPr>
        <w:tblStyle w:val="20"/>
        <w:tblW w:w="0" w:type="auto"/>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到达现场时间</w:t>
            </w:r>
          </w:p>
        </w:tc>
      </w:tr>
      <w:tr>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bl>
    <w:p>
      <w:pPr>
        <w:pStyle w:val="13"/>
        <w:spacing w:line="440" w:lineRule="exact"/>
        <w:ind w:firstLine="396" w:firstLineChars="198"/>
        <w:rPr>
          <w:rFonts w:hAnsi="宋体"/>
          <w:color w:val="auto"/>
          <w:highlight w:val="none"/>
        </w:rPr>
      </w:pPr>
    </w:p>
    <w:p>
      <w:pPr>
        <w:spacing w:line="500" w:lineRule="exact"/>
        <w:rPr>
          <w:rFonts w:hint="eastAsia" w:ascii="仿宋_GB2312" w:hAnsi="仿宋_GB2312" w:eastAsia="仿宋_GB2312" w:cs="仿宋_GB2312"/>
          <w:color w:val="auto"/>
          <w:sz w:val="32"/>
          <w:szCs w:val="32"/>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十、项目实施人员一览表（如有要求）</w:t>
      </w:r>
    </w:p>
    <w:p>
      <w:pPr>
        <w:spacing w:line="360" w:lineRule="auto"/>
        <w:jc w:val="center"/>
        <w:rPr>
          <w:rFonts w:hint="eastAsia"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rPr>
        <w:t>（由供应商根据采购需求及采购文件要求编制）</w:t>
      </w:r>
    </w:p>
    <w:p>
      <w:pPr>
        <w:pStyle w:val="13"/>
        <w:rPr>
          <w:rFonts w:hint="eastAsia"/>
          <w:color w:val="auto"/>
          <w:sz w:val="24"/>
          <w:szCs w:val="24"/>
          <w:highlight w:val="none"/>
        </w:rPr>
      </w:pPr>
      <w:r>
        <w:rPr>
          <w:rFonts w:hint="eastAsia"/>
          <w:color w:val="auto"/>
          <w:sz w:val="24"/>
          <w:szCs w:val="24"/>
          <w:highlight w:val="none"/>
          <w:lang w:eastAsia="zh-CN"/>
        </w:rPr>
        <w:t>响应</w:t>
      </w:r>
      <w:r>
        <w:rPr>
          <w:rFonts w:hint="eastAsia"/>
          <w:color w:val="auto"/>
          <w:sz w:val="24"/>
          <w:szCs w:val="24"/>
          <w:highlight w:val="none"/>
        </w:rPr>
        <w:t>分标：</w:t>
      </w:r>
      <w:r>
        <w:rPr>
          <w:rFonts w:hint="eastAsia"/>
          <w:color w:val="auto"/>
          <w:sz w:val="24"/>
          <w:szCs w:val="24"/>
          <w:highlight w:val="none"/>
          <w:u w:val="single"/>
        </w:rPr>
        <w:t xml:space="preserve">     </w:t>
      </w:r>
      <w:r>
        <w:rPr>
          <w:rFonts w:hint="eastAsia"/>
          <w:color w:val="auto"/>
          <w:sz w:val="24"/>
          <w:szCs w:val="24"/>
          <w:highlight w:val="none"/>
        </w:rPr>
        <w:t>分标</w:t>
      </w:r>
    </w:p>
    <w:p>
      <w:pPr>
        <w:keepNext/>
        <w:autoSpaceDE w:val="0"/>
        <w:autoSpaceDN w:val="0"/>
        <w:spacing w:line="360" w:lineRule="auto"/>
        <w:ind w:firstLine="477"/>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附表A:本项目的项目经理情况表</w:t>
      </w:r>
    </w:p>
    <w:tbl>
      <w:tblPr>
        <w:tblStyle w:val="20"/>
        <w:tblW w:w="0" w:type="auto"/>
        <w:tblInd w:w="0" w:type="dxa"/>
        <w:tblLayout w:type="fixed"/>
        <w:tblCellMar>
          <w:top w:w="0" w:type="dxa"/>
          <w:left w:w="108" w:type="dxa"/>
          <w:bottom w:w="0" w:type="dxa"/>
          <w:right w:w="108" w:type="dxa"/>
        </w:tblCellMar>
      </w:tblPr>
      <w:tblGrid>
        <w:gridCol w:w="2061"/>
        <w:gridCol w:w="1287"/>
        <w:gridCol w:w="1260"/>
        <w:gridCol w:w="4147"/>
      </w:tblGrid>
      <w:tr>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响应截止时间前三年业绩及承担的主要工作情况，曾担任项目经理的项目应列明细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r>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p>
        </w:tc>
      </w:tr>
    </w:tbl>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注：须随表提交相应的证书</w:t>
      </w:r>
      <w:r>
        <w:rPr>
          <w:rFonts w:hint="eastAsia" w:ascii="仿宋_GB2312" w:hAnsi="仿宋" w:eastAsia="仿宋_GB2312" w:cs="仿宋_GB2312"/>
          <w:b/>
          <w:color w:val="auto"/>
          <w:sz w:val="24"/>
          <w:highlight w:val="none"/>
          <w:lang w:val="en-US" w:eastAsia="zh-CN"/>
        </w:rPr>
        <w:t>扫描件</w:t>
      </w:r>
      <w:r>
        <w:rPr>
          <w:rFonts w:hint="eastAsia" w:ascii="仿宋_GB2312" w:hAnsi="仿宋" w:eastAsia="仿宋_GB2312" w:cs="仿宋_GB2312"/>
          <w:b/>
          <w:color w:val="auto"/>
          <w:sz w:val="24"/>
          <w:highlight w:val="none"/>
        </w:rPr>
        <w:t>并注明所在响应技术文件页码。</w:t>
      </w:r>
    </w:p>
    <w:p>
      <w:pPr>
        <w:autoSpaceDE w:val="0"/>
        <w:autoSpaceDN w:val="0"/>
        <w:spacing w:line="360" w:lineRule="auto"/>
        <w:rPr>
          <w:rFonts w:hint="eastAsia"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rPr>
        <w:t>附表B:本项目的项目小组人员情况表</w:t>
      </w:r>
      <w:r>
        <w:rPr>
          <w:rFonts w:hint="eastAsia" w:ascii="仿宋_GB2312" w:hAnsi="仿宋" w:eastAsia="仿宋_GB2312" w:cs="仿宋_GB2312"/>
          <w:color w:val="auto"/>
          <w:sz w:val="24"/>
          <w:highlight w:val="none"/>
        </w:rPr>
        <w:t>（按此格式自制）</w:t>
      </w:r>
    </w:p>
    <w:tbl>
      <w:tblPr>
        <w:tblStyle w:val="20"/>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c>
          <w:tcPr>
            <w:tcW w:w="42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学历</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专业</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职称</w:t>
            </w:r>
          </w:p>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参与本项目的到位情况</w:t>
            </w:r>
          </w:p>
        </w:tc>
      </w:tr>
      <w:tr>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r>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jc w:val="center"/>
              <w:rPr>
                <w:rFonts w:hint="eastAsia" w:ascii="仿宋_GB2312" w:hAnsi="仿宋" w:eastAsia="仿宋_GB2312" w:cs="仿宋_GB2312"/>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360" w:lineRule="auto"/>
              <w:rPr>
                <w:rFonts w:hint="eastAsia" w:ascii="仿宋_GB2312" w:hAnsi="仿宋" w:eastAsia="仿宋_GB2312" w:cs="仿宋_GB2312"/>
                <w:color w:val="auto"/>
                <w:sz w:val="24"/>
                <w:highlight w:val="none"/>
              </w:rPr>
            </w:pPr>
          </w:p>
        </w:tc>
      </w:tr>
    </w:tbl>
    <w:p>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注：供应商可按上述的格式自行编制，须随表提交相应的证书</w:t>
      </w:r>
      <w:r>
        <w:rPr>
          <w:rFonts w:hint="eastAsia" w:ascii="仿宋_GB2312" w:hAnsi="仿宋" w:eastAsia="仿宋_GB2312" w:cs="仿宋_GB2312"/>
          <w:b/>
          <w:color w:val="auto"/>
          <w:sz w:val="24"/>
          <w:highlight w:val="none"/>
          <w:lang w:val="en-US" w:eastAsia="zh-CN"/>
        </w:rPr>
        <w:t>扫描件</w:t>
      </w:r>
      <w:r>
        <w:rPr>
          <w:rFonts w:hint="eastAsia" w:ascii="仿宋_GB2312" w:hAnsi="仿宋" w:eastAsia="仿宋_GB2312" w:cs="仿宋_GB2312"/>
          <w:b/>
          <w:color w:val="auto"/>
          <w:sz w:val="24"/>
          <w:highlight w:val="none"/>
        </w:rPr>
        <w:t>并注明所在响应技术文件页码。</w:t>
      </w:r>
    </w:p>
    <w:p>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rPr>
        <w:t>附表C:本项目的项目经理和小组人员近3个月交纳社保记录情况表</w:t>
      </w:r>
      <w:r>
        <w:rPr>
          <w:rFonts w:hint="eastAsia" w:ascii="仿宋_GB2312" w:hAnsi="仿宋" w:eastAsia="仿宋_GB2312" w:cs="仿宋_GB2312"/>
          <w:color w:val="auto"/>
          <w:sz w:val="24"/>
          <w:highlight w:val="none"/>
        </w:rPr>
        <w:t>（以社保局缴纳凭证作附件）</w:t>
      </w:r>
    </w:p>
    <w:p>
      <w:pPr>
        <w:snapToGrid w:val="0"/>
        <w:spacing w:line="360" w:lineRule="auto"/>
        <w:ind w:firstLine="602" w:firstLineChars="200"/>
        <w:rPr>
          <w:rFonts w:ascii="仿宋" w:hAnsi="仿宋" w:eastAsia="仿宋" w:cs="仿宋_GB2312"/>
          <w:b/>
          <w:color w:val="auto"/>
          <w:sz w:val="30"/>
          <w:szCs w:val="30"/>
          <w:highlight w:val="none"/>
        </w:rPr>
      </w:pPr>
    </w:p>
    <w:p>
      <w:pPr>
        <w:autoSpaceDE w:val="0"/>
        <w:autoSpaceDN w:val="0"/>
        <w:spacing w:line="360" w:lineRule="auto"/>
        <w:ind w:firstLine="6505" w:firstLineChars="2700"/>
        <w:rPr>
          <w:rFonts w:ascii="仿宋_GB2312" w:hAnsi="仿宋" w:eastAsia="仿宋_GB2312" w:cs="仿宋_GB2312"/>
          <w:b/>
          <w:bCs/>
          <w:color w:val="auto"/>
          <w:sz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spacing w:line="500" w:lineRule="exact"/>
        <w:rPr>
          <w:rFonts w:hint="eastAsia" w:ascii="仿宋_GB2312" w:hAnsi="仿宋_GB2312" w:eastAsia="仿宋_GB2312" w:cs="仿宋_GB2312"/>
          <w:color w:val="auto"/>
          <w:sz w:val="32"/>
          <w:szCs w:val="32"/>
          <w:highlight w:val="none"/>
        </w:rPr>
      </w:pPr>
    </w:p>
    <w:p>
      <w:pPr>
        <w:snapToGrid w:val="0"/>
        <w:spacing w:line="360" w:lineRule="auto"/>
        <w:ind w:firstLine="602" w:firstLineChars="200"/>
        <w:rPr>
          <w:rFonts w:hint="eastAsia" w:ascii="仿宋" w:hAnsi="仿宋" w:eastAsia="仿宋" w:cs="仿宋_GB2312"/>
          <w:b/>
          <w:color w:val="auto"/>
          <w:sz w:val="30"/>
          <w:szCs w:val="30"/>
          <w:highlight w:val="none"/>
        </w:rPr>
      </w:pPr>
      <w:r>
        <w:rPr>
          <w:rFonts w:hint="eastAsia" w:ascii="仿宋" w:hAnsi="仿宋" w:eastAsia="仿宋" w:cs="仿宋_GB2312"/>
          <w:b/>
          <w:color w:val="auto"/>
          <w:sz w:val="30"/>
          <w:szCs w:val="30"/>
          <w:highlight w:val="none"/>
        </w:rPr>
        <w:t>十一、货物需求、商务条款要求提供的其他材料</w:t>
      </w:r>
    </w:p>
    <w:p>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snapToGrid w:val="0"/>
        <w:spacing w:line="360" w:lineRule="auto"/>
        <w:ind w:firstLine="602" w:firstLineChars="200"/>
        <w:rPr>
          <w:rFonts w:hint="eastAsia" w:ascii="仿宋" w:hAnsi="仿宋" w:eastAsia="仿宋" w:cs="仿宋_GB2312"/>
          <w:b/>
          <w:color w:val="auto"/>
          <w:sz w:val="30"/>
          <w:szCs w:val="30"/>
          <w:highlight w:val="none"/>
        </w:rPr>
      </w:pPr>
    </w:p>
    <w:p>
      <w:pPr>
        <w:spacing w:line="500" w:lineRule="exact"/>
        <w:rPr>
          <w:rFonts w:ascii="仿宋_GB2312" w:hAnsi="仿宋_GB2312" w:eastAsia="仿宋_GB2312" w:cs="仿宋_GB2312"/>
          <w:color w:val="auto"/>
          <w:sz w:val="32"/>
          <w:szCs w:val="32"/>
          <w:highlight w:val="none"/>
        </w:rPr>
        <w:sectPr>
          <w:pgSz w:w="11910" w:h="16840"/>
          <w:pgMar w:top="1340" w:right="1500" w:bottom="280" w:left="1680" w:header="720" w:footer="720" w:gutter="0"/>
          <w:cols w:space="720" w:num="1"/>
        </w:sectPr>
      </w:pPr>
    </w:p>
    <w:p>
      <w:pPr>
        <w:adjustRightInd w:val="0"/>
        <w:snapToGrid w:val="0"/>
        <w:spacing w:line="300" w:lineRule="auto"/>
        <w:rPr>
          <w:rFonts w:hint="eastAsia" w:ascii="宋体" w:hAnsi="宋体"/>
          <w:color w:val="auto"/>
          <w:szCs w:val="21"/>
          <w:highlight w:val="none"/>
          <w:u w:val="single"/>
        </w:rPr>
      </w:pPr>
    </w:p>
    <w:p>
      <w:pPr>
        <w:pStyle w:val="4"/>
        <w:jc w:val="center"/>
        <w:rPr>
          <w:rFonts w:hint="eastAsia" w:ascii="宋体" w:hAnsi="宋体"/>
          <w:color w:val="auto"/>
          <w:highlight w:val="none"/>
          <w:lang w:val="en-US" w:eastAsia="zh-CN"/>
        </w:rPr>
      </w:pPr>
      <w:bookmarkStart w:id="77" w:name="_Toc80205941"/>
      <w:r>
        <w:rPr>
          <w:rFonts w:hint="eastAsia" w:ascii="宋体" w:hAnsi="宋体"/>
          <w:color w:val="auto"/>
          <w:highlight w:val="none"/>
          <w:lang w:val="en-US" w:eastAsia="zh-CN"/>
        </w:rPr>
        <w:t>第三节 报价文件格式</w:t>
      </w:r>
      <w:bookmarkEnd w:id="77"/>
    </w:p>
    <w:p>
      <w:pPr>
        <w:snapToGrid w:val="0"/>
        <w:spacing w:before="120"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全流程电子文件</w:t>
      </w: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rPr>
          <w:rFonts w:hint="eastAsia" w:ascii="宋体" w:hAnsi="宋体"/>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件（封面）</w:t>
      </w: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rPr>
          <w:rFonts w:hint="eastAsia" w:ascii="宋体" w:hAnsi="宋体"/>
          <w:bCs/>
          <w:color w:val="auto"/>
          <w:sz w:val="24"/>
          <w:szCs w:val="20"/>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pPr>
        <w:snapToGrid w:val="0"/>
        <w:spacing w:before="120" w:beforeLines="50" w:after="50"/>
        <w:ind w:firstLine="720" w:firstLineChars="225"/>
        <w:rPr>
          <w:rFonts w:hint="eastAsia" w:ascii="宋体" w:hAnsi="宋体" w:cs="仿宋_GB2312"/>
          <w:bCs/>
          <w:color w:val="auto"/>
          <w:sz w:val="32"/>
          <w:szCs w:val="32"/>
          <w:highlight w:val="none"/>
        </w:rPr>
      </w:pP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pPr>
        <w:snapToGrid w:val="0"/>
        <w:spacing w:before="120"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pPr>
        <w:snapToGrid w:val="0"/>
        <w:spacing w:before="120"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720" w:firstLineChars="225"/>
        <w:rPr>
          <w:rFonts w:hint="eastAsia" w:ascii="宋体" w:hAnsi="宋体" w:cs="仿宋_GB2312"/>
          <w:bCs/>
          <w:color w:val="auto"/>
          <w:sz w:val="32"/>
          <w:szCs w:val="32"/>
          <w:highlight w:val="none"/>
        </w:rPr>
      </w:pPr>
    </w:p>
    <w:p>
      <w:pPr>
        <w:pStyle w:val="7"/>
        <w:snapToGrid w:val="0"/>
        <w:spacing w:before="50" w:after="50"/>
        <w:ind w:firstLine="1280" w:firstLineChars="400"/>
        <w:rPr>
          <w:rFonts w:hint="eastAsia" w:ascii="宋体" w:hAnsi="宋体" w:cs="仿宋_GB2312"/>
          <w:bCs/>
          <w:color w:val="auto"/>
          <w:sz w:val="32"/>
          <w:szCs w:val="32"/>
          <w:highlight w:val="none"/>
        </w:rPr>
      </w:pPr>
    </w:p>
    <w:p>
      <w:pPr>
        <w:snapToGrid w:val="0"/>
        <w:spacing w:before="120"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pPr>
        <w:snapToGrid w:val="0"/>
        <w:spacing w:before="120" w:beforeLines="50" w:after="50" w:line="400" w:lineRule="exact"/>
        <w:jc w:val="center"/>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报价文件目录</w:t>
      </w:r>
    </w:p>
    <w:p>
      <w:pPr>
        <w:rPr>
          <w:rFonts w:hint="eastAsia" w:ascii="宋体" w:hAnsi="宋体" w:cs="宋体"/>
          <w:color w:val="auto"/>
          <w:highlight w:val="none"/>
        </w:rPr>
      </w:pPr>
    </w:p>
    <w:p>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一、响应函………………………………………………………（页码）</w:t>
      </w:r>
    </w:p>
    <w:p>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二、响应报价表…………………………………………………（页码）</w:t>
      </w:r>
    </w:p>
    <w:p>
      <w:pPr>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kern w:val="0"/>
          <w:sz w:val="24"/>
          <w:highlight w:val="none"/>
        </w:rPr>
        <w:t>三、中小企业声明函……………………………………………（页码）</w:t>
      </w:r>
    </w:p>
    <w:p>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pPr>
        <w:pStyle w:val="13"/>
        <w:spacing w:line="500" w:lineRule="exact"/>
        <w:ind w:firstLine="480" w:firstLineChars="200"/>
        <w:rPr>
          <w:rFonts w:hAnsi="宋体" w:cs="仿宋_GB2312"/>
          <w:color w:val="auto"/>
          <w:sz w:val="24"/>
          <w:highlight w:val="none"/>
        </w:rPr>
      </w:pPr>
      <w:r>
        <w:rPr>
          <w:rFonts w:hAnsi="宋体" w:cs="仿宋_GB2312"/>
          <w:color w:val="auto"/>
          <w:sz w:val="24"/>
          <w:highlight w:val="none"/>
        </w:rPr>
        <w:br w:type="page"/>
      </w:r>
      <w:r>
        <w:rPr>
          <w:rFonts w:hint="eastAsia" w:ascii="仿宋" w:hAnsi="仿宋" w:eastAsia="仿宋" w:cs="仿宋_GB2312"/>
          <w:b/>
          <w:color w:val="auto"/>
          <w:kern w:val="2"/>
          <w:sz w:val="30"/>
          <w:szCs w:val="30"/>
          <w:highlight w:val="none"/>
          <w:lang w:val="en-US" w:eastAsia="zh-CN"/>
        </w:rPr>
        <w:t>一、响应函</w:t>
      </w:r>
    </w:p>
    <w:p>
      <w:pPr>
        <w:pStyle w:val="13"/>
        <w:spacing w:line="500" w:lineRule="exact"/>
        <w:jc w:val="center"/>
        <w:rPr>
          <w:rFonts w:ascii="Times New Roman" w:hAnsi="Times New Roman"/>
          <w:b/>
          <w:bCs/>
          <w:color w:val="auto"/>
          <w:sz w:val="30"/>
          <w:szCs w:val="30"/>
          <w:highlight w:val="none"/>
        </w:rPr>
      </w:pPr>
      <w:r>
        <w:rPr>
          <w:rFonts w:hint="eastAsia" w:ascii="Times New Roman" w:hAnsi="Times New Roman"/>
          <w:b/>
          <w:bCs/>
          <w:color w:val="auto"/>
          <w:sz w:val="30"/>
          <w:szCs w:val="30"/>
          <w:highlight w:val="none"/>
        </w:rPr>
        <w:t>响应函</w:t>
      </w:r>
    </w:p>
    <w:p>
      <w:pPr>
        <w:pStyle w:val="13"/>
        <w:spacing w:line="500" w:lineRule="exact"/>
        <w:rPr>
          <w:rFonts w:ascii="Times New Roman" w:hAnsi="Times New Roman"/>
          <w:color w:val="auto"/>
          <w:sz w:val="32"/>
          <w:highlight w:val="none"/>
        </w:rPr>
      </w:pPr>
    </w:p>
    <w:p>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r>
        <w:rPr>
          <w:rFonts w:hint="eastAsia" w:ascii="宋体" w:hAnsi="宋体" w:cs="宋体"/>
          <w:color w:val="auto"/>
          <w:szCs w:val="21"/>
          <w:highlight w:val="none"/>
        </w:rPr>
        <w:t>：</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szCs w:val="21"/>
          <w:highlight w:val="none"/>
          <w:u w:val="single"/>
        </w:rPr>
        <w:t>（供应商名称）</w:t>
      </w:r>
      <w:r>
        <w:rPr>
          <w:rFonts w:hint="eastAsia" w:ascii="宋体" w:hAnsi="宋体" w:cs="宋体"/>
          <w:color w:val="auto"/>
          <w:szCs w:val="21"/>
          <w:highlight w:val="none"/>
        </w:rPr>
        <w:t>系中华人民共和国合法供应商，经营地址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项目的竞标，为便于贵方公正、择优地确定成交供应商及其竞标产品和货物，我方就本次竞标有关事项郑重声明如下：</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1.我方向贵方提交的所有响应文件、资料都是准确的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有效的</w:t>
      </w:r>
      <w:r>
        <w:rPr>
          <w:rFonts w:hint="eastAsia" w:ascii="宋体" w:hAnsi="宋体" w:cs="宋体"/>
          <w:color w:val="auto"/>
          <w:szCs w:val="21"/>
          <w:highlight w:val="none"/>
        </w:rPr>
        <w:t>和真实的。</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货物的供应商；在获知本项目采购信息后，与采购人聘请的为此项目提供咨询货物的公司及其附属机构没有任何联系。</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(1)将按谈判文件的约定履行合同责任和义务；</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(2)已详细审查全部谈判文件，包括补遗文件（如有）；</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(3)同意提供按照贵方可能要求的与谈判有关的一切数据或者资料；</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(4)响应谈判文件规定的竞标有效期。</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w:t>
      </w:r>
      <w:r>
        <w:rPr>
          <w:rFonts w:hint="eastAsia" w:ascii="宋体" w:hAnsi="宋体" w:cs="宋体"/>
          <w:color w:val="auto"/>
          <w:szCs w:val="21"/>
          <w:highlight w:val="none"/>
          <w:lang w:val="en-US" w:eastAsia="zh-CN"/>
        </w:rPr>
        <w:t>失信主体</w:t>
      </w:r>
      <w:r>
        <w:rPr>
          <w:rFonts w:hint="eastAsia" w:ascii="宋体" w:hAnsi="宋体" w:cs="宋体"/>
          <w:color w:val="auto"/>
          <w:szCs w:val="21"/>
          <w:highlight w:val="none"/>
        </w:rPr>
        <w:t>、政府采购严重违法失信行为记录名单，完全符合《中华人民共和国政府采购法》第二十二条规定的供应商资格条件，我方对此声明负全部法律责任。</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pPr>
        <w:spacing w:line="360" w:lineRule="auto"/>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□我方本次响应文件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pStyle w:val="13"/>
        <w:spacing w:line="360" w:lineRule="auto"/>
        <w:ind w:firstLine="400" w:firstLineChars="200"/>
        <w:contextualSpacing/>
        <w:rPr>
          <w:rFonts w:hint="eastAsia" w:hAnsi="宋体" w:cs="宋体"/>
          <w:color w:val="auto"/>
          <w:highlight w:val="none"/>
        </w:rPr>
      </w:pPr>
      <w:r>
        <w:rPr>
          <w:rFonts w:hint="eastAsia" w:hAnsi="宋体" w:cs="宋体"/>
          <w:color w:val="auto"/>
          <w:highlight w:val="none"/>
          <w:lang w:eastAsia="zh-CN"/>
        </w:rPr>
        <w:t>7</w:t>
      </w:r>
      <w:r>
        <w:rPr>
          <w:rFonts w:hint="eastAsia" w:hAnsi="宋体" w:cs="宋体"/>
          <w:color w:val="auto"/>
          <w:highlight w:val="none"/>
        </w:rPr>
        <w:t>.以上事项如有虚假或者隐瞒，我方愿意承担一切后果，并不再寻求任何旨在减轻或者免除法律责任的辩解。</w:t>
      </w:r>
    </w:p>
    <w:p>
      <w:pPr>
        <w:pStyle w:val="13"/>
        <w:spacing w:line="360" w:lineRule="auto"/>
        <w:ind w:firstLine="420"/>
        <w:rPr>
          <w:rFonts w:hint="eastAsia"/>
          <w:color w:val="auto"/>
          <w:highlight w:val="none"/>
        </w:rPr>
      </w:pPr>
      <w:r>
        <w:rPr>
          <w:rFonts w:hint="eastAsia" w:hAnsi="宋体" w:cs="宋体"/>
          <w:color w:val="auto"/>
          <w:sz w:val="21"/>
          <w:highlight w:val="none"/>
          <w:lang w:eastAsia="zh-CN"/>
        </w:rPr>
        <w:t>8</w:t>
      </w:r>
      <w:r>
        <w:rPr>
          <w:rFonts w:hint="eastAsia" w:hAnsi="宋体" w:cs="宋体"/>
          <w:color w:val="auto"/>
          <w:sz w:val="21"/>
          <w:highlight w:val="none"/>
        </w:rPr>
        <w:t>.与本谈判有关的一切正式往来信函请寄</w:t>
      </w:r>
      <w:r>
        <w:rPr>
          <w:rFonts w:hint="eastAsia"/>
          <w:color w:val="auto"/>
          <w:highlight w:val="none"/>
        </w:rPr>
        <w:t>：</w:t>
      </w:r>
      <w:r>
        <w:rPr>
          <w:rFonts w:hint="eastAsia"/>
          <w:color w:val="auto"/>
          <w:highlight w:val="none"/>
          <w:u w:val="single"/>
        </w:rPr>
        <w:t xml:space="preserve"> </w:t>
      </w:r>
    </w:p>
    <w:p>
      <w:pPr>
        <w:pStyle w:val="13"/>
        <w:spacing w:line="360" w:lineRule="auto"/>
        <w:ind w:firstLine="420"/>
        <w:rPr>
          <w:rFonts w:hint="eastAsia"/>
          <w:color w:val="auto"/>
          <w:highlight w:val="none"/>
        </w:rPr>
      </w:pPr>
      <w:r>
        <w:rPr>
          <w:rFonts w:hint="eastAsia"/>
          <w:color w:val="auto"/>
          <w:highlight w:val="none"/>
        </w:rPr>
        <w:t>地址：</w:t>
      </w:r>
      <w:r>
        <w:rPr>
          <w:rFonts w:hint="eastAsia"/>
          <w:color w:val="auto"/>
          <w:highlight w:val="none"/>
          <w:u w:val="single"/>
        </w:rPr>
        <w:t xml:space="preserve">                                                        </w:t>
      </w:r>
      <w:r>
        <w:rPr>
          <w:rFonts w:hint="eastAsia"/>
          <w:color w:val="auto"/>
          <w:highlight w:val="none"/>
        </w:rPr>
        <w:t xml:space="preserve"> </w:t>
      </w:r>
    </w:p>
    <w:p>
      <w:pPr>
        <w:pStyle w:val="13"/>
        <w:spacing w:line="360" w:lineRule="auto"/>
        <w:ind w:firstLine="420"/>
        <w:rPr>
          <w:rFonts w:hint="eastAsia"/>
          <w:color w:val="auto"/>
          <w:highlight w:val="none"/>
          <w:u w:val="single"/>
        </w:rPr>
      </w:pPr>
      <w:r>
        <w:rPr>
          <w:rFonts w:hint="eastAsia"/>
          <w:color w:val="auto"/>
          <w:highlight w:val="none"/>
        </w:rPr>
        <w:t>电话：</w:t>
      </w:r>
      <w:r>
        <w:rPr>
          <w:rFonts w:hint="eastAsia"/>
          <w:color w:val="auto"/>
          <w:highlight w:val="none"/>
          <w:u w:val="single"/>
        </w:rPr>
        <w:t xml:space="preserve">                                      　　　　　　　　　</w:t>
      </w:r>
    </w:p>
    <w:p>
      <w:pPr>
        <w:pStyle w:val="13"/>
        <w:spacing w:line="360" w:lineRule="auto"/>
        <w:ind w:firstLine="420"/>
        <w:rPr>
          <w:rFonts w:hint="eastAsia"/>
          <w:color w:val="auto"/>
          <w:highlight w:val="none"/>
        </w:rPr>
      </w:pPr>
      <w:r>
        <w:rPr>
          <w:rFonts w:hint="eastAsia"/>
          <w:color w:val="auto"/>
          <w:highlight w:val="none"/>
        </w:rPr>
        <w:t>传真：</w:t>
      </w:r>
      <w:r>
        <w:rPr>
          <w:rFonts w:hint="eastAsia"/>
          <w:color w:val="auto"/>
          <w:highlight w:val="none"/>
          <w:u w:val="single"/>
        </w:rPr>
        <w:t>　　　　　　　　　　　　　　　　　　　　　　　　　　　　</w:t>
      </w:r>
    </w:p>
    <w:p>
      <w:pPr>
        <w:pStyle w:val="13"/>
        <w:spacing w:line="360" w:lineRule="auto"/>
        <w:ind w:firstLine="420"/>
        <w:rPr>
          <w:rFonts w:hint="eastAsia"/>
          <w:color w:val="auto"/>
          <w:highlight w:val="none"/>
          <w:u w:val="single"/>
        </w:rPr>
      </w:pPr>
      <w:r>
        <w:rPr>
          <w:rFonts w:hint="eastAsia"/>
          <w:color w:val="auto"/>
          <w:highlight w:val="none"/>
        </w:rPr>
        <w:t>邮政编码：</w:t>
      </w:r>
      <w:r>
        <w:rPr>
          <w:rFonts w:hint="eastAsia"/>
          <w:color w:val="auto"/>
          <w:highlight w:val="none"/>
          <w:u w:val="single"/>
        </w:rPr>
        <w:t xml:space="preserve">                                                    </w:t>
      </w:r>
    </w:p>
    <w:p>
      <w:pPr>
        <w:pStyle w:val="13"/>
        <w:spacing w:line="360" w:lineRule="auto"/>
        <w:ind w:firstLine="420"/>
        <w:rPr>
          <w:rFonts w:hint="eastAsia"/>
          <w:color w:val="auto"/>
          <w:highlight w:val="none"/>
          <w:u w:val="single"/>
        </w:rPr>
      </w:pPr>
      <w:r>
        <w:rPr>
          <w:rFonts w:hint="eastAsia"/>
          <w:color w:val="auto"/>
          <w:highlight w:val="none"/>
        </w:rPr>
        <w:t>开户名称：</w:t>
      </w:r>
      <w:r>
        <w:rPr>
          <w:rFonts w:hint="eastAsia"/>
          <w:color w:val="auto"/>
          <w:highlight w:val="none"/>
          <w:u w:val="single"/>
        </w:rPr>
        <w:t xml:space="preserve">                                                    </w:t>
      </w:r>
    </w:p>
    <w:p>
      <w:pPr>
        <w:pStyle w:val="13"/>
        <w:spacing w:line="360" w:lineRule="auto"/>
        <w:ind w:firstLine="420"/>
        <w:rPr>
          <w:rFonts w:hint="eastAsia"/>
          <w:color w:val="auto"/>
          <w:highlight w:val="none"/>
          <w:u w:val="single"/>
        </w:rPr>
      </w:pPr>
      <w:r>
        <w:rPr>
          <w:rFonts w:hint="eastAsia"/>
          <w:color w:val="auto"/>
          <w:highlight w:val="none"/>
        </w:rPr>
        <w:t>开户银行：</w:t>
      </w:r>
      <w:r>
        <w:rPr>
          <w:rFonts w:hint="eastAsia"/>
          <w:color w:val="auto"/>
          <w:highlight w:val="none"/>
          <w:u w:val="single"/>
        </w:rPr>
        <w:t xml:space="preserve">                                                    </w:t>
      </w:r>
    </w:p>
    <w:p>
      <w:pPr>
        <w:pStyle w:val="13"/>
        <w:spacing w:line="360" w:lineRule="auto"/>
        <w:ind w:firstLine="420"/>
        <w:rPr>
          <w:rFonts w:hint="eastAsia"/>
          <w:color w:val="auto"/>
          <w:highlight w:val="none"/>
          <w:u w:val="single"/>
        </w:rPr>
      </w:pPr>
      <w:r>
        <w:rPr>
          <w:rFonts w:hint="eastAsia"/>
          <w:color w:val="auto"/>
          <w:highlight w:val="none"/>
        </w:rPr>
        <w:t>银行账号：</w:t>
      </w:r>
      <w:r>
        <w:rPr>
          <w:rFonts w:hint="eastAsia"/>
          <w:color w:val="auto"/>
          <w:highlight w:val="none"/>
          <w:u w:val="single"/>
        </w:rPr>
        <w:t xml:space="preserve">                                                    </w:t>
      </w:r>
    </w:p>
    <w:p>
      <w:pPr>
        <w:pStyle w:val="11"/>
        <w:tabs>
          <w:tab w:val="left" w:pos="939"/>
        </w:tabs>
        <w:spacing w:line="360" w:lineRule="auto"/>
        <w:ind w:left="141" w:leftChars="67" w:firstLine="315" w:firstLineChars="150"/>
        <w:rPr>
          <w:rFonts w:hint="eastAsia" w:ascii="宋体" w:hAnsi="宋体" w:cs="宋体"/>
          <w:color w:val="auto"/>
          <w:szCs w:val="21"/>
          <w:highlight w:val="none"/>
        </w:rPr>
      </w:pPr>
      <w:r>
        <w:rPr>
          <w:rFonts w:hint="eastAsia" w:ascii="宋体" w:hAnsi="宋体" w:cs="宋体"/>
          <w:color w:val="auto"/>
          <w:szCs w:val="21"/>
          <w:highlight w:val="none"/>
        </w:rPr>
        <w:t>特此承诺。</w:t>
      </w:r>
    </w:p>
    <w:p>
      <w:pPr>
        <w:spacing w:line="360" w:lineRule="auto"/>
        <w:contextualSpacing/>
        <w:jc w:val="left"/>
        <w:rPr>
          <w:rFonts w:hint="eastAsia" w:ascii="宋体" w:hAnsi="宋体" w:cs="宋体"/>
          <w:color w:val="auto"/>
          <w:szCs w:val="21"/>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pStyle w:val="13"/>
        <w:spacing w:line="360" w:lineRule="auto"/>
        <w:ind w:firstLine="420"/>
        <w:rPr>
          <w:color w:val="auto"/>
          <w:highlight w:val="none"/>
        </w:rPr>
      </w:pPr>
    </w:p>
    <w:p>
      <w:pPr>
        <w:spacing w:line="520" w:lineRule="exact"/>
        <w:ind w:firstLine="420" w:firstLineChars="200"/>
        <w:rPr>
          <w:color w:val="auto"/>
          <w:highlight w:val="none"/>
        </w:rPr>
        <w:sectPr>
          <w:pgSz w:w="11910" w:h="16840"/>
          <w:pgMar w:top="1340" w:right="1500" w:bottom="280" w:left="1680" w:header="720" w:footer="720" w:gutter="0"/>
          <w:cols w:space="720" w:num="1"/>
        </w:sectPr>
      </w:pPr>
    </w:p>
    <w:p>
      <w:pPr>
        <w:pStyle w:val="13"/>
        <w:spacing w:line="500" w:lineRule="exact"/>
        <w:ind w:firstLine="602" w:firstLineChars="200"/>
        <w:rPr>
          <w:rFonts w:hint="eastAsia" w:ascii="仿宋" w:hAnsi="仿宋" w:eastAsia="仿宋" w:cs="仿宋_GB2312"/>
          <w:b/>
          <w:color w:val="auto"/>
          <w:kern w:val="2"/>
          <w:sz w:val="30"/>
          <w:szCs w:val="30"/>
          <w:highlight w:val="none"/>
          <w:lang w:val="en-US" w:eastAsia="zh-CN"/>
        </w:rPr>
      </w:pPr>
      <w:r>
        <w:rPr>
          <w:rFonts w:hint="eastAsia" w:ascii="仿宋" w:hAnsi="仿宋" w:eastAsia="仿宋" w:cs="仿宋_GB2312"/>
          <w:b/>
          <w:color w:val="auto"/>
          <w:kern w:val="2"/>
          <w:sz w:val="30"/>
          <w:szCs w:val="30"/>
          <w:highlight w:val="none"/>
          <w:lang w:val="en-US" w:eastAsia="zh-CN"/>
        </w:rPr>
        <w:t xml:space="preserve">二、响应报价表 </w:t>
      </w:r>
    </w:p>
    <w:p>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pPr>
        <w:snapToGrid w:val="0"/>
        <w:spacing w:before="50" w:after="50" w:line="360" w:lineRule="auto"/>
        <w:rPr>
          <w:rFonts w:hint="eastAsia" w:ascii="宋体" w:hAnsi="宋体"/>
          <w:color w:val="auto"/>
          <w:sz w:val="24"/>
          <w:highlight w:val="none"/>
          <w:u w:val="single"/>
        </w:rPr>
      </w:pPr>
      <w:r>
        <w:rPr>
          <w:rFonts w:hint="eastAsia" w:hAnsi="宋体"/>
          <w:color w:val="auto"/>
          <w:sz w:val="24"/>
          <w:highlight w:val="none"/>
        </w:rPr>
        <w:t>供应商名称：</w:t>
      </w:r>
      <w:r>
        <w:rPr>
          <w:rFonts w:hint="eastAsia" w:hAnsi="宋体"/>
          <w:color w:val="auto"/>
          <w:sz w:val="24"/>
          <w:highlight w:val="none"/>
          <w:u w:val="single"/>
        </w:rPr>
        <w:t xml:space="preserve">                     </w:t>
      </w:r>
      <w:r>
        <w:rPr>
          <w:rFonts w:hint="eastAsia" w:hAnsi="宋体"/>
          <w:color w:val="auto"/>
          <w:sz w:val="24"/>
          <w:highlight w:val="none"/>
        </w:rPr>
        <w:t xml:space="preserve">  </w:t>
      </w:r>
      <w:r>
        <w:rPr>
          <w:rFonts w:hint="eastAsia" w:ascii="宋体" w:hAnsi="宋体" w:cs="仿宋_GB2312"/>
          <w:color w:val="auto"/>
          <w:sz w:val="24"/>
          <w:highlight w:val="none"/>
        </w:rPr>
        <w:t xml:space="preserve">                    </w:t>
      </w:r>
    </w:p>
    <w:tbl>
      <w:tblPr>
        <w:tblStyle w:val="2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hint="eastAsia" w:ascii="宋体" w:hAnsi="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hint="eastAsia" w:ascii="宋体" w:hAnsi="宋体"/>
                <w:color w:val="auto"/>
                <w:szCs w:val="22"/>
                <w:highlight w:val="none"/>
              </w:rPr>
              <w:t>货物名称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highlight w:val="none"/>
              </w:rPr>
            </w:pPr>
            <w:r>
              <w:rPr>
                <w:rFonts w:hint="eastAsia"/>
                <w:color w:val="auto"/>
                <w:highlight w:val="none"/>
              </w:rPr>
              <w:t>具体货物内容</w:t>
            </w:r>
          </w:p>
          <w:p>
            <w:pPr>
              <w:pStyle w:val="18"/>
              <w:ind w:left="0" w:leftChars="0" w:firstLine="0" w:firstLineChars="0"/>
              <w:rPr>
                <w:color w:val="auto"/>
                <w:highlight w:val="none"/>
              </w:rPr>
            </w:pPr>
            <w:r>
              <w:rPr>
                <w:rFonts w:hint="eastAsia" w:ascii="宋体" w:hAnsi="宋体"/>
                <w:color w:val="auto"/>
                <w:szCs w:val="22"/>
                <w:highlight w:val="none"/>
                <w:lang w:eastAsia="zh-CN"/>
              </w:rPr>
              <w:t>（</w:t>
            </w:r>
            <w:r>
              <w:rPr>
                <w:rFonts w:hint="eastAsia" w:ascii="宋体" w:hAnsi="宋体"/>
                <w:color w:val="auto"/>
                <w:szCs w:val="22"/>
                <w:highlight w:val="none"/>
                <w:lang w:val="en-US" w:eastAsia="zh-CN"/>
              </w:rPr>
              <w:t>品牌、型号、参数</w:t>
            </w:r>
            <w:r>
              <w:rPr>
                <w:rFonts w:hint="eastAsia" w:ascii="宋体" w:hAnsi="宋体"/>
                <w:color w:val="auto"/>
                <w:szCs w:val="22"/>
                <w:highlight w:val="none"/>
                <w:lang w:eastAsia="zh-CN"/>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2"/>
                <w:highlight w:val="none"/>
              </w:rPr>
            </w:pPr>
            <w:r>
              <w:rPr>
                <w:rFonts w:hint="eastAsia" w:ascii="宋体" w:hAnsi="宋体"/>
                <w:color w:val="auto"/>
                <w:szCs w:val="22"/>
                <w:highlight w:val="none"/>
              </w:rPr>
              <w:t>数量</w:t>
            </w:r>
            <w:r>
              <w:rPr>
                <w:rFonts w:ascii="宋体" w:hAnsi="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hint="eastAsia" w:ascii="宋体" w:hAnsi="宋体"/>
                <w:color w:val="auto"/>
                <w:szCs w:val="22"/>
                <w:highlight w:val="none"/>
              </w:rPr>
              <w:t>单价</w:t>
            </w:r>
            <w:r>
              <w:rPr>
                <w:rFonts w:ascii="宋体" w:hAnsi="宋体"/>
                <w:color w:val="auto"/>
                <w:szCs w:val="22"/>
                <w:highlight w:val="none"/>
              </w:rPr>
              <w:t>(</w:t>
            </w:r>
            <w:r>
              <w:rPr>
                <w:rFonts w:hint="eastAsia" w:ascii="宋体" w:hAnsi="宋体"/>
                <w:color w:val="auto"/>
                <w:szCs w:val="22"/>
                <w:highlight w:val="none"/>
              </w:rPr>
              <w:t>元</w:t>
            </w:r>
            <w:r>
              <w:rPr>
                <w:rFonts w:ascii="宋体" w:hAnsi="宋体"/>
                <w:color w:val="auto"/>
                <w:szCs w:val="22"/>
                <w:highlight w:val="none"/>
              </w:rPr>
              <w:t>)②</w:t>
            </w: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hint="eastAsia" w:ascii="宋体" w:hAnsi="宋体"/>
                <w:color w:val="auto"/>
                <w:szCs w:val="22"/>
                <w:highlight w:val="none"/>
              </w:rPr>
              <w:t>单项合价（元）</w:t>
            </w:r>
          </w:p>
          <w:p>
            <w:pPr>
              <w:rPr>
                <w:rFonts w:ascii="宋体" w:hAnsi="宋体"/>
                <w:color w:val="auto"/>
                <w:szCs w:val="22"/>
                <w:highlight w:val="none"/>
              </w:rPr>
            </w:pPr>
            <w:r>
              <w:rPr>
                <w:rFonts w:ascii="宋体" w:hAnsi="宋体"/>
                <w:color w:val="auto"/>
                <w:szCs w:val="22"/>
                <w:highlight w:val="none"/>
              </w:rPr>
              <w:t>③</w:t>
            </w:r>
            <w:r>
              <w:rPr>
                <w:rFonts w:hint="eastAsia" w:ascii="宋体" w:hAnsi="宋体"/>
                <w:color w:val="auto"/>
                <w:szCs w:val="22"/>
                <w:highlight w:val="none"/>
              </w:rPr>
              <w:t>＝</w:t>
            </w:r>
            <w:r>
              <w:rPr>
                <w:rFonts w:ascii="宋体" w:hAnsi="宋体"/>
                <w:color w:val="auto"/>
                <w:szCs w:val="22"/>
                <w:highlight w:val="none"/>
              </w:rPr>
              <w:t>①×②</w:t>
            </w:r>
          </w:p>
        </w:tc>
        <w:tc>
          <w:tcPr>
            <w:tcW w:w="95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color w:val="auto"/>
                <w:szCs w:val="22"/>
                <w:highlight w:val="none"/>
              </w:rPr>
            </w:pPr>
            <w:r>
              <w:rPr>
                <w:rFonts w:hint="eastAsia" w:ascii="宋体" w:hAnsi="宋体"/>
                <w:color w:val="auto"/>
                <w:szCs w:val="22"/>
                <w:highlight w:val="none"/>
              </w:rPr>
              <w:t>货物要求（年限）</w:t>
            </w: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hint="eastAsia" w:ascii="宋体" w:hAnsi="宋体"/>
                <w:color w:val="auto"/>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ascii="宋体" w:hAnsi="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ascii="宋体" w:hAnsi="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r>
              <w:rPr>
                <w:rFonts w:ascii="宋体" w:hAnsi="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r>
              <w:rPr>
                <w:rFonts w:hint="eastAsia" w:ascii="宋体" w:hAnsi="宋体"/>
                <w:color w:val="auto"/>
                <w:szCs w:val="22"/>
                <w:highlight w:val="none"/>
              </w:rPr>
              <w:t>报价合计（包含税费等所有费用）：（大写）人民币</w:t>
            </w:r>
            <w:r>
              <w:rPr>
                <w:rFonts w:ascii="宋体" w:hAnsi="宋体"/>
                <w:color w:val="auto"/>
                <w:szCs w:val="22"/>
                <w:highlight w:val="none"/>
              </w:rPr>
              <w:t xml:space="preserve">                                       </w:t>
            </w:r>
            <w:r>
              <w:rPr>
                <w:rFonts w:hint="eastAsia" w:ascii="宋体" w:hAnsi="宋体"/>
                <w:color w:val="auto"/>
                <w:szCs w:val="22"/>
                <w:highlight w:val="none"/>
              </w:rPr>
              <w:t>（￥</w:t>
            </w:r>
            <w:r>
              <w:rPr>
                <w:rFonts w:ascii="宋体" w:hAnsi="宋体"/>
                <w:color w:val="auto"/>
                <w:szCs w:val="22"/>
                <w:highlight w:val="none"/>
              </w:rPr>
              <w:t xml:space="preserve">                </w:t>
            </w:r>
            <w:r>
              <w:rPr>
                <w:rFonts w:hint="eastAsia" w:ascii="宋体" w:hAnsi="宋体"/>
                <w:color w:val="auto"/>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auto"/>
                <w:szCs w:val="22"/>
                <w:highlight w:val="none"/>
              </w:rPr>
            </w:pPr>
            <w:r>
              <w:rPr>
                <w:rFonts w:hint="eastAsia" w:ascii="宋体" w:hAnsi="宋体"/>
                <w:color w:val="auto"/>
                <w:szCs w:val="22"/>
                <w:highlight w:val="none"/>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color w:val="auto"/>
                <w:szCs w:val="22"/>
                <w:highlight w:val="none"/>
              </w:rPr>
            </w:pPr>
            <w:r>
              <w:rPr>
                <w:rFonts w:hint="eastAsia" w:ascii="宋体" w:hAnsi="宋体"/>
                <w:color w:val="auto"/>
                <w:szCs w:val="22"/>
                <w:highlight w:val="none"/>
              </w:rPr>
              <w:t>优惠及其它：</w:t>
            </w:r>
          </w:p>
        </w:tc>
      </w:tr>
    </w:tbl>
    <w:p>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pPr>
        <w:snapToGrid w:val="0"/>
        <w:spacing w:before="50" w:after="50"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 供应商需按本表格式填写，不得自行更改，也不得留空, 如有多分标，按分标分别提供响应报价表</w:t>
      </w:r>
      <w:r>
        <w:rPr>
          <w:rFonts w:hint="eastAsia" w:ascii="仿宋_GB2312" w:hAnsi="仿宋" w:eastAsia="仿宋_GB2312" w:cs="仿宋_GB2312"/>
          <w:b/>
          <w:color w:val="auto"/>
          <w:kern w:val="0"/>
          <w:sz w:val="24"/>
          <w:highlight w:val="none"/>
          <w:lang w:val="zh-CN"/>
        </w:rPr>
        <w:t>。</w:t>
      </w:r>
    </w:p>
    <w:p>
      <w:pPr>
        <w:snapToGrid w:val="0"/>
        <w:spacing w:before="50" w:after="50" w:line="360" w:lineRule="auto"/>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2、如为联合体响应的，“供应商名称”处必须列明联合体各方名称，并标注联合体牵头人名称，且盖章处须加盖联合体各方公章，</w:t>
      </w:r>
      <w:r>
        <w:rPr>
          <w:rFonts w:hint="eastAsia" w:ascii="仿宋_GB2312" w:hAnsi="仿宋" w:eastAsia="仿宋_GB2312" w:cs="仿宋_GB2312"/>
          <w:b/>
          <w:color w:val="auto"/>
          <w:kern w:val="0"/>
          <w:sz w:val="24"/>
          <w:highlight w:val="none"/>
          <w:lang w:val="zh-CN"/>
        </w:rPr>
        <w:t>否则其响应作无效响应处理。</w:t>
      </w:r>
    </w:p>
    <w:p>
      <w:pPr>
        <w:snapToGrid w:val="0"/>
        <w:spacing w:before="50" w:after="50" w:line="360" w:lineRule="auto"/>
        <w:ind w:firstLine="480" w:firstLineChars="200"/>
        <w:jc w:val="left"/>
        <w:rPr>
          <w:rFonts w:hint="eastAsia" w:ascii="仿宋_GB2312" w:hAnsi="仿宋" w:eastAsia="仿宋_GB2312" w:cs="仿宋_GB2312"/>
          <w:b/>
          <w:color w:val="auto"/>
          <w:kern w:val="0"/>
          <w:sz w:val="24"/>
          <w:highlight w:val="none"/>
          <w:lang w:val="zh-CN"/>
        </w:rPr>
      </w:pPr>
      <w:r>
        <w:rPr>
          <w:rFonts w:hint="eastAsia" w:ascii="仿宋_GB2312" w:hAnsi="仿宋" w:eastAsia="仿宋_GB2312" w:cs="仿宋_GB2312"/>
          <w:color w:val="auto"/>
          <w:kern w:val="0"/>
          <w:sz w:val="24"/>
          <w:highlight w:val="none"/>
          <w:lang w:val="zh-CN"/>
        </w:rPr>
        <w:t>3、以上表格要求细分项目及报价，在“具体货物内容”一栏中，填写具体货物，</w:t>
      </w:r>
      <w:r>
        <w:rPr>
          <w:rFonts w:hint="eastAsia" w:ascii="仿宋_GB2312" w:hAnsi="仿宋" w:eastAsia="仿宋_GB2312" w:cs="仿宋_GB2312"/>
          <w:b/>
          <w:color w:val="auto"/>
          <w:kern w:val="0"/>
          <w:sz w:val="24"/>
          <w:highlight w:val="none"/>
          <w:lang w:val="zh-CN"/>
        </w:rPr>
        <w:t>否则其响应作无效响应处理。</w:t>
      </w:r>
    </w:p>
    <w:p>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4、特别提示：采购机构将对项目名称和项目编号，成交供应商名称、地址和成交金额，主要成交标的的名称、规格型号、数量、单价、货物要求等予以公示。</w:t>
      </w:r>
    </w:p>
    <w:p>
      <w:pPr>
        <w:snapToGrid w:val="0"/>
        <w:spacing w:line="360" w:lineRule="auto"/>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5、</w:t>
      </w:r>
      <w:r>
        <w:rPr>
          <w:rFonts w:hint="eastAsia" w:ascii="仿宋_GB2312" w:hAnsi="仿宋" w:eastAsia="仿宋_GB2312" w:cs="仿宋_GB2312"/>
          <w:color w:val="auto"/>
          <w:kern w:val="0"/>
          <w:sz w:val="24"/>
          <w:highlight w:val="none"/>
          <w:lang w:val="zh-CN"/>
        </w:rPr>
        <w:t>符合采购文件中列明的可享受中小企业扶持政策的供应商，请填写中小企业声明函。注：供应商</w:t>
      </w:r>
      <w:r>
        <w:rPr>
          <w:rFonts w:ascii="仿宋_GB2312" w:hAnsi="仿宋" w:eastAsia="仿宋_GB2312" w:cs="仿宋_GB2312"/>
          <w:color w:val="auto"/>
          <w:kern w:val="0"/>
          <w:sz w:val="24"/>
          <w:highlight w:val="none"/>
          <w:lang w:val="zh-CN"/>
        </w:rPr>
        <w:t>提供</w:t>
      </w:r>
      <w:r>
        <w:rPr>
          <w:rFonts w:hint="eastAsia" w:ascii="仿宋_GB2312" w:hAnsi="仿宋" w:eastAsia="仿宋_GB2312" w:cs="仿宋_GB2312"/>
          <w:color w:val="auto"/>
          <w:kern w:val="0"/>
          <w:sz w:val="24"/>
          <w:highlight w:val="none"/>
          <w:lang w:val="zh-CN"/>
        </w:rPr>
        <w:t>的中小企业</w:t>
      </w:r>
      <w:r>
        <w:rPr>
          <w:rFonts w:ascii="仿宋_GB2312" w:hAnsi="仿宋" w:eastAsia="仿宋_GB2312" w:cs="仿宋_GB2312"/>
          <w:color w:val="auto"/>
          <w:kern w:val="0"/>
          <w:sz w:val="24"/>
          <w:highlight w:val="none"/>
          <w:lang w:val="zh-CN"/>
        </w:rPr>
        <w:t>声明函内容不实的，属于提供虚假材料谋取中标、成交，依照《中华人民共和国政府采购法》等国家有关规定追究相应责任。</w:t>
      </w: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spacing w:line="360" w:lineRule="auto"/>
        <w:ind w:right="-817" w:rightChars="-389" w:firstLine="5461" w:firstLineChars="1700"/>
        <w:contextualSpacing/>
        <w:rPr>
          <w:rFonts w:hint="eastAsia" w:ascii="仿宋_GB2312" w:hAnsi="仿宋_GB2312" w:eastAsia="仿宋_GB2312" w:cs="仿宋_GB2312"/>
          <w:b/>
          <w:color w:val="auto"/>
          <w:sz w:val="32"/>
          <w:szCs w:val="32"/>
          <w:highlight w:val="none"/>
        </w:rPr>
      </w:pPr>
    </w:p>
    <w:p>
      <w:pPr>
        <w:pStyle w:val="13"/>
        <w:spacing w:line="500" w:lineRule="exact"/>
        <w:ind w:firstLine="602" w:firstLineChars="200"/>
        <w:rPr>
          <w:rFonts w:hint="eastAsia" w:ascii="仿宋" w:hAnsi="仿宋" w:eastAsia="仿宋" w:cs="仿宋_GB2312"/>
          <w:b/>
          <w:color w:val="auto"/>
          <w:kern w:val="2"/>
          <w:sz w:val="30"/>
          <w:szCs w:val="30"/>
          <w:highlight w:val="none"/>
          <w:lang w:val="en-US" w:eastAsia="zh-CN"/>
        </w:rPr>
      </w:pPr>
      <w:r>
        <w:rPr>
          <w:rFonts w:hint="eastAsia" w:ascii="仿宋" w:hAnsi="仿宋" w:eastAsia="仿宋" w:cs="仿宋_GB2312"/>
          <w:b/>
          <w:color w:val="auto"/>
          <w:kern w:val="2"/>
          <w:sz w:val="30"/>
          <w:szCs w:val="30"/>
          <w:highlight w:val="none"/>
          <w:lang w:val="en-US" w:eastAsia="zh-CN"/>
        </w:rPr>
        <w:t>三、中小企业声明函</w:t>
      </w:r>
    </w:p>
    <w:p>
      <w:pPr>
        <w:spacing w:line="300" w:lineRule="auto"/>
        <w:ind w:firstLine="2200" w:firstLineChars="500"/>
        <w:rPr>
          <w:rFonts w:hint="eastAsia"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z w:val="44"/>
          <w:szCs w:val="44"/>
          <w:highlight w:val="none"/>
        </w:rPr>
        <w:t>中小企业声明函（</w:t>
      </w:r>
      <w:r>
        <w:rPr>
          <w:rFonts w:hint="eastAsia" w:ascii="方正小标宋简体" w:hAnsi="方正小标宋简体" w:eastAsia="方正小标宋简体" w:cs="方正小标宋简体"/>
          <w:color w:val="auto"/>
          <w:sz w:val="44"/>
          <w:szCs w:val="44"/>
          <w:highlight w:val="none"/>
        </w:rPr>
        <w:t>货物</w:t>
      </w:r>
      <w:r>
        <w:rPr>
          <w:rFonts w:ascii="方正小标宋简体" w:hAnsi="方正小标宋简体" w:eastAsia="方正小标宋简体" w:cs="方正小标宋简体"/>
          <w:color w:val="auto"/>
          <w:sz w:val="44"/>
          <w:szCs w:val="44"/>
          <w:highlight w:val="none"/>
        </w:rPr>
        <w:t>）</w:t>
      </w:r>
    </w:p>
    <w:p>
      <w:pPr>
        <w:pStyle w:val="2"/>
        <w:spacing w:after="0" w:line="360" w:lineRule="auto"/>
        <w:ind w:left="-426" w:right="142" w:firstLine="640"/>
        <w:contextualSpacing/>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pPr>
        <w:tabs>
          <w:tab w:val="left" w:pos="1065"/>
          <w:tab w:val="left" w:pos="6477"/>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pPr>
        <w:pStyle w:val="2"/>
        <w:spacing w:after="0" w:line="360" w:lineRule="auto"/>
        <w:ind w:left="142" w:right="142"/>
        <w:contextualSpacing/>
        <w:rPr>
          <w:rFonts w:ascii="宋体" w:hAnsi="宋体"/>
          <w:color w:val="auto"/>
          <w:sz w:val="24"/>
          <w:highlight w:val="none"/>
        </w:rPr>
      </w:pPr>
      <w:r>
        <w:rPr>
          <w:rFonts w:ascii="宋体" w:hAnsi="宋体"/>
          <w:color w:val="auto"/>
          <w:sz w:val="24"/>
          <w:highlight w:val="none"/>
        </w:rPr>
        <w:t xml:space="preserve">…… </w:t>
      </w:r>
    </w:p>
    <w:p>
      <w:pPr>
        <w:pStyle w:val="2"/>
        <w:spacing w:after="0" w:line="360" w:lineRule="auto"/>
        <w:ind w:left="-405" w:leftChars="-193" w:right="142" w:firstLine="453" w:firstLineChars="189"/>
        <w:contextualSpacing/>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pPr>
        <w:pStyle w:val="2"/>
        <w:spacing w:after="0" w:line="360" w:lineRule="auto"/>
        <w:ind w:left="-426" w:right="142" w:firstLine="567"/>
        <w:contextualSpacing/>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pPr>
        <w:pStyle w:val="2"/>
        <w:spacing w:after="0" w:line="360" w:lineRule="auto"/>
        <w:ind w:left="3960" w:right="1808"/>
        <w:contextualSpacing/>
        <w:rPr>
          <w:rFonts w:hint="eastAsia" w:ascii="宋体" w:hAnsi="宋体"/>
          <w:color w:val="auto"/>
          <w:sz w:val="24"/>
          <w:highlight w:val="none"/>
        </w:rPr>
      </w:pPr>
    </w:p>
    <w:p>
      <w:pPr>
        <w:autoSpaceDE w:val="0"/>
        <w:autoSpaceDN w:val="0"/>
        <w:spacing w:line="360" w:lineRule="auto"/>
        <w:ind w:left="4335" w:leftChars="1950" w:hanging="240" w:hangingChars="1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pStyle w:val="2"/>
        <w:spacing w:after="0" w:line="360" w:lineRule="auto"/>
        <w:ind w:left="3960" w:right="1808"/>
        <w:contextualSpacing/>
        <w:rPr>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cs="仿宋_GB2312"/>
          <w:color w:val="auto"/>
          <w:sz w:val="24"/>
          <w:highlight w:val="none"/>
          <w:lang w:eastAsia="zh-CN"/>
        </w:rPr>
      </w:pPr>
      <w:r>
        <w:rPr>
          <w:rFonts w:hint="eastAsia" w:ascii="宋体" w:hAnsi="宋体" w:cs="仿宋_GB2312"/>
          <w:color w:val="auto"/>
          <w:sz w:val="24"/>
          <w:highlight w:val="none"/>
        </w:rPr>
        <w:t>注：</w:t>
      </w:r>
      <w:r>
        <w:rPr>
          <w:rFonts w:hint="eastAsia" w:ascii="宋体" w:hAnsi="宋体" w:cs="仿宋_GB2312"/>
          <w:color w:val="auto"/>
          <w:sz w:val="24"/>
          <w:highlight w:val="none"/>
          <w:lang w:val="en-US" w:eastAsia="zh-CN"/>
        </w:rPr>
        <w:t>1、</w:t>
      </w:r>
      <w:r>
        <w:rPr>
          <w:rFonts w:hint="eastAsia" w:ascii="宋体" w:hAnsi="宋体" w:cs="仿宋_GB2312"/>
          <w:color w:val="auto"/>
          <w:sz w:val="24"/>
          <w:highlight w:val="none"/>
        </w:rPr>
        <w:t>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jc w:val="left"/>
        <w:textAlignment w:val="auto"/>
        <w:rPr>
          <w:rFonts w:hint="eastAsia" w:ascii="宋体" w:hAnsi="宋体" w:eastAsia="宋体" w:cs="仿宋_GB2312"/>
          <w:color w:val="auto"/>
          <w:sz w:val="24"/>
          <w:highlight w:val="none"/>
          <w:lang w:eastAsia="zh-CN"/>
        </w:rPr>
        <w:sectPr>
          <w:pgSz w:w="11906" w:h="16838"/>
          <w:pgMar w:top="1134" w:right="1134" w:bottom="1134" w:left="1134" w:header="720" w:footer="720" w:gutter="0"/>
          <w:cols w:space="720" w:num="1"/>
          <w:docGrid w:type="lines" w:linePitch="331" w:charSpace="0"/>
        </w:sectPr>
      </w:pPr>
      <w:r>
        <w:rPr>
          <w:rFonts w:hint="eastAsia" w:ascii="宋体" w:hAnsi="宋体" w:cs="仿宋_GB2312"/>
          <w:color w:val="auto"/>
          <w:sz w:val="24"/>
          <w:highlight w:val="none"/>
        </w:rPr>
        <w:t>2、请根据自己的真实情况出具《中小企业声明函》</w:t>
      </w:r>
      <w:r>
        <w:rPr>
          <w:rFonts w:hint="eastAsia" w:ascii="宋体" w:hAnsi="宋体" w:cs="仿宋_GB2312"/>
          <w:color w:val="auto"/>
          <w:sz w:val="24"/>
          <w:highlight w:val="none"/>
          <w:lang w:eastAsia="zh-CN"/>
        </w:rPr>
        <w:t>，</w:t>
      </w:r>
      <w:r>
        <w:rPr>
          <w:rFonts w:hint="eastAsia" w:ascii="宋体" w:hAnsi="宋体" w:cs="仿宋_GB2312"/>
          <w:color w:val="auto"/>
          <w:sz w:val="24"/>
          <w:highlight w:val="none"/>
          <w:lang w:val="zh-CN" w:eastAsia="zh-CN"/>
        </w:rPr>
        <w:t>按本表格式填写，不得自行更改</w:t>
      </w:r>
      <w:r>
        <w:rPr>
          <w:rFonts w:hint="eastAsia" w:ascii="宋体" w:hAnsi="宋体" w:cs="仿宋_GB2312"/>
          <w:color w:val="auto"/>
          <w:sz w:val="24"/>
          <w:highlight w:val="none"/>
        </w:rPr>
        <w:t>。依法享受中小企业优惠政策的，采购人、采购代理机构应当随成交结果公开成交供应商的《中小企业声明函》，接受社会监督</w:t>
      </w:r>
      <w:r>
        <w:rPr>
          <w:rFonts w:hint="eastAsia" w:ascii="宋体" w:hAnsi="宋体" w:cs="仿宋_GB2312"/>
          <w:color w:val="auto"/>
          <w:sz w:val="24"/>
          <w:highlight w:val="none"/>
          <w:lang w:eastAsia="zh-CN"/>
        </w:rPr>
        <w:t>。</w:t>
      </w:r>
    </w:p>
    <w:p>
      <w:pPr>
        <w:pStyle w:val="4"/>
        <w:jc w:val="center"/>
        <w:rPr>
          <w:rFonts w:ascii="宋体" w:hAnsi="宋体"/>
          <w:b w:val="0"/>
          <w:color w:val="auto"/>
          <w:highlight w:val="none"/>
        </w:rPr>
      </w:pPr>
      <w:bookmarkStart w:id="78" w:name="_Toc80205942"/>
      <w:r>
        <w:rPr>
          <w:rFonts w:hint="eastAsia" w:ascii="宋体" w:hAnsi="宋体"/>
          <w:color w:val="auto"/>
          <w:highlight w:val="none"/>
          <w:lang w:val="en-US" w:eastAsia="zh-CN"/>
        </w:rPr>
        <w:t>第四节 其他文书、文件格式</w:t>
      </w:r>
      <w:bookmarkEnd w:id="78"/>
    </w:p>
    <w:p>
      <w:pPr>
        <w:spacing w:line="320" w:lineRule="exact"/>
        <w:jc w:val="center"/>
        <w:rPr>
          <w:rFonts w:hint="eastAsia" w:ascii="宋体" w:hAnsi="宋体" w:eastAsia="宋体" w:cs="Times New Roman"/>
          <w:b/>
          <w:color w:val="auto"/>
          <w:sz w:val="32"/>
          <w:szCs w:val="32"/>
          <w:highlight w:val="none"/>
          <w:lang w:val="en"/>
        </w:rPr>
      </w:pPr>
      <w:r>
        <w:rPr>
          <w:rFonts w:hint="eastAsia" w:ascii="宋体" w:hAnsi="宋体" w:eastAsia="宋体" w:cs="Times New Roman"/>
          <w:b/>
          <w:color w:val="auto"/>
          <w:sz w:val="32"/>
          <w:szCs w:val="32"/>
          <w:highlight w:val="none"/>
          <w:lang w:val="en"/>
        </w:rPr>
        <w:t>知识产权合规性声明</w:t>
      </w:r>
    </w:p>
    <w:p>
      <w:pPr>
        <w:spacing w:line="240" w:lineRule="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 xml:space="preserve">    </w:t>
      </w:r>
    </w:p>
    <w:p>
      <w:pPr>
        <w:spacing w:line="360" w:lineRule="auto"/>
        <w:rPr>
          <w:rFonts w:hint="eastAsia" w:ascii="仿宋_GB2312" w:hAnsi="仿宋_GB2312" w:eastAsia="仿宋_GB2312" w:cs="仿宋_GB2312"/>
          <w:color w:val="auto"/>
          <w:sz w:val="30"/>
          <w:szCs w:val="30"/>
          <w:highlight w:val="none"/>
          <w:lang w:val="en"/>
        </w:rPr>
      </w:pPr>
      <w:r>
        <w:rPr>
          <w:rFonts w:hint="eastAsia" w:ascii="仿宋_GB2312" w:hAnsi="仿宋_GB2312" w:eastAsia="仿宋_GB2312" w:cs="仿宋_GB2312"/>
          <w:color w:val="auto"/>
          <w:sz w:val="30"/>
          <w:szCs w:val="30"/>
          <w:highlight w:val="none"/>
        </w:rPr>
        <w:t xml:space="preserve">    </w:t>
      </w:r>
      <w:r>
        <w:rPr>
          <w:rFonts w:hint="eastAsia" w:ascii="仿宋_GB2312" w:hAnsi="仿宋_GB2312" w:eastAsia="仿宋_GB2312" w:cs="仿宋_GB2312"/>
          <w:color w:val="auto"/>
          <w:sz w:val="30"/>
          <w:szCs w:val="30"/>
          <w:highlight w:val="none"/>
          <w:lang w:val="en"/>
        </w:rPr>
        <w:t>企业自愿参与政府投资政府采购的</w:t>
      </w:r>
      <w:r>
        <w:rPr>
          <w:rFonts w:hint="eastAsia" w:ascii="仿宋_GB2312" w:hAnsi="仿宋_GB2312" w:eastAsia="仿宋_GB2312" w:cs="仿宋_GB2312"/>
          <w:color w:val="auto"/>
          <w:sz w:val="30"/>
          <w:szCs w:val="30"/>
          <w:highlight w:val="none"/>
          <w:u w:val="single"/>
          <w:lang w:val="en-US" w:eastAsia="zh-CN"/>
        </w:rPr>
        <w:t xml:space="preserve">             项目</w:t>
      </w:r>
      <w:r>
        <w:rPr>
          <w:rFonts w:hint="eastAsia" w:ascii="仿宋_GB2312" w:hAnsi="仿宋_GB2312" w:eastAsia="仿宋_GB2312" w:cs="仿宋_GB2312"/>
          <w:color w:val="auto"/>
          <w:sz w:val="30"/>
          <w:szCs w:val="30"/>
          <w:highlight w:val="none"/>
          <w:lang w:val="en"/>
        </w:rPr>
        <w:t>，</w:t>
      </w:r>
      <w:r>
        <w:rPr>
          <w:rFonts w:hint="eastAsia" w:ascii="仿宋_GB2312" w:hAnsi="仿宋_GB2312" w:eastAsia="仿宋_GB2312" w:cs="仿宋_GB2312"/>
          <w:b/>
          <w:bCs/>
          <w:color w:val="auto"/>
          <w:sz w:val="30"/>
          <w:szCs w:val="30"/>
          <w:highlight w:val="none"/>
          <w:lang w:val="en"/>
        </w:rPr>
        <w:t>在此郑重承诺：</w:t>
      </w:r>
      <w:r>
        <w:rPr>
          <w:rFonts w:hint="eastAsia" w:ascii="仿宋_GB2312" w:hAnsi="仿宋_GB2312" w:eastAsia="仿宋_GB2312" w:cs="仿宋_GB2312"/>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napToGrid w:val="0"/>
        <w:spacing w:line="240" w:lineRule="auto"/>
        <w:ind w:left="5137" w:leftChars="1736" w:hanging="1491" w:hangingChars="825"/>
        <w:rPr>
          <w:rFonts w:hint="eastAsia" w:ascii="Times New Roman" w:hAnsi="Times New Roman" w:eastAsia="宋体" w:cs="Times New Roman"/>
          <w:b/>
          <w:color w:val="auto"/>
          <w:sz w:val="18"/>
          <w:szCs w:val="18"/>
          <w:highlight w:val="none"/>
        </w:rPr>
      </w:pPr>
      <w:r>
        <w:rPr>
          <w:rFonts w:hint="eastAsia" w:ascii="Times New Roman" w:hAnsi="Times New Roman" w:eastAsia="宋体" w:cs="Times New Roman"/>
          <w:b/>
          <w:color w:val="auto"/>
          <w:sz w:val="18"/>
          <w:szCs w:val="18"/>
          <w:highlight w:val="none"/>
        </w:rPr>
        <w:t xml:space="preserve">          </w:t>
      </w:r>
    </w:p>
    <w:p>
      <w:pPr>
        <w:snapToGrid w:val="0"/>
        <w:spacing w:line="240" w:lineRule="auto"/>
        <w:ind w:left="5137" w:leftChars="1736" w:hanging="1491" w:hangingChars="825"/>
        <w:rPr>
          <w:rFonts w:hint="eastAsia" w:ascii="Times New Roman" w:hAnsi="Times New Roman" w:eastAsia="宋体" w:cs="Times New Roman"/>
          <w:b/>
          <w:color w:val="auto"/>
          <w:sz w:val="18"/>
          <w:szCs w:val="18"/>
          <w:highlight w:val="none"/>
        </w:rPr>
      </w:pPr>
    </w:p>
    <w:p>
      <w:pPr>
        <w:snapToGrid w:val="0"/>
        <w:spacing w:line="240" w:lineRule="auto"/>
        <w:ind w:left="5137" w:leftChars="1736" w:hanging="1491" w:hangingChars="825"/>
        <w:rPr>
          <w:rFonts w:hint="eastAsia" w:ascii="Times New Roman" w:hAnsi="Times New Roman" w:eastAsia="宋体" w:cs="Times New Roman"/>
          <w:b/>
          <w:color w:val="auto"/>
          <w:sz w:val="18"/>
          <w:szCs w:val="18"/>
          <w:highlight w:val="none"/>
        </w:rPr>
      </w:pPr>
    </w:p>
    <w:p>
      <w:pPr>
        <w:autoSpaceDE w:val="0"/>
        <w:autoSpaceDN w:val="0"/>
        <w:spacing w:line="360" w:lineRule="auto"/>
        <w:ind w:left="4276" w:leftChars="1950" w:hanging="181" w:hangingChars="100"/>
        <w:rPr>
          <w:rFonts w:ascii="仿宋_GB2312" w:hAnsi="仿宋" w:eastAsia="仿宋_GB2312" w:cs="仿宋_GB2312"/>
          <w:color w:val="auto"/>
          <w:kern w:val="0"/>
          <w:sz w:val="24"/>
          <w:highlight w:val="none"/>
        </w:rPr>
      </w:pPr>
      <w:r>
        <w:rPr>
          <w:rFonts w:hint="eastAsia" w:ascii="Times New Roman" w:hAnsi="Times New Roman" w:eastAsia="宋体" w:cs="Times New Roman"/>
          <w:b/>
          <w:color w:val="auto"/>
          <w:sz w:val="18"/>
          <w:szCs w:val="18"/>
          <w:highlight w:val="none"/>
        </w:rPr>
        <w:t xml:space="preserve">      </w:t>
      </w:r>
      <w:r>
        <w:rPr>
          <w:rFonts w:hint="eastAsia" w:ascii="仿宋_GB2312" w:hAnsi="仿宋" w:eastAsia="仿宋_GB2312" w:cs="仿宋_GB2312"/>
          <w:color w:val="auto"/>
          <w:kern w:val="0"/>
          <w:sz w:val="24"/>
          <w:highlight w:val="none"/>
        </w:rPr>
        <w:t>供应商名称（电子签章）：</w:t>
      </w:r>
    </w:p>
    <w:p>
      <w:pPr>
        <w:autoSpaceDE w:val="0"/>
        <w:autoSpaceDN w:val="0"/>
        <w:spacing w:line="360" w:lineRule="auto"/>
        <w:ind w:firstLine="6480" w:firstLineChars="270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  年  月   日</w:t>
      </w:r>
    </w:p>
    <w:p>
      <w:pPr>
        <w:autoSpaceDE w:val="0"/>
        <w:autoSpaceDN w:val="0"/>
        <w:spacing w:line="360" w:lineRule="auto"/>
        <w:ind w:left="4335" w:leftChars="1950" w:hanging="240" w:hangingChars="100"/>
        <w:rPr>
          <w:rFonts w:hint="eastAsia" w:ascii="仿宋_GB2312" w:hAnsi="仿宋" w:eastAsia="仿宋_GB2312" w:cs="仿宋_GB2312"/>
          <w:color w:val="auto"/>
          <w:kern w:val="0"/>
          <w:sz w:val="24"/>
          <w:highlight w:val="none"/>
          <w:lang w:val="zh-CN"/>
        </w:rPr>
      </w:pPr>
    </w:p>
    <w:p>
      <w:pPr>
        <w:spacing w:line="520" w:lineRule="exact"/>
        <w:rPr>
          <w:rFonts w:ascii="宋体" w:hAnsi="宋体" w:cs="仿宋_GB2312"/>
          <w:color w:val="auto"/>
          <w:sz w:val="24"/>
          <w:highlight w:val="none"/>
        </w:rPr>
      </w:pPr>
    </w:p>
    <w:p>
      <w:pPr>
        <w:pStyle w:val="18"/>
        <w:rPr>
          <w:rFonts w:ascii="宋体" w:hAnsi="宋体" w:cs="仿宋_GB2312"/>
          <w:color w:val="auto"/>
          <w:sz w:val="24"/>
          <w:highlight w:val="none"/>
        </w:rPr>
      </w:pPr>
    </w:p>
    <w:p>
      <w:pPr>
        <w:rPr>
          <w:rFonts w:ascii="宋体" w:hAnsi="宋体" w:cs="仿宋_GB2312"/>
          <w:color w:val="auto"/>
          <w:sz w:val="24"/>
          <w:highlight w:val="none"/>
        </w:rPr>
      </w:pPr>
    </w:p>
    <w:p>
      <w:pPr>
        <w:pStyle w:val="18"/>
        <w:rPr>
          <w:rFonts w:ascii="宋体" w:hAnsi="宋体" w:cs="仿宋_GB2312"/>
          <w:color w:val="auto"/>
          <w:sz w:val="24"/>
          <w:highlight w:val="none"/>
        </w:rPr>
      </w:pPr>
    </w:p>
    <w:p>
      <w:pPr>
        <w:rPr>
          <w:rFonts w:ascii="宋体" w:hAnsi="宋体" w:cs="仿宋_GB2312"/>
          <w:color w:val="auto"/>
          <w:sz w:val="24"/>
          <w:highlight w:val="none"/>
        </w:rPr>
      </w:pPr>
    </w:p>
    <w:p>
      <w:pPr>
        <w:pStyle w:val="18"/>
        <w:rPr>
          <w:rFonts w:ascii="宋体" w:hAnsi="宋体" w:cs="仿宋_GB2312"/>
          <w:color w:val="auto"/>
          <w:sz w:val="24"/>
          <w:highlight w:val="none"/>
        </w:rPr>
      </w:pPr>
    </w:p>
    <w:p>
      <w:pPr>
        <w:rPr>
          <w:rFonts w:ascii="宋体" w:hAnsi="宋体" w:cs="仿宋_GB2312"/>
          <w:color w:val="auto"/>
          <w:sz w:val="24"/>
          <w:highlight w:val="none"/>
        </w:rPr>
      </w:pPr>
    </w:p>
    <w:p>
      <w:pPr>
        <w:pStyle w:val="18"/>
        <w:rPr>
          <w:rFonts w:ascii="宋体" w:hAnsi="宋体" w:cs="仿宋_GB2312"/>
          <w:color w:val="auto"/>
          <w:sz w:val="24"/>
          <w:highlight w:val="none"/>
        </w:rPr>
      </w:pPr>
    </w:p>
    <w:p>
      <w:pPr>
        <w:rPr>
          <w:rFonts w:ascii="宋体" w:hAnsi="宋体" w:cs="仿宋_GB2312"/>
          <w:color w:val="auto"/>
          <w:sz w:val="24"/>
          <w:highlight w:val="none"/>
        </w:rPr>
      </w:pPr>
    </w:p>
    <w:p>
      <w:pPr>
        <w:pStyle w:val="18"/>
        <w:rPr>
          <w:rFonts w:ascii="宋体" w:hAnsi="宋体" w:cs="仿宋_GB2312"/>
          <w:color w:val="auto"/>
          <w:sz w:val="24"/>
          <w:highlight w:val="none"/>
        </w:rPr>
      </w:pPr>
    </w:p>
    <w:p>
      <w:pPr>
        <w:rPr>
          <w:rFonts w:ascii="宋体" w:hAnsi="宋体" w:cs="仿宋_GB2312"/>
          <w:color w:val="auto"/>
          <w:sz w:val="24"/>
          <w:highlight w:val="none"/>
        </w:rPr>
      </w:pPr>
    </w:p>
    <w:p>
      <w:pPr>
        <w:pStyle w:val="18"/>
        <w:rPr>
          <w:rFonts w:ascii="宋体" w:hAnsi="宋体" w:cs="仿宋_GB2312"/>
          <w:color w:val="auto"/>
          <w:sz w:val="24"/>
          <w:highlight w:val="none"/>
        </w:rPr>
      </w:pPr>
    </w:p>
    <w:p>
      <w:pPr>
        <w:rPr>
          <w:rFonts w:ascii="宋体" w:hAnsi="宋体" w:cs="仿宋_GB2312"/>
          <w:color w:val="auto"/>
          <w:sz w:val="24"/>
          <w:highlight w:val="none"/>
        </w:rPr>
      </w:pPr>
    </w:p>
    <w:p>
      <w:pPr>
        <w:pStyle w:val="18"/>
        <w:rPr>
          <w:rFonts w:ascii="宋体" w:hAnsi="宋体" w:cs="仿宋_GB2312"/>
          <w:color w:val="auto"/>
          <w:sz w:val="24"/>
          <w:highlight w:val="none"/>
        </w:rPr>
      </w:pPr>
    </w:p>
    <w:p>
      <w:pPr>
        <w:rPr>
          <w:rFonts w:ascii="宋体" w:hAnsi="宋体" w:cs="仿宋_GB2312"/>
          <w:color w:val="auto"/>
          <w:sz w:val="24"/>
          <w:highlight w:val="none"/>
        </w:rPr>
      </w:pPr>
    </w:p>
    <w:p>
      <w:pPr>
        <w:pStyle w:val="18"/>
        <w:rPr>
          <w:rFonts w:ascii="宋体" w:hAnsi="宋体" w:cs="仿宋_GB2312"/>
          <w:color w:val="auto"/>
          <w:sz w:val="24"/>
          <w:highlight w:val="none"/>
        </w:rPr>
      </w:pPr>
    </w:p>
    <w:p>
      <w:pPr>
        <w:rPr>
          <w:rFonts w:ascii="宋体" w:hAnsi="宋体" w:cs="仿宋_GB2312"/>
          <w:color w:val="auto"/>
          <w:sz w:val="24"/>
          <w:highlight w:val="none"/>
        </w:rPr>
      </w:pPr>
    </w:p>
    <w:p>
      <w:pPr>
        <w:pStyle w:val="18"/>
        <w:rPr>
          <w:color w:val="auto"/>
          <w:highlight w:val="none"/>
        </w:rPr>
      </w:pPr>
    </w:p>
    <w:p>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残疾人福利性单位声明函</w:t>
      </w:r>
    </w:p>
    <w:p>
      <w:pPr>
        <w:spacing w:line="520" w:lineRule="exact"/>
        <w:rPr>
          <w:rFonts w:hint="eastAsia" w:ascii="仿宋_GB2312" w:hAnsi="仿宋_GB2312" w:eastAsia="仿宋_GB2312" w:cs="仿宋_GB2312"/>
          <w:color w:val="auto"/>
          <w:sz w:val="32"/>
          <w:szCs w:val="32"/>
          <w:highlight w:val="none"/>
        </w:rPr>
      </w:pP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ind w:firstLine="2400" w:firstLineChars="10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供应商名称（电子签章）：</w:t>
      </w:r>
    </w:p>
    <w:p>
      <w:pPr>
        <w:spacing w:line="360" w:lineRule="auto"/>
        <w:ind w:firstLine="4320" w:firstLineChars="18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     年   月   日</w:t>
      </w: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contextualSpacing/>
        <w:rPr>
          <w:rFonts w:hint="eastAsia" w:ascii="宋体" w:hAnsi="宋体" w:cs="仿宋_GB2312"/>
          <w:color w:val="auto"/>
          <w:sz w:val="24"/>
          <w:highlight w:val="none"/>
        </w:rPr>
      </w:pPr>
    </w:p>
    <w:p>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520" w:lineRule="exact"/>
        <w:jc w:val="center"/>
        <w:rPr>
          <w:rFonts w:ascii="宋体" w:hAnsi="宋体"/>
          <w:color w:val="auto"/>
          <w:sz w:val="24"/>
          <w:highlight w:val="none"/>
        </w:rPr>
      </w:pPr>
    </w:p>
    <w:p>
      <w:pPr>
        <w:spacing w:line="360" w:lineRule="auto"/>
        <w:jc w:val="center"/>
        <w:rPr>
          <w:rFonts w:hint="eastAsia" w:ascii="宋体" w:hAnsi="宋体"/>
          <w:b/>
          <w:bCs/>
          <w:color w:val="auto"/>
          <w:sz w:val="44"/>
          <w:szCs w:val="44"/>
          <w:highlight w:val="none"/>
        </w:rPr>
      </w:pPr>
    </w:p>
    <w:p>
      <w:pPr>
        <w:spacing w:line="360" w:lineRule="auto"/>
        <w:jc w:val="center"/>
        <w:rPr>
          <w:rFonts w:hint="eastAsia" w:ascii="宋体" w:hAnsi="宋体"/>
          <w:b/>
          <w:bCs/>
          <w:color w:val="auto"/>
          <w:sz w:val="44"/>
          <w:szCs w:val="44"/>
          <w:highlight w:val="none"/>
        </w:rPr>
      </w:pPr>
    </w:p>
    <w:p>
      <w:pPr>
        <w:spacing w:line="360" w:lineRule="auto"/>
        <w:jc w:val="center"/>
        <w:rPr>
          <w:rFonts w:hint="eastAsia" w:ascii="宋体" w:hAnsi="宋体"/>
          <w:b/>
          <w:bCs/>
          <w:color w:val="auto"/>
          <w:sz w:val="44"/>
          <w:szCs w:val="44"/>
          <w:highlight w:val="none"/>
        </w:rPr>
      </w:pPr>
    </w:p>
    <w:p>
      <w:pPr>
        <w:spacing w:line="360" w:lineRule="auto"/>
        <w:jc w:val="center"/>
        <w:rPr>
          <w:rFonts w:hint="eastAsia" w:ascii="宋体" w:hAnsi="宋体"/>
          <w:b/>
          <w:bCs/>
          <w:color w:val="auto"/>
          <w:sz w:val="44"/>
          <w:szCs w:val="44"/>
          <w:highlight w:val="none"/>
        </w:rPr>
      </w:pPr>
    </w:p>
    <w:p>
      <w:pPr>
        <w:spacing w:line="360" w:lineRule="auto"/>
        <w:jc w:val="center"/>
        <w:rPr>
          <w:rFonts w:hint="eastAsia" w:ascii="宋体" w:hAnsi="宋体"/>
          <w:b/>
          <w:bCs/>
          <w:color w:val="auto"/>
          <w:sz w:val="44"/>
          <w:szCs w:val="44"/>
          <w:highlight w:val="none"/>
        </w:rPr>
      </w:pPr>
    </w:p>
    <w:p>
      <w:pPr>
        <w:spacing w:line="360" w:lineRule="auto"/>
        <w:jc w:val="center"/>
        <w:rPr>
          <w:rFonts w:hint="eastAsia" w:ascii="宋体" w:hAnsi="宋体"/>
          <w:b/>
          <w:bCs/>
          <w:color w:val="auto"/>
          <w:sz w:val="44"/>
          <w:szCs w:val="44"/>
          <w:highlight w:val="none"/>
        </w:rPr>
      </w:pPr>
    </w:p>
    <w:p>
      <w:pPr>
        <w:pStyle w:val="3"/>
        <w:jc w:val="center"/>
        <w:rPr>
          <w:rFonts w:hint="eastAsia" w:ascii="仿宋_GB2312" w:hAnsi="楷体" w:eastAsia="仿宋_GB2312"/>
          <w:color w:val="auto"/>
          <w:sz w:val="24"/>
          <w:highlight w:val="none"/>
          <w:u w:val="single"/>
        </w:rPr>
      </w:pPr>
      <w:bookmarkStart w:id="79" w:name="_Toc80205943"/>
      <w:r>
        <w:rPr>
          <w:rFonts w:hint="eastAsia" w:ascii="宋体" w:hAnsi="宋体"/>
          <w:b w:val="0"/>
          <w:bCs w:val="0"/>
          <w:color w:val="auto"/>
          <w:highlight w:val="none"/>
        </w:rPr>
        <w:t xml:space="preserve">第六章 </w:t>
      </w:r>
      <w:r>
        <w:rPr>
          <w:rFonts w:ascii="宋体" w:hAnsi="宋体"/>
          <w:b w:val="0"/>
          <w:bCs w:val="0"/>
          <w:color w:val="auto"/>
          <w:highlight w:val="none"/>
        </w:rPr>
        <w:t xml:space="preserve"> </w:t>
      </w:r>
      <w:r>
        <w:rPr>
          <w:rFonts w:hint="eastAsia" w:ascii="宋体" w:hAnsi="宋体"/>
          <w:b w:val="0"/>
          <w:bCs w:val="0"/>
          <w:color w:val="auto"/>
          <w:highlight w:val="none"/>
        </w:rPr>
        <w:t>合同文本</w:t>
      </w:r>
      <w:bookmarkEnd w:id="79"/>
      <w:r>
        <w:rPr>
          <w:rFonts w:ascii="宋体" w:hAnsi="宋体"/>
          <w:b w:val="0"/>
          <w:bCs w:val="0"/>
          <w:color w:val="auto"/>
          <w:highlight w:val="none"/>
        </w:rPr>
        <w:br w:type="page"/>
      </w:r>
    </w:p>
    <w:p>
      <w:pPr>
        <w:spacing w:line="360" w:lineRule="auto"/>
        <w:rPr>
          <w:rFonts w:hint="eastAsia" w:ascii="宋体" w:hAnsi="宋体"/>
          <w:b/>
          <w:bCs/>
          <w:color w:val="auto"/>
          <w:highlight w:val="none"/>
        </w:rPr>
      </w:pPr>
      <w:r>
        <w:rPr>
          <w:rFonts w:hint="eastAsia" w:ascii="仿宋_GB2312" w:hAnsi="楷体" w:eastAsia="仿宋_GB2312"/>
          <w:color w:val="auto"/>
          <w:sz w:val="24"/>
          <w:highlight w:val="none"/>
        </w:rPr>
        <w:t>“政采云”平台合同编号：</w:t>
      </w:r>
    </w:p>
    <w:p>
      <w:pPr>
        <w:spacing w:line="360" w:lineRule="auto"/>
        <w:jc w:val="center"/>
        <w:rPr>
          <w:rFonts w:hint="eastAsia" w:ascii="宋体"/>
          <w:b/>
          <w:bCs/>
          <w:color w:val="auto"/>
          <w:sz w:val="52"/>
          <w:highlight w:val="none"/>
        </w:rPr>
      </w:pPr>
      <w:r>
        <w:rPr>
          <w:rFonts w:hint="eastAsia" w:ascii="宋体"/>
          <w:b/>
          <w:bCs/>
          <w:color w:val="auto"/>
          <w:sz w:val="52"/>
          <w:highlight w:val="none"/>
        </w:rPr>
        <w:t>南宁市</w:t>
      </w:r>
      <w:r>
        <w:rPr>
          <w:rFonts w:hint="eastAsia" w:ascii="宋体"/>
          <w:b/>
          <w:bCs/>
          <w:color w:val="auto"/>
          <w:sz w:val="52"/>
          <w:highlight w:val="none"/>
          <w:lang w:eastAsia="zh-CN"/>
        </w:rPr>
        <w:t>江南区</w:t>
      </w:r>
      <w:r>
        <w:rPr>
          <w:rFonts w:hint="eastAsia" w:ascii="宋体"/>
          <w:b/>
          <w:bCs/>
          <w:color w:val="auto"/>
          <w:sz w:val="52"/>
          <w:highlight w:val="none"/>
        </w:rPr>
        <w:t>政府采购</w:t>
      </w:r>
    </w:p>
    <w:p>
      <w:pPr>
        <w:spacing w:line="360" w:lineRule="auto"/>
        <w:ind w:firstLine="420" w:firstLineChars="200"/>
        <w:rPr>
          <w:rFonts w:hint="eastAsia" w:ascii="宋体"/>
          <w:color w:val="auto"/>
          <w:highlight w:val="none"/>
        </w:rPr>
      </w:pPr>
    </w:p>
    <w:p>
      <w:pPr>
        <w:spacing w:line="360" w:lineRule="auto"/>
        <w:ind w:firstLine="420" w:firstLineChars="200"/>
        <w:rPr>
          <w:rFonts w:hint="eastAsia" w:ascii="宋体"/>
          <w:color w:val="auto"/>
          <w:highlight w:val="none"/>
        </w:rPr>
      </w:pPr>
      <w:r>
        <w:rPr>
          <w:rFonts w:hint="eastAsia" w:ascii="宋体"/>
          <w:color w:val="auto"/>
          <w:highlight w:val="none"/>
        </w:rPr>
        <w:t xml:space="preserve">                                                 </w:t>
      </w:r>
    </w:p>
    <w:p>
      <w:pPr>
        <w:spacing w:line="360" w:lineRule="auto"/>
        <w:jc w:val="center"/>
        <w:rPr>
          <w:rFonts w:hint="eastAsia" w:ascii="宋体"/>
          <w:b/>
          <w:bCs/>
          <w:color w:val="auto"/>
          <w:sz w:val="44"/>
          <w:highlight w:val="none"/>
        </w:rPr>
      </w:pPr>
      <w:r>
        <w:rPr>
          <w:rFonts w:hint="eastAsia" w:ascii="宋体"/>
          <w:b/>
          <w:bCs/>
          <w:color w:val="auto"/>
          <w:sz w:val="44"/>
          <w:highlight w:val="none"/>
          <w:u w:val="single"/>
        </w:rPr>
        <w:t xml:space="preserve">         （项目名称）         </w:t>
      </w:r>
      <w:r>
        <w:rPr>
          <w:rFonts w:hint="eastAsia" w:ascii="宋体"/>
          <w:b/>
          <w:bCs/>
          <w:color w:val="auto"/>
          <w:sz w:val="44"/>
          <w:highlight w:val="none"/>
        </w:rPr>
        <w:t>合同</w:t>
      </w:r>
    </w:p>
    <w:p>
      <w:pPr>
        <w:spacing w:line="360" w:lineRule="auto"/>
        <w:jc w:val="center"/>
        <w:rPr>
          <w:rFonts w:hint="eastAsia" w:ascii="宋体"/>
          <w:b/>
          <w:bCs/>
          <w:color w:val="auto"/>
          <w:sz w:val="44"/>
          <w:highlight w:val="none"/>
        </w:rPr>
      </w:pPr>
    </w:p>
    <w:p>
      <w:pPr>
        <w:spacing w:line="360" w:lineRule="auto"/>
        <w:ind w:firstLine="3507" w:firstLineChars="794"/>
        <w:rPr>
          <w:rFonts w:hint="eastAsia" w:ascii="宋体"/>
          <w:b/>
          <w:bCs/>
          <w:color w:val="auto"/>
          <w:sz w:val="44"/>
          <w:highlight w:val="none"/>
        </w:rPr>
      </w:pPr>
    </w:p>
    <w:p>
      <w:pPr>
        <w:spacing w:line="360" w:lineRule="auto"/>
        <w:ind w:firstLine="3507" w:firstLineChars="794"/>
        <w:rPr>
          <w:rFonts w:hint="eastAsia" w:ascii="宋体"/>
          <w:b/>
          <w:bCs/>
          <w:color w:val="auto"/>
          <w:sz w:val="44"/>
          <w:highlight w:val="none"/>
        </w:rPr>
      </w:pPr>
    </w:p>
    <w:p>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采购项目编号：</w:t>
      </w:r>
      <w:r>
        <w:rPr>
          <w:rFonts w:hint="eastAsia" w:ascii="宋体" w:hAnsi="宋体"/>
          <w:b/>
          <w:color w:val="auto"/>
          <w:sz w:val="36"/>
          <w:szCs w:val="36"/>
          <w:highlight w:val="none"/>
          <w:u w:val="single"/>
        </w:rPr>
        <w:t xml:space="preserve">                     </w:t>
      </w:r>
    </w:p>
    <w:p>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采购计划编号：</w:t>
      </w:r>
      <w:r>
        <w:rPr>
          <w:rFonts w:hint="eastAsia" w:ascii="宋体" w:hAnsi="宋体"/>
          <w:b/>
          <w:color w:val="auto"/>
          <w:sz w:val="36"/>
          <w:szCs w:val="36"/>
          <w:highlight w:val="none"/>
          <w:u w:val="single"/>
        </w:rPr>
        <w:t xml:space="preserve">                     </w:t>
      </w:r>
    </w:p>
    <w:p>
      <w:pPr>
        <w:ind w:firstLine="1308" w:firstLineChars="545"/>
        <w:rPr>
          <w:rFonts w:hint="eastAsia" w:ascii="宋体" w:hAnsi="宋体" w:cs="宋体"/>
          <w:color w:val="auto"/>
          <w:sz w:val="24"/>
          <w:highlight w:val="none"/>
        </w:rPr>
      </w:pPr>
    </w:p>
    <w:p>
      <w:pPr>
        <w:ind w:firstLine="1995" w:firstLineChars="552"/>
        <w:rPr>
          <w:rFonts w:hint="eastAsia" w:ascii="宋体" w:hAnsi="宋体"/>
          <w:b/>
          <w:color w:val="auto"/>
          <w:sz w:val="36"/>
          <w:szCs w:val="36"/>
          <w:highlight w:val="none"/>
          <w:u w:val="single"/>
        </w:rPr>
      </w:pPr>
    </w:p>
    <w:p>
      <w:pPr>
        <w:ind w:firstLine="1995" w:firstLineChars="552"/>
        <w:rPr>
          <w:rFonts w:hint="eastAsia" w:ascii="宋体" w:hAnsi="宋体"/>
          <w:b/>
          <w:color w:val="auto"/>
          <w:sz w:val="36"/>
          <w:szCs w:val="36"/>
          <w:highlight w:val="none"/>
          <w:u w:val="single"/>
        </w:rPr>
      </w:pPr>
    </w:p>
    <w:p>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p>
    <w:p>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u w:val="single"/>
        </w:rPr>
        <w:t xml:space="preserve">                   </w:t>
      </w:r>
    </w:p>
    <w:p>
      <w:pPr>
        <w:tabs>
          <w:tab w:val="left" w:pos="7380"/>
        </w:tabs>
        <w:spacing w:line="360" w:lineRule="auto"/>
        <w:rPr>
          <w:rFonts w:hint="eastAsia" w:ascii="宋体"/>
          <w:b/>
          <w:bCs/>
          <w:color w:val="auto"/>
          <w:sz w:val="44"/>
          <w:highlight w:val="none"/>
        </w:rPr>
      </w:pPr>
    </w:p>
    <w:p>
      <w:pPr>
        <w:snapToGrid w:val="0"/>
        <w:spacing w:line="360" w:lineRule="auto"/>
        <w:jc w:val="center"/>
        <w:rPr>
          <w:rFonts w:hint="eastAsia" w:ascii="宋体"/>
          <w:b/>
          <w:bCs/>
          <w:color w:val="auto"/>
          <w:sz w:val="44"/>
          <w:highlight w:val="none"/>
        </w:rPr>
      </w:pPr>
    </w:p>
    <w:p>
      <w:pPr>
        <w:tabs>
          <w:tab w:val="left" w:pos="7380"/>
        </w:tabs>
        <w:spacing w:line="360" w:lineRule="auto"/>
        <w:jc w:val="center"/>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签订时间：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p>
    <w:p>
      <w:pPr>
        <w:snapToGrid w:val="0"/>
        <w:spacing w:line="360" w:lineRule="auto"/>
        <w:jc w:val="center"/>
        <w:rPr>
          <w:rFonts w:hint="eastAsia" w:ascii="仿宋_GB2312" w:hAnsi="楷体" w:eastAsia="仿宋_GB2312"/>
          <w:b/>
          <w:color w:val="auto"/>
          <w:sz w:val="24"/>
          <w:highlight w:val="none"/>
        </w:rPr>
      </w:pPr>
      <w:r>
        <w:rPr>
          <w:rFonts w:hint="eastAsia" w:ascii="宋体"/>
          <w:b/>
          <w:bCs/>
          <w:color w:val="auto"/>
          <w:sz w:val="44"/>
          <w:highlight w:val="none"/>
        </w:rPr>
        <w:br w:type="page"/>
      </w:r>
      <w:r>
        <w:rPr>
          <w:rFonts w:hint="eastAsia" w:ascii="仿宋_GB2312" w:hAnsi="楷体" w:eastAsia="仿宋_GB2312"/>
          <w:b/>
          <w:color w:val="auto"/>
          <w:sz w:val="24"/>
          <w:highlight w:val="none"/>
        </w:rPr>
        <w:t>合同目录</w:t>
      </w:r>
    </w:p>
    <w:p>
      <w:pPr>
        <w:snapToGrid w:val="0"/>
        <w:spacing w:line="360" w:lineRule="auto"/>
        <w:jc w:val="center"/>
        <w:rPr>
          <w:rFonts w:hint="eastAsia" w:ascii="宋体"/>
          <w:b/>
          <w:bCs/>
          <w:color w:val="auto"/>
          <w:sz w:val="44"/>
          <w:highlight w:val="none"/>
        </w:rPr>
      </w:pP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第一部分 合同书</w:t>
      </w:r>
      <w:r>
        <w:rPr>
          <w:rFonts w:hint="eastAsia" w:ascii="仿宋_GB2312" w:hAnsi="仿宋" w:eastAsia="仿宋_GB2312" w:cs="仿宋_GB2312"/>
          <w:color w:val="auto"/>
          <w:kern w:val="0"/>
          <w:sz w:val="24"/>
          <w:highlight w:val="none"/>
        </w:rPr>
        <w:t>……………………………………………………………（页码）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二、第二部分 合同一般条款……………………………………………………（页码）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三、第三部分 合同专用条款……………………………………………………（页码）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四、</w:t>
      </w:r>
      <w:r>
        <w:rPr>
          <w:rFonts w:hint="eastAsia" w:ascii="仿宋_GB2312" w:hAnsi="仿宋" w:eastAsia="仿宋_GB2312"/>
          <w:color w:val="auto"/>
          <w:sz w:val="24"/>
          <w:highlight w:val="none"/>
        </w:rPr>
        <w:t>第四部分 合同附件</w:t>
      </w:r>
      <w:r>
        <w:rPr>
          <w:rFonts w:hint="eastAsia" w:ascii="仿宋_GB2312" w:hAnsi="仿宋" w:eastAsia="仿宋_GB2312" w:cs="仿宋_GB2312"/>
          <w:color w:val="auto"/>
          <w:kern w:val="0"/>
          <w:sz w:val="24"/>
          <w:highlight w:val="none"/>
        </w:rPr>
        <w:t>…………………………………………………………（页码）</w:t>
      </w:r>
    </w:p>
    <w:p>
      <w:pPr>
        <w:snapToGrid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4.1成交通知书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4.2采购文件货物需求一览表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4.3采购文件的更改通知（如有）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4.4响应函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4.5响应报价表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4.6响应货物技术资料表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4.7商务条款偏离表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4.8成交供应商澄清函（如有请提供） ………………………………………（页码）</w:t>
      </w:r>
    </w:p>
    <w:p>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4.9其他与本合同相关的资料（如有请提供） ………………………………（页码）</w:t>
      </w:r>
    </w:p>
    <w:p>
      <w:pPr>
        <w:snapToGrid w:val="0"/>
        <w:spacing w:line="360" w:lineRule="auto"/>
        <w:rPr>
          <w:rFonts w:hint="eastAsia" w:ascii="仿宋_GB2312" w:hAnsi="仿宋" w:eastAsia="仿宋_GB2312" w:cs="仿宋_GB2312"/>
          <w:color w:val="auto"/>
          <w:kern w:val="0"/>
          <w:sz w:val="24"/>
          <w:highlight w:val="none"/>
        </w:rPr>
      </w:pPr>
    </w:p>
    <w:p>
      <w:pPr>
        <w:pStyle w:val="10"/>
        <w:ind w:firstLine="1126"/>
        <w:rPr>
          <w:color w:val="auto"/>
          <w:highlight w:val="none"/>
        </w:rPr>
        <w:sectPr>
          <w:pgSz w:w="11906" w:h="16838"/>
          <w:pgMar w:top="1134" w:right="1134" w:bottom="1134" w:left="1134" w:header="720" w:footer="720" w:gutter="0"/>
          <w:cols w:space="720" w:num="1"/>
          <w:docGrid w:type="lines" w:linePitch="331" w:charSpace="0"/>
        </w:sectPr>
      </w:pPr>
    </w:p>
    <w:p>
      <w:pPr>
        <w:pStyle w:val="27"/>
        <w:spacing w:after="0"/>
        <w:ind w:firstLine="562"/>
        <w:jc w:val="center"/>
        <w:outlineLvl w:val="1"/>
        <w:rPr>
          <w:rFonts w:hint="eastAsia" w:ascii="仿宋_GB2312" w:hAnsi="楷体" w:eastAsia="仿宋_GB2312"/>
          <w:b/>
          <w:color w:val="auto"/>
          <w:sz w:val="28"/>
          <w:szCs w:val="28"/>
          <w:highlight w:val="none"/>
        </w:rPr>
      </w:pPr>
      <w:bookmarkStart w:id="80" w:name="_Toc80205944"/>
      <w:r>
        <w:rPr>
          <w:rFonts w:hint="eastAsia" w:ascii="仿宋_GB2312" w:hAnsi="楷体" w:eastAsia="仿宋_GB2312"/>
          <w:b/>
          <w:color w:val="auto"/>
          <w:sz w:val="28"/>
          <w:szCs w:val="28"/>
          <w:highlight w:val="none"/>
        </w:rPr>
        <w:t>第一部分 合同书</w:t>
      </w:r>
      <w:bookmarkEnd w:id="80"/>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（采购人名称）  </w:t>
      </w:r>
      <w:r>
        <w:rPr>
          <w:rFonts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竞争性谈判方式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rPr>
        <w:t xml:space="preserve">        </w:t>
      </w:r>
      <w:r>
        <w:rPr>
          <w:rFonts w:hint="eastAsia" w:ascii="仿宋_GB2312" w:hAnsi="楷体" w:eastAsia="仿宋_GB2312"/>
          <w:color w:val="auto"/>
          <w:sz w:val="24"/>
          <w:highlight w:val="none"/>
        </w:rPr>
        <w:t>项目进行了采购。经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（供应商名称）</w:t>
      </w:r>
      <w:r>
        <w:rPr>
          <w:rFonts w:hint="eastAsia" w:ascii="仿宋_GB2312" w:hAnsi="楷体" w:eastAsia="仿宋_GB2312"/>
          <w:color w:val="auto"/>
          <w:sz w:val="24"/>
          <w:highlight w:val="none"/>
        </w:rPr>
        <w:t>为该项目成交供应商。现于成交通知书发出之日起</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日（时限根据项目情况而定，不得超过25日）内，按照采购文件确定的事项签订本合同。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（采购人名称）   </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pPr>
        <w:spacing w:line="360" w:lineRule="auto"/>
        <w:ind w:firstLine="482" w:firstLineChars="200"/>
        <w:rPr>
          <w:rFonts w:hint="eastAsia" w:ascii="仿宋_GB2312" w:hAnsi="楷体" w:eastAsia="仿宋_GB2312"/>
          <w:b/>
          <w:color w:val="auto"/>
          <w:sz w:val="24"/>
          <w:highlight w:val="none"/>
        </w:rPr>
      </w:pPr>
      <w:bookmarkStart w:id="81" w:name="_Toc24059"/>
      <w:bookmarkStart w:id="82" w:name="_Toc3029"/>
      <w:bookmarkStart w:id="83" w:name="_Toc2232"/>
      <w:r>
        <w:rPr>
          <w:rFonts w:hint="eastAsia" w:ascii="仿宋_GB2312" w:hAnsi="楷体" w:eastAsia="仿宋_GB2312"/>
          <w:b/>
          <w:color w:val="auto"/>
          <w:sz w:val="24"/>
          <w:highlight w:val="none"/>
        </w:rPr>
        <w:t>1.1 合同组成部分</w:t>
      </w:r>
      <w:bookmarkEnd w:id="81"/>
      <w:bookmarkEnd w:id="82"/>
      <w:bookmarkEnd w:id="83"/>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成交通知书；</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采购文件及“响应报价”（含澄清或者说明文件）；</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采购文件（含澄清或者修改文件）；</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pPr>
        <w:spacing w:line="360" w:lineRule="auto"/>
        <w:ind w:firstLine="482" w:firstLineChars="200"/>
        <w:rPr>
          <w:rFonts w:hint="eastAsia" w:ascii="仿宋_GB2312" w:hAnsi="楷体" w:eastAsia="仿宋_GB2312"/>
          <w:b/>
          <w:color w:val="auto"/>
          <w:sz w:val="24"/>
          <w:highlight w:val="none"/>
        </w:rPr>
      </w:pPr>
      <w:bookmarkStart w:id="84" w:name="_Toc21295"/>
      <w:bookmarkStart w:id="85" w:name="_Toc24300"/>
      <w:bookmarkStart w:id="86" w:name="_Toc27126"/>
      <w:r>
        <w:rPr>
          <w:rFonts w:hint="eastAsia" w:ascii="仿宋_GB2312" w:hAnsi="楷体" w:eastAsia="仿宋_GB2312"/>
          <w:b/>
          <w:color w:val="auto"/>
          <w:sz w:val="24"/>
          <w:highlight w:val="none"/>
        </w:rPr>
        <w:t>1.2 标的物</w:t>
      </w:r>
      <w:bookmarkEnd w:id="84"/>
      <w:bookmarkEnd w:id="85"/>
      <w:bookmarkEnd w:id="86"/>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87" w:name="_Toc23292"/>
      <w:bookmarkStart w:id="88" w:name="_Toc21631"/>
      <w:bookmarkStart w:id="89" w:name="_Toc21551"/>
      <w:r>
        <w:rPr>
          <w:rFonts w:hint="eastAsia" w:ascii="仿宋_GB2312" w:hAnsi="楷体" w:eastAsia="仿宋_GB2312"/>
          <w:b/>
          <w:color w:val="auto"/>
          <w:sz w:val="24"/>
          <w:highlight w:val="none"/>
        </w:rPr>
        <w:t>1.3 价款</w:t>
      </w:r>
      <w:bookmarkEnd w:id="87"/>
      <w:bookmarkEnd w:id="88"/>
      <w:bookmarkEnd w:id="89"/>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3402" w:type="dxa"/>
            <w:noWrap w:val="0"/>
            <w:vAlign w:val="center"/>
          </w:tcPr>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2552" w:type="dxa"/>
            <w:noWrap w:val="0"/>
            <w:vAlign w:val="center"/>
          </w:tcPr>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3402"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2552" w:type="dxa"/>
            <w:noWrap w:val="0"/>
            <w:vAlign w:val="center"/>
          </w:tcPr>
          <w:p>
            <w:pPr>
              <w:spacing w:line="360" w:lineRule="auto"/>
              <w:ind w:firstLine="480" w:firstLineChars="200"/>
              <w:rPr>
                <w:rFonts w:hint="eastAsia" w:ascii="仿宋_GB2312" w:hAnsi="楷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3402"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2552" w:type="dxa"/>
            <w:noWrap w:val="0"/>
            <w:vAlign w:val="center"/>
          </w:tcPr>
          <w:p>
            <w:pPr>
              <w:spacing w:line="360" w:lineRule="auto"/>
              <w:ind w:firstLine="480" w:firstLineChars="200"/>
              <w:rPr>
                <w:rFonts w:hint="eastAsia" w:ascii="仿宋_GB2312" w:hAnsi="楷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3402" w:type="dxa"/>
            <w:noWrap w:val="0"/>
            <w:vAlign w:val="center"/>
          </w:tcPr>
          <w:p>
            <w:pPr>
              <w:spacing w:line="360" w:lineRule="auto"/>
              <w:ind w:firstLine="480" w:firstLineChars="200"/>
              <w:rPr>
                <w:rFonts w:hint="eastAsia" w:ascii="仿宋_GB2312" w:hAnsi="楷体" w:eastAsia="仿宋_GB2312"/>
                <w:color w:val="auto"/>
                <w:sz w:val="24"/>
                <w:highlight w:val="none"/>
              </w:rPr>
            </w:pPr>
          </w:p>
        </w:tc>
        <w:tc>
          <w:tcPr>
            <w:tcW w:w="2552" w:type="dxa"/>
            <w:noWrap w:val="0"/>
            <w:vAlign w:val="center"/>
          </w:tcPr>
          <w:p>
            <w:pPr>
              <w:spacing w:line="360" w:lineRule="auto"/>
              <w:ind w:firstLine="480" w:firstLineChars="200"/>
              <w:rPr>
                <w:rFonts w:hint="eastAsia" w:ascii="仿宋_GB2312" w:hAnsi="楷体" w:eastAsia="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2552" w:type="dxa"/>
            <w:noWrap w:val="0"/>
            <w:vAlign w:val="center"/>
          </w:tcPr>
          <w:p>
            <w:pPr>
              <w:spacing w:line="360" w:lineRule="auto"/>
              <w:ind w:firstLine="480" w:firstLineChars="200"/>
              <w:rPr>
                <w:rFonts w:hint="eastAsia" w:ascii="仿宋_GB2312" w:hAnsi="楷体" w:eastAsia="仿宋_GB2312"/>
                <w:color w:val="auto"/>
                <w:sz w:val="24"/>
                <w:highlight w:val="none"/>
              </w:rPr>
            </w:pPr>
          </w:p>
        </w:tc>
      </w:tr>
    </w:tbl>
    <w:p>
      <w:pPr>
        <w:spacing w:line="360" w:lineRule="auto"/>
        <w:ind w:firstLine="482" w:firstLineChars="200"/>
        <w:rPr>
          <w:rFonts w:hint="eastAsia" w:ascii="仿宋_GB2312" w:hAnsi="楷体" w:eastAsia="仿宋_GB2312"/>
          <w:b/>
          <w:color w:val="auto"/>
          <w:sz w:val="24"/>
          <w:highlight w:val="none"/>
        </w:rPr>
      </w:pPr>
      <w:bookmarkStart w:id="90" w:name="_Toc10340"/>
      <w:bookmarkStart w:id="91" w:name="_Toc1814"/>
      <w:bookmarkStart w:id="92" w:name="_Toc22618"/>
      <w:r>
        <w:rPr>
          <w:rFonts w:hint="eastAsia" w:ascii="仿宋_GB2312" w:hAnsi="楷体" w:eastAsia="仿宋_GB2312"/>
          <w:b/>
          <w:color w:val="auto"/>
          <w:sz w:val="24"/>
          <w:highlight w:val="none"/>
        </w:rPr>
        <w:t>1.4 付款方式和发票开具方式</w:t>
      </w:r>
      <w:bookmarkEnd w:id="90"/>
      <w:bookmarkEnd w:id="91"/>
      <w:bookmarkEnd w:id="92"/>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93" w:name="_Toc2846"/>
      <w:bookmarkStart w:id="94" w:name="_Toc32071"/>
      <w:bookmarkStart w:id="95" w:name="_Toc19304"/>
      <w:r>
        <w:rPr>
          <w:rFonts w:hint="eastAsia" w:ascii="仿宋_GB2312" w:hAnsi="楷体" w:eastAsia="仿宋_GB2312"/>
          <w:b/>
          <w:color w:val="auto"/>
          <w:sz w:val="24"/>
          <w:highlight w:val="none"/>
        </w:rPr>
        <w:t>1.5 标的物交付期限、地点、方式</w:t>
      </w:r>
      <w:bookmarkEnd w:id="93"/>
      <w:bookmarkEnd w:id="94"/>
      <w:bookmarkEnd w:id="95"/>
      <w:r>
        <w:rPr>
          <w:rFonts w:hint="eastAsia" w:ascii="仿宋_GB2312" w:hAnsi="楷体" w:eastAsia="仿宋_GB2312"/>
          <w:b/>
          <w:color w:val="auto"/>
          <w:sz w:val="24"/>
          <w:highlight w:val="none"/>
        </w:rPr>
        <w:t>和货物期限</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 xml:space="preserve">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w:t>
      </w:r>
      <w:r>
        <w:rPr>
          <w:rFonts w:ascii="仿宋_GB2312" w:hAnsi="楷体" w:eastAsia="仿宋_GB2312"/>
          <w:color w:val="auto"/>
          <w:sz w:val="24"/>
          <w:highlight w:val="none"/>
        </w:rPr>
        <w:t>4</w:t>
      </w:r>
      <w:r>
        <w:rPr>
          <w:rFonts w:hint="eastAsia" w:ascii="仿宋_GB2312" w:hAnsi="楷体" w:eastAsia="仿宋_GB2312"/>
          <w:color w:val="auto"/>
          <w:sz w:val="24"/>
          <w:highlight w:val="none"/>
        </w:rPr>
        <w:t xml:space="preserve"> 货物及质保期限：</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96" w:name="_Toc27250"/>
      <w:bookmarkStart w:id="97" w:name="_Toc19554"/>
      <w:bookmarkStart w:id="98" w:name="_Toc21423"/>
      <w:r>
        <w:rPr>
          <w:rFonts w:hint="eastAsia" w:ascii="仿宋_GB2312" w:hAnsi="楷体" w:eastAsia="仿宋_GB2312"/>
          <w:b/>
          <w:color w:val="auto"/>
          <w:sz w:val="24"/>
          <w:highlight w:val="none"/>
        </w:rPr>
        <w:t>1.6 违约责任</w:t>
      </w:r>
      <w:bookmarkEnd w:id="96"/>
      <w:bookmarkEnd w:id="97"/>
      <w:bookmarkEnd w:id="98"/>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（根据项目实际填写，一般为万分之五）计算，最高限额为本合同总价的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%（根据项目实际填写，一般为20%）；迟延超过【 </w:t>
      </w:r>
      <w:r>
        <w:rPr>
          <w:rFonts w:ascii="仿宋_GB2312" w:hAnsi="楷体" w:eastAsia="仿宋_GB2312"/>
          <w:color w:val="auto"/>
          <w:sz w:val="24"/>
          <w:highlight w:val="none"/>
        </w:rPr>
        <w:t xml:space="preserve"> </w:t>
      </w:r>
      <w:r>
        <w:rPr>
          <w:rFonts w:hint="eastAsia" w:ascii="仿宋_GB2312" w:hAnsi="楷体" w:eastAsia="仿宋_GB2312"/>
          <w:color w:val="auto"/>
          <w:sz w:val="24"/>
          <w:highlight w:val="none"/>
        </w:rPr>
        <w:t>】日的，甲方有权在要求乙方支付违约金的同时，书面通知乙方解除本合同，乙方应退回全部已收取的合同价款并按合同总金额的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%（根据项目实际填写，一般为20%）向甲方支付违约金；</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rPr>
        <w:t>万分之五</w:t>
      </w:r>
      <w:r>
        <w:rPr>
          <w:rFonts w:hint="eastAsia" w:ascii="仿宋_GB2312" w:hAnsi="楷体" w:eastAsia="仿宋_GB2312"/>
          <w:color w:val="auto"/>
          <w:sz w:val="24"/>
          <w:highlight w:val="none"/>
        </w:rPr>
        <w:t>（根据项目实际填写，一般为万分之五）计算，最高限额为欠付金额的</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20</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%（根据项目实际填写，一般为20%）；迟延付款的违约金计算数额达到前述最高限额之日起，乙方有权在要求甲方支付违约金的同时，书面通知甲方解除本合同；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left="239" w:leftChars="114" w:firstLine="240" w:firstLineChars="100"/>
        <w:rPr>
          <w:rFonts w:hint="eastAsia" w:ascii="仿宋" w:hAnsi="仿宋" w:eastAsia="仿宋" w:cs="仿宋"/>
          <w:color w:val="auto"/>
          <w:sz w:val="24"/>
          <w:highlight w:val="none"/>
        </w:rPr>
      </w:pPr>
      <w:r>
        <w:rPr>
          <w:rFonts w:hint="eastAsia" w:ascii="仿宋_GB2312" w:hAnsi="楷体" w:eastAsia="仿宋_GB2312"/>
          <w:color w:val="auto"/>
          <w:sz w:val="24"/>
          <w:highlight w:val="none"/>
        </w:rPr>
        <w:t>1.6.4</w:t>
      </w:r>
      <w:r>
        <w:rPr>
          <w:rFonts w:hint="eastAsia" w:ascii="仿宋" w:hAnsi="仿宋" w:eastAsia="仿宋" w:cs="仿宋"/>
          <w:color w:val="auto"/>
          <w:sz w:val="24"/>
          <w:highlight w:val="none"/>
        </w:rPr>
        <w:t>乙方在质保期内未按承诺提供售后等货物的，每发生一次向甲方支付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2000</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r>
        <w:rPr>
          <w:rFonts w:hint="eastAsia" w:ascii="仿宋_GB2312" w:hAnsi="楷体" w:eastAsia="仿宋_GB2312"/>
          <w:color w:val="auto"/>
          <w:sz w:val="24"/>
          <w:highlight w:val="none"/>
        </w:rPr>
        <w:t>（根据项目实际填写，一般为2000元）</w:t>
      </w:r>
      <w:r>
        <w:rPr>
          <w:rFonts w:hint="eastAsia" w:ascii="仿宋" w:hAnsi="仿宋" w:eastAsia="仿宋" w:cs="仿宋"/>
          <w:color w:val="auto"/>
          <w:sz w:val="24"/>
          <w:highlight w:val="none"/>
        </w:rPr>
        <w:t>的违约金。</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82" w:firstLineChars="200"/>
        <w:rPr>
          <w:rFonts w:hint="eastAsia" w:ascii="仿宋_GB2312" w:hAnsi="楷体" w:eastAsia="仿宋_GB2312"/>
          <w:b/>
          <w:color w:val="auto"/>
          <w:sz w:val="24"/>
          <w:highlight w:val="none"/>
        </w:rPr>
      </w:pPr>
      <w:bookmarkStart w:id="99" w:name="_Toc16021"/>
      <w:bookmarkStart w:id="100" w:name="_Toc28375"/>
      <w:bookmarkStart w:id="101" w:name="_Toc15583"/>
      <w:r>
        <w:rPr>
          <w:rFonts w:hint="eastAsia" w:ascii="仿宋_GB2312" w:hAnsi="楷体" w:eastAsia="仿宋_GB2312"/>
          <w:b/>
          <w:color w:val="auto"/>
          <w:sz w:val="24"/>
          <w:highlight w:val="none"/>
        </w:rPr>
        <w:t>1.7 合同争议的解决</w:t>
      </w:r>
      <w:bookmarkEnd w:id="99"/>
      <w:bookmarkEnd w:id="100"/>
      <w:bookmarkEnd w:id="101"/>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本合同履行过程中发生的任何争议，双方当事人均可通过和解或者调解解决；不愿和解、调解或者和解、调解不成的，可以选择下列第</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val="en-US" w:eastAsia="zh-CN"/>
        </w:rPr>
        <w:t xml:space="preserve">  </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种方式解决：</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w:t>
      </w:r>
      <w:r>
        <w:rPr>
          <w:rFonts w:hint="eastAsia" w:ascii="仿宋_GB2312" w:hAnsi="楷体" w:eastAsia="仿宋_GB2312"/>
          <w:color w:val="auto"/>
          <w:sz w:val="24"/>
          <w:highlight w:val="none"/>
        </w:rPr>
        <w:t>仲裁委员会依申请仲裁时其现行有效的仲裁规则裁决；</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w:t>
      </w:r>
      <w:r>
        <w:rPr>
          <w:rFonts w:hint="eastAsia" w:ascii="仿宋_GB2312" w:hAnsi="楷体" w:eastAsia="仿宋_GB2312"/>
          <w:color w:val="auto"/>
          <w:sz w:val="24"/>
          <w:highlight w:val="none"/>
        </w:rPr>
        <w:t>人民法院起诉。</w:t>
      </w:r>
    </w:p>
    <w:p>
      <w:pPr>
        <w:spacing w:line="360" w:lineRule="auto"/>
        <w:ind w:firstLine="482" w:firstLineChars="200"/>
        <w:rPr>
          <w:rFonts w:hint="eastAsia" w:ascii="仿宋_GB2312" w:hAnsi="楷体" w:eastAsia="仿宋_GB2312"/>
          <w:b/>
          <w:color w:val="auto"/>
          <w:sz w:val="24"/>
          <w:highlight w:val="none"/>
        </w:rPr>
      </w:pPr>
      <w:bookmarkStart w:id="102" w:name="_Toc11173"/>
      <w:bookmarkStart w:id="103" w:name="_Toc15322"/>
      <w:bookmarkStart w:id="104" w:name="_Toc7245"/>
      <w:r>
        <w:rPr>
          <w:rFonts w:hint="eastAsia" w:ascii="仿宋_GB2312" w:hAnsi="楷体" w:eastAsia="仿宋_GB2312"/>
          <w:b/>
          <w:color w:val="auto"/>
          <w:sz w:val="24"/>
          <w:highlight w:val="none"/>
        </w:rPr>
        <w:t>1.8 合同生效</w:t>
      </w:r>
      <w:bookmarkEnd w:id="102"/>
      <w:bookmarkEnd w:id="103"/>
      <w:bookmarkEnd w:id="104"/>
    </w:p>
    <w:p>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本合同自双方当事人加盖有效电子公章时生效。</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                                   乙方：</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pPr>
        <w:spacing w:line="360" w:lineRule="auto"/>
        <w:ind w:firstLine="200"/>
        <w:rPr>
          <w:rFonts w:hint="eastAsia" w:ascii="仿宋_GB2312" w:hAnsi="楷体" w:eastAsia="仿宋_GB2312"/>
          <w:color w:val="auto"/>
          <w:sz w:val="24"/>
          <w:highlight w:val="none"/>
          <w:lang w:val="zh-CN"/>
        </w:rPr>
      </w:pP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                                   住所：</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                       或授权代表（签字）: </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电话: </w:t>
      </w:r>
    </w:p>
    <w:p>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pPr>
        <w:tabs>
          <w:tab w:val="left" w:pos="7380"/>
        </w:tabs>
        <w:spacing w:line="360" w:lineRule="auto"/>
        <w:jc w:val="left"/>
        <w:rPr>
          <w:rFonts w:hint="eastAsia" w:ascii="仿宋_GB2312" w:hAnsi="楷体" w:eastAsia="仿宋_GB2312"/>
          <w:color w:val="auto"/>
          <w:sz w:val="24"/>
          <w:highlight w:val="none"/>
          <w:lang w:val="zh-CN"/>
        </w:rPr>
      </w:pPr>
      <w:bookmarkStart w:id="105" w:name="_Toc331685783"/>
    </w:p>
    <w:p>
      <w:pPr>
        <w:tabs>
          <w:tab w:val="left" w:pos="7380"/>
        </w:tabs>
        <w:spacing w:line="360" w:lineRule="auto"/>
        <w:jc w:val="left"/>
        <w:rPr>
          <w:rFonts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签订时间：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p>
    <w:p>
      <w:pPr>
        <w:pStyle w:val="27"/>
        <w:spacing w:after="0"/>
        <w:ind w:firstLine="482"/>
        <w:jc w:val="center"/>
        <w:outlineLvl w:val="1"/>
        <w:rPr>
          <w:rFonts w:hint="eastAsia" w:ascii="仿宋_GB2312" w:hAnsi="楷体" w:eastAsia="仿宋_GB2312"/>
          <w:b/>
          <w:color w:val="auto"/>
          <w:highlight w:val="none"/>
        </w:rPr>
      </w:pPr>
    </w:p>
    <w:p>
      <w:pPr>
        <w:pStyle w:val="27"/>
        <w:spacing w:after="0"/>
        <w:ind w:firstLine="482"/>
        <w:jc w:val="center"/>
        <w:outlineLvl w:val="1"/>
        <w:rPr>
          <w:rFonts w:hint="eastAsia" w:ascii="仿宋_GB2312" w:hAnsi="楷体" w:eastAsia="仿宋_GB2312"/>
          <w:b/>
          <w:color w:val="auto"/>
          <w:highlight w:val="none"/>
        </w:rPr>
      </w:pPr>
    </w:p>
    <w:p>
      <w:pPr>
        <w:pStyle w:val="27"/>
        <w:spacing w:after="0"/>
        <w:ind w:left="0" w:leftChars="0" w:firstLine="0" w:firstLineChars="0"/>
        <w:jc w:val="center"/>
        <w:outlineLvl w:val="1"/>
        <w:rPr>
          <w:rFonts w:hint="eastAsia" w:ascii="仿宋_GB2312" w:hAnsi="楷体" w:eastAsia="仿宋_GB2312"/>
          <w:b/>
          <w:color w:val="auto"/>
          <w:sz w:val="28"/>
          <w:szCs w:val="28"/>
          <w:highlight w:val="none"/>
        </w:rPr>
      </w:pPr>
      <w:r>
        <w:rPr>
          <w:rFonts w:hint="eastAsia" w:ascii="仿宋_GB2312" w:hAnsi="楷体" w:eastAsia="仿宋_GB2312"/>
          <w:b/>
          <w:color w:val="auto"/>
          <w:highlight w:val="none"/>
        </w:rPr>
        <w:br w:type="page"/>
      </w:r>
      <w:bookmarkStart w:id="106" w:name="_Toc80205945"/>
      <w:r>
        <w:rPr>
          <w:rFonts w:hint="eastAsia" w:ascii="仿宋_GB2312" w:hAnsi="楷体" w:eastAsia="仿宋_GB2312"/>
          <w:b/>
          <w:color w:val="auto"/>
          <w:sz w:val="28"/>
          <w:szCs w:val="28"/>
          <w:highlight w:val="none"/>
        </w:rPr>
        <w:t>第二部分 合同一般条款</w:t>
      </w:r>
      <w:bookmarkEnd w:id="105"/>
      <w:bookmarkEnd w:id="106"/>
    </w:p>
    <w:p>
      <w:pPr>
        <w:spacing w:line="360" w:lineRule="auto"/>
        <w:ind w:firstLine="482" w:firstLineChars="200"/>
        <w:rPr>
          <w:rFonts w:hint="eastAsia" w:ascii="仿宋_GB2312" w:hAnsi="楷体" w:eastAsia="仿宋_GB2312"/>
          <w:b/>
          <w:color w:val="auto"/>
          <w:sz w:val="24"/>
          <w:highlight w:val="none"/>
        </w:rPr>
      </w:pPr>
      <w:bookmarkStart w:id="107" w:name="_Ref467379214"/>
      <w:bookmarkStart w:id="108" w:name="_Ref467378404"/>
      <w:bookmarkStart w:id="109" w:name="_Ref467379101"/>
      <w:bookmarkStart w:id="110" w:name="_Toc259093669"/>
      <w:bookmarkStart w:id="111" w:name="_Toc16917"/>
      <w:bookmarkStart w:id="112" w:name="_Ref467379225"/>
      <w:bookmarkStart w:id="113" w:name="_Ref467379109"/>
      <w:bookmarkStart w:id="114" w:name="_Ref467379094"/>
      <w:bookmarkStart w:id="115" w:name="_Toc279701240"/>
      <w:bookmarkStart w:id="116" w:name="_Toc28763"/>
      <w:bookmarkStart w:id="117" w:name="_Ref467379205"/>
      <w:bookmarkStart w:id="118" w:name="_Ref467378463"/>
      <w:bookmarkStart w:id="119" w:name="_Toc487900349"/>
      <w:bookmarkStart w:id="120" w:name="_Toc19614"/>
      <w:bookmarkStart w:id="121" w:name="_Ref467379195"/>
      <w:bookmarkStart w:id="122" w:name="_Ref467378499"/>
      <w:r>
        <w:rPr>
          <w:rFonts w:hint="eastAsia" w:ascii="仿宋_GB2312" w:hAnsi="楷体" w:eastAsia="仿宋_GB2312"/>
          <w:b/>
          <w:color w:val="auto"/>
          <w:sz w:val="24"/>
          <w:highlight w:val="none"/>
        </w:rPr>
        <w:t>2.1 定义</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货物和工程，包括但不限于原材料、燃料、设备、机械、仪表、备件、计算机软件、信息化系统、信息化维保、物业货物、产品等，并包括工具、手册等其他相关资料。</w:t>
      </w:r>
    </w:p>
    <w:p>
      <w:pPr>
        <w:spacing w:line="360" w:lineRule="auto"/>
        <w:ind w:firstLine="480" w:firstLineChars="200"/>
        <w:rPr>
          <w:rFonts w:hint="eastAsia" w:ascii="仿宋_GB2312" w:hAnsi="楷体" w:eastAsia="仿宋_GB2312"/>
          <w:color w:val="auto"/>
          <w:sz w:val="24"/>
          <w:highlight w:val="none"/>
        </w:rPr>
      </w:pPr>
      <w:bookmarkStart w:id="123" w:name="_Ref467378840"/>
      <w:r>
        <w:rPr>
          <w:rFonts w:hint="eastAsia" w:ascii="仿宋_GB2312" w:hAnsi="楷体" w:eastAsia="仿宋_GB2312"/>
          <w:color w:val="auto"/>
          <w:sz w:val="24"/>
          <w:highlight w:val="none"/>
        </w:rPr>
        <w:t>2.1.4 “甲方”系指与中标人签署合同的采购人</w:t>
      </w:r>
      <w:bookmarkEnd w:id="123"/>
      <w:r>
        <w:rPr>
          <w:rFonts w:hint="eastAsia" w:ascii="仿宋_GB2312" w:hAnsi="楷体" w:eastAsia="仿宋_GB2312"/>
          <w:color w:val="auto"/>
          <w:sz w:val="24"/>
          <w:highlight w:val="none"/>
        </w:rPr>
        <w:t>；采购人委托采购机构代表其与乙方签订合同的，采购人的授权委托书作为合同附件。</w:t>
      </w:r>
    </w:p>
    <w:p>
      <w:pPr>
        <w:spacing w:line="360" w:lineRule="auto"/>
        <w:ind w:firstLine="480" w:firstLineChars="200"/>
        <w:rPr>
          <w:rFonts w:hint="eastAsia" w:ascii="仿宋_GB2312" w:hAnsi="楷体" w:eastAsia="仿宋_GB2312"/>
          <w:color w:val="auto"/>
          <w:sz w:val="24"/>
          <w:highlight w:val="none"/>
        </w:rPr>
      </w:pPr>
      <w:bookmarkStart w:id="124" w:name="_Ref467379400"/>
      <w:r>
        <w:rPr>
          <w:rFonts w:hint="eastAsia" w:ascii="仿宋_GB2312" w:hAnsi="楷体" w:eastAsia="仿宋_GB2312"/>
          <w:color w:val="auto"/>
          <w:sz w:val="24"/>
          <w:highlight w:val="none"/>
        </w:rPr>
        <w:t>2.1.5 “乙方”系指根据合同约定交付标的物的</w:t>
      </w:r>
      <w:bookmarkEnd w:id="124"/>
      <w:r>
        <w:rPr>
          <w:rFonts w:hint="eastAsia" w:ascii="仿宋_GB2312" w:hAnsi="楷体" w:eastAsia="仿宋_GB2312"/>
          <w:color w:val="auto"/>
          <w:sz w:val="24"/>
          <w:highlight w:val="none"/>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hint="eastAsia" w:ascii="仿宋_GB2312" w:hAnsi="楷体" w:eastAsia="仿宋_GB2312"/>
          <w:color w:val="auto"/>
          <w:sz w:val="24"/>
          <w:highlight w:val="none"/>
        </w:rPr>
      </w:pPr>
      <w:bookmarkStart w:id="125" w:name="_Ref467379436"/>
      <w:r>
        <w:rPr>
          <w:rFonts w:hint="eastAsia" w:ascii="仿宋_GB2312" w:hAnsi="楷体" w:eastAsia="仿宋_GB2312"/>
          <w:color w:val="auto"/>
          <w:sz w:val="24"/>
          <w:highlight w:val="none"/>
        </w:rPr>
        <w:t>2.1.6 “现场”系指合同约定标的物将要运至或者实施或者安装的地点。</w:t>
      </w:r>
      <w:bookmarkEnd w:id="125"/>
    </w:p>
    <w:p>
      <w:pPr>
        <w:spacing w:line="360" w:lineRule="auto"/>
        <w:ind w:firstLine="482" w:firstLineChars="200"/>
        <w:rPr>
          <w:rFonts w:hint="eastAsia" w:ascii="仿宋_GB2312" w:hAnsi="楷体" w:eastAsia="仿宋_GB2312"/>
          <w:b/>
          <w:color w:val="auto"/>
          <w:sz w:val="24"/>
          <w:highlight w:val="none"/>
        </w:rPr>
      </w:pPr>
      <w:bookmarkStart w:id="126" w:name="_Toc13336"/>
      <w:bookmarkStart w:id="127" w:name="_Toc27635"/>
      <w:bookmarkStart w:id="128" w:name="_Toc279701241"/>
      <w:bookmarkStart w:id="129" w:name="_Toc487900350"/>
      <w:bookmarkStart w:id="130" w:name="_Toc259093670"/>
      <w:bookmarkStart w:id="131" w:name="_Toc32504"/>
      <w:r>
        <w:rPr>
          <w:rFonts w:hint="eastAsia" w:ascii="仿宋_GB2312" w:hAnsi="楷体" w:eastAsia="仿宋_GB2312"/>
          <w:b/>
          <w:color w:val="auto"/>
          <w:sz w:val="24"/>
          <w:highlight w:val="none"/>
        </w:rPr>
        <w:t>2.2 技术规范</w:t>
      </w:r>
      <w:bookmarkEnd w:id="126"/>
      <w:bookmarkEnd w:id="127"/>
      <w:bookmarkEnd w:id="128"/>
      <w:bookmarkEnd w:id="129"/>
      <w:bookmarkEnd w:id="130"/>
      <w:bookmarkEnd w:id="131"/>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pPr>
        <w:spacing w:line="360" w:lineRule="auto"/>
        <w:ind w:firstLine="482" w:firstLineChars="200"/>
        <w:rPr>
          <w:rFonts w:hint="eastAsia" w:ascii="仿宋_GB2312" w:hAnsi="楷体" w:eastAsia="仿宋_GB2312"/>
          <w:b/>
          <w:color w:val="auto"/>
          <w:sz w:val="24"/>
          <w:highlight w:val="none"/>
        </w:rPr>
      </w:pPr>
      <w:bookmarkStart w:id="132" w:name="_Toc259093671"/>
      <w:bookmarkStart w:id="133" w:name="_Toc487900351"/>
      <w:bookmarkStart w:id="134" w:name="_Toc279701242"/>
      <w:bookmarkStart w:id="135" w:name="_Toc31634"/>
      <w:bookmarkStart w:id="136" w:name="_Toc9829"/>
      <w:bookmarkStart w:id="137" w:name="_Toc27853"/>
      <w:r>
        <w:rPr>
          <w:rFonts w:hint="eastAsia" w:ascii="仿宋_GB2312" w:hAnsi="楷体" w:eastAsia="仿宋_GB2312"/>
          <w:b/>
          <w:color w:val="auto"/>
          <w:sz w:val="24"/>
          <w:highlight w:val="none"/>
        </w:rPr>
        <w:t>2.3 知识产权</w:t>
      </w:r>
      <w:bookmarkEnd w:id="132"/>
      <w:bookmarkEnd w:id="133"/>
      <w:bookmarkEnd w:id="134"/>
      <w:bookmarkEnd w:id="135"/>
      <w:bookmarkEnd w:id="136"/>
      <w:bookmarkEnd w:id="137"/>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138" w:name="_Toc4194"/>
      <w:bookmarkStart w:id="139" w:name="_Toc11932"/>
      <w:bookmarkStart w:id="140" w:name="_Toc29149"/>
      <w:r>
        <w:rPr>
          <w:rFonts w:hint="eastAsia" w:ascii="仿宋_GB2312" w:hAnsi="楷体" w:eastAsia="仿宋_GB2312"/>
          <w:b/>
          <w:color w:val="auto"/>
          <w:sz w:val="24"/>
          <w:highlight w:val="none"/>
        </w:rPr>
        <w:t>2.4 包装和装运</w:t>
      </w:r>
      <w:bookmarkEnd w:id="138"/>
      <w:bookmarkEnd w:id="139"/>
      <w:bookmarkEnd w:id="140"/>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141" w:name="_Ref467379542"/>
      <w:bookmarkStart w:id="142" w:name="_Ref467379527"/>
      <w:bookmarkStart w:id="143" w:name="_Toc259093674"/>
      <w:bookmarkStart w:id="144" w:name="_Ref467378591"/>
      <w:bookmarkStart w:id="145" w:name="_Ref467379536"/>
      <w:bookmarkStart w:id="146" w:name="_Ref467378541"/>
      <w:bookmarkStart w:id="147" w:name="_Toc487900354"/>
      <w:bookmarkStart w:id="148" w:name="_Toc279701245"/>
      <w:bookmarkStart w:id="149" w:name="_Toc30272"/>
      <w:bookmarkStart w:id="150" w:name="_Toc26182"/>
      <w:bookmarkStart w:id="151" w:name="_Toc19074"/>
      <w:r>
        <w:rPr>
          <w:rFonts w:hint="eastAsia" w:ascii="仿宋_GB2312" w:hAnsi="楷体" w:eastAsia="仿宋_GB2312"/>
          <w:b/>
          <w:color w:val="auto"/>
          <w:sz w:val="24"/>
          <w:highlight w:val="none"/>
        </w:rPr>
        <w:t>2.</w:t>
      </w:r>
      <w:bookmarkEnd w:id="141"/>
      <w:bookmarkEnd w:id="142"/>
      <w:bookmarkEnd w:id="143"/>
      <w:bookmarkEnd w:id="144"/>
      <w:bookmarkEnd w:id="145"/>
      <w:bookmarkEnd w:id="146"/>
      <w:bookmarkEnd w:id="147"/>
      <w:bookmarkEnd w:id="148"/>
      <w:r>
        <w:rPr>
          <w:rFonts w:hint="eastAsia" w:ascii="仿宋_GB2312" w:hAnsi="楷体" w:eastAsia="仿宋_GB2312"/>
          <w:b/>
          <w:color w:val="auto"/>
          <w:sz w:val="24"/>
          <w:highlight w:val="none"/>
        </w:rPr>
        <w:t>5 履约检查和问题反馈</w:t>
      </w:r>
      <w:bookmarkEnd w:id="149"/>
      <w:bookmarkEnd w:id="150"/>
      <w:bookmarkEnd w:id="151"/>
    </w:p>
    <w:p>
      <w:pPr>
        <w:spacing w:line="360" w:lineRule="auto"/>
        <w:ind w:firstLine="480" w:firstLineChars="200"/>
        <w:rPr>
          <w:rFonts w:hint="eastAsia" w:ascii="仿宋_GB2312" w:hAnsi="楷体" w:eastAsia="仿宋_GB2312"/>
          <w:color w:val="auto"/>
          <w:sz w:val="24"/>
          <w:highlight w:val="none"/>
        </w:rPr>
      </w:pPr>
      <w:bookmarkStart w:id="152" w:name="_Ref467379657"/>
      <w:r>
        <w:rPr>
          <w:rFonts w:hint="eastAsia" w:ascii="仿宋_GB2312" w:hAnsi="楷体" w:eastAsia="仿宋_GB2312"/>
          <w:color w:val="auto"/>
          <w:sz w:val="24"/>
          <w:highlight w:val="none"/>
        </w:rPr>
        <w:t>2.5.1</w:t>
      </w:r>
      <w:bookmarkEnd w:id="152"/>
      <w:bookmarkStart w:id="153" w:name="_Toc186431854"/>
      <w:bookmarkStart w:id="154" w:name="_Ref467379807"/>
      <w:bookmarkStart w:id="155" w:name="_Toc259093676"/>
      <w:bookmarkStart w:id="156" w:name="_Toc487900357"/>
      <w:bookmarkStart w:id="157" w:name="_Ref467379793"/>
      <w:bookmarkStart w:id="158" w:name="_Toc279701247"/>
      <w:r>
        <w:rPr>
          <w:rFonts w:hint="eastAsia" w:ascii="仿宋_GB2312" w:hAnsi="楷体" w:eastAsia="仿宋_GB2312"/>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bookmarkEnd w:id="153"/>
      <w:bookmarkStart w:id="159" w:name="_Toc186431855"/>
      <w:r>
        <w:rPr>
          <w:rFonts w:hint="eastAsia" w:ascii="仿宋_GB2312" w:hAnsi="楷体" w:eastAsia="仿宋_GB2312"/>
          <w:color w:val="auto"/>
          <w:sz w:val="24"/>
          <w:highlight w:val="none"/>
        </w:rPr>
        <w:t>。</w:t>
      </w:r>
    </w:p>
    <w:bookmarkEnd w:id="159"/>
    <w:p>
      <w:pPr>
        <w:spacing w:line="360" w:lineRule="auto"/>
        <w:ind w:firstLine="482" w:firstLineChars="200"/>
        <w:rPr>
          <w:rFonts w:hint="eastAsia" w:ascii="仿宋_GB2312" w:hAnsi="楷体" w:eastAsia="仿宋_GB2312"/>
          <w:b/>
          <w:color w:val="auto"/>
          <w:sz w:val="24"/>
          <w:highlight w:val="none"/>
        </w:rPr>
      </w:pPr>
      <w:bookmarkStart w:id="160" w:name="_Toc7836"/>
      <w:bookmarkStart w:id="161" w:name="_Toc28451"/>
      <w:bookmarkStart w:id="162" w:name="_Toc19219"/>
      <w:r>
        <w:rPr>
          <w:rFonts w:hint="eastAsia" w:ascii="仿宋_GB2312" w:hAnsi="楷体" w:eastAsia="仿宋_GB2312"/>
          <w:b/>
          <w:color w:val="auto"/>
          <w:sz w:val="24"/>
          <w:highlight w:val="none"/>
        </w:rPr>
        <w:t>2.6 结算方式和付款条件</w:t>
      </w:r>
      <w:bookmarkEnd w:id="154"/>
      <w:bookmarkEnd w:id="155"/>
      <w:bookmarkEnd w:id="156"/>
      <w:bookmarkEnd w:id="157"/>
      <w:bookmarkEnd w:id="158"/>
      <w:bookmarkEnd w:id="160"/>
      <w:bookmarkEnd w:id="161"/>
      <w:bookmarkEnd w:id="162"/>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163" w:name="_Ref467379923"/>
      <w:bookmarkStart w:id="164" w:name="_Ref467379852"/>
      <w:bookmarkStart w:id="165" w:name="_Toc259093677"/>
      <w:bookmarkStart w:id="166" w:name="_Toc487900358"/>
      <w:bookmarkStart w:id="167" w:name="_Toc279701248"/>
      <w:bookmarkStart w:id="168" w:name="_Ref467379863"/>
      <w:bookmarkStart w:id="169" w:name="_Toc774"/>
      <w:bookmarkStart w:id="170" w:name="_Toc3225"/>
      <w:bookmarkStart w:id="171" w:name="_Toc16110"/>
      <w:r>
        <w:rPr>
          <w:rFonts w:hint="eastAsia" w:ascii="仿宋_GB2312" w:hAnsi="楷体" w:eastAsia="仿宋_GB2312"/>
          <w:b/>
          <w:color w:val="auto"/>
          <w:sz w:val="24"/>
          <w:highlight w:val="none"/>
        </w:rPr>
        <w:t>2.7 技术资料</w:t>
      </w:r>
      <w:bookmarkEnd w:id="163"/>
      <w:bookmarkEnd w:id="164"/>
      <w:bookmarkEnd w:id="165"/>
      <w:bookmarkEnd w:id="166"/>
      <w:bookmarkEnd w:id="167"/>
      <w:bookmarkEnd w:id="168"/>
      <w:r>
        <w:rPr>
          <w:rFonts w:hint="eastAsia" w:ascii="仿宋_GB2312" w:hAnsi="楷体" w:eastAsia="仿宋_GB2312"/>
          <w:b/>
          <w:color w:val="auto"/>
          <w:sz w:val="24"/>
          <w:highlight w:val="none"/>
        </w:rPr>
        <w:t>和保密义务</w:t>
      </w:r>
      <w:bookmarkEnd w:id="169"/>
      <w:bookmarkEnd w:id="170"/>
      <w:bookmarkEnd w:id="171"/>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pPr>
        <w:spacing w:line="360" w:lineRule="auto"/>
        <w:ind w:firstLine="482" w:firstLineChars="200"/>
        <w:rPr>
          <w:rFonts w:hint="eastAsia" w:ascii="仿宋_GB2312" w:hAnsi="楷体" w:eastAsia="仿宋_GB2312"/>
          <w:b/>
          <w:color w:val="auto"/>
          <w:sz w:val="24"/>
          <w:highlight w:val="none"/>
        </w:rPr>
      </w:pPr>
      <w:bookmarkStart w:id="172" w:name="_Toc7860"/>
      <w:r>
        <w:rPr>
          <w:rFonts w:hint="eastAsia" w:ascii="仿宋_GB2312" w:hAnsi="楷体" w:eastAsia="仿宋_GB2312"/>
          <w:b/>
          <w:color w:val="auto"/>
          <w:sz w:val="24"/>
          <w:highlight w:val="none"/>
        </w:rPr>
        <w:t>2.8 质量保证</w:t>
      </w:r>
      <w:bookmarkEnd w:id="172"/>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30%</w:t>
      </w:r>
      <w:r>
        <w:rPr>
          <w:rFonts w:hint="eastAsia" w:ascii="仿宋_GB2312" w:hAnsi="仿宋" w:eastAsia="仿宋_GB2312"/>
          <w:color w:val="auto"/>
          <w:sz w:val="24"/>
          <w:highlight w:val="none"/>
        </w:rPr>
        <w:t>（根据项目实际情况填写，一般为30%）。</w:t>
      </w:r>
    </w:p>
    <w:p>
      <w:pPr>
        <w:spacing w:line="360" w:lineRule="auto"/>
        <w:ind w:firstLine="482" w:firstLineChars="200"/>
        <w:rPr>
          <w:rFonts w:hint="eastAsia" w:ascii="仿宋_GB2312" w:hAnsi="楷体" w:eastAsia="仿宋_GB2312"/>
          <w:b/>
          <w:color w:val="auto"/>
          <w:sz w:val="24"/>
          <w:highlight w:val="none"/>
        </w:rPr>
      </w:pPr>
      <w:bookmarkStart w:id="173" w:name="_Toc17244"/>
      <w:bookmarkStart w:id="174" w:name="_Toc487900362"/>
      <w:bookmarkStart w:id="175" w:name="_Toc279701252"/>
      <w:bookmarkStart w:id="176" w:name="_Toc259093681"/>
      <w:r>
        <w:rPr>
          <w:rFonts w:hint="eastAsia" w:ascii="仿宋_GB2312" w:hAnsi="楷体" w:eastAsia="仿宋_GB2312"/>
          <w:b/>
          <w:color w:val="auto"/>
          <w:sz w:val="24"/>
          <w:highlight w:val="none"/>
        </w:rPr>
        <w:t>2.9 标的物的风险负担</w:t>
      </w:r>
      <w:bookmarkEnd w:id="173"/>
    </w:p>
    <w:p>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pPr>
        <w:spacing w:line="360" w:lineRule="auto"/>
        <w:ind w:firstLine="482" w:firstLineChars="200"/>
        <w:rPr>
          <w:rFonts w:hint="eastAsia" w:ascii="仿宋_GB2312" w:hAnsi="楷体" w:eastAsia="仿宋_GB2312"/>
          <w:b/>
          <w:color w:val="auto"/>
          <w:sz w:val="24"/>
          <w:highlight w:val="none"/>
        </w:rPr>
      </w:pPr>
      <w:bookmarkStart w:id="177" w:name="_Toc14055"/>
      <w:r>
        <w:rPr>
          <w:rFonts w:hint="eastAsia" w:ascii="仿宋_GB2312" w:hAnsi="楷体" w:eastAsia="仿宋_GB2312"/>
          <w:b/>
          <w:color w:val="auto"/>
          <w:sz w:val="24"/>
          <w:highlight w:val="none"/>
        </w:rPr>
        <w:t>2.10 延迟交货</w:t>
      </w:r>
      <w:bookmarkEnd w:id="174"/>
      <w:bookmarkEnd w:id="175"/>
      <w:bookmarkEnd w:id="176"/>
      <w:bookmarkEnd w:id="177"/>
      <w:r>
        <w:rPr>
          <w:rFonts w:hint="eastAsia" w:ascii="仿宋_GB2312" w:hAnsi="楷体" w:eastAsia="仿宋_GB2312"/>
          <w:b/>
          <w:color w:val="auto"/>
          <w:sz w:val="24"/>
          <w:highlight w:val="none"/>
        </w:rPr>
        <w:t>/交付</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pPr>
        <w:spacing w:line="360" w:lineRule="auto"/>
        <w:ind w:firstLine="482" w:firstLineChars="200"/>
        <w:rPr>
          <w:rFonts w:hint="eastAsia" w:ascii="仿宋_GB2312" w:hAnsi="楷体" w:eastAsia="仿宋_GB2312"/>
          <w:b/>
          <w:color w:val="auto"/>
          <w:sz w:val="24"/>
          <w:highlight w:val="none"/>
        </w:rPr>
      </w:pPr>
      <w:bookmarkStart w:id="178" w:name="_Toc7502"/>
      <w:bookmarkStart w:id="179" w:name="_Ref467378121"/>
      <w:bookmarkStart w:id="180" w:name="_Toc259093683"/>
      <w:bookmarkStart w:id="181" w:name="_Toc487900364"/>
      <w:bookmarkStart w:id="182" w:name="_Toc279701254"/>
      <w:r>
        <w:rPr>
          <w:rFonts w:hint="eastAsia" w:ascii="仿宋_GB2312" w:hAnsi="楷体" w:eastAsia="仿宋_GB2312"/>
          <w:b/>
          <w:color w:val="auto"/>
          <w:sz w:val="24"/>
          <w:highlight w:val="none"/>
        </w:rPr>
        <w:t>2.11 合同变更</w:t>
      </w:r>
      <w:bookmarkEnd w:id="178"/>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83" w:name="_Toc279701259"/>
      <w:bookmarkStart w:id="184" w:name="_Toc259093688"/>
      <w:bookmarkStart w:id="185" w:name="_Toc487900369"/>
    </w:p>
    <w:p>
      <w:pPr>
        <w:spacing w:line="360" w:lineRule="auto"/>
        <w:ind w:firstLine="482" w:firstLineChars="200"/>
        <w:rPr>
          <w:rFonts w:hint="eastAsia" w:ascii="仿宋_GB2312" w:hAnsi="楷体" w:eastAsia="仿宋_GB2312"/>
          <w:b/>
          <w:color w:val="auto"/>
          <w:sz w:val="24"/>
          <w:highlight w:val="none"/>
        </w:rPr>
      </w:pPr>
      <w:bookmarkStart w:id="186" w:name="_Toc10366"/>
      <w:bookmarkStart w:id="187" w:name="_Toc22955"/>
      <w:bookmarkStart w:id="188" w:name="_Toc15237"/>
      <w:r>
        <w:rPr>
          <w:rFonts w:hint="eastAsia" w:ascii="仿宋_GB2312" w:hAnsi="楷体" w:eastAsia="仿宋_GB2312"/>
          <w:b/>
          <w:color w:val="auto"/>
          <w:sz w:val="24"/>
          <w:highlight w:val="none"/>
        </w:rPr>
        <w:t>2.12 合同转让</w:t>
      </w:r>
      <w:bookmarkEnd w:id="183"/>
      <w:bookmarkEnd w:id="184"/>
      <w:bookmarkEnd w:id="185"/>
      <w:r>
        <w:rPr>
          <w:rFonts w:hint="eastAsia" w:ascii="仿宋_GB2312" w:hAnsi="楷体" w:eastAsia="仿宋_GB2312"/>
          <w:b/>
          <w:color w:val="auto"/>
          <w:sz w:val="24"/>
          <w:highlight w:val="none"/>
        </w:rPr>
        <w:t>和分包</w:t>
      </w:r>
      <w:bookmarkEnd w:id="186"/>
      <w:bookmarkEnd w:id="187"/>
      <w:bookmarkEnd w:id="188"/>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pPr>
        <w:spacing w:line="360" w:lineRule="auto"/>
        <w:ind w:firstLine="482" w:firstLineChars="200"/>
        <w:rPr>
          <w:rFonts w:hint="eastAsia" w:ascii="仿宋_GB2312" w:hAnsi="楷体" w:eastAsia="仿宋_GB2312"/>
          <w:b/>
          <w:color w:val="auto"/>
          <w:sz w:val="24"/>
          <w:highlight w:val="none"/>
        </w:rPr>
      </w:pPr>
      <w:bookmarkStart w:id="189" w:name="_Toc13566"/>
      <w:bookmarkStart w:id="190" w:name="_Toc16508"/>
      <w:bookmarkStart w:id="191" w:name="_Toc14066"/>
      <w:r>
        <w:rPr>
          <w:rFonts w:hint="eastAsia" w:ascii="仿宋_GB2312" w:hAnsi="楷体" w:eastAsia="仿宋_GB2312"/>
          <w:b/>
          <w:color w:val="auto"/>
          <w:sz w:val="24"/>
          <w:highlight w:val="none"/>
        </w:rPr>
        <w:t>2.13 不可抗力</w:t>
      </w:r>
      <w:bookmarkEnd w:id="189"/>
      <w:bookmarkEnd w:id="190"/>
      <w:bookmarkEnd w:id="191"/>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pPr>
        <w:spacing w:line="360" w:lineRule="auto"/>
        <w:ind w:firstLine="482" w:firstLineChars="200"/>
        <w:rPr>
          <w:rFonts w:hint="eastAsia" w:ascii="仿宋_GB2312" w:hAnsi="楷体" w:eastAsia="仿宋_GB2312"/>
          <w:b/>
          <w:color w:val="auto"/>
          <w:sz w:val="24"/>
          <w:highlight w:val="none"/>
        </w:rPr>
      </w:pPr>
      <w:bookmarkStart w:id="192" w:name="_Toc6969"/>
      <w:bookmarkStart w:id="193" w:name="_Toc30676"/>
      <w:bookmarkStart w:id="194" w:name="_Toc689"/>
      <w:bookmarkStart w:id="195" w:name="_Toc259093684"/>
      <w:bookmarkStart w:id="196" w:name="_Toc279701255"/>
      <w:bookmarkStart w:id="197" w:name="_Toc487900365"/>
      <w:r>
        <w:rPr>
          <w:rFonts w:hint="eastAsia" w:ascii="仿宋_GB2312" w:hAnsi="楷体" w:eastAsia="仿宋_GB2312"/>
          <w:b/>
          <w:color w:val="auto"/>
          <w:sz w:val="24"/>
          <w:highlight w:val="none"/>
        </w:rPr>
        <w:t>2.14 税费</w:t>
      </w:r>
      <w:bookmarkEnd w:id="192"/>
      <w:bookmarkEnd w:id="193"/>
      <w:bookmarkEnd w:id="194"/>
      <w:bookmarkEnd w:id="195"/>
      <w:bookmarkEnd w:id="196"/>
      <w:bookmarkEnd w:id="197"/>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pPr>
        <w:spacing w:line="360" w:lineRule="auto"/>
        <w:ind w:firstLine="482" w:firstLineChars="200"/>
        <w:rPr>
          <w:rFonts w:hint="eastAsia" w:ascii="仿宋_GB2312" w:hAnsi="楷体" w:eastAsia="仿宋_GB2312"/>
          <w:b/>
          <w:color w:val="auto"/>
          <w:sz w:val="24"/>
          <w:highlight w:val="none"/>
        </w:rPr>
      </w:pPr>
      <w:bookmarkStart w:id="198" w:name="_Toc16959"/>
      <w:bookmarkStart w:id="199" w:name="_Toc279701258"/>
      <w:bookmarkStart w:id="200" w:name="_Toc7102"/>
      <w:bookmarkStart w:id="201" w:name="_Toc487900368"/>
      <w:bookmarkStart w:id="202" w:name="_Toc8298"/>
      <w:bookmarkStart w:id="203" w:name="_Toc259093687"/>
      <w:r>
        <w:rPr>
          <w:rFonts w:hint="eastAsia" w:ascii="仿宋_GB2312" w:hAnsi="楷体" w:eastAsia="仿宋_GB2312"/>
          <w:b/>
          <w:color w:val="auto"/>
          <w:sz w:val="24"/>
          <w:highlight w:val="none"/>
        </w:rPr>
        <w:t>2.15 乙方破产</w:t>
      </w:r>
      <w:bookmarkEnd w:id="198"/>
      <w:bookmarkEnd w:id="199"/>
      <w:bookmarkEnd w:id="200"/>
      <w:bookmarkEnd w:id="201"/>
      <w:bookmarkEnd w:id="202"/>
      <w:bookmarkEnd w:id="203"/>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hint="eastAsia" w:ascii="仿宋_GB2312" w:hAnsi="楷体" w:eastAsia="仿宋_GB2312"/>
          <w:b/>
          <w:color w:val="auto"/>
          <w:sz w:val="24"/>
          <w:highlight w:val="none"/>
        </w:rPr>
      </w:pPr>
      <w:bookmarkStart w:id="204" w:name="_Toc6134"/>
      <w:bookmarkStart w:id="205" w:name="_Toc29333"/>
      <w:bookmarkStart w:id="206" w:name="_Toc15387"/>
      <w:r>
        <w:rPr>
          <w:rFonts w:hint="eastAsia" w:ascii="仿宋_GB2312" w:hAnsi="楷体" w:eastAsia="仿宋_GB2312"/>
          <w:b/>
          <w:color w:val="auto"/>
          <w:sz w:val="24"/>
          <w:highlight w:val="none"/>
        </w:rPr>
        <w:t>2.16 合同中止、终止</w:t>
      </w:r>
      <w:bookmarkEnd w:id="204"/>
      <w:bookmarkEnd w:id="205"/>
      <w:bookmarkEnd w:id="206"/>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hint="eastAsia" w:ascii="仿宋_GB2312" w:hAnsi="楷体" w:eastAsia="仿宋_GB2312"/>
          <w:b/>
          <w:color w:val="auto"/>
          <w:sz w:val="24"/>
          <w:highlight w:val="none"/>
        </w:rPr>
      </w:pPr>
      <w:bookmarkStart w:id="207" w:name="_Toc1125"/>
      <w:bookmarkStart w:id="208" w:name="_Toc14563"/>
      <w:bookmarkStart w:id="209" w:name="_Toc6596"/>
      <w:r>
        <w:rPr>
          <w:rFonts w:hint="eastAsia" w:ascii="仿宋_GB2312" w:hAnsi="楷体" w:eastAsia="仿宋_GB2312"/>
          <w:b/>
          <w:color w:val="auto"/>
          <w:sz w:val="24"/>
          <w:highlight w:val="none"/>
        </w:rPr>
        <w:t>2.17 检验和验收</w:t>
      </w:r>
      <w:bookmarkEnd w:id="207"/>
      <w:bookmarkEnd w:id="208"/>
      <w:bookmarkEnd w:id="209"/>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货物、安全标准，组织对每一项技术、货物、安全标准的履约情况的验收，并出具验收书。</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bookmarkEnd w:id="179"/>
    <w:bookmarkEnd w:id="180"/>
    <w:bookmarkEnd w:id="181"/>
    <w:bookmarkEnd w:id="182"/>
    <w:p>
      <w:pPr>
        <w:spacing w:line="360" w:lineRule="auto"/>
        <w:ind w:firstLine="482" w:firstLineChars="200"/>
        <w:rPr>
          <w:rFonts w:hint="eastAsia" w:ascii="仿宋_GB2312" w:hAnsi="楷体" w:eastAsia="仿宋_GB2312"/>
          <w:b/>
          <w:color w:val="auto"/>
          <w:sz w:val="24"/>
          <w:highlight w:val="none"/>
        </w:rPr>
      </w:pPr>
      <w:bookmarkStart w:id="210" w:name="_Toc259093690"/>
      <w:bookmarkStart w:id="211" w:name="_Toc279701261"/>
      <w:bookmarkStart w:id="212" w:name="_Toc487900371"/>
      <w:bookmarkStart w:id="213" w:name="_Toc19604"/>
      <w:bookmarkStart w:id="214" w:name="_Toc25182"/>
      <w:bookmarkStart w:id="215" w:name="_Toc11284"/>
      <w:r>
        <w:rPr>
          <w:rFonts w:hint="eastAsia" w:ascii="仿宋_GB2312" w:hAnsi="楷体" w:eastAsia="仿宋_GB2312"/>
          <w:b/>
          <w:color w:val="auto"/>
          <w:sz w:val="24"/>
          <w:highlight w:val="none"/>
        </w:rPr>
        <w:t>2.18 通知</w:t>
      </w:r>
      <w:bookmarkEnd w:id="210"/>
      <w:bookmarkEnd w:id="211"/>
      <w:bookmarkEnd w:id="212"/>
      <w:r>
        <w:rPr>
          <w:rFonts w:hint="eastAsia" w:ascii="仿宋_GB2312" w:hAnsi="楷体" w:eastAsia="仿宋_GB2312"/>
          <w:b/>
          <w:color w:val="auto"/>
          <w:sz w:val="24"/>
          <w:highlight w:val="none"/>
        </w:rPr>
        <w:t>和送达</w:t>
      </w:r>
      <w:bookmarkEnd w:id="213"/>
      <w:bookmarkEnd w:id="214"/>
      <w:bookmarkEnd w:id="215"/>
    </w:p>
    <w:p>
      <w:pPr>
        <w:spacing w:line="360" w:lineRule="auto"/>
        <w:ind w:firstLine="480" w:firstLineChars="200"/>
        <w:rPr>
          <w:rFonts w:hint="eastAsia" w:ascii="仿宋_GB2312" w:hAnsi="楷体" w:eastAsia="仿宋_GB2312"/>
          <w:color w:val="auto"/>
          <w:sz w:val="24"/>
          <w:highlight w:val="none"/>
        </w:rPr>
      </w:pPr>
      <w:bookmarkStart w:id="216" w:name="_Toc6698"/>
      <w:bookmarkStart w:id="217" w:name="_Toc3135"/>
      <w:bookmarkStart w:id="218" w:name="_Toc279701262"/>
      <w:bookmarkStart w:id="219" w:name="_Toc259093691"/>
      <w:bookmarkStart w:id="220" w:name="_Toc487900372"/>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个工作日内书面通知对方当事人，在对方当事人收到有关变更通知之前，变更前的约定送达方式或者地址仍视为有效。</w:t>
      </w:r>
      <w:bookmarkEnd w:id="216"/>
      <w:bookmarkEnd w:id="217"/>
    </w:p>
    <w:p>
      <w:pPr>
        <w:spacing w:line="360" w:lineRule="auto"/>
        <w:ind w:firstLine="480" w:firstLineChars="200"/>
        <w:rPr>
          <w:rFonts w:hint="eastAsia" w:ascii="仿宋_GB2312" w:hAnsi="楷体" w:eastAsia="仿宋_GB2312"/>
          <w:color w:val="auto"/>
          <w:sz w:val="24"/>
          <w:highlight w:val="none"/>
        </w:rPr>
      </w:pPr>
      <w:bookmarkStart w:id="221" w:name="_Toc23294"/>
      <w:bookmarkStart w:id="222" w:name="_Toc23128"/>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1"/>
      <w:bookmarkEnd w:id="222"/>
    </w:p>
    <w:p>
      <w:pPr>
        <w:spacing w:line="360" w:lineRule="auto"/>
        <w:ind w:firstLine="482" w:firstLineChars="200"/>
        <w:rPr>
          <w:rFonts w:hint="eastAsia" w:ascii="仿宋_GB2312" w:hAnsi="楷体" w:eastAsia="仿宋_GB2312"/>
          <w:b/>
          <w:color w:val="auto"/>
          <w:sz w:val="24"/>
          <w:highlight w:val="none"/>
        </w:rPr>
      </w:pPr>
      <w:bookmarkStart w:id="223" w:name="_Toc30599"/>
      <w:bookmarkStart w:id="224" w:name="_Toc18540"/>
      <w:bookmarkStart w:id="225" w:name="_Toc4355"/>
      <w:r>
        <w:rPr>
          <w:rFonts w:hint="eastAsia" w:ascii="仿宋_GB2312" w:hAnsi="楷体" w:eastAsia="仿宋_GB2312"/>
          <w:b/>
          <w:color w:val="auto"/>
          <w:sz w:val="24"/>
          <w:highlight w:val="none"/>
        </w:rPr>
        <w:t>2.19 计量单位</w:t>
      </w:r>
      <w:bookmarkEnd w:id="218"/>
      <w:bookmarkEnd w:id="219"/>
      <w:bookmarkEnd w:id="220"/>
      <w:bookmarkEnd w:id="223"/>
      <w:bookmarkEnd w:id="224"/>
      <w:bookmarkEnd w:id="225"/>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pPr>
        <w:spacing w:line="360" w:lineRule="auto"/>
        <w:ind w:firstLine="482" w:firstLineChars="200"/>
        <w:rPr>
          <w:rFonts w:hint="eastAsia" w:ascii="仿宋_GB2312" w:hAnsi="楷体" w:eastAsia="仿宋_GB2312"/>
          <w:b/>
          <w:color w:val="auto"/>
          <w:sz w:val="24"/>
          <w:highlight w:val="none"/>
        </w:rPr>
      </w:pPr>
      <w:bookmarkStart w:id="226" w:name="_Toc487900373"/>
      <w:bookmarkStart w:id="227" w:name="_Toc279701263"/>
      <w:bookmarkStart w:id="228" w:name="_Toc10330"/>
      <w:bookmarkStart w:id="229" w:name="_Toc259093692"/>
      <w:bookmarkStart w:id="230" w:name="_Toc12773"/>
      <w:bookmarkStart w:id="231" w:name="_Toc18567"/>
      <w:r>
        <w:rPr>
          <w:rFonts w:hint="eastAsia" w:ascii="仿宋_GB2312" w:hAnsi="楷体" w:eastAsia="仿宋_GB2312"/>
          <w:b/>
          <w:color w:val="auto"/>
          <w:sz w:val="24"/>
          <w:highlight w:val="none"/>
        </w:rPr>
        <w:t>2.20 合同使用的文字和适用的法律</w:t>
      </w:r>
      <w:bookmarkEnd w:id="226"/>
      <w:bookmarkEnd w:id="227"/>
      <w:bookmarkEnd w:id="228"/>
      <w:bookmarkEnd w:id="229"/>
      <w:bookmarkEnd w:id="230"/>
      <w:bookmarkEnd w:id="231"/>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pPr>
        <w:spacing w:line="360" w:lineRule="auto"/>
        <w:ind w:firstLine="482" w:firstLineChars="200"/>
        <w:rPr>
          <w:rFonts w:hint="eastAsia" w:ascii="仿宋_GB2312" w:hAnsi="楷体" w:eastAsia="仿宋_GB2312"/>
          <w:b/>
          <w:color w:val="auto"/>
          <w:sz w:val="24"/>
          <w:highlight w:val="none"/>
        </w:rPr>
      </w:pPr>
      <w:bookmarkStart w:id="232" w:name="_Toc12004"/>
      <w:bookmarkStart w:id="233" w:name="_Toc3148"/>
      <w:bookmarkStart w:id="234" w:name="_Toc259093693"/>
      <w:bookmarkStart w:id="235" w:name="_Toc16673"/>
      <w:bookmarkStart w:id="236" w:name="_Toc279701264"/>
      <w:bookmarkStart w:id="237" w:name="_Toc487900374"/>
      <w:r>
        <w:rPr>
          <w:rFonts w:hint="eastAsia" w:ascii="仿宋_GB2312" w:hAnsi="楷体" w:eastAsia="仿宋_GB2312"/>
          <w:b/>
          <w:color w:val="auto"/>
          <w:sz w:val="24"/>
          <w:highlight w:val="none"/>
        </w:rPr>
        <w:t>2.21 履约保证金</w:t>
      </w:r>
      <w:bookmarkEnd w:id="232"/>
      <w:bookmarkEnd w:id="233"/>
      <w:bookmarkEnd w:id="234"/>
      <w:bookmarkEnd w:id="235"/>
      <w:bookmarkEnd w:id="236"/>
    </w:p>
    <w:p>
      <w:pPr>
        <w:spacing w:line="360" w:lineRule="auto"/>
        <w:ind w:firstLine="480" w:firstLineChars="200"/>
        <w:rPr>
          <w:rFonts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pPr>
        <w:spacing w:line="360" w:lineRule="auto"/>
        <w:ind w:firstLine="482"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2.22.1本合同（□是  □否）为可融资合同，关于中小企业信用融资事项见采购文件“供应商须知正文”。</w:t>
      </w:r>
    </w:p>
    <w:p>
      <w:pPr>
        <w:spacing w:line="360" w:lineRule="auto"/>
        <w:ind w:firstLine="480" w:firstLineChars="200"/>
        <w:rPr>
          <w:rFonts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2.22.2</w:t>
      </w:r>
      <w:r>
        <w:rPr>
          <w:rFonts w:ascii="仿宋_GB2312" w:hAnsi="仿宋" w:eastAsia="仿宋_GB2312"/>
          <w:color w:val="auto"/>
          <w:kern w:val="0"/>
          <w:sz w:val="24"/>
          <w:highlight w:val="none"/>
          <w:lang w:val="zh-CN"/>
        </w:rPr>
        <w:t xml:space="preserve">本合同（□是  </w:t>
      </w:r>
      <w:r>
        <w:rPr>
          <w:rFonts w:hint="eastAsia" w:ascii="仿宋_GB2312" w:hAnsi="仿宋" w:eastAsia="仿宋_GB2312"/>
          <w:color w:val="auto"/>
          <w:kern w:val="0"/>
          <w:sz w:val="24"/>
          <w:highlight w:val="none"/>
          <w:lang w:val="zh-CN"/>
        </w:rPr>
        <w:t>□否）为中小企业预留合同。</w:t>
      </w:r>
    </w:p>
    <w:bookmarkEnd w:id="237"/>
    <w:p>
      <w:pPr>
        <w:spacing w:line="360" w:lineRule="auto"/>
        <w:ind w:firstLine="482" w:firstLineChars="200"/>
        <w:rPr>
          <w:rFonts w:hint="eastAsia" w:ascii="仿宋_GB2312" w:hAnsi="楷体" w:eastAsia="仿宋_GB2312"/>
          <w:b/>
          <w:color w:val="auto"/>
          <w:sz w:val="24"/>
          <w:highlight w:val="none"/>
        </w:rPr>
      </w:pPr>
      <w:bookmarkStart w:id="238" w:name="_Toc14001"/>
      <w:bookmarkStart w:id="239" w:name="_Toc6885"/>
      <w:bookmarkStart w:id="240" w:name="_Toc19890"/>
      <w:r>
        <w:rPr>
          <w:rFonts w:hint="eastAsia" w:ascii="仿宋_GB2312" w:hAnsi="楷体" w:eastAsia="仿宋_GB2312"/>
          <w:b/>
          <w:color w:val="auto"/>
          <w:sz w:val="24"/>
          <w:highlight w:val="none"/>
        </w:rPr>
        <w:t>2.23 合同份数</w:t>
      </w:r>
      <w:bookmarkEnd w:id="238"/>
      <w:bookmarkEnd w:id="239"/>
      <w:bookmarkEnd w:id="240"/>
    </w:p>
    <w:p>
      <w:pP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份，乙方执</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楷体" w:eastAsia="仿宋_GB2312"/>
          <w:color w:val="auto"/>
          <w:sz w:val="24"/>
          <w:highlight w:val="none"/>
        </w:rPr>
        <w:t>每份均具有同等法律效力。</w:t>
      </w:r>
    </w:p>
    <w:p>
      <w:pPr>
        <w:pStyle w:val="27"/>
        <w:spacing w:after="0"/>
        <w:jc w:val="center"/>
        <w:outlineLvl w:val="1"/>
        <w:rPr>
          <w:rFonts w:hint="eastAsia" w:ascii="仿宋_GB2312" w:hAnsi="楷体" w:eastAsia="仿宋_GB2312"/>
          <w:b/>
          <w:color w:val="auto"/>
          <w:sz w:val="28"/>
          <w:szCs w:val="28"/>
          <w:highlight w:val="none"/>
        </w:rPr>
      </w:pPr>
      <w:r>
        <w:rPr>
          <w:rFonts w:hint="eastAsia" w:ascii="仿宋_GB2312" w:hAnsi="楷体" w:eastAsia="仿宋_GB2312"/>
          <w:color w:val="auto"/>
          <w:highlight w:val="none"/>
        </w:rPr>
        <w:br w:type="page"/>
      </w:r>
      <w:bookmarkStart w:id="241" w:name="_Toc80205946"/>
      <w:bookmarkStart w:id="242" w:name="_Toc331685784"/>
      <w:r>
        <w:rPr>
          <w:rFonts w:hint="eastAsia" w:ascii="仿宋_GB2312" w:hAnsi="楷体" w:eastAsia="仿宋_GB2312"/>
          <w:b/>
          <w:color w:val="auto"/>
          <w:sz w:val="28"/>
          <w:szCs w:val="28"/>
          <w:highlight w:val="none"/>
        </w:rPr>
        <w:t>第三部分  合同专用条款</w:t>
      </w:r>
      <w:bookmarkEnd w:id="241"/>
      <w:bookmarkEnd w:id="242"/>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2.3.2具有知识产权的标的物知识产权归属：</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 xml:space="preserve">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2.4.1包装和装运专用条款（如果有）：</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2.4.2装运标的物的要求和通知：</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2.6</w:t>
      </w:r>
      <w:r>
        <w:rPr>
          <w:rFonts w:hint="eastAsia" w:ascii="仿宋_GB2312" w:hAnsi="楷体" w:eastAsia="仿宋_GB2312"/>
          <w:b/>
          <w:color w:val="auto"/>
          <w:sz w:val="24"/>
          <w:highlight w:val="none"/>
        </w:rPr>
        <w:t>结算方式和付款条件</w:t>
      </w:r>
    </w:p>
    <w:p>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本次项目合同总价为大写人民币</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    元）。本项目采用以下勾选结算方式进行支付：</w:t>
      </w:r>
    </w:p>
    <w:p>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□采用一次性支付方式，付款条件为：</w:t>
      </w:r>
      <w:r>
        <w:rPr>
          <w:rFonts w:hint="eastAsia" w:ascii="仿宋_GB2312" w:eastAsia="仿宋_GB2312" w:cs="仿宋_GB2312"/>
          <w:color w:val="auto"/>
          <w:kern w:val="0"/>
          <w:sz w:val="24"/>
          <w:highlight w:val="none"/>
          <w:u w:val="single"/>
        </w:rPr>
        <w:t xml:space="preserve">           </w:t>
      </w:r>
    </w:p>
    <w:p>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w:t>
      </w:r>
    </w:p>
    <w:p>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lang w:val="zh-CN"/>
        </w:rPr>
        <w:t>第一期付款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pPr>
        <w:spacing w:line="360" w:lineRule="auto"/>
        <w:ind w:firstLine="480" w:firstLineChars="200"/>
        <w:rPr>
          <w:rFonts w:hint="eastAsia" w:ascii="仿宋_GB2312" w:eastAsia="仿宋_GB2312" w:cs="仿宋_GB2312"/>
          <w:color w:val="auto"/>
          <w:kern w:val="0"/>
          <w:sz w:val="24"/>
          <w:highlight w:val="none"/>
          <w:u w:val="single"/>
        </w:rPr>
      </w:pPr>
      <w:r>
        <w:rPr>
          <w:rFonts w:hint="eastAsia" w:ascii="仿宋_GB2312" w:eastAsia="仿宋_GB2312" w:cs="仿宋_GB2312"/>
          <w:color w:val="auto"/>
          <w:kern w:val="0"/>
          <w:sz w:val="24"/>
          <w:highlight w:val="none"/>
          <w:lang w:val="zh-CN"/>
        </w:rPr>
        <w:t>第</w:t>
      </w:r>
      <w:r>
        <w:rPr>
          <w:rFonts w:hint="eastAsia" w:ascii="仿宋_GB2312" w:eastAsia="仿宋_GB2312" w:cs="仿宋_GB2312"/>
          <w:color w:val="auto"/>
          <w:kern w:val="0"/>
          <w:sz w:val="24"/>
          <w:highlight w:val="none"/>
        </w:rPr>
        <w:t>二</w:t>
      </w:r>
      <w:r>
        <w:rPr>
          <w:rFonts w:hint="eastAsia" w:ascii="仿宋_GB2312" w:eastAsia="仿宋_GB2312" w:cs="仿宋_GB2312"/>
          <w:color w:val="auto"/>
          <w:kern w:val="0"/>
          <w:sz w:val="24"/>
          <w:highlight w:val="none"/>
          <w:lang w:val="zh-CN"/>
        </w:rPr>
        <w:t>期付款</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u w:val="single"/>
        </w:rPr>
        <w:t xml:space="preserve">                                        </w:t>
      </w:r>
    </w:p>
    <w:p>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eastAsia="仿宋_GB2312" w:cs="仿宋_GB2312"/>
          <w:color w:val="auto"/>
          <w:kern w:val="0"/>
          <w:sz w:val="24"/>
          <w:highlight w:val="none"/>
        </w:rPr>
        <w:t>……</w:t>
      </w:r>
    </w:p>
    <w:p>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hAnsi="仿宋" w:eastAsia="仿宋_GB2312"/>
          <w:color w:val="auto"/>
          <w:sz w:val="24"/>
          <w:highlight w:val="none"/>
        </w:rPr>
        <w:t>甲方无故逾期支付货物费用的，按照每逾期一日支付欠付货物费额度的</w:t>
      </w:r>
      <w:r>
        <w:rPr>
          <w:rFonts w:hint="eastAsia" w:ascii="仿宋_GB2312" w:hAnsi="仿宋" w:eastAsia="仿宋_GB2312"/>
          <w:color w:val="auto"/>
          <w:sz w:val="24"/>
          <w:highlight w:val="none"/>
          <w:u w:val="single"/>
        </w:rPr>
        <w:t>万分之五</w:t>
      </w:r>
      <w:r>
        <w:rPr>
          <w:rFonts w:hint="eastAsia" w:ascii="仿宋_GB2312" w:hAnsi="仿宋" w:eastAsia="仿宋_GB2312"/>
          <w:color w:val="auto"/>
          <w:sz w:val="24"/>
          <w:highlight w:val="none"/>
        </w:rPr>
        <w:t>（</w:t>
      </w:r>
      <w:r>
        <w:rPr>
          <w:rFonts w:hint="eastAsia" w:ascii="仿宋_GB2312" w:hAnsi="楷体" w:eastAsia="仿宋_GB2312"/>
          <w:color w:val="auto"/>
          <w:sz w:val="24"/>
          <w:highlight w:val="none"/>
        </w:rPr>
        <w:t>根据项目实际填写，一般为万分之五</w:t>
      </w:r>
      <w:r>
        <w:rPr>
          <w:rFonts w:hint="eastAsia" w:ascii="仿宋_GB2312" w:hAnsi="仿宋" w:eastAsia="仿宋_GB2312"/>
          <w:color w:val="auto"/>
          <w:sz w:val="24"/>
          <w:highlight w:val="none"/>
        </w:rPr>
        <w:t>）承担违约责任，违约金上限按照《合同书》约定执行。</w:t>
      </w:r>
    </w:p>
    <w:p>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2.9</w:t>
      </w:r>
      <w:r>
        <w:rPr>
          <w:rFonts w:hint="eastAsia" w:ascii="仿宋_GB2312" w:hAnsi="楷体" w:eastAsia="仿宋_GB2312"/>
          <w:b/>
          <w:color w:val="auto"/>
          <w:sz w:val="24"/>
          <w:highlight w:val="none"/>
        </w:rPr>
        <w:t>标的物的风险负担</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日内以书面形式通知对方当事人，并在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日内，将有关部门出具的证明文件送达对方当事人。</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2.13.4因不可抗力致使合同有变更必要的，双方当事人应在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日内以书面形式变更合同；</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日内发起验收，并可依法邀请相关方参加，验收应出具验收书。</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w:t>
      </w: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 其他：</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项目验收：</w:t>
      </w:r>
    </w:p>
    <w:p>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严格按照采购合同开展履约验收。甲方成立验收小组，按照采购合同的约定对供应商履约情况进行验收，验收时，按照采购合同的约定对每一项技术、货物、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4、验收产生的费用首次验收费用由甲方承担，如首次验收不合格，后续验收费用由乙方支付。</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5、验收内容及资料要求：</w:t>
      </w:r>
    </w:p>
    <w:p>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根根据采购文件确定的技术指标或者货物要求确定验收指标和标准。未进行相应约定的，应当符合国家强制性规定、政策要求、安全标准、行业或企业有关标准等。</w:t>
      </w:r>
    </w:p>
    <w:p>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5.1验收内容</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914"/>
        <w:gridCol w:w="5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序号</w:t>
            </w:r>
          </w:p>
        </w:tc>
        <w:tc>
          <w:tcPr>
            <w:tcW w:w="1914"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验收内容</w:t>
            </w:r>
          </w:p>
        </w:tc>
        <w:tc>
          <w:tcPr>
            <w:tcW w:w="5930"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 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1</w:t>
            </w:r>
          </w:p>
        </w:tc>
        <w:tc>
          <w:tcPr>
            <w:tcW w:w="1914"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交货产品数量</w:t>
            </w:r>
          </w:p>
        </w:tc>
        <w:tc>
          <w:tcPr>
            <w:tcW w:w="5930" w:type="dxa"/>
            <w:noWrap w:val="0"/>
            <w:vAlign w:val="center"/>
          </w:tcPr>
          <w:p>
            <w:pPr>
              <w:widowControl/>
              <w:spacing w:line="360" w:lineRule="auto"/>
              <w:ind w:firstLine="200"/>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2</w:t>
            </w:r>
          </w:p>
        </w:tc>
        <w:tc>
          <w:tcPr>
            <w:tcW w:w="1914"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交货产品的质量文件</w:t>
            </w:r>
          </w:p>
        </w:tc>
        <w:tc>
          <w:tcPr>
            <w:tcW w:w="5930" w:type="dxa"/>
            <w:noWrap w:val="0"/>
            <w:vAlign w:val="center"/>
          </w:tcPr>
          <w:p>
            <w:pPr>
              <w:widowControl/>
              <w:spacing w:line="360" w:lineRule="auto"/>
              <w:ind w:firstLine="200"/>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4</w:t>
            </w:r>
          </w:p>
        </w:tc>
        <w:tc>
          <w:tcPr>
            <w:tcW w:w="1914" w:type="dxa"/>
            <w:noWrap w:val="0"/>
            <w:vAlign w:val="center"/>
          </w:tcPr>
          <w:p>
            <w:pPr>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 xml:space="preserve">交货产品技术、性能指标 </w:t>
            </w:r>
          </w:p>
        </w:tc>
        <w:tc>
          <w:tcPr>
            <w:tcW w:w="5930" w:type="dxa"/>
            <w:noWrap w:val="0"/>
            <w:vAlign w:val="center"/>
          </w:tcPr>
          <w:p>
            <w:pPr>
              <w:pStyle w:val="2"/>
              <w:spacing w:after="0" w:line="360" w:lineRule="auto"/>
              <w:ind w:firstLine="200"/>
              <w:jc w:val="left"/>
              <w:rPr>
                <w:rFonts w:hint="eastAsia" w:ascii="仿宋" w:hAnsi="仿宋" w:eastAsia="仿宋" w:cs="仿宋"/>
                <w:color w:val="auto"/>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noWrap w:val="0"/>
            <w:vAlign w:val="center"/>
          </w:tcPr>
          <w:p>
            <w:pPr>
              <w:widowControl/>
              <w:spacing w:line="360" w:lineRule="auto"/>
              <w:ind w:firstLine="200"/>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w:t>
            </w:r>
          </w:p>
        </w:tc>
        <w:tc>
          <w:tcPr>
            <w:tcW w:w="1914" w:type="dxa"/>
            <w:noWrap w:val="0"/>
            <w:vAlign w:val="center"/>
          </w:tcPr>
          <w:p>
            <w:pPr>
              <w:spacing w:line="360" w:lineRule="auto"/>
              <w:ind w:firstLine="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售后服务</w:t>
            </w:r>
          </w:p>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color w:val="auto"/>
                <w:sz w:val="24"/>
                <w:highlight w:val="none"/>
              </w:rPr>
              <w:t>承诺</w:t>
            </w:r>
          </w:p>
        </w:tc>
        <w:tc>
          <w:tcPr>
            <w:tcW w:w="5930" w:type="dxa"/>
            <w:noWrap w:val="0"/>
            <w:vAlign w:val="center"/>
          </w:tcPr>
          <w:p>
            <w:pPr>
              <w:widowControl/>
              <w:spacing w:line="360" w:lineRule="auto"/>
              <w:ind w:firstLine="200"/>
              <w:jc w:val="center"/>
              <w:rPr>
                <w:rFonts w:hint="eastAsia" w:ascii="仿宋" w:hAnsi="仿宋" w:eastAsia="仿宋" w:cs="仿宋"/>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6</w:t>
            </w:r>
          </w:p>
        </w:tc>
        <w:tc>
          <w:tcPr>
            <w:tcW w:w="1914" w:type="dxa"/>
            <w:noWrap w:val="0"/>
            <w:vAlign w:val="center"/>
          </w:tcPr>
          <w:p>
            <w:pPr>
              <w:widowControl/>
              <w:spacing w:line="360" w:lineRule="auto"/>
              <w:ind w:firstLine="200"/>
              <w:jc w:val="center"/>
              <w:rPr>
                <w:rFonts w:hint="eastAsia" w:ascii="仿宋" w:hAnsi="仿宋" w:eastAsia="仿宋" w:cs="仿宋"/>
                <w:bCs/>
                <w:color w:val="auto"/>
                <w:kern w:val="0"/>
                <w:sz w:val="24"/>
                <w:highlight w:val="none"/>
              </w:rPr>
            </w:pPr>
            <w:r>
              <w:rPr>
                <w:rFonts w:hint="eastAsia" w:ascii="仿宋" w:hAnsi="仿宋" w:eastAsia="仿宋" w:cs="仿宋"/>
                <w:bCs/>
                <w:color w:val="auto"/>
                <w:kern w:val="0"/>
                <w:sz w:val="24"/>
                <w:highlight w:val="none"/>
              </w:rPr>
              <w:t>其他工作</w:t>
            </w:r>
          </w:p>
        </w:tc>
        <w:tc>
          <w:tcPr>
            <w:tcW w:w="5930" w:type="dxa"/>
            <w:noWrap w:val="0"/>
            <w:vAlign w:val="center"/>
          </w:tcPr>
          <w:p>
            <w:pPr>
              <w:widowControl/>
              <w:spacing w:line="360" w:lineRule="auto"/>
              <w:ind w:firstLine="200"/>
              <w:jc w:val="left"/>
              <w:rPr>
                <w:rFonts w:hint="eastAsia" w:ascii="仿宋" w:hAnsi="仿宋" w:eastAsia="仿宋" w:cs="仿宋"/>
                <w:color w:val="auto"/>
                <w:kern w:val="0"/>
                <w:sz w:val="24"/>
                <w:highlight w:val="none"/>
              </w:rPr>
            </w:pPr>
          </w:p>
        </w:tc>
      </w:tr>
    </w:tbl>
    <w:p>
      <w:pPr>
        <w:tabs>
          <w:tab w:val="left" w:pos="904"/>
        </w:tabs>
        <w:snapToGrid w:val="0"/>
        <w:spacing w:line="360" w:lineRule="auto"/>
        <w:ind w:firstLine="480" w:firstLineChars="200"/>
        <w:jc w:val="left"/>
        <w:rPr>
          <w:rFonts w:hint="eastAsia" w:ascii="仿宋" w:hAnsi="仿宋" w:eastAsia="仿宋" w:cs="仿宋"/>
          <w:color w:val="auto"/>
          <w:sz w:val="24"/>
          <w:highlight w:val="none"/>
        </w:rPr>
      </w:pPr>
    </w:p>
    <w:p>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5.2验收资料要求</w:t>
      </w:r>
    </w:p>
    <w:p>
      <w:pPr>
        <w:tabs>
          <w:tab w:val="left" w:pos="904"/>
        </w:tabs>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验收资料要求包括（不限于）以下内容：</w:t>
      </w:r>
    </w:p>
    <w:p>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（1）采购文件；</w:t>
      </w:r>
    </w:p>
    <w:p>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（2）响应文件；</w:t>
      </w:r>
    </w:p>
    <w:p>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（3）采购合同；</w:t>
      </w:r>
    </w:p>
    <w:p>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（4）到货核验单（需采购核验人、复核人及乙方交货人三方签字盖章）、产品拍照图片、产品说明书、产品合格证、质量保证书原件</w:t>
      </w:r>
      <w:r>
        <w:rPr>
          <w:rFonts w:hint="eastAsia" w:ascii="仿宋" w:hAnsi="仿宋" w:eastAsia="仿宋" w:cs="仿宋"/>
          <w:bCs/>
          <w:color w:val="auto"/>
          <w:sz w:val="24"/>
          <w:highlight w:val="none"/>
        </w:rPr>
        <w:t>、</w:t>
      </w:r>
      <w:r>
        <w:rPr>
          <w:rFonts w:hint="eastAsia" w:ascii="仿宋" w:hAnsi="仿宋" w:eastAsia="仿宋" w:cs="仿宋"/>
          <w:color w:val="auto"/>
          <w:sz w:val="24"/>
          <w:highlight w:val="none"/>
        </w:rPr>
        <w:t>三包凭证、产品的检测报告、原厂质保承诺函等；</w:t>
      </w:r>
    </w:p>
    <w:p>
      <w:pPr>
        <w:tabs>
          <w:tab w:val="left" w:pos="904"/>
        </w:tabs>
        <w:adjustRightInd w:val="0"/>
        <w:snapToGrid w:val="0"/>
        <w:spacing w:line="360" w:lineRule="auto"/>
        <w:ind w:firstLine="240" w:firstLineChars="1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（5）其他需提供的相关材料。</w:t>
      </w:r>
    </w:p>
    <w:p>
      <w:pPr>
        <w:widowControl/>
        <w:ind w:firstLine="720" w:firstLineChars="300"/>
        <w:jc w:val="left"/>
        <w:rPr>
          <w:rFonts w:hint="eastAsia" w:ascii="仿宋" w:hAnsi="仿宋" w:eastAsia="仿宋"/>
          <w:bCs/>
          <w:color w:val="auto"/>
          <w:sz w:val="24"/>
          <w:highlight w:val="none"/>
        </w:rPr>
      </w:pPr>
    </w:p>
    <w:p>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pPr>
        <w:tabs>
          <w:tab w:val="left" w:pos="7380"/>
        </w:tabs>
        <w:spacing w:line="360" w:lineRule="auto"/>
        <w:jc w:val="center"/>
        <w:rPr>
          <w:rFonts w:ascii="宋体" w:hAnsi="宋体" w:cs="仿宋_GB2312"/>
          <w:b/>
          <w:color w:val="auto"/>
          <w:sz w:val="44"/>
          <w:szCs w:val="44"/>
          <w:highlight w:val="none"/>
        </w:rPr>
      </w:pPr>
    </w:p>
    <w:p>
      <w:pPr>
        <w:tabs>
          <w:tab w:val="left" w:pos="3261"/>
        </w:tabs>
        <w:spacing w:line="360" w:lineRule="auto"/>
        <w:contextualSpacing/>
        <w:jc w:val="center"/>
        <w:rPr>
          <w:rFonts w:ascii="宋体" w:hAnsi="宋体" w:cs="仿宋_GB2312"/>
          <w:b/>
          <w:color w:val="auto"/>
          <w:sz w:val="44"/>
          <w:szCs w:val="44"/>
          <w:highlight w:val="none"/>
        </w:rPr>
      </w:pPr>
    </w:p>
    <w:p>
      <w:pPr>
        <w:tabs>
          <w:tab w:val="left" w:pos="3261"/>
        </w:tabs>
        <w:spacing w:line="360" w:lineRule="auto"/>
        <w:contextualSpacing/>
        <w:jc w:val="center"/>
        <w:rPr>
          <w:rFonts w:ascii="宋体" w:hAnsi="宋体" w:cs="仿宋_GB2312"/>
          <w:b/>
          <w:color w:val="auto"/>
          <w:sz w:val="44"/>
          <w:szCs w:val="44"/>
          <w:highlight w:val="none"/>
        </w:rPr>
      </w:pPr>
    </w:p>
    <w:p>
      <w:pPr>
        <w:tabs>
          <w:tab w:val="left" w:pos="3261"/>
        </w:tabs>
        <w:spacing w:line="360" w:lineRule="auto"/>
        <w:contextualSpacing/>
        <w:jc w:val="center"/>
        <w:rPr>
          <w:rFonts w:ascii="宋体" w:hAnsi="宋体" w:cs="仿宋_GB2312"/>
          <w:b/>
          <w:color w:val="auto"/>
          <w:sz w:val="44"/>
          <w:szCs w:val="44"/>
          <w:highlight w:val="none"/>
        </w:rPr>
      </w:pPr>
    </w:p>
    <w:p>
      <w:pPr>
        <w:tabs>
          <w:tab w:val="left" w:pos="3261"/>
        </w:tabs>
        <w:spacing w:line="360" w:lineRule="auto"/>
        <w:contextualSpacing/>
        <w:jc w:val="center"/>
        <w:rPr>
          <w:rFonts w:ascii="宋体" w:hAnsi="宋体" w:cs="仿宋_GB2312"/>
          <w:b/>
          <w:color w:val="auto"/>
          <w:sz w:val="44"/>
          <w:szCs w:val="44"/>
          <w:highlight w:val="none"/>
        </w:rPr>
      </w:pPr>
    </w:p>
    <w:p>
      <w:pPr>
        <w:pStyle w:val="3"/>
        <w:jc w:val="center"/>
        <w:rPr>
          <w:rFonts w:hint="eastAsia" w:ascii="宋体" w:hAnsi="宋体" w:cs="仿宋_GB2312"/>
          <w:b w:val="0"/>
          <w:color w:val="auto"/>
          <w:highlight w:val="none"/>
          <w:lang w:eastAsia="zh-CN"/>
        </w:rPr>
      </w:pPr>
    </w:p>
    <w:p>
      <w:pPr>
        <w:pStyle w:val="3"/>
        <w:jc w:val="center"/>
        <w:rPr>
          <w:rFonts w:hint="eastAsia" w:ascii="宋体" w:hAnsi="宋体" w:cs="仿宋_GB2312"/>
          <w:b w:val="0"/>
          <w:color w:val="auto"/>
          <w:highlight w:val="none"/>
          <w:lang w:eastAsia="zh-CN"/>
        </w:rPr>
      </w:pPr>
    </w:p>
    <w:p>
      <w:pPr>
        <w:pStyle w:val="3"/>
        <w:jc w:val="center"/>
        <w:rPr>
          <w:rFonts w:hint="eastAsia" w:ascii="宋体" w:hAnsi="宋体" w:cs="仿宋_GB2312"/>
          <w:color w:val="auto"/>
          <w:highlight w:val="none"/>
          <w:lang w:val="en-US"/>
        </w:rPr>
        <w:sectPr>
          <w:pgSz w:w="11910" w:h="16840"/>
          <w:pgMar w:top="1340" w:right="1500" w:bottom="280" w:left="1680" w:header="720" w:footer="720" w:gutter="0"/>
          <w:cols w:space="720" w:num="1"/>
        </w:sectPr>
      </w:pPr>
      <w:bookmarkStart w:id="243" w:name="_Toc80205947"/>
      <w:r>
        <w:rPr>
          <w:rFonts w:hint="eastAsia" w:ascii="宋体" w:hAnsi="宋体" w:cs="仿宋_GB2312"/>
          <w:b w:val="0"/>
          <w:color w:val="auto"/>
          <w:highlight w:val="none"/>
        </w:rPr>
        <w:t>第七章 质疑、投诉材料格式</w:t>
      </w:r>
      <w:bookmarkEnd w:id="243"/>
    </w:p>
    <w:p>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质疑函（格式）</w:t>
      </w:r>
    </w:p>
    <w:p>
      <w:pPr>
        <w:pStyle w:val="13"/>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pPr>
        <w:pStyle w:val="13"/>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3"/>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u w:val="none"/>
          <w:lang w:val="en-US" w:eastAsia="zh-CN"/>
        </w:rPr>
        <w:t>邮箱</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3"/>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lang w:val="en-US" w:eastAsia="zh-CN"/>
        </w:rPr>
        <w:t>法定代表人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3"/>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pPr>
        <w:pStyle w:val="13"/>
        <w:spacing w:line="360" w:lineRule="auto"/>
        <w:ind w:firstLine="480" w:firstLineChars="20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3"/>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p>
    <w:p>
      <w:pPr>
        <w:pStyle w:val="13"/>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pPr>
        <w:pStyle w:val="13"/>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pPr>
        <w:pStyle w:val="13"/>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pPr>
        <w:pStyle w:val="13"/>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质疑事项2</w:t>
      </w:r>
    </w:p>
    <w:p>
      <w:pPr>
        <w:pStyle w:val="13"/>
        <w:spacing w:line="360" w:lineRule="auto"/>
        <w:ind w:left="25" w:leftChars="12" w:firstLine="472" w:firstLineChars="197"/>
        <w:contextualSpacing/>
        <w:rPr>
          <w:rFonts w:hint="eastAsia" w:hAnsi="宋体"/>
          <w:color w:val="auto"/>
          <w:sz w:val="24"/>
          <w:szCs w:val="24"/>
          <w:highlight w:val="none"/>
        </w:rPr>
      </w:pPr>
      <w:r>
        <w:rPr>
          <w:rFonts w:hAnsi="宋体"/>
          <w:color w:val="auto"/>
          <w:sz w:val="24"/>
          <w:szCs w:val="24"/>
          <w:highlight w:val="none"/>
        </w:rPr>
        <w:t>……</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pPr>
        <w:pStyle w:val="13"/>
        <w:spacing w:line="360" w:lineRule="auto"/>
        <w:ind w:left="25" w:leftChars="12" w:firstLine="352" w:firstLineChars="147"/>
        <w:contextualSpacing/>
        <w:rPr>
          <w:rFonts w:hint="eastAsia" w:hAnsi="宋体"/>
          <w:color w:val="auto"/>
          <w:sz w:val="24"/>
          <w:szCs w:val="24"/>
          <w:highlight w:val="none"/>
        </w:rPr>
      </w:pP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pPr>
        <w:pStyle w:val="13"/>
        <w:spacing w:line="360" w:lineRule="auto"/>
        <w:ind w:left="25" w:leftChars="12" w:firstLine="352" w:firstLineChars="147"/>
        <w:contextualSpacing/>
        <w:rPr>
          <w:rFonts w:hint="eastAsia" w:hAnsi="宋体"/>
          <w:color w:val="auto"/>
          <w:sz w:val="24"/>
          <w:szCs w:val="24"/>
          <w:highlight w:val="none"/>
        </w:rPr>
      </w:pPr>
    </w:p>
    <w:p>
      <w:pPr>
        <w:pStyle w:val="13"/>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pPr>
        <w:pStyle w:val="13"/>
        <w:spacing w:line="360" w:lineRule="auto"/>
        <w:contextualSpacing/>
        <w:rPr>
          <w:rFonts w:hint="eastAsia" w:hAnsi="宋体"/>
          <w:b/>
          <w:color w:val="auto"/>
          <w:sz w:val="24"/>
          <w:szCs w:val="24"/>
          <w:highlight w:val="none"/>
          <w:lang w:eastAsia="zh-CN"/>
        </w:rPr>
      </w:pPr>
    </w:p>
    <w:p>
      <w:pPr>
        <w:pStyle w:val="13"/>
        <w:spacing w:line="360" w:lineRule="auto"/>
        <w:contextualSpacing/>
        <w:rPr>
          <w:rFonts w:hint="eastAsia" w:hAnsi="宋体"/>
          <w:b/>
          <w:color w:val="auto"/>
          <w:sz w:val="24"/>
          <w:szCs w:val="24"/>
          <w:highlight w:val="none"/>
          <w:lang w:eastAsia="zh-CN"/>
        </w:rPr>
      </w:pPr>
    </w:p>
    <w:p>
      <w:pPr>
        <w:pStyle w:val="13"/>
        <w:spacing w:line="360" w:lineRule="auto"/>
        <w:contextualSpacing/>
        <w:rPr>
          <w:rFonts w:hint="eastAsia" w:hAnsi="宋体"/>
          <w:b/>
          <w:color w:val="auto"/>
          <w:sz w:val="24"/>
          <w:szCs w:val="24"/>
          <w:highlight w:val="none"/>
        </w:rPr>
      </w:pPr>
    </w:p>
    <w:p>
      <w:pPr>
        <w:pStyle w:val="13"/>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pPr>
        <w:pStyle w:val="13"/>
        <w:spacing w:line="360" w:lineRule="auto"/>
        <w:ind w:left="25" w:leftChars="12" w:firstLine="354" w:firstLineChars="147"/>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w:t>
      </w:r>
      <w:r>
        <w:rPr>
          <w:rFonts w:hint="eastAsia" w:hAnsi="宋体"/>
          <w:b/>
          <w:color w:val="auto"/>
          <w:sz w:val="24"/>
          <w:szCs w:val="24"/>
          <w:highlight w:val="none"/>
          <w:lang w:val="en-US" w:eastAsia="zh-CN"/>
        </w:rPr>
        <w:t>营业执照复印件、</w:t>
      </w:r>
      <w:r>
        <w:rPr>
          <w:rFonts w:hint="eastAsia" w:hAnsi="宋体"/>
          <w:b/>
          <w:color w:val="auto"/>
          <w:sz w:val="24"/>
          <w:szCs w:val="24"/>
          <w:highlight w:val="none"/>
        </w:rPr>
        <w:t>由质疑供应商签署的授权委托书</w:t>
      </w:r>
      <w:r>
        <w:rPr>
          <w:rFonts w:hint="eastAsia" w:hAnsi="宋体"/>
          <w:b/>
          <w:color w:val="auto"/>
          <w:sz w:val="24"/>
          <w:szCs w:val="24"/>
          <w:highlight w:val="none"/>
          <w:lang w:eastAsia="zh-CN"/>
        </w:rPr>
        <w:t>、</w:t>
      </w:r>
      <w:r>
        <w:rPr>
          <w:rFonts w:hint="eastAsia" w:hAnsi="宋体"/>
          <w:b/>
          <w:color w:val="auto"/>
          <w:sz w:val="24"/>
          <w:szCs w:val="24"/>
          <w:highlight w:val="none"/>
          <w:lang w:val="en-US" w:eastAsia="zh-CN"/>
        </w:rPr>
        <w:t>法定代表人及委托代理人身份证正反面复印件（所提交所有材料须加盖公章）</w:t>
      </w:r>
      <w:r>
        <w:rPr>
          <w:rFonts w:hint="eastAsia" w:hAnsi="宋体"/>
          <w:b/>
          <w:color w:val="auto"/>
          <w:sz w:val="24"/>
          <w:szCs w:val="24"/>
          <w:highlight w:val="none"/>
        </w:rPr>
        <w:t>。授权委托书应载明代理人的姓名或者名称、代理事项、具体权限、期限和相关事项。</w:t>
      </w:r>
    </w:p>
    <w:p>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pPr>
        <w:pStyle w:val="13"/>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pPr>
        <w:pStyle w:val="13"/>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5.质疑供应商为法人或者其他组织的，质疑函应由法定代表人、主要负责人，或者其授权代表签字，并加盖公章。</w:t>
      </w:r>
    </w:p>
    <w:p>
      <w:pPr>
        <w:pStyle w:val="13"/>
        <w:snapToGrid w:val="0"/>
        <w:rPr>
          <w:rFonts w:hint="eastAsia"/>
          <w:b/>
          <w:color w:val="auto"/>
          <w:sz w:val="24"/>
          <w:szCs w:val="24"/>
          <w:highlight w:val="none"/>
        </w:rPr>
      </w:pPr>
    </w:p>
    <w:p>
      <w:pPr>
        <w:spacing w:line="460" w:lineRule="exact"/>
        <w:jc w:val="center"/>
        <w:rPr>
          <w:rFonts w:hint="eastAsia" w:eastAsia="隶书"/>
          <w:color w:val="auto"/>
          <w:sz w:val="44"/>
          <w:highlight w:val="none"/>
        </w:rPr>
      </w:pPr>
      <w:r>
        <w:rPr>
          <w:rFonts w:eastAsia="隶书"/>
          <w:color w:val="auto"/>
          <w:sz w:val="44"/>
          <w:highlight w:val="none"/>
        </w:rPr>
        <w:br w:type="page"/>
      </w:r>
    </w:p>
    <w:p>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投诉书（格式）</w:t>
      </w:r>
    </w:p>
    <w:p>
      <w:pPr>
        <w:pStyle w:val="13"/>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pPr>
        <w:pStyle w:val="13"/>
        <w:snapToGrid w:val="0"/>
        <w:spacing w:line="360" w:lineRule="auto"/>
        <w:ind w:firstLine="480" w:firstLineChars="200"/>
        <w:rPr>
          <w:rFonts w:hint="eastAsia" w:hAnsi="宋体"/>
          <w:bCs/>
          <w:color w:val="auto"/>
          <w:sz w:val="24"/>
          <w:szCs w:val="24"/>
          <w:highlight w:val="none"/>
          <w:u w:val="singl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被投诉人1：</w:t>
      </w:r>
    </w:p>
    <w:p>
      <w:pPr>
        <w:pStyle w:val="13"/>
        <w:snapToGrid w:val="0"/>
        <w:spacing w:line="360" w:lineRule="auto"/>
        <w:ind w:firstLine="480" w:firstLineChars="200"/>
        <w:rPr>
          <w:rFonts w:hint="eastAsia" w:hAnsi="宋体"/>
          <w:bCs/>
          <w:color w:val="auto"/>
          <w:sz w:val="24"/>
          <w:szCs w:val="24"/>
          <w:highlight w:val="none"/>
          <w:u w:val="single"/>
          <w:lang w:eastAsia="zh-CN"/>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被投诉人2：</w:t>
      </w:r>
    </w:p>
    <w:p>
      <w:pPr>
        <w:pStyle w:val="13"/>
        <w:snapToGrid w:val="0"/>
        <w:spacing w:line="360" w:lineRule="auto"/>
        <w:ind w:firstLine="480" w:firstLineChars="200"/>
        <w:rPr>
          <w:rFonts w:hint="eastAsia" w:hAnsi="宋体"/>
          <w:bCs/>
          <w:color w:val="auto"/>
          <w:sz w:val="24"/>
          <w:szCs w:val="24"/>
          <w:highlight w:val="none"/>
        </w:rPr>
      </w:pPr>
      <w:r>
        <w:rPr>
          <w:rFonts w:hAnsi="宋体"/>
          <w:bCs/>
          <w:color w:val="auto"/>
          <w:sz w:val="24"/>
          <w:szCs w:val="24"/>
          <w:highlight w:val="none"/>
        </w:rPr>
        <w:t>……</w:t>
      </w:r>
    </w:p>
    <w:p>
      <w:pPr>
        <w:pStyle w:val="13"/>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pPr>
        <w:pStyle w:val="13"/>
        <w:snapToGrid w:val="0"/>
        <w:spacing w:line="360" w:lineRule="auto"/>
        <w:ind w:firstLine="480" w:firstLineChars="20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pPr>
        <w:pStyle w:val="13"/>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pPr>
        <w:pStyle w:val="13"/>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招标文件公告：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pPr>
        <w:pStyle w:val="13"/>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pPr>
        <w:pStyle w:val="13"/>
        <w:spacing w:line="360" w:lineRule="auto"/>
        <w:ind w:firstLine="480" w:firstLineChars="20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pPr>
        <w:pStyle w:val="13"/>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pPr>
        <w:pStyle w:val="13"/>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pPr>
        <w:pStyle w:val="13"/>
        <w:spacing w:line="360" w:lineRule="auto"/>
        <w:ind w:firstLine="480" w:firstLineChars="20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pPr>
        <w:pStyle w:val="13"/>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pPr>
        <w:pStyle w:val="13"/>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u w:val="single"/>
        </w:rPr>
        <w:t xml:space="preserve">                                                                                        </w:t>
      </w:r>
    </w:p>
    <w:p>
      <w:pPr>
        <w:pStyle w:val="13"/>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pPr>
        <w:pStyle w:val="13"/>
        <w:spacing w:line="360" w:lineRule="auto"/>
        <w:ind w:left="25" w:leftChars="12" w:firstLine="352" w:firstLineChars="147"/>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pPr>
        <w:pStyle w:val="13"/>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pPr>
        <w:pStyle w:val="13"/>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pPr>
        <w:pStyle w:val="13"/>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pPr>
        <w:pStyle w:val="13"/>
        <w:spacing w:line="360" w:lineRule="auto"/>
        <w:ind w:left="25" w:leftChars="12" w:firstLine="352" w:firstLineChars="147"/>
        <w:rPr>
          <w:rFonts w:hint="eastAsia" w:hAnsi="宋体"/>
          <w:color w:val="auto"/>
          <w:sz w:val="24"/>
          <w:szCs w:val="24"/>
          <w:highlight w:val="none"/>
        </w:rPr>
      </w:pPr>
    </w:p>
    <w:p>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pPr>
        <w:pStyle w:val="13"/>
        <w:spacing w:line="360" w:lineRule="auto"/>
        <w:ind w:left="25" w:leftChars="12" w:firstLine="352" w:firstLineChars="147"/>
        <w:rPr>
          <w:rFonts w:hint="eastAsia" w:hAnsi="宋体"/>
          <w:color w:val="auto"/>
          <w:sz w:val="24"/>
          <w:szCs w:val="24"/>
          <w:highlight w:val="none"/>
        </w:rPr>
      </w:pPr>
    </w:p>
    <w:p>
      <w:pPr>
        <w:pStyle w:val="13"/>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pPr>
        <w:pStyle w:val="13"/>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 xml:space="preserve">                                                                                 </w:t>
      </w:r>
    </w:p>
    <w:p>
      <w:pPr>
        <w:pStyle w:val="13"/>
        <w:snapToGrid w:val="0"/>
        <w:spacing w:line="360" w:lineRule="auto"/>
        <w:rPr>
          <w:rFonts w:hint="eastAsia" w:hAnsi="宋体"/>
          <w:b/>
          <w:color w:val="auto"/>
          <w:sz w:val="24"/>
          <w:szCs w:val="24"/>
          <w:highlight w:val="none"/>
        </w:rPr>
      </w:pPr>
    </w:p>
    <w:p>
      <w:pPr>
        <w:pStyle w:val="13"/>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pPr>
        <w:pStyle w:val="13"/>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pPr>
        <w:pStyle w:val="13"/>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pPr>
        <w:pStyle w:val="13"/>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pPr>
        <w:rPr>
          <w:color w:val="auto"/>
          <w:highlight w:val="none"/>
        </w:rPr>
      </w:pPr>
    </w:p>
    <w:sectPr>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Wingdings 2">
    <w:altName w:val="Wingdings"/>
    <w:panose1 w:val="05020102010507070707"/>
    <w:charset w:val="02"/>
    <w:family w:val="auto"/>
    <w:pitch w:val="default"/>
    <w:sig w:usb0="00000000" w:usb1="00000000" w:usb2="00000000" w:usb3="00000000" w:csb0="80000000" w:csb1="00000000"/>
  </w:font>
  <w:font w:name="Helvetica">
    <w:altName w:val="Arial"/>
    <w:panose1 w:val="020B0504020202030204"/>
    <w:charset w:val="00"/>
    <w:family w:val="swiss"/>
    <w:pitch w:val="default"/>
    <w:sig w:usb0="00000000" w:usb1="00000000" w:usb2="00000000" w:usb3="00000000" w:csb0="00000093"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39"/>
        <w:tab w:val="clear" w:pos="4153"/>
      </w:tabs>
      <w:jc w:val="both"/>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439"/>
        <w:tab w:val="clear" w:pos="4153"/>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0</w:t>
                    </w:r>
                    <w: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4"/>
                      <w:jc w:val="center"/>
                    </w:pPr>
                    <w:r>
                      <w:fldChar w:fldCharType="begin"/>
                    </w:r>
                    <w:r>
                      <w:instrText xml:space="preserve"> PAGE  \* MERGEFORMAT </w:instrText>
                    </w:r>
                    <w:r>
                      <w:fldChar w:fldCharType="separate"/>
                    </w:r>
                    <w:r>
                      <w:t>20</w:t>
                    </w:r>
                    <w:r>
                      <w:fldChar w:fldCharType="end"/>
                    </w:r>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rFonts w:hint="default"/>
        <w:lang w:val="en-US"/>
      </w:rPr>
    </w:pPr>
    <w:r>
      <w:rPr>
        <w:sz w:val="18"/>
        <w:u w:val="single"/>
      </w:rPr>
      <w:pict>
        <v:shape id="PowerPlusWaterMarkObject74846" o:spid="_x0000_s2051" o:spt="136" type="#_x0000_t136" style="position:absolute;left:0pt;height:72.45pt;width:572.6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26214f" focussize="0,0"/>
          <v:stroke on="f"/>
          <v:imagedata o:title=""/>
          <o:lock v:ext="edit" aspectratio="t"/>
          <v:textpath on="t" fitshape="t" fitpath="t" trim="t" xscale="f" string="江南区政府采购中心" style="font-family:仿宋;font-size:72pt;v-same-letter-heights:f;v-text-align:center;"/>
        </v:shape>
      </w:pict>
    </w:r>
    <w:r>
      <w:rPr>
        <w:rFonts w:hint="eastAsia"/>
        <w:u w:val="single"/>
        <w:lang w:val="en-US" w:eastAsia="zh-CN"/>
      </w:rPr>
      <w:t xml:space="preserve">                        江南区政府采购中心（项目编号：NNZC2026-J1-050054-NNSJ）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r>
      <w:rPr>
        <w:sz w:val="18"/>
      </w:rPr>
      <w:pict>
        <v:shape id="PowerPlusWaterMarkObject91235" o:spid="_x0000_s2049" o:spt="136" type="#_x0000_t136" style="position:absolute;left:0pt;height:72.45pt;width:572.6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26214f" focussize="0,0"/>
          <v:stroke on="f"/>
          <v:imagedata o:title=""/>
          <o:lock v:ext="edit" aspectratio="t"/>
          <v:textpath on="t" fitshape="t" fitpath="t" trim="t" xscale="f" string="江南区政府采购中心" style="font-family:仿宋;font-size:72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06EFF"/>
    <w:multiLevelType w:val="singleLevel"/>
    <w:tmpl w:val="88806EFF"/>
    <w:lvl w:ilvl="0" w:tentative="0">
      <w:start w:val="1"/>
      <w:numFmt w:val="decimal"/>
      <w:suff w:val="nothing"/>
      <w:lvlText w:val="%1、"/>
      <w:lvlJc w:val="left"/>
    </w:lvl>
  </w:abstractNum>
  <w:abstractNum w:abstractNumId="1">
    <w:nsid w:val="95CF8E82"/>
    <w:multiLevelType w:val="singleLevel"/>
    <w:tmpl w:val="95CF8E82"/>
    <w:lvl w:ilvl="0" w:tentative="0">
      <w:start w:val="1"/>
      <w:numFmt w:val="decimal"/>
      <w:suff w:val="nothing"/>
      <w:lvlText w:val="%1、"/>
      <w:lvlJc w:val="left"/>
    </w:lvl>
  </w:abstractNum>
  <w:abstractNum w:abstractNumId="2">
    <w:nsid w:val="E0D5C856"/>
    <w:multiLevelType w:val="singleLevel"/>
    <w:tmpl w:val="E0D5C856"/>
    <w:lvl w:ilvl="0" w:tentative="0">
      <w:start w:val="2"/>
      <w:numFmt w:val="chineseCounting"/>
      <w:suff w:val="nothing"/>
      <w:lvlText w:val="%1、"/>
      <w:lvlJc w:val="left"/>
      <w:rPr>
        <w:rFonts w:hint="eastAsia"/>
      </w:rPr>
    </w:lvl>
  </w:abstractNum>
  <w:abstractNum w:abstractNumId="3">
    <w:nsid w:val="F80CD146"/>
    <w:multiLevelType w:val="singleLevel"/>
    <w:tmpl w:val="F80CD146"/>
    <w:lvl w:ilvl="0" w:tentative="0">
      <w:start w:val="1"/>
      <w:numFmt w:val="decimal"/>
      <w:pStyle w:val="6"/>
      <w:lvlText w:val="%1."/>
      <w:lvlJc w:val="left"/>
      <w:pPr>
        <w:tabs>
          <w:tab w:val="left" w:pos="360"/>
        </w:tabs>
        <w:ind w:left="360" w:hanging="360"/>
      </w:pPr>
    </w:lvl>
  </w:abstractNum>
  <w:abstractNum w:abstractNumId="4">
    <w:nsid w:val="080E4BED"/>
    <w:multiLevelType w:val="singleLevel"/>
    <w:tmpl w:val="080E4BED"/>
    <w:lvl w:ilvl="0" w:tentative="0">
      <w:start w:val="1"/>
      <w:numFmt w:val="decimal"/>
      <w:suff w:val="nothing"/>
      <w:lvlText w:val="（%1）"/>
      <w:lvlJc w:val="left"/>
      <w:pPr>
        <w:ind w:left="420" w:leftChars="0" w:firstLine="0" w:firstLineChars="0"/>
      </w:pPr>
    </w:lvl>
  </w:abstractNum>
  <w:abstractNum w:abstractNumId="5">
    <w:nsid w:val="08E17BBB"/>
    <w:multiLevelType w:val="singleLevel"/>
    <w:tmpl w:val="08E17BBB"/>
    <w:lvl w:ilvl="0" w:tentative="0">
      <w:start w:val="1"/>
      <w:numFmt w:val="decimal"/>
      <w:suff w:val="nothing"/>
      <w:lvlText w:val="%1、"/>
      <w:lvlJc w:val="left"/>
    </w:lvl>
  </w:abstractNum>
  <w:abstractNum w:abstractNumId="6">
    <w:nsid w:val="1BF1A852"/>
    <w:multiLevelType w:val="singleLevel"/>
    <w:tmpl w:val="1BF1A852"/>
    <w:lvl w:ilvl="0" w:tentative="0">
      <w:start w:val="1"/>
      <w:numFmt w:val="decimal"/>
      <w:suff w:val="nothing"/>
      <w:lvlText w:val="%1、"/>
      <w:lvlJc w:val="left"/>
    </w:lvl>
  </w:abstractNum>
  <w:abstractNum w:abstractNumId="7">
    <w:nsid w:val="50D95452"/>
    <w:multiLevelType w:val="singleLevel"/>
    <w:tmpl w:val="50D95452"/>
    <w:lvl w:ilvl="0" w:tentative="0">
      <w:start w:val="8"/>
      <w:numFmt w:val="chineseCounting"/>
      <w:suff w:val="nothing"/>
      <w:lvlText w:val="%1、"/>
      <w:lvlJc w:val="left"/>
      <w:rPr>
        <w:rFonts w:hint="eastAsia"/>
      </w:rPr>
    </w:lvl>
  </w:abstractNum>
  <w:abstractNum w:abstractNumId="8">
    <w:nsid w:val="5E72B06A"/>
    <w:multiLevelType w:val="singleLevel"/>
    <w:tmpl w:val="5E72B06A"/>
    <w:lvl w:ilvl="0" w:tentative="0">
      <w:start w:val="1"/>
      <w:numFmt w:val="decimal"/>
      <w:suff w:val="nothing"/>
      <w:lvlText w:val="%1、"/>
      <w:lvlJc w:val="left"/>
    </w:lvl>
  </w:abstractNum>
  <w:abstractNum w:abstractNumId="9">
    <w:nsid w:val="67891163"/>
    <w:multiLevelType w:val="singleLevel"/>
    <w:tmpl w:val="67891163"/>
    <w:lvl w:ilvl="0" w:tentative="0">
      <w:start w:val="4"/>
      <w:numFmt w:val="decimal"/>
      <w:suff w:val="nothing"/>
      <w:lvlText w:val="%1、"/>
      <w:lvlJc w:val="left"/>
    </w:lvl>
  </w:abstractNum>
  <w:num w:numId="1">
    <w:abstractNumId w:val="3"/>
  </w:num>
  <w:num w:numId="2">
    <w:abstractNumId w:val="0"/>
  </w:num>
  <w:num w:numId="3">
    <w:abstractNumId w:val="6"/>
  </w:num>
  <w:num w:numId="4">
    <w:abstractNumId w:val="1"/>
  </w:num>
  <w:num w:numId="5">
    <w:abstractNumId w:val="5"/>
  </w:num>
  <w:num w:numId="6">
    <w:abstractNumId w:val="2"/>
  </w:num>
  <w:num w:numId="7">
    <w:abstractNumId w:val="8"/>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937A6"/>
    <w:rsid w:val="019D1C83"/>
    <w:rsid w:val="01E20C87"/>
    <w:rsid w:val="05573D16"/>
    <w:rsid w:val="0C37664F"/>
    <w:rsid w:val="0C3B5076"/>
    <w:rsid w:val="0C802B47"/>
    <w:rsid w:val="0E016214"/>
    <w:rsid w:val="0E1B38EE"/>
    <w:rsid w:val="10492FD5"/>
    <w:rsid w:val="1173410B"/>
    <w:rsid w:val="13265B28"/>
    <w:rsid w:val="13A216B8"/>
    <w:rsid w:val="14147FC7"/>
    <w:rsid w:val="14EE07C8"/>
    <w:rsid w:val="16961F1D"/>
    <w:rsid w:val="1710475D"/>
    <w:rsid w:val="18F036BB"/>
    <w:rsid w:val="1BDC1EFB"/>
    <w:rsid w:val="1C7B1B8F"/>
    <w:rsid w:val="1C8256C5"/>
    <w:rsid w:val="201936CD"/>
    <w:rsid w:val="20942964"/>
    <w:rsid w:val="22765D12"/>
    <w:rsid w:val="282336E0"/>
    <w:rsid w:val="28A74EB3"/>
    <w:rsid w:val="2B0F6E81"/>
    <w:rsid w:val="2E9A7860"/>
    <w:rsid w:val="2F960F5C"/>
    <w:rsid w:val="302211CE"/>
    <w:rsid w:val="3058687A"/>
    <w:rsid w:val="30671B16"/>
    <w:rsid w:val="3079197E"/>
    <w:rsid w:val="345671A7"/>
    <w:rsid w:val="363A3273"/>
    <w:rsid w:val="36D31AD2"/>
    <w:rsid w:val="3B572D42"/>
    <w:rsid w:val="3BD777AF"/>
    <w:rsid w:val="3DB75D52"/>
    <w:rsid w:val="3E010AB7"/>
    <w:rsid w:val="3E977E2C"/>
    <w:rsid w:val="47F97EC3"/>
    <w:rsid w:val="4BCB10A6"/>
    <w:rsid w:val="4C175774"/>
    <w:rsid w:val="4D801FF4"/>
    <w:rsid w:val="50CA6717"/>
    <w:rsid w:val="51335FB3"/>
    <w:rsid w:val="53D937A6"/>
    <w:rsid w:val="54627AA9"/>
    <w:rsid w:val="55EE39B1"/>
    <w:rsid w:val="588C14D4"/>
    <w:rsid w:val="60F203B9"/>
    <w:rsid w:val="6159624C"/>
    <w:rsid w:val="633B1230"/>
    <w:rsid w:val="649226E3"/>
    <w:rsid w:val="64B22B46"/>
    <w:rsid w:val="66C243B3"/>
    <w:rsid w:val="66F84BBE"/>
    <w:rsid w:val="68894F61"/>
    <w:rsid w:val="6EDE4465"/>
    <w:rsid w:val="6F2861E7"/>
    <w:rsid w:val="6F913F7C"/>
    <w:rsid w:val="72C72C5E"/>
    <w:rsid w:val="762A272C"/>
    <w:rsid w:val="7BE12D59"/>
    <w:rsid w:val="7C6A3542"/>
    <w:rsid w:val="7DA061C8"/>
    <w:rsid w:val="7F073838"/>
    <w:rsid w:val="7FF73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Indent"/>
    <w:basedOn w:val="1"/>
    <w:qFormat/>
    <w:uiPriority w:val="0"/>
    <w:pPr>
      <w:ind w:firstLine="830" w:firstLineChars="352"/>
    </w:pPr>
    <w:rPr>
      <w:rFonts w:ascii="仿宋_GB2312" w:eastAsia="仿宋_GB2312"/>
      <w:kern w:val="0"/>
      <w:sz w:val="32"/>
      <w:szCs w:val="20"/>
    </w:rPr>
  </w:style>
  <w:style w:type="paragraph" w:styleId="11">
    <w:name w:val="List 2"/>
    <w:basedOn w:val="1"/>
    <w:unhideWhenUsed/>
    <w:qFormat/>
    <w:uiPriority w:val="99"/>
    <w:pPr>
      <w:ind w:left="100" w:leftChars="200" w:hanging="200" w:hangingChars="200"/>
      <w:contextualSpacing/>
    </w:pPr>
  </w:style>
  <w:style w:type="paragraph" w:styleId="12">
    <w:name w:val="toc 3"/>
    <w:basedOn w:val="1"/>
    <w:next w:val="1"/>
    <w:unhideWhenUsed/>
    <w:qFormat/>
    <w:uiPriority w:val="39"/>
    <w:pPr>
      <w:ind w:left="840" w:leftChars="400"/>
    </w:pPr>
  </w:style>
  <w:style w:type="paragraph" w:styleId="13">
    <w:name w:val="Plain Text"/>
    <w:basedOn w:val="1"/>
    <w:next w:val="1"/>
    <w:qFormat/>
    <w:uiPriority w:val="0"/>
    <w:rPr>
      <w:rFonts w:ascii="宋体" w:hAnsi="Courier New"/>
      <w:kern w:val="0"/>
      <w:sz w:val="20"/>
      <w:szCs w:val="21"/>
    </w:rPr>
  </w:style>
  <w:style w:type="paragraph" w:styleId="14">
    <w:name w:val="footer"/>
    <w:basedOn w:val="1"/>
    <w:unhideWhenUsed/>
    <w:qFormat/>
    <w:uiPriority w:val="0"/>
    <w:pPr>
      <w:tabs>
        <w:tab w:val="center" w:pos="4153"/>
        <w:tab w:val="right" w:pos="8306"/>
      </w:tabs>
      <w:snapToGrid w:val="0"/>
      <w:jc w:val="left"/>
    </w:pPr>
    <w:rPr>
      <w:kern w:val="0"/>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List"/>
    <w:basedOn w:val="1"/>
    <w:unhideWhenUsed/>
    <w:qFormat/>
    <w:uiPriority w:val="99"/>
    <w:pPr>
      <w:ind w:left="200" w:hanging="200" w:hangingChars="200"/>
      <w:contextualSpacing/>
    </w:pPr>
  </w:style>
  <w:style w:type="paragraph" w:styleId="18">
    <w:name w:val="table of figures"/>
    <w:basedOn w:val="1"/>
    <w:next w:val="1"/>
    <w:qFormat/>
    <w:uiPriority w:val="0"/>
    <w:pPr>
      <w:ind w:leftChars="200" w:hanging="200" w:hangingChars="200"/>
    </w:pPr>
  </w:style>
  <w:style w:type="paragraph" w:styleId="19">
    <w:name w:val="toc 2"/>
    <w:basedOn w:val="1"/>
    <w:next w:val="1"/>
    <w:unhideWhenUsed/>
    <w:qFormat/>
    <w:uiPriority w:val="39"/>
    <w:pPr>
      <w:tabs>
        <w:tab w:val="right" w:leader="dot" w:pos="8296"/>
      </w:tabs>
      <w:ind w:left="420" w:leftChars="200"/>
    </w:p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page number"/>
    <w:basedOn w:val="22"/>
    <w:qFormat/>
    <w:uiPriority w:val="0"/>
  </w:style>
  <w:style w:type="character" w:styleId="24">
    <w:name w:val="Hyperlink"/>
    <w:unhideWhenUsed/>
    <w:qFormat/>
    <w:uiPriority w:val="99"/>
    <w:rPr>
      <w:color w:val="0000FF"/>
      <w:u w:val="single"/>
    </w:rPr>
  </w:style>
  <w:style w:type="paragraph" w:customStyle="1" w:styleId="25">
    <w:name w:val="正文2"/>
    <w:basedOn w:val="1"/>
    <w:qFormat/>
    <w:uiPriority w:val="0"/>
    <w:pPr>
      <w:adjustRightInd w:val="0"/>
      <w:spacing w:before="156" w:line="360" w:lineRule="auto"/>
      <w:ind w:firstLine="510" w:firstLineChars="200"/>
    </w:pPr>
    <w:rPr>
      <w:kern w:val="0"/>
      <w:sz w:val="24"/>
      <w:szCs w:val="20"/>
    </w:rPr>
  </w:style>
  <w:style w:type="paragraph" w:customStyle="1" w:styleId="2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7">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2026-05-20T08:36:00Z</dcterms:created>
  <dc:creator>Administrator</dc:creator>
  <cp:lastModifiedBy>Administrator</cp:lastModifiedBy>
  <dcterms:modified xsi:type="dcterms:W3CDTF">2026-06-26T03:40:39Z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957C2666F04546B1B6A4510DD7B630D0</vt:lpwstr>
  </property>
</Properties>
</file>