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D7EC7">
      <w:pPr>
        <w:tabs>
          <w:tab w:val="left" w:pos="7897"/>
        </w:tabs>
        <w:spacing w:before="120" w:beforeLines="50" w:line="360" w:lineRule="auto"/>
        <w:jc w:val="left"/>
        <w:rPr>
          <w:rFonts w:hint="eastAsia" w:ascii="宋体" w:hAnsi="宋体" w:eastAsia="宋体" w:cs="宋体"/>
          <w:color w:val="auto"/>
          <w:sz w:val="52"/>
          <w:szCs w:val="52"/>
          <w:highlight w:val="none"/>
          <w:lang w:val="en-US" w:eastAsia="zh-CN"/>
        </w:rPr>
      </w:pPr>
    </w:p>
    <w:p w14:paraId="0F50C949">
      <w:pPr>
        <w:tabs>
          <w:tab w:val="left" w:pos="7897"/>
        </w:tabs>
        <w:spacing w:before="120" w:beforeLines="50" w:line="360" w:lineRule="auto"/>
        <w:jc w:val="left"/>
        <w:rPr>
          <w:rFonts w:hint="eastAsia" w:ascii="宋体" w:hAnsi="宋体" w:eastAsia="宋体" w:cs="宋体"/>
          <w:color w:val="auto"/>
          <w:sz w:val="52"/>
          <w:szCs w:val="52"/>
          <w:highlight w:val="none"/>
          <w:lang w:eastAsia="zh-CN"/>
        </w:rPr>
      </w:pPr>
      <w:r>
        <w:rPr>
          <w:rFonts w:hint="eastAsia" w:ascii="宋体" w:hAnsi="宋体" w:eastAsia="宋体" w:cs="宋体"/>
          <w:color w:val="auto"/>
          <w:sz w:val="52"/>
          <w:szCs w:val="52"/>
          <w:highlight w:val="none"/>
          <w:lang w:val="en-US" w:eastAsia="zh-CN"/>
        </w:rPr>
        <w:tab/>
      </w:r>
      <w:r>
        <w:rPr>
          <w:rFonts w:hint="eastAsia" w:ascii="宋体" w:hAnsi="宋体" w:eastAsia="宋体" w:cs="宋体"/>
          <w:color w:val="auto"/>
          <w:sz w:val="52"/>
          <w:szCs w:val="52"/>
          <w:highlight w:val="none"/>
          <w:lang w:val="en-US" w:eastAsia="zh-CN"/>
        </w:rPr>
        <w:tab/>
      </w:r>
      <w:r>
        <w:rPr>
          <w:rFonts w:hint="eastAsia" w:ascii="宋体" w:hAnsi="宋体" w:eastAsia="宋体" w:cs="宋体"/>
          <w:color w:val="auto"/>
          <w:sz w:val="52"/>
          <w:szCs w:val="52"/>
          <w:highlight w:val="none"/>
          <w:lang w:eastAsia="zh-CN"/>
        </w:rPr>
        <w:tab/>
      </w:r>
    </w:p>
    <w:p w14:paraId="31A95E5B">
      <w:pPr>
        <w:spacing w:before="120"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南宁市政府采购</w:t>
      </w:r>
    </w:p>
    <w:p w14:paraId="38E60CA0">
      <w:pPr>
        <w:spacing w:before="120" w:beforeLines="50" w:line="360" w:lineRule="auto"/>
        <w:jc w:val="center"/>
        <w:rPr>
          <w:rFonts w:hint="eastAsia" w:ascii="宋体" w:hAnsi="宋体" w:eastAsia="宋体" w:cs="宋体"/>
          <w:color w:val="auto"/>
          <w:sz w:val="36"/>
          <w:szCs w:val="36"/>
          <w:highlight w:val="none"/>
        </w:rPr>
      </w:pPr>
    </w:p>
    <w:p w14:paraId="29DBA090">
      <w:pPr>
        <w:snapToGrid w:val="0"/>
        <w:spacing w:before="120" w:before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72"/>
          <w:szCs w:val="72"/>
          <w:highlight w:val="none"/>
        </w:rPr>
        <w:t>竞争性磋商文件</w:t>
      </w:r>
    </w:p>
    <w:p w14:paraId="7A54B789">
      <w:pPr>
        <w:spacing w:before="240" w:beforeLines="100" w:after="120" w:afterLines="50"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（全流程电子化评标）</w:t>
      </w:r>
    </w:p>
    <w:p w14:paraId="09BB3504">
      <w:pPr>
        <w:spacing w:line="360" w:lineRule="auto"/>
        <w:rPr>
          <w:rFonts w:hint="eastAsia" w:ascii="宋体" w:hAnsi="宋体" w:eastAsia="宋体" w:cs="宋体"/>
          <w:b/>
          <w:color w:val="auto"/>
          <w:sz w:val="32"/>
          <w:szCs w:val="32"/>
          <w:highlight w:val="none"/>
        </w:rPr>
      </w:pPr>
    </w:p>
    <w:p w14:paraId="7DCA5D6B">
      <w:pPr>
        <w:spacing w:line="360" w:lineRule="auto"/>
        <w:jc w:val="center"/>
        <w:rPr>
          <w:rFonts w:hint="eastAsia" w:ascii="宋体" w:hAnsi="宋体" w:eastAsia="宋体" w:cs="宋体"/>
          <w:b/>
          <w:color w:val="auto"/>
          <w:sz w:val="32"/>
          <w:szCs w:val="32"/>
          <w:highlight w:val="none"/>
        </w:rPr>
      </w:pPr>
    </w:p>
    <w:p w14:paraId="225751C7">
      <w:pPr>
        <w:snapToGrid w:val="0"/>
        <w:spacing w:before="50" w:after="120" w:line="360" w:lineRule="auto"/>
        <w:ind w:firstLine="1684" w:firstLineChars="559"/>
        <w:rPr>
          <w:rFonts w:hint="eastAsia" w:ascii="宋体" w:hAnsi="宋体" w:eastAsia="宋体" w:cs="宋体"/>
          <w:b/>
          <w:bCs/>
          <w:color w:val="auto"/>
          <w:kern w:val="0"/>
          <w:sz w:val="30"/>
          <w:szCs w:val="30"/>
          <w:highlight w:val="none"/>
        </w:rPr>
      </w:pPr>
    </w:p>
    <w:p w14:paraId="76D93077">
      <w:pPr>
        <w:snapToGrid w:val="0"/>
        <w:spacing w:before="50" w:after="120" w:line="360" w:lineRule="auto"/>
        <w:ind w:left="2742" w:leftChars="600" w:hanging="1482" w:hangingChars="492"/>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rPr>
        <w:t>项目</w:t>
      </w:r>
      <w:r>
        <w:rPr>
          <w:rFonts w:hint="eastAsia" w:ascii="宋体" w:hAnsi="宋体" w:eastAsia="宋体" w:cs="宋体"/>
          <w:b/>
          <w:bCs/>
          <w:color w:val="auto"/>
          <w:w w:val="95"/>
          <w:kern w:val="0"/>
          <w:sz w:val="30"/>
          <w:szCs w:val="30"/>
          <w:highlight w:val="none"/>
        </w:rPr>
        <w:t>名称</w:t>
      </w:r>
      <w:r>
        <w:rPr>
          <w:rFonts w:hint="eastAsia" w:ascii="宋体" w:hAnsi="宋体" w:eastAsia="宋体" w:cs="宋体"/>
          <w:b/>
          <w:bCs/>
          <w:color w:val="auto"/>
          <w:kern w:val="0"/>
          <w:sz w:val="30"/>
          <w:szCs w:val="30"/>
          <w:highlight w:val="none"/>
        </w:rPr>
        <w:t>：</w:t>
      </w:r>
      <w:bookmarkStart w:id="0" w:name="OLE_LINK1"/>
      <w:r>
        <w:rPr>
          <w:rFonts w:hint="eastAsia" w:ascii="宋体" w:hAnsi="宋体" w:cs="宋体"/>
          <w:b/>
          <w:bCs/>
          <w:color w:val="auto"/>
          <w:kern w:val="0"/>
          <w:sz w:val="30"/>
          <w:szCs w:val="30"/>
          <w:highlight w:val="none"/>
          <w:lang w:eastAsia="zh-CN"/>
        </w:rPr>
        <w:t>南宁市明天学校足球场改造工程</w:t>
      </w:r>
    </w:p>
    <w:bookmarkEnd w:id="0"/>
    <w:p w14:paraId="020693C2">
      <w:pPr>
        <w:snapToGrid w:val="0"/>
        <w:spacing w:before="50" w:after="120" w:line="360" w:lineRule="auto"/>
        <w:ind w:left="2742" w:leftChars="600" w:hanging="1482" w:hangingChars="492"/>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rPr>
        <w:t>项目</w:t>
      </w:r>
      <w:r>
        <w:rPr>
          <w:rFonts w:hint="eastAsia" w:ascii="宋体" w:hAnsi="宋体" w:eastAsia="宋体" w:cs="宋体"/>
          <w:b/>
          <w:bCs/>
          <w:color w:val="auto"/>
          <w:kern w:val="0"/>
          <w:sz w:val="30"/>
          <w:szCs w:val="30"/>
          <w:highlight w:val="none"/>
          <w:lang w:eastAsia="zh-CN"/>
        </w:rPr>
        <w:t>编号：</w:t>
      </w:r>
      <w:r>
        <w:rPr>
          <w:rFonts w:hint="eastAsia" w:ascii="宋体" w:hAnsi="宋体" w:cs="宋体"/>
          <w:b/>
          <w:bCs/>
          <w:color w:val="auto"/>
          <w:sz w:val="28"/>
          <w:szCs w:val="28"/>
          <w:highlight w:val="none"/>
          <w:lang w:eastAsia="zh-CN"/>
        </w:rPr>
        <w:t>NNZC2026-C2-070017-GQZX</w:t>
      </w:r>
    </w:p>
    <w:p w14:paraId="5B934EF5">
      <w:pPr>
        <w:snapToGrid w:val="0"/>
        <w:spacing w:before="50" w:after="120" w:line="360" w:lineRule="auto"/>
        <w:ind w:left="2742" w:leftChars="600" w:hanging="1482" w:hangingChars="492"/>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lang w:eastAsia="zh-CN"/>
        </w:rPr>
        <w:t>所属行政区划：南宁市西乡塘区</w:t>
      </w:r>
    </w:p>
    <w:p w14:paraId="31FEE9D7">
      <w:pPr>
        <w:snapToGrid w:val="0"/>
        <w:spacing w:before="50" w:after="120" w:line="360" w:lineRule="auto"/>
        <w:ind w:left="2742" w:leftChars="600" w:hanging="1482" w:hangingChars="492"/>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lang w:eastAsia="zh-CN"/>
        </w:rPr>
        <w:t>采购人：</w:t>
      </w:r>
      <w:r>
        <w:rPr>
          <w:rFonts w:hint="eastAsia" w:ascii="宋体" w:hAnsi="宋体" w:cs="宋体"/>
          <w:b/>
          <w:bCs/>
          <w:color w:val="auto"/>
          <w:kern w:val="0"/>
          <w:sz w:val="30"/>
          <w:szCs w:val="30"/>
          <w:highlight w:val="none"/>
          <w:lang w:eastAsia="zh-CN"/>
        </w:rPr>
        <w:t>南宁市明天学校</w:t>
      </w:r>
    </w:p>
    <w:p w14:paraId="2E3A3366">
      <w:pPr>
        <w:snapToGrid w:val="0"/>
        <w:spacing w:before="50" w:after="120" w:line="360" w:lineRule="auto"/>
        <w:ind w:left="2742" w:leftChars="600" w:hanging="1482" w:hangingChars="492"/>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lang w:eastAsia="zh-CN"/>
        </w:rPr>
        <w:t>采购代理机构：</w:t>
      </w:r>
      <w:r>
        <w:rPr>
          <w:rFonts w:hint="eastAsia" w:ascii="宋体" w:hAnsi="宋体" w:cs="宋体"/>
          <w:b/>
          <w:bCs/>
          <w:color w:val="auto"/>
          <w:kern w:val="0"/>
          <w:sz w:val="30"/>
          <w:szCs w:val="30"/>
          <w:highlight w:val="none"/>
          <w:lang w:eastAsia="zh-CN"/>
        </w:rPr>
        <w:t>广西冠庆工程项目管理咨询有限公司</w:t>
      </w:r>
    </w:p>
    <w:p w14:paraId="4CC3C09E">
      <w:pPr>
        <w:snapToGrid w:val="0"/>
        <w:spacing w:before="50" w:after="120" w:line="360" w:lineRule="auto"/>
        <w:jc w:val="center"/>
        <w:rPr>
          <w:rFonts w:hint="eastAsia" w:ascii="宋体" w:hAnsi="宋体" w:eastAsia="宋体" w:cs="宋体"/>
          <w:b/>
          <w:bCs/>
          <w:color w:val="auto"/>
          <w:w w:val="95"/>
          <w:kern w:val="0"/>
          <w:sz w:val="30"/>
          <w:szCs w:val="30"/>
          <w:highlight w:val="none"/>
          <w:lang w:eastAsia="zh-CN"/>
        </w:rPr>
      </w:pPr>
    </w:p>
    <w:p w14:paraId="2A74AEB5">
      <w:pPr>
        <w:snapToGrid w:val="0"/>
        <w:spacing w:before="50" w:after="120" w:line="360" w:lineRule="auto"/>
        <w:jc w:val="center"/>
        <w:rPr>
          <w:rFonts w:hint="eastAsia" w:ascii="宋体" w:hAnsi="宋体" w:eastAsia="宋体" w:cs="宋体"/>
          <w:b/>
          <w:bCs/>
          <w:color w:val="auto"/>
          <w:w w:val="95"/>
          <w:kern w:val="0"/>
          <w:sz w:val="30"/>
          <w:szCs w:val="30"/>
          <w:highlight w:val="none"/>
        </w:rPr>
      </w:pPr>
      <w:r>
        <w:rPr>
          <w:rFonts w:hint="eastAsia" w:ascii="宋体" w:hAnsi="宋体" w:eastAsia="宋体" w:cs="宋体"/>
          <w:b/>
          <w:bCs/>
          <w:color w:val="auto"/>
          <w:w w:val="95"/>
          <w:kern w:val="0"/>
          <w:sz w:val="30"/>
          <w:szCs w:val="30"/>
          <w:highlight w:val="none"/>
          <w:lang w:eastAsia="zh-CN"/>
        </w:rPr>
        <w:t>202</w:t>
      </w:r>
      <w:r>
        <w:rPr>
          <w:rFonts w:hint="eastAsia" w:ascii="宋体" w:hAnsi="宋体" w:eastAsia="宋体" w:cs="宋体"/>
          <w:b/>
          <w:bCs/>
          <w:color w:val="auto"/>
          <w:w w:val="95"/>
          <w:kern w:val="0"/>
          <w:sz w:val="30"/>
          <w:szCs w:val="30"/>
          <w:highlight w:val="none"/>
          <w:lang w:val="en-US" w:eastAsia="zh-CN"/>
        </w:rPr>
        <w:t>6</w:t>
      </w:r>
      <w:r>
        <w:rPr>
          <w:rFonts w:hint="eastAsia" w:ascii="宋体" w:hAnsi="宋体" w:eastAsia="宋体" w:cs="宋体"/>
          <w:b/>
          <w:bCs/>
          <w:color w:val="auto"/>
          <w:w w:val="95"/>
          <w:kern w:val="0"/>
          <w:sz w:val="30"/>
          <w:szCs w:val="30"/>
          <w:highlight w:val="none"/>
          <w:lang w:eastAsia="zh-CN"/>
        </w:rPr>
        <w:t>年</w:t>
      </w:r>
      <w:r>
        <w:rPr>
          <w:rFonts w:hint="eastAsia" w:ascii="宋体" w:hAnsi="宋体" w:cs="宋体"/>
          <w:b/>
          <w:bCs/>
          <w:color w:val="auto"/>
          <w:w w:val="95"/>
          <w:kern w:val="0"/>
          <w:sz w:val="30"/>
          <w:szCs w:val="30"/>
          <w:highlight w:val="none"/>
          <w:lang w:val="en-US" w:eastAsia="zh-CN"/>
        </w:rPr>
        <w:t>06</w:t>
      </w:r>
      <w:r>
        <w:rPr>
          <w:rFonts w:hint="eastAsia" w:ascii="宋体" w:hAnsi="宋体" w:eastAsia="宋体" w:cs="宋体"/>
          <w:b/>
          <w:bCs/>
          <w:color w:val="auto"/>
          <w:w w:val="95"/>
          <w:kern w:val="0"/>
          <w:sz w:val="30"/>
          <w:szCs w:val="30"/>
          <w:highlight w:val="none"/>
          <w:lang w:eastAsia="zh-CN"/>
        </w:rPr>
        <w:t>月</w:t>
      </w:r>
      <w:r>
        <w:rPr>
          <w:rFonts w:hint="eastAsia" w:ascii="宋体" w:hAnsi="宋体" w:cs="宋体"/>
          <w:b/>
          <w:bCs/>
          <w:color w:val="auto"/>
          <w:w w:val="95"/>
          <w:kern w:val="0"/>
          <w:sz w:val="30"/>
          <w:szCs w:val="30"/>
          <w:highlight w:val="none"/>
          <w:lang w:val="en-US" w:eastAsia="zh-CN"/>
        </w:rPr>
        <w:t>16</w:t>
      </w:r>
      <w:r>
        <w:rPr>
          <w:rFonts w:hint="eastAsia" w:ascii="宋体" w:hAnsi="宋体" w:eastAsia="宋体" w:cs="宋体"/>
          <w:b/>
          <w:bCs/>
          <w:color w:val="auto"/>
          <w:w w:val="95"/>
          <w:kern w:val="0"/>
          <w:sz w:val="30"/>
          <w:szCs w:val="30"/>
          <w:highlight w:val="none"/>
          <w:lang w:eastAsia="zh-CN"/>
        </w:rPr>
        <w:t>日</w:t>
      </w:r>
    </w:p>
    <w:p w14:paraId="1D15A4AE">
      <w:pPr>
        <w:pStyle w:val="11"/>
        <w:ind w:firstLine="803"/>
        <w:jc w:val="center"/>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1134" w:left="1134" w:header="720" w:footer="720" w:gutter="0"/>
          <w:pgBorders>
            <w:top w:val="none" w:sz="0" w:space="0"/>
            <w:left w:val="none" w:sz="0" w:space="0"/>
            <w:bottom w:val="none" w:sz="0" w:space="0"/>
            <w:right w:val="none" w:sz="0" w:space="0"/>
          </w:pgBorders>
          <w:pgNumType w:start="1"/>
          <w:cols w:space="720" w:num="1"/>
          <w:titlePg/>
          <w:docGrid w:linePitch="331" w:charSpace="0"/>
        </w:sectPr>
      </w:pPr>
    </w:p>
    <w:p w14:paraId="43ED7C0A">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497AB91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color w:val="auto"/>
          <w:sz w:val="28"/>
          <w:szCs w:val="28"/>
          <w:highlight w:val="none"/>
        </w:rPr>
      </w:pPr>
    </w:p>
    <w:p w14:paraId="312C46F5">
      <w:pPr>
        <w:pStyle w:val="23"/>
        <w:keepNext w:val="0"/>
        <w:keepLines w:val="0"/>
        <w:pageBreakBefore w:val="0"/>
        <w:widowControl w:val="0"/>
        <w:tabs>
          <w:tab w:val="right" w:leader="dot" w:pos="9643"/>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TOC \o "1-1" \h \u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_Toc10019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第一章</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_Toc10019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718B856C">
      <w:pPr>
        <w:pStyle w:val="23"/>
        <w:keepNext w:val="0"/>
        <w:keepLines w:val="0"/>
        <w:pageBreakBefore w:val="0"/>
        <w:widowControl w:val="0"/>
        <w:tabs>
          <w:tab w:val="right" w:leader="dot" w:pos="9643"/>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_Toc22255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val="0"/>
          <w:color w:val="auto"/>
          <w:sz w:val="28"/>
          <w:szCs w:val="28"/>
          <w:highlight w:val="none"/>
        </w:rPr>
        <w:t xml:space="preserve">第二章 </w:t>
      </w:r>
      <w:r>
        <w:rPr>
          <w:rFonts w:hint="eastAsia" w:ascii="宋体" w:hAnsi="宋体" w:eastAsia="宋体" w:cs="宋体"/>
          <w:bCs w:val="0"/>
          <w:color w:val="auto"/>
          <w:sz w:val="28"/>
          <w:szCs w:val="28"/>
          <w:highlight w:val="none"/>
          <w:lang w:val="en-US" w:eastAsia="zh-CN"/>
        </w:rPr>
        <w:t xml:space="preserve"> </w:t>
      </w:r>
      <w:r>
        <w:rPr>
          <w:rFonts w:hint="eastAsia" w:ascii="宋体" w:hAnsi="宋体" w:eastAsia="宋体" w:cs="宋体"/>
          <w:bCs w:val="0"/>
          <w:color w:val="auto"/>
          <w:sz w:val="28"/>
          <w:szCs w:val="28"/>
          <w:highlight w:val="none"/>
        </w:rPr>
        <w:t>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_Toc22255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7F4457E8">
      <w:pPr>
        <w:pStyle w:val="23"/>
        <w:keepNext w:val="0"/>
        <w:keepLines w:val="0"/>
        <w:pageBreakBefore w:val="0"/>
        <w:widowControl w:val="0"/>
        <w:tabs>
          <w:tab w:val="right" w:leader="dot" w:pos="9643"/>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_Toc9332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val="0"/>
          <w:color w:val="auto"/>
          <w:sz w:val="28"/>
          <w:szCs w:val="28"/>
          <w:highlight w:val="none"/>
        </w:rPr>
        <w:t xml:space="preserve">第三章 </w:t>
      </w:r>
      <w:r>
        <w:rPr>
          <w:rFonts w:hint="eastAsia" w:ascii="宋体" w:hAnsi="宋体" w:eastAsia="宋体" w:cs="宋体"/>
          <w:bCs w:val="0"/>
          <w:color w:val="auto"/>
          <w:sz w:val="28"/>
          <w:szCs w:val="28"/>
          <w:highlight w:val="none"/>
          <w:lang w:val="en-US" w:eastAsia="zh-CN"/>
        </w:rPr>
        <w:t xml:space="preserve"> </w:t>
      </w:r>
      <w:r>
        <w:rPr>
          <w:rFonts w:hint="eastAsia" w:ascii="宋体" w:hAnsi="宋体" w:eastAsia="宋体" w:cs="宋体"/>
          <w:bCs w:val="0"/>
          <w:color w:val="auto"/>
          <w:sz w:val="28"/>
          <w:szCs w:val="28"/>
          <w:highlight w:val="none"/>
        </w:rPr>
        <w:t>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_Toc9332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13</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5C44D933">
      <w:pPr>
        <w:pStyle w:val="23"/>
        <w:keepNext w:val="0"/>
        <w:keepLines w:val="0"/>
        <w:pageBreakBefore w:val="0"/>
        <w:widowControl w:val="0"/>
        <w:tabs>
          <w:tab w:val="right" w:leader="dot" w:pos="9643"/>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_Toc21081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第四章  评审程序、评审方法和评审标准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_Toc21081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32</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7A4FDAF0">
      <w:pPr>
        <w:pStyle w:val="23"/>
        <w:keepNext w:val="0"/>
        <w:keepLines w:val="0"/>
        <w:pageBreakBefore w:val="0"/>
        <w:widowControl w:val="0"/>
        <w:tabs>
          <w:tab w:val="right" w:leader="dot" w:pos="9643"/>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_Toc15809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 xml:space="preserve">第五章 </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_Toc15809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42</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bookmarkStart w:id="76" w:name="_GoBack"/>
      <w:bookmarkEnd w:id="76"/>
    </w:p>
    <w:p w14:paraId="3D215DC7">
      <w:pPr>
        <w:pStyle w:val="23"/>
        <w:keepNext w:val="0"/>
        <w:keepLines w:val="0"/>
        <w:pageBreakBefore w:val="0"/>
        <w:widowControl w:val="0"/>
        <w:tabs>
          <w:tab w:val="right" w:leader="dot" w:pos="9643"/>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_Toc13046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val="0"/>
          <w:color w:val="auto"/>
          <w:sz w:val="28"/>
          <w:szCs w:val="28"/>
          <w:highlight w:val="none"/>
        </w:rPr>
        <w:t xml:space="preserve">第六章 </w:t>
      </w:r>
      <w:r>
        <w:rPr>
          <w:rFonts w:hint="eastAsia" w:ascii="宋体" w:hAnsi="宋体" w:eastAsia="宋体" w:cs="宋体"/>
          <w:bCs w:val="0"/>
          <w:color w:val="auto"/>
          <w:sz w:val="28"/>
          <w:szCs w:val="28"/>
          <w:highlight w:val="none"/>
          <w:lang w:val="en-US" w:eastAsia="zh-CN"/>
        </w:rPr>
        <w:t xml:space="preserve"> </w:t>
      </w:r>
      <w:r>
        <w:rPr>
          <w:rFonts w:hint="eastAsia" w:ascii="宋体" w:hAnsi="宋体" w:eastAsia="宋体" w:cs="宋体"/>
          <w:bCs w:val="0"/>
          <w:color w:val="auto"/>
          <w:sz w:val="28"/>
          <w:szCs w:val="28"/>
          <w:highlight w:val="none"/>
        </w:rPr>
        <w:t>合同文本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_Toc13046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73</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60C49E67">
      <w:pPr>
        <w:pStyle w:val="23"/>
        <w:keepNext w:val="0"/>
        <w:keepLines w:val="0"/>
        <w:pageBreakBefore w:val="0"/>
        <w:widowControl w:val="0"/>
        <w:tabs>
          <w:tab w:val="right" w:leader="dot" w:pos="9643"/>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_Toc10491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val="0"/>
          <w:color w:val="auto"/>
          <w:sz w:val="28"/>
          <w:szCs w:val="28"/>
          <w:highlight w:val="none"/>
        </w:rPr>
        <w:t xml:space="preserve">第七章 </w:t>
      </w:r>
      <w:r>
        <w:rPr>
          <w:rFonts w:hint="eastAsia" w:ascii="宋体" w:hAnsi="宋体" w:eastAsia="宋体" w:cs="宋体"/>
          <w:bCs w:val="0"/>
          <w:color w:val="auto"/>
          <w:sz w:val="28"/>
          <w:szCs w:val="28"/>
          <w:highlight w:val="none"/>
          <w:lang w:val="en-US" w:eastAsia="zh-CN"/>
        </w:rPr>
        <w:t xml:space="preserve"> </w:t>
      </w:r>
      <w:r>
        <w:rPr>
          <w:rFonts w:hint="eastAsia" w:ascii="宋体" w:hAnsi="宋体" w:eastAsia="宋体" w:cs="宋体"/>
          <w:bCs w:val="0"/>
          <w:color w:val="auto"/>
          <w:sz w:val="28"/>
          <w:szCs w:val="28"/>
          <w:highlight w:val="none"/>
        </w:rPr>
        <w:t>工程量清单、图纸</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_Toc10491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78</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4C1700E5">
      <w:pPr>
        <w:pStyle w:val="23"/>
        <w:keepNext w:val="0"/>
        <w:keepLines w:val="0"/>
        <w:pageBreakBefore w:val="0"/>
        <w:widowControl w:val="0"/>
        <w:tabs>
          <w:tab w:val="right" w:leader="dot" w:pos="9643"/>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_Toc4654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 xml:space="preserve">第八章 </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质疑、投诉材料格式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_Toc4654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79</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789FDB7B">
      <w:pPr>
        <w:pStyle w:val="2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highlight w:val="none"/>
        </w:rPr>
      </w:pPr>
      <w:r>
        <w:rPr>
          <w:rFonts w:hint="eastAsia" w:ascii="宋体" w:hAnsi="宋体" w:eastAsia="宋体" w:cs="宋体"/>
          <w:bCs/>
          <w:color w:val="auto"/>
          <w:sz w:val="28"/>
          <w:szCs w:val="28"/>
          <w:highlight w:val="none"/>
        </w:rPr>
        <w:fldChar w:fldCharType="end"/>
      </w:r>
    </w:p>
    <w:p w14:paraId="5BE5B2F1">
      <w:pPr>
        <w:spacing w:line="400" w:lineRule="exact"/>
        <w:jc w:val="left"/>
        <w:rPr>
          <w:rFonts w:hint="eastAsia" w:ascii="宋体" w:hAnsi="宋体" w:eastAsia="宋体" w:cs="宋体"/>
          <w:b/>
          <w:color w:val="auto"/>
          <w:sz w:val="32"/>
          <w:szCs w:val="32"/>
          <w:highlight w:val="none"/>
        </w:rPr>
      </w:pPr>
    </w:p>
    <w:p w14:paraId="3A70DD02">
      <w:pPr>
        <w:spacing w:line="400" w:lineRule="exact"/>
        <w:jc w:val="center"/>
        <w:rPr>
          <w:rFonts w:hint="eastAsia" w:ascii="宋体" w:hAnsi="宋体" w:eastAsia="宋体" w:cs="宋体"/>
          <w:b/>
          <w:color w:val="auto"/>
          <w:sz w:val="32"/>
          <w:szCs w:val="32"/>
          <w:highlight w:val="none"/>
        </w:rPr>
      </w:pPr>
    </w:p>
    <w:p w14:paraId="454480BF">
      <w:pPr>
        <w:spacing w:line="400" w:lineRule="exact"/>
        <w:jc w:val="center"/>
        <w:rPr>
          <w:rFonts w:hint="eastAsia" w:ascii="宋体" w:hAnsi="宋体" w:eastAsia="宋体" w:cs="宋体"/>
          <w:b/>
          <w:color w:val="auto"/>
          <w:sz w:val="32"/>
          <w:szCs w:val="32"/>
          <w:highlight w:val="none"/>
        </w:rPr>
      </w:pPr>
    </w:p>
    <w:p w14:paraId="601F2B34">
      <w:pPr>
        <w:spacing w:line="400" w:lineRule="exact"/>
        <w:jc w:val="center"/>
        <w:rPr>
          <w:rFonts w:hint="eastAsia" w:ascii="宋体" w:hAnsi="宋体" w:eastAsia="宋体" w:cs="宋体"/>
          <w:b/>
          <w:color w:val="auto"/>
          <w:sz w:val="32"/>
          <w:szCs w:val="32"/>
          <w:highlight w:val="none"/>
        </w:rPr>
      </w:pPr>
    </w:p>
    <w:p w14:paraId="6FCDB5B5">
      <w:pPr>
        <w:spacing w:line="400" w:lineRule="exact"/>
        <w:jc w:val="center"/>
        <w:rPr>
          <w:rFonts w:hint="eastAsia" w:ascii="宋体" w:hAnsi="宋体" w:eastAsia="宋体" w:cs="宋体"/>
          <w:b/>
          <w:color w:val="auto"/>
          <w:sz w:val="32"/>
          <w:szCs w:val="32"/>
          <w:highlight w:val="none"/>
        </w:rPr>
      </w:pPr>
    </w:p>
    <w:p w14:paraId="14111F99">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1134" w:left="1134" w:header="720" w:footer="720" w:gutter="0"/>
          <w:pgBorders>
            <w:top w:val="none" w:sz="0" w:space="0"/>
            <w:left w:val="none" w:sz="0" w:space="0"/>
            <w:bottom w:val="none" w:sz="0" w:space="0"/>
            <w:right w:val="none" w:sz="0" w:space="0"/>
          </w:pgBorders>
          <w:pgNumType w:start="1"/>
          <w:cols w:space="720" w:num="1"/>
          <w:docGrid w:linePitch="312" w:charSpace="0"/>
        </w:sectPr>
      </w:pPr>
    </w:p>
    <w:p w14:paraId="4DD55FBE">
      <w:pPr>
        <w:pStyle w:val="2"/>
        <w:pageBreakBefore w:val="0"/>
        <w:widowControl w:val="0"/>
        <w:numPr>
          <w:ilvl w:val="0"/>
          <w:numId w:val="1"/>
        </w:numPr>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highlight w:val="none"/>
        </w:rPr>
      </w:pPr>
      <w:bookmarkStart w:id="1" w:name="_Toc11382"/>
      <w:bookmarkStart w:id="2" w:name="_Toc27000"/>
      <w:bookmarkStart w:id="3" w:name="OLE_LINK30"/>
      <w:bookmarkStart w:id="4" w:name="_Toc11989"/>
      <w:bookmarkStart w:id="5" w:name="_Toc15624"/>
      <w:bookmarkStart w:id="6" w:name="_Toc12242"/>
      <w:bookmarkStart w:id="7" w:name="_Toc10019"/>
      <w:r>
        <w:rPr>
          <w:rFonts w:hint="eastAsia" w:ascii="宋体" w:hAnsi="宋体" w:eastAsia="宋体" w:cs="宋体"/>
          <w:b/>
          <w:bCs/>
          <w:color w:val="auto"/>
          <w:highlight w:val="none"/>
        </w:rPr>
        <w:t>竞争性磋商公告</w:t>
      </w:r>
      <w:bookmarkEnd w:id="1"/>
      <w:bookmarkEnd w:id="2"/>
      <w:bookmarkEnd w:id="3"/>
      <w:bookmarkEnd w:id="4"/>
      <w:bookmarkEnd w:id="5"/>
      <w:bookmarkEnd w:id="6"/>
      <w:bookmarkEnd w:id="7"/>
    </w:p>
    <w:p w14:paraId="0A7DBED4">
      <w:pPr>
        <w:jc w:val="center"/>
        <w:rPr>
          <w:rFonts w:hint="eastAsia" w:ascii="宋体" w:hAnsi="宋体" w:eastAsia="宋体" w:cs="宋体"/>
          <w:color w:val="auto"/>
          <w:highlight w:val="none"/>
        </w:rPr>
      </w:pPr>
      <w:r>
        <w:rPr>
          <w:rFonts w:hint="eastAsia" w:ascii="宋体" w:hAnsi="宋体" w:cs="宋体"/>
          <w:b/>
          <w:bCs/>
          <w:color w:val="auto"/>
          <w:sz w:val="28"/>
          <w:szCs w:val="28"/>
          <w:highlight w:val="none"/>
          <w:lang w:eastAsia="zh-CN"/>
        </w:rPr>
        <w:t>广西冠庆工程项目管理咨询有限公司</w:t>
      </w:r>
      <w:r>
        <w:rPr>
          <w:rFonts w:hint="eastAsia" w:ascii="宋体" w:hAnsi="宋体" w:eastAsia="宋体" w:cs="宋体"/>
          <w:b/>
          <w:bCs/>
          <w:color w:val="auto"/>
          <w:sz w:val="28"/>
          <w:szCs w:val="28"/>
          <w:highlight w:val="none"/>
        </w:rPr>
        <w:t>关于</w:t>
      </w:r>
      <w:r>
        <w:rPr>
          <w:rFonts w:hint="eastAsia" w:ascii="宋体" w:hAnsi="宋体" w:cs="宋体"/>
          <w:b/>
          <w:bCs/>
          <w:color w:val="auto"/>
          <w:sz w:val="28"/>
          <w:szCs w:val="28"/>
          <w:highlight w:val="none"/>
          <w:lang w:eastAsia="zh-CN"/>
        </w:rPr>
        <w:t>南宁市明天学校足球场改造工程</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eastAsia="zh-CN"/>
        </w:rPr>
        <w:t>NNZC2026-C2-070017-GQZX</w:t>
      </w:r>
      <w:r>
        <w:rPr>
          <w:rFonts w:hint="eastAsia" w:ascii="宋体" w:hAnsi="宋体" w:eastAsia="宋体" w:cs="宋体"/>
          <w:b/>
          <w:bCs/>
          <w:color w:val="auto"/>
          <w:sz w:val="28"/>
          <w:szCs w:val="28"/>
          <w:highlight w:val="none"/>
        </w:rPr>
        <w:t>）竞争性磋商公告</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2E0B1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noWrap w:val="0"/>
            <w:vAlign w:val="top"/>
          </w:tcPr>
          <w:p w14:paraId="34A1E597">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概况</w:t>
            </w:r>
          </w:p>
          <w:p w14:paraId="46CE55C6">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Cs/>
                <w:color w:val="auto"/>
                <w:sz w:val="24"/>
                <w:highlight w:val="none"/>
              </w:rPr>
            </w:pPr>
            <w:r>
              <w:rPr>
                <w:rFonts w:hint="eastAsia" w:ascii="宋体" w:hAnsi="宋体" w:cs="宋体"/>
                <w:color w:val="auto"/>
                <w:szCs w:val="21"/>
                <w:highlight w:val="none"/>
                <w:u w:val="single"/>
                <w:lang w:eastAsia="zh-CN"/>
              </w:rPr>
              <w:t>南宁市明天学校足球场改造工程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项目的潜在投标人应在“广西政府采购云平台”（https://www.gcy.zfcg.gxzf.gov.cn/）获取（下载）</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文件，并于</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06</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29</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09</w:t>
            </w:r>
            <w:r>
              <w:rPr>
                <w:rFonts w:hint="eastAsia" w:ascii="宋体" w:hAnsi="宋体" w:eastAsia="宋体" w:cs="宋体"/>
                <w:color w:val="auto"/>
                <w:szCs w:val="21"/>
                <w:highlight w:val="none"/>
                <w:u w:val="single"/>
              </w:rPr>
              <w:t>点</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u w:val="single"/>
              </w:rPr>
              <w:t>分00秒</w:t>
            </w:r>
            <w:r>
              <w:rPr>
                <w:rFonts w:hint="eastAsia" w:ascii="宋体" w:hAnsi="宋体" w:eastAsia="宋体" w:cs="宋体"/>
                <w:color w:val="auto"/>
                <w:szCs w:val="21"/>
                <w:highlight w:val="none"/>
              </w:rPr>
              <w:t>（北京时间）前</w:t>
            </w:r>
            <w:r>
              <w:rPr>
                <w:rFonts w:hint="eastAsia" w:ascii="宋体" w:hAnsi="宋体" w:eastAsia="宋体" w:cs="宋体"/>
                <w:color w:val="auto"/>
                <w:szCs w:val="21"/>
                <w:highlight w:val="none"/>
                <w:lang w:val="en-US" w:eastAsia="zh-CN"/>
              </w:rPr>
              <w:t>提交响应</w:t>
            </w:r>
            <w:r>
              <w:rPr>
                <w:rFonts w:hint="eastAsia" w:ascii="宋体" w:hAnsi="宋体" w:eastAsia="宋体" w:cs="宋体"/>
                <w:color w:val="auto"/>
                <w:szCs w:val="21"/>
                <w:highlight w:val="none"/>
              </w:rPr>
              <w:t>文件。</w:t>
            </w:r>
          </w:p>
        </w:tc>
      </w:tr>
    </w:tbl>
    <w:p w14:paraId="7683F5E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一、项目基本情况</w:t>
      </w:r>
    </w:p>
    <w:p w14:paraId="0E3E464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项目编号：</w:t>
      </w:r>
      <w:r>
        <w:rPr>
          <w:rFonts w:hint="eastAsia" w:ascii="宋体" w:hAnsi="宋体" w:cs="宋体"/>
          <w:color w:val="auto"/>
          <w:szCs w:val="21"/>
          <w:highlight w:val="none"/>
          <w:lang w:eastAsia="zh-CN"/>
        </w:rPr>
        <w:t>NNZC2026-C2-070017-GQZX</w:t>
      </w:r>
    </w:p>
    <w:p w14:paraId="4E58286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项目名称：</w:t>
      </w:r>
      <w:r>
        <w:rPr>
          <w:rFonts w:hint="eastAsia" w:ascii="宋体" w:hAnsi="宋体" w:cs="宋体"/>
          <w:i w:val="0"/>
          <w:iCs w:val="0"/>
          <w:caps w:val="0"/>
          <w:color w:val="auto"/>
          <w:spacing w:val="0"/>
          <w:kern w:val="0"/>
          <w:sz w:val="21"/>
          <w:szCs w:val="21"/>
          <w:highlight w:val="none"/>
          <w:shd w:val="clear" w:color="auto" w:fill="FFFFFF"/>
          <w:lang w:val="en-US" w:eastAsia="zh-CN" w:bidi="ar"/>
        </w:rPr>
        <w:t>南宁市明天学校足球场改造工程</w:t>
      </w:r>
    </w:p>
    <w:p w14:paraId="6C1DC7E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采购方式：竞争性磋商</w:t>
      </w:r>
    </w:p>
    <w:p w14:paraId="5EAB740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宋体" w:hAnsi="宋体" w:eastAsia="宋体" w:cs="宋体"/>
          <w:i w:val="0"/>
          <w:iCs w:val="0"/>
          <w:caps w:val="0"/>
          <w:color w:val="auto"/>
          <w:spacing w:val="0"/>
          <w:sz w:val="21"/>
          <w:szCs w:val="21"/>
          <w:highlight w:val="none"/>
          <w:lang w:val="en-US"/>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预算总金额（元）：</w:t>
      </w:r>
      <w:r>
        <w:rPr>
          <w:rFonts w:hint="eastAsia" w:ascii="宋体" w:hAnsi="宋体" w:cs="宋体"/>
          <w:i w:val="0"/>
          <w:iCs w:val="0"/>
          <w:caps w:val="0"/>
          <w:color w:val="auto"/>
          <w:spacing w:val="0"/>
          <w:kern w:val="0"/>
          <w:sz w:val="21"/>
          <w:szCs w:val="21"/>
          <w:highlight w:val="none"/>
          <w:shd w:val="clear" w:color="auto" w:fill="FFFFFF"/>
          <w:lang w:val="en-US" w:eastAsia="zh-CN" w:bidi="ar"/>
        </w:rPr>
        <w:t>1223817.77</w:t>
      </w:r>
    </w:p>
    <w:p w14:paraId="269045B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采购需求：</w:t>
      </w:r>
    </w:p>
    <w:p w14:paraId="58240BE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标项名称:</w:t>
      </w:r>
      <w:r>
        <w:rPr>
          <w:rFonts w:hint="eastAsia" w:ascii="宋体" w:hAnsi="宋体" w:cs="宋体"/>
          <w:i w:val="0"/>
          <w:iCs w:val="0"/>
          <w:caps w:val="0"/>
          <w:color w:val="auto"/>
          <w:spacing w:val="0"/>
          <w:kern w:val="0"/>
          <w:sz w:val="21"/>
          <w:szCs w:val="21"/>
          <w:highlight w:val="none"/>
          <w:shd w:val="clear" w:color="auto" w:fill="FFFFFF"/>
          <w:lang w:val="en-US" w:eastAsia="zh-CN" w:bidi="ar"/>
        </w:rPr>
        <w:t>南宁市明天学校足球场改造工程</w:t>
      </w:r>
    </w:p>
    <w:p w14:paraId="4BC3692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数量:1</w:t>
      </w:r>
    </w:p>
    <w:p w14:paraId="56BA641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预算金额（元）：</w:t>
      </w:r>
      <w:r>
        <w:rPr>
          <w:rFonts w:hint="eastAsia" w:ascii="宋体" w:hAnsi="宋体" w:cs="宋体"/>
          <w:i w:val="0"/>
          <w:iCs w:val="0"/>
          <w:caps w:val="0"/>
          <w:color w:val="auto"/>
          <w:spacing w:val="0"/>
          <w:kern w:val="0"/>
          <w:sz w:val="21"/>
          <w:szCs w:val="21"/>
          <w:highlight w:val="none"/>
          <w:shd w:val="clear" w:color="auto" w:fill="FFFFFF"/>
          <w:lang w:val="en-US" w:eastAsia="zh-CN" w:bidi="ar"/>
        </w:rPr>
        <w:t>1223817.77</w:t>
      </w:r>
    </w:p>
    <w:p w14:paraId="31E492E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简要规格描述或项目基本概况介绍、用途：</w:t>
      </w:r>
      <w:r>
        <w:rPr>
          <w:rFonts w:hint="eastAsia" w:ascii="宋体" w:hAnsi="宋体" w:cs="宋体"/>
          <w:i w:val="0"/>
          <w:iCs w:val="0"/>
          <w:caps w:val="0"/>
          <w:color w:val="auto"/>
          <w:spacing w:val="0"/>
          <w:kern w:val="0"/>
          <w:sz w:val="21"/>
          <w:szCs w:val="21"/>
          <w:highlight w:val="none"/>
          <w:shd w:val="clear" w:color="auto" w:fill="FFFFFF"/>
          <w:lang w:val="en-US" w:eastAsia="zh-CN" w:bidi="ar"/>
        </w:rPr>
        <w:t>南宁市明天学校足球场改造工程，改造建设约3171平方米运动场</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。具体内容详见工程量清单及图纸。</w:t>
      </w:r>
    </w:p>
    <w:p w14:paraId="2CCFD15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default" w:ascii="宋体" w:hAnsi="宋体" w:eastAsia="宋体" w:cs="宋体"/>
          <w:b/>
          <w:bCs/>
          <w:i w:val="0"/>
          <w:iCs w:val="0"/>
          <w:caps w:val="0"/>
          <w:color w:val="auto"/>
          <w:spacing w:val="0"/>
          <w:kern w:val="0"/>
          <w:sz w:val="21"/>
          <w:szCs w:val="21"/>
          <w:highlight w:val="yellow"/>
          <w:shd w:val="clear" w:color="auto" w:fill="FFFFFF"/>
          <w:lang w:val="en-US" w:eastAsia="zh-CN" w:bidi="ar"/>
        </w:rPr>
      </w:pPr>
      <w:r>
        <w:rPr>
          <w:rFonts w:hint="eastAsia" w:ascii="宋体" w:hAnsi="宋体" w:eastAsia="宋体" w:cs="宋体"/>
          <w:b/>
          <w:bCs/>
          <w:i w:val="0"/>
          <w:iCs w:val="0"/>
          <w:caps w:val="0"/>
          <w:color w:val="auto"/>
          <w:spacing w:val="0"/>
          <w:kern w:val="0"/>
          <w:sz w:val="21"/>
          <w:szCs w:val="21"/>
          <w:highlight w:val="yellow"/>
          <w:shd w:val="clear" w:color="auto" w:fill="FFFFFF"/>
          <w:lang w:val="en-US" w:eastAsia="zh-CN" w:bidi="ar"/>
        </w:rPr>
        <w:t>最高限价（如有）：</w:t>
      </w:r>
      <w:r>
        <w:rPr>
          <w:rFonts w:hint="eastAsia" w:ascii="宋体" w:hAnsi="宋体" w:cs="宋体"/>
          <w:b/>
          <w:bCs/>
          <w:i w:val="0"/>
          <w:iCs w:val="0"/>
          <w:caps w:val="0"/>
          <w:color w:val="auto"/>
          <w:spacing w:val="0"/>
          <w:kern w:val="0"/>
          <w:sz w:val="21"/>
          <w:szCs w:val="21"/>
          <w:highlight w:val="yellow"/>
          <w:shd w:val="clear" w:color="auto" w:fill="FFFFFF"/>
          <w:lang w:val="en-US" w:eastAsia="zh-CN" w:bidi="ar"/>
        </w:rPr>
        <w:t>1162626.88</w:t>
      </w:r>
    </w:p>
    <w:p w14:paraId="35E77EB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合同履约期限：自合同签订之日起</w:t>
      </w:r>
      <w:r>
        <w:rPr>
          <w:rFonts w:hint="eastAsia" w:ascii="宋体" w:hAnsi="宋体" w:cs="宋体"/>
          <w:i w:val="0"/>
          <w:iCs w:val="0"/>
          <w:caps w:val="0"/>
          <w:color w:val="auto"/>
          <w:spacing w:val="0"/>
          <w:kern w:val="0"/>
          <w:sz w:val="21"/>
          <w:szCs w:val="21"/>
          <w:highlight w:val="none"/>
          <w:shd w:val="clear" w:color="auto" w:fill="FFFFFF"/>
          <w:lang w:val="en-US" w:eastAsia="zh-CN" w:bidi="ar"/>
        </w:rPr>
        <w:t>56</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个日历天内完工。</w:t>
      </w:r>
    </w:p>
    <w:p w14:paraId="265875E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本标项（否）接受联合体投标</w:t>
      </w:r>
    </w:p>
    <w:p w14:paraId="07D966F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5601"/>
        </w:tabs>
        <w:spacing w:before="0" w:beforeAutospacing="0" w:after="0" w:afterAutospacing="0" w:line="400" w:lineRule="atLeast"/>
        <w:ind w:left="0" w:right="0" w:firstLine="42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备注：</w:t>
      </w:r>
    </w:p>
    <w:p w14:paraId="15B59BE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二、</w:t>
      </w:r>
      <w:bookmarkStart w:id="8" w:name="OLE_LINK7"/>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申请人的资格要求</w:t>
      </w:r>
      <w:bookmarkEnd w:id="8"/>
    </w:p>
    <w:p w14:paraId="3966BCE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1.满足《中华人民共和国政府采购法》第二十二条规定；</w:t>
      </w:r>
    </w:p>
    <w:p w14:paraId="4061C4B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firstLineChars="0"/>
        <w:jc w:val="left"/>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2.落实政府采购政策需满足的资格要求：</w:t>
      </w:r>
      <w:r>
        <w:rPr>
          <w:rFonts w:hint="eastAsia" w:ascii="宋体" w:hAnsi="宋体" w:eastAsia="宋体" w:cs="宋体"/>
          <w:i w:val="0"/>
          <w:iCs w:val="0"/>
          <w:color w:val="auto"/>
          <w:szCs w:val="21"/>
          <w:highlight w:val="none"/>
          <w:u w:val="single"/>
          <w:lang w:val="en-US" w:eastAsia="zh-CN"/>
        </w:rPr>
        <w:t>本项目为专门面向中小企业采购的项目</w:t>
      </w:r>
      <w:r>
        <w:rPr>
          <w:rFonts w:hint="eastAsia" w:ascii="宋体" w:hAnsi="宋体" w:eastAsia="宋体" w:cs="宋体"/>
          <w:i w:val="0"/>
          <w:iCs w:val="0"/>
          <w:caps w:val="0"/>
          <w:color w:val="auto"/>
          <w:spacing w:val="0"/>
          <w:sz w:val="21"/>
          <w:szCs w:val="21"/>
          <w:highlight w:val="none"/>
          <w:shd w:val="clear" w:color="auto" w:fill="FFFFFF"/>
        </w:rPr>
        <w:t>（供应商应为中小微企业、监狱企业、残疾人福利性单位)</w:t>
      </w:r>
    </w:p>
    <w:p w14:paraId="1ECF507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本项目的特定资格要求：具有建筑工程施工总承包三级及以上资质，且具有有效的安全生产许可证，并在人员、设备、资金等方面具备相应的施工能力的企业，其中拟派项目经理须具有建筑工程专业贰级以上（含贰级）注册建造师执业资格，且具有有效的安全生产考核合格证书（B类）。</w:t>
      </w:r>
    </w:p>
    <w:p w14:paraId="1FBBD74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firstLineChars="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4. 本项目的特定条件：无</w:t>
      </w:r>
    </w:p>
    <w:p w14:paraId="024E7A4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三、获取采购文件</w:t>
      </w:r>
    </w:p>
    <w:p w14:paraId="5E924FF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时间：/至 2026年</w:t>
      </w:r>
      <w:r>
        <w:rPr>
          <w:rFonts w:hint="eastAsia" w:ascii="宋体" w:hAnsi="宋体" w:cs="宋体"/>
          <w:i w:val="0"/>
          <w:iCs w:val="0"/>
          <w:caps w:val="0"/>
          <w:color w:val="auto"/>
          <w:spacing w:val="0"/>
          <w:kern w:val="0"/>
          <w:sz w:val="21"/>
          <w:szCs w:val="21"/>
          <w:highlight w:val="none"/>
          <w:shd w:val="clear" w:color="auto" w:fill="FFFFFF"/>
          <w:lang w:val="en-US" w:eastAsia="zh-CN" w:bidi="ar"/>
        </w:rPr>
        <w:t>05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月</w:t>
      </w:r>
      <w:r>
        <w:rPr>
          <w:rFonts w:hint="eastAsia" w:ascii="宋体" w:hAnsi="宋体" w:cs="宋体"/>
          <w:i w:val="0"/>
          <w:iCs w:val="0"/>
          <w:caps w:val="0"/>
          <w:color w:val="auto"/>
          <w:spacing w:val="0"/>
          <w:kern w:val="0"/>
          <w:sz w:val="21"/>
          <w:szCs w:val="21"/>
          <w:highlight w:val="none"/>
          <w:shd w:val="clear" w:color="auto" w:fill="FFFFFF"/>
          <w:lang w:val="en-US" w:eastAsia="zh-CN" w:bidi="ar"/>
        </w:rPr>
        <w:t>12</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日，每天上午00:00至12:00，下午12:00至23:59（北京时间，法定节假日除外）。</w:t>
      </w:r>
    </w:p>
    <w:p w14:paraId="76299CD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地点（网址）：</w:t>
      </w:r>
      <w:r>
        <w:rPr>
          <w:rFonts w:hint="eastAsia" w:ascii="宋体" w:hAnsi="宋体" w:eastAsia="宋体" w:cs="宋体"/>
          <w:color w:val="auto"/>
          <w:szCs w:val="21"/>
          <w:highlight w:val="none"/>
        </w:rPr>
        <w:t>“广西政府采购云平台”（https://www.gcy.zfcg.gxzf.gov.cn/）</w:t>
      </w:r>
    </w:p>
    <w:p w14:paraId="211E325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5E601DC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售价（元）：0</w:t>
      </w:r>
    </w:p>
    <w:p w14:paraId="56D8C70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四、响应文件提交</w:t>
      </w:r>
    </w:p>
    <w:p w14:paraId="6CCAF00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1.首次响应文件提交截止时间（北京时间）：2026年</w:t>
      </w:r>
      <w:r>
        <w:rPr>
          <w:rFonts w:hint="eastAsia" w:ascii="宋体" w:hAnsi="宋体" w:cs="宋体"/>
          <w:i w:val="0"/>
          <w:iCs w:val="0"/>
          <w:caps w:val="0"/>
          <w:color w:val="auto"/>
          <w:spacing w:val="0"/>
          <w:kern w:val="0"/>
          <w:sz w:val="21"/>
          <w:szCs w:val="21"/>
          <w:highlight w:val="none"/>
          <w:shd w:val="clear" w:color="auto" w:fill="FFFFFF"/>
          <w:lang w:val="en-US" w:eastAsia="zh-CN" w:bidi="ar"/>
        </w:rPr>
        <w:t>06</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月</w:t>
      </w:r>
      <w:r>
        <w:rPr>
          <w:rFonts w:hint="eastAsia" w:ascii="宋体" w:hAnsi="宋体" w:cs="宋体"/>
          <w:i w:val="0"/>
          <w:iCs w:val="0"/>
          <w:caps w:val="0"/>
          <w:color w:val="auto"/>
          <w:spacing w:val="0"/>
          <w:kern w:val="0"/>
          <w:sz w:val="21"/>
          <w:szCs w:val="21"/>
          <w:highlight w:val="none"/>
          <w:shd w:val="clear" w:color="auto" w:fill="FFFFFF"/>
          <w:lang w:val="en-US" w:eastAsia="zh-CN" w:bidi="ar"/>
        </w:rPr>
        <w:t>29</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日</w:t>
      </w:r>
      <w:r>
        <w:rPr>
          <w:rFonts w:hint="eastAsia" w:ascii="宋体" w:hAnsi="宋体" w:cs="宋体"/>
          <w:i w:val="0"/>
          <w:iCs w:val="0"/>
          <w:caps w:val="0"/>
          <w:color w:val="auto"/>
          <w:spacing w:val="0"/>
          <w:kern w:val="0"/>
          <w:sz w:val="21"/>
          <w:szCs w:val="21"/>
          <w:highlight w:val="none"/>
          <w:shd w:val="clear" w:color="auto" w:fill="FFFFFF"/>
          <w:lang w:val="en-US" w:eastAsia="zh-CN" w:bidi="ar"/>
        </w:rPr>
        <w:t>09</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时</w:t>
      </w:r>
      <w:r>
        <w:rPr>
          <w:rFonts w:hint="eastAsia" w:ascii="宋体" w:hAnsi="宋体" w:cs="宋体"/>
          <w:i w:val="0"/>
          <w:iCs w:val="0"/>
          <w:caps w:val="0"/>
          <w:color w:val="auto"/>
          <w:spacing w:val="0"/>
          <w:kern w:val="0"/>
          <w:sz w:val="21"/>
          <w:szCs w:val="21"/>
          <w:highlight w:val="none"/>
          <w:shd w:val="clear" w:color="auto" w:fill="FFFFFF"/>
          <w:lang w:val="en-US" w:eastAsia="zh-CN" w:bidi="ar"/>
        </w:rPr>
        <w:t>3</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0分（北京时间）。</w:t>
      </w:r>
    </w:p>
    <w:p w14:paraId="6129215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宋体" w:hAnsi="宋体" w:eastAsia="宋体" w:cs="宋体"/>
          <w:color w:val="auto"/>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2.首次响应文件提交地点：</w:t>
      </w:r>
      <w:r>
        <w:rPr>
          <w:rFonts w:hint="eastAsia" w:ascii="宋体" w:hAnsi="宋体" w:eastAsia="宋体" w:cs="宋体"/>
          <w:color w:val="auto"/>
          <w:szCs w:val="21"/>
          <w:highlight w:val="none"/>
        </w:rPr>
        <w:t>本项目为南宁市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投标截止时间前通过网络上传至“广西政府采购云平台”，</w:t>
      </w:r>
      <w:r>
        <w:rPr>
          <w:rFonts w:hint="eastAsia" w:ascii="宋体" w:hAnsi="宋体" w:eastAsia="宋体" w:cs="宋体"/>
          <w:b/>
          <w:color w:val="auto"/>
          <w:szCs w:val="21"/>
          <w:highlight w:val="none"/>
        </w:rPr>
        <w:t>供应商在“广西政府采购云平台”提交电子版响应文件时，请填写参加远程采购活动经办人联系方式</w:t>
      </w:r>
      <w:r>
        <w:rPr>
          <w:rFonts w:hint="eastAsia" w:ascii="宋体" w:hAnsi="宋体" w:eastAsia="宋体" w:cs="宋体"/>
          <w:color w:val="auto"/>
          <w:szCs w:val="21"/>
          <w:highlight w:val="none"/>
        </w:rPr>
        <w:t>。</w:t>
      </w:r>
    </w:p>
    <w:p w14:paraId="286DEC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五、开启（首次响应文件开启时间）</w:t>
      </w:r>
    </w:p>
    <w:p w14:paraId="06AD6C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时间（北京时间）：2026年06月</w:t>
      </w:r>
      <w:r>
        <w:rPr>
          <w:rFonts w:hint="eastAsia" w:ascii="宋体" w:hAnsi="宋体" w:cs="宋体"/>
          <w:color w:val="auto"/>
          <w:szCs w:val="21"/>
          <w:highlight w:val="none"/>
          <w:lang w:val="en-US" w:eastAsia="zh-CN"/>
        </w:rPr>
        <w:t>29</w:t>
      </w:r>
      <w:r>
        <w:rPr>
          <w:rFonts w:hint="eastAsia" w:ascii="宋体" w:hAnsi="宋体" w:eastAsia="宋体" w:cs="宋体"/>
          <w:color w:val="auto"/>
          <w:szCs w:val="21"/>
          <w:highlight w:val="none"/>
          <w:lang w:val="en-US" w:eastAsia="zh-CN"/>
        </w:rPr>
        <w:t>日09:30（北京时间）</w:t>
      </w:r>
    </w:p>
    <w:p w14:paraId="3F5EB6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地点：广西政府采购云平台电子开标大厅</w:t>
      </w:r>
    </w:p>
    <w:p w14:paraId="2E7343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六、公告期限</w:t>
      </w:r>
    </w:p>
    <w:p w14:paraId="5B9427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自本公告发布之日起5个工作日。</w:t>
      </w:r>
    </w:p>
    <w:p w14:paraId="10EE2E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七、其他补充事宜</w:t>
      </w:r>
    </w:p>
    <w:p w14:paraId="48627B05">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1.磋商保证金：本项目不收取磋商保证金</w:t>
      </w:r>
    </w:p>
    <w:p w14:paraId="0EF28F7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2.采购意向公开链接：https://zfcg.gxzf.gov.cn/site/detail?categoryCode=ZcyAnnouncement&amp;parentId=66485&amp;articleId=DL530oSQ+oF3OXd7dXnBXQ==</w:t>
      </w:r>
    </w:p>
    <w:p w14:paraId="45A31D9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3.网上查询地址</w:t>
      </w:r>
    </w:p>
    <w:p w14:paraId="64CEE0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http://www.ccgp.gov.cn (中国政府采购网),http://zfcg.gxzf.gov.cn (广西政府采购网) , http://ggzy.jgswj.gxzf.gov.cn/nnggzy(全国公共资源交易平台(广西·南宁))</w:t>
      </w:r>
    </w:p>
    <w:p w14:paraId="5A11AE8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2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4.本项目需要落实的政府采购政策</w:t>
      </w:r>
    </w:p>
    <w:p w14:paraId="69F1139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（1）政府采购促进中小企业发展。</w:t>
      </w:r>
    </w:p>
    <w:p w14:paraId="2EF6556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（2）政府采购支持采用本国产品的政策。</w:t>
      </w:r>
    </w:p>
    <w:p w14:paraId="30D36F8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（3）强制采购节能产品；优先采购节能产品、环境标志产品。</w:t>
      </w:r>
    </w:p>
    <w:p w14:paraId="16D209A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（4）政府采购促进残疾人就业政策。</w:t>
      </w:r>
    </w:p>
    <w:p w14:paraId="175D7C1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（5）政府采购支持监狱企业发展。</w:t>
      </w:r>
    </w:p>
    <w:p w14:paraId="73BBCC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64CE7AD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6. 若对项目采购电子交易系统操作有疑问，可登录广西政府采购云平台（https://www.gcy.zfcg.gxzf.gov.cn/），点击右侧咨询小采，获取采小蜜智能服务管家帮助，或拨打广西政府采购云平台服务热线95763获取热线服务帮助。</w:t>
      </w:r>
    </w:p>
    <w:p w14:paraId="78F42FF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7.注意事项：</w:t>
      </w:r>
    </w:p>
    <w:p w14:paraId="4BF4B0F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响应文件提交方式：本项目为南宁市全流程电子化项目，通过广西政府采购云平台（https://www.gcy.zfcg.gxzf.gov.cn/）实行在线电子响应，供应商应先安装广西政府采购云平台新版客户端（请自行前往广西政府采购云平台进行下载），并按照本项目采购文件和广西政府采购云平台的要求编制、加密后在响应文件提交截止时间前通过网络上传至南宁市广西政府采购云平台，供应商在广西政府采购云平台提交电子版响应文件时，请填写参加远程采购活动经办人联系方式。</w:t>
      </w:r>
    </w:p>
    <w:p w14:paraId="00D1C6F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（2）未进行网上注册并办理数字证书（CA认证）的供应商将无法参与本项目政府采购活动，潜在供应商应当在响应文件提交截止时间前，完成电子交易平台上的CA数字证书办理及响应文件的提交。</w:t>
      </w:r>
    </w:p>
    <w:p w14:paraId="7938311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（3）为确保网上操作合法、有效和安全，请供应商确保在电子响应过程中能够对相关数据电文进行加密和使用电子签章，妥善保管CA数字证书并使用有效的CA数字证书参与整个采购活动。</w:t>
      </w:r>
    </w:p>
    <w:p w14:paraId="12F7515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0DF69A8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4）CA证书在线解密：首次响应文件开启时，须要供应商携带制作响应文件时用来加密的有效数字证书（CA认证）登录广西政府采购云平台电子开标大厅现场按规定时间对加密的响应文件进行解密，未能按要求进行解密的，由此产生的后果由供应商自行承担。</w:t>
      </w:r>
    </w:p>
    <w:p w14:paraId="0115D2E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（5）供应商需要在具备有摄像头及语音功能且互联网网络状况良好的电脑登录广西政府采购云平台远程开标大厅参与本次磋商，否则后果自负。</w:t>
      </w:r>
    </w:p>
    <w:p w14:paraId="47C69D5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8.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 </w:t>
      </w:r>
    </w:p>
    <w:p w14:paraId="1369F52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left="0" w:right="0" w:firstLine="420"/>
        <w:jc w:val="lef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八、凡对本次采购提出询问，请按以下方式联系</w:t>
      </w:r>
    </w:p>
    <w:p w14:paraId="08D863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1.采购人信息</w:t>
      </w:r>
    </w:p>
    <w:p w14:paraId="4C646488">
      <w:pPr>
        <w:keepNext w:val="0"/>
        <w:keepLines w:val="0"/>
        <w:pageBreakBefore w:val="0"/>
        <w:kinsoku/>
        <w:wordWrap/>
        <w:overflowPunct/>
        <w:topLinePunct w:val="0"/>
        <w:autoSpaceDE/>
        <w:autoSpaceDN/>
        <w:bidi w:val="0"/>
        <w:adjustRightInd/>
        <w:snapToGrid/>
        <w:spacing w:line="240" w:lineRule="auto"/>
        <w:ind w:firstLine="630" w:firstLineChars="3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名称：</w:t>
      </w:r>
      <w:r>
        <w:rPr>
          <w:rFonts w:hint="eastAsia" w:ascii="宋体" w:hAnsi="宋体" w:cs="宋体"/>
          <w:color w:val="auto"/>
          <w:szCs w:val="21"/>
          <w:highlight w:val="none"/>
          <w:lang w:eastAsia="zh-CN"/>
        </w:rPr>
        <w:t>南宁市明天学校</w:t>
      </w:r>
    </w:p>
    <w:p w14:paraId="4D959956">
      <w:pPr>
        <w:keepNext w:val="0"/>
        <w:keepLines w:val="0"/>
        <w:pageBreakBefore w:val="0"/>
        <w:kinsoku/>
        <w:wordWrap/>
        <w:overflowPunct/>
        <w:topLinePunct w:val="0"/>
        <w:autoSpaceDE/>
        <w:autoSpaceDN/>
        <w:bidi w:val="0"/>
        <w:adjustRightInd/>
        <w:snapToGrid/>
        <w:spacing w:line="240" w:lineRule="auto"/>
        <w:ind w:firstLine="630" w:firstLineChars="3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地址：</w:t>
      </w:r>
      <w:r>
        <w:rPr>
          <w:rFonts w:hint="eastAsia" w:ascii="宋体" w:hAnsi="宋体" w:cs="宋体"/>
          <w:color w:val="auto"/>
          <w:szCs w:val="21"/>
          <w:highlight w:val="none"/>
          <w:lang w:eastAsia="zh-CN"/>
        </w:rPr>
        <w:t>南宁市</w:t>
      </w:r>
      <w:r>
        <w:rPr>
          <w:rFonts w:hint="eastAsia" w:ascii="宋体" w:hAnsi="宋体" w:cs="宋体"/>
          <w:color w:val="auto"/>
          <w:szCs w:val="21"/>
          <w:highlight w:val="none"/>
          <w:lang w:val="en-US" w:eastAsia="zh-CN"/>
        </w:rPr>
        <w:t>西乡塘区新峰路6号</w:t>
      </w:r>
    </w:p>
    <w:p w14:paraId="2533B5D9">
      <w:pPr>
        <w:keepNext w:val="0"/>
        <w:keepLines w:val="0"/>
        <w:pageBreakBefore w:val="0"/>
        <w:kinsoku/>
        <w:wordWrap/>
        <w:overflowPunct/>
        <w:topLinePunct w:val="0"/>
        <w:autoSpaceDE/>
        <w:autoSpaceDN/>
        <w:bidi w:val="0"/>
        <w:adjustRightInd/>
        <w:snapToGrid/>
        <w:spacing w:line="240" w:lineRule="auto"/>
        <w:ind w:firstLine="630" w:firstLineChars="3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lang w:eastAsia="zh-CN"/>
        </w:rPr>
        <w:t>联系</w:t>
      </w:r>
      <w:r>
        <w:rPr>
          <w:rFonts w:hint="eastAsia" w:ascii="宋体" w:hAnsi="宋体" w:eastAsia="宋体" w:cs="宋体"/>
          <w:color w:val="auto"/>
          <w:szCs w:val="21"/>
          <w:highlight w:val="none"/>
          <w:lang w:val="en-US" w:eastAsia="zh-CN"/>
        </w:rPr>
        <w:t>人及</w:t>
      </w:r>
      <w:r>
        <w:rPr>
          <w:rFonts w:hint="eastAsia" w:ascii="宋体" w:hAnsi="宋体" w:eastAsia="宋体" w:cs="宋体"/>
          <w:color w:val="auto"/>
          <w:szCs w:val="21"/>
          <w:highlight w:val="none"/>
          <w:lang w:eastAsia="zh-CN"/>
        </w:rPr>
        <w:t>电话</w:t>
      </w:r>
      <w:bookmarkStart w:id="9" w:name="OLE_LINK2"/>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蓝老师</w:t>
      </w:r>
      <w:r>
        <w:rPr>
          <w:rFonts w:hint="eastAsia" w:ascii="宋体" w:hAnsi="宋体" w:cs="宋体"/>
          <w:color w:val="auto"/>
          <w:highlight w:val="none"/>
          <w:lang w:val="en-US" w:eastAsia="zh-CN"/>
        </w:rPr>
        <w:t xml:space="preserve">  </w:t>
      </w:r>
      <w:r>
        <w:rPr>
          <w:rFonts w:hint="eastAsia"/>
          <w:highlight w:val="none"/>
        </w:rPr>
        <w:t>0771-3119854</w:t>
      </w:r>
    </w:p>
    <w:bookmarkEnd w:id="9"/>
    <w:p w14:paraId="4B8D2CB2">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采购代理机构信息</w:t>
      </w:r>
    </w:p>
    <w:p w14:paraId="42467F52">
      <w:pPr>
        <w:keepNext w:val="0"/>
        <w:keepLines w:val="0"/>
        <w:pageBreakBefore w:val="0"/>
        <w:kinsoku/>
        <w:wordWrap/>
        <w:overflowPunct/>
        <w:topLinePunct w:val="0"/>
        <w:autoSpaceDE/>
        <w:autoSpaceDN/>
        <w:bidi w:val="0"/>
        <w:adjustRightInd/>
        <w:snapToGrid/>
        <w:spacing w:line="240" w:lineRule="auto"/>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广西冠庆工程项目管理咨询有限公司</w:t>
      </w:r>
      <w:r>
        <w:rPr>
          <w:rFonts w:hint="eastAsia" w:ascii="宋体" w:hAnsi="宋体" w:eastAsia="宋体" w:cs="宋体"/>
          <w:color w:val="auto"/>
          <w:szCs w:val="21"/>
          <w:highlight w:val="none"/>
        </w:rPr>
        <w:t xml:space="preserve"> </w:t>
      </w:r>
    </w:p>
    <w:p w14:paraId="500709E7">
      <w:pPr>
        <w:keepNext w:val="0"/>
        <w:keepLines w:val="0"/>
        <w:pageBreakBefore w:val="0"/>
        <w:kinsoku/>
        <w:wordWrap/>
        <w:overflowPunct/>
        <w:topLinePunct w:val="0"/>
        <w:autoSpaceDE/>
        <w:autoSpaceDN/>
        <w:bidi w:val="0"/>
        <w:adjustRightInd/>
        <w:snapToGrid/>
        <w:spacing w:line="240" w:lineRule="auto"/>
        <w:ind w:firstLine="630" w:firstLineChars="300"/>
        <w:textAlignment w:val="auto"/>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地址：</w:t>
      </w:r>
      <w:r>
        <w:rPr>
          <w:rFonts w:hint="default" w:ascii="宋体" w:hAnsi="宋体" w:cs="宋体"/>
          <w:color w:val="auto"/>
          <w:szCs w:val="21"/>
          <w:highlight w:val="none"/>
          <w:lang w:eastAsia="zh-CN"/>
        </w:rPr>
        <w:t>南宁市西乡塘区高新区罗赖路8号A1栋三楼</w:t>
      </w:r>
    </w:p>
    <w:p w14:paraId="4249BF87">
      <w:pPr>
        <w:spacing w:line="360" w:lineRule="auto"/>
        <w:ind w:firstLine="630" w:firstLineChars="3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项目</w:t>
      </w:r>
      <w:r>
        <w:rPr>
          <w:rFonts w:hint="eastAsia" w:ascii="宋体" w:hAnsi="宋体" w:cs="宋体"/>
          <w:color w:val="auto"/>
          <w:szCs w:val="21"/>
          <w:highlight w:val="none"/>
          <w:lang w:eastAsia="zh-CN"/>
        </w:rPr>
        <w:t>联系</w:t>
      </w:r>
      <w:r>
        <w:rPr>
          <w:rFonts w:hint="eastAsia" w:ascii="宋体" w:hAnsi="宋体" w:cs="宋体"/>
          <w:color w:val="auto"/>
          <w:szCs w:val="21"/>
          <w:highlight w:val="none"/>
          <w:lang w:val="en-US" w:eastAsia="zh-CN"/>
        </w:rPr>
        <w:t>人及</w:t>
      </w:r>
      <w:r>
        <w:rPr>
          <w:rFonts w:hint="eastAsia" w:ascii="宋体" w:hAnsi="宋体" w:cs="宋体"/>
          <w:color w:val="auto"/>
          <w:szCs w:val="21"/>
          <w:highlight w:val="none"/>
          <w:lang w:eastAsia="zh-CN"/>
        </w:rPr>
        <w:t>电话：</w:t>
      </w:r>
      <w:r>
        <w:rPr>
          <w:rFonts w:hint="eastAsia" w:ascii="宋体" w:hAnsi="宋体" w:cs="宋体"/>
          <w:color w:val="auto"/>
          <w:szCs w:val="21"/>
          <w:highlight w:val="none"/>
          <w:lang w:val="en-US" w:eastAsia="zh-CN"/>
        </w:rPr>
        <w:t xml:space="preserve"> 蒋工、李工    </w:t>
      </w:r>
      <w:r>
        <w:rPr>
          <w:rFonts w:hint="eastAsia" w:ascii="宋体" w:hAnsi="宋体" w:cs="宋体"/>
          <w:color w:val="auto"/>
          <w:szCs w:val="21"/>
          <w:highlight w:val="none"/>
          <w:lang w:eastAsia="zh-CN"/>
        </w:rPr>
        <w:t>0771-3807276</w:t>
      </w:r>
      <w:r>
        <w:rPr>
          <w:rFonts w:hint="eastAsia" w:ascii="宋体" w:hAnsi="宋体" w:eastAsia="宋体" w:cs="宋体"/>
          <w:color w:val="auto"/>
          <w:szCs w:val="21"/>
          <w:highlight w:val="none"/>
        </w:rPr>
        <w:br w:type="page"/>
      </w:r>
    </w:p>
    <w:p w14:paraId="5C3247E7">
      <w:pPr>
        <w:pStyle w:val="2"/>
        <w:spacing w:before="0" w:after="0" w:line="240" w:lineRule="auto"/>
        <w:jc w:val="center"/>
        <w:rPr>
          <w:rFonts w:hint="eastAsia" w:ascii="宋体" w:hAnsi="宋体" w:eastAsia="宋体" w:cs="宋体"/>
          <w:b/>
          <w:bCs w:val="0"/>
          <w:color w:val="auto"/>
          <w:sz w:val="32"/>
          <w:szCs w:val="32"/>
          <w:highlight w:val="none"/>
        </w:rPr>
      </w:pPr>
      <w:bookmarkStart w:id="10" w:name="_Toc7184"/>
      <w:bookmarkStart w:id="11" w:name="_Toc9127"/>
      <w:bookmarkStart w:id="12" w:name="_Toc11093"/>
      <w:bookmarkStart w:id="13" w:name="_Toc25520"/>
      <w:bookmarkStart w:id="14" w:name="_Toc22255"/>
      <w:bookmarkStart w:id="15" w:name="_Toc22760"/>
      <w:r>
        <w:rPr>
          <w:rFonts w:hint="eastAsia" w:ascii="宋体" w:hAnsi="宋体" w:eastAsia="宋体" w:cs="宋体"/>
          <w:b/>
          <w:bCs w:val="0"/>
          <w:color w:val="auto"/>
          <w:sz w:val="32"/>
          <w:szCs w:val="32"/>
          <w:highlight w:val="none"/>
        </w:rPr>
        <w:t>第二章 采购需求</w:t>
      </w:r>
      <w:bookmarkEnd w:id="10"/>
      <w:bookmarkEnd w:id="11"/>
      <w:bookmarkEnd w:id="12"/>
      <w:bookmarkEnd w:id="13"/>
      <w:bookmarkEnd w:id="14"/>
    </w:p>
    <w:bookmarkEnd w:id="15"/>
    <w:p w14:paraId="6F057969">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857B92F">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471F8AB0">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（1）本竞争性磋商文件所称中小企业必须符合《政府采购促进中小企业发展管理办法》（财库〔2020〕46号）的规定。</w:t>
      </w:r>
    </w:p>
    <w:p w14:paraId="60C0CD2C">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有效期内的节能产品认证证书复印件（加盖供应商公章），</w:t>
      </w:r>
      <w:r>
        <w:rPr>
          <w:rFonts w:hint="eastAsia" w:ascii="宋体" w:hAnsi="宋体" w:eastAsia="宋体" w:cs="宋体"/>
          <w:b/>
          <w:bCs/>
          <w:color w:val="auto"/>
          <w:szCs w:val="21"/>
          <w:highlight w:val="none"/>
        </w:rPr>
        <w:t>否则响应文件按无效处理</w:t>
      </w:r>
      <w:r>
        <w:rPr>
          <w:rFonts w:hint="eastAsia" w:ascii="宋体" w:hAnsi="宋体" w:eastAsia="宋体" w:cs="宋体"/>
          <w:color w:val="auto"/>
          <w:szCs w:val="21"/>
          <w:highlight w:val="none"/>
        </w:rPr>
        <w:t xml:space="preserve">。如本项目包含的配套货物属于品目清单内非标注“★”的产品时，应优先采购，具体详见“第四章 </w:t>
      </w:r>
      <w:r>
        <w:rPr>
          <w:rStyle w:val="35"/>
          <w:rFonts w:hint="eastAsia" w:ascii="宋体" w:hAnsi="宋体" w:eastAsia="宋体" w:cs="宋体"/>
          <w:color w:val="auto"/>
          <w:highlight w:val="none"/>
        </w:rPr>
        <w:t>评审程序、评审方法和评审标准</w:t>
      </w:r>
      <w:r>
        <w:rPr>
          <w:rFonts w:hint="eastAsia" w:ascii="宋体" w:hAnsi="宋体" w:eastAsia="宋体" w:cs="宋体"/>
          <w:color w:val="auto"/>
          <w:szCs w:val="21"/>
          <w:highlight w:val="none"/>
        </w:rPr>
        <w:t>”。</w:t>
      </w:r>
    </w:p>
    <w:p w14:paraId="2AC03927">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2.“实质性要求”是指磋商文件中已经指明不满足则响应文件按无效响应处理的条款，或者不能负偏离的条款，或者采购需求中带“▲”的条款。</w:t>
      </w:r>
    </w:p>
    <w:p w14:paraId="7503780B">
      <w:pPr>
        <w:pStyle w:val="11"/>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3. </w:t>
      </w:r>
      <w:r>
        <w:rPr>
          <w:rFonts w:hint="eastAsia" w:ascii="宋体" w:hAnsi="宋体" w:eastAsia="宋体" w:cs="宋体"/>
          <w:color w:val="auto"/>
          <w:highlight w:val="none"/>
        </w:rPr>
        <w:t>如竞标产品存在侵犯他人的知识产权或者专利成果行为的，应承担相应法律责任。</w:t>
      </w:r>
    </w:p>
    <w:p w14:paraId="11EFB6D5">
      <w:pPr>
        <w:tabs>
          <w:tab w:val="left" w:pos="180"/>
          <w:tab w:val="left" w:pos="1620"/>
        </w:tabs>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4.采购内容所属行业：</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建筑业</w:t>
      </w:r>
      <w:r>
        <w:rPr>
          <w:rFonts w:hint="eastAsia" w:ascii="宋体" w:hAnsi="宋体" w:eastAsia="宋体" w:cs="宋体"/>
          <w:color w:val="auto"/>
          <w:highlight w:val="none"/>
          <w:u w:val="single"/>
          <w:lang w:val="en-US" w:eastAsia="zh-CN"/>
        </w:rPr>
        <w:t xml:space="preserve"> </w:t>
      </w:r>
    </w:p>
    <w:tbl>
      <w:tblPr>
        <w:tblStyle w:val="29"/>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458"/>
        <w:gridCol w:w="675"/>
        <w:gridCol w:w="651"/>
        <w:gridCol w:w="6984"/>
        <w:gridCol w:w="914"/>
      </w:tblGrid>
      <w:tr w14:paraId="7C7B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05" w:type="dxa"/>
            <w:gridSpan w:val="6"/>
            <w:tcBorders>
              <w:top w:val="single" w:color="auto" w:sz="4" w:space="0"/>
              <w:left w:val="single" w:color="auto" w:sz="4" w:space="0"/>
              <w:bottom w:val="single" w:color="auto" w:sz="4" w:space="0"/>
              <w:right w:val="single" w:color="auto" w:sz="4" w:space="0"/>
            </w:tcBorders>
            <w:noWrap w:val="0"/>
            <w:vAlign w:val="center"/>
          </w:tcPr>
          <w:p w14:paraId="0474DA24">
            <w:pPr>
              <w:keepNext w:val="0"/>
              <w:keepLines w:val="0"/>
              <w:pageBreakBefore w:val="0"/>
              <w:widowControl w:val="0"/>
              <w:kinsoku/>
              <w:wordWrap/>
              <w:overflowPunct/>
              <w:topLinePunct w:val="0"/>
              <w:autoSpaceDE/>
              <w:autoSpaceDN/>
              <w:bidi w:val="0"/>
              <w:adjustRightInd/>
              <w:snapToGrid/>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w:t>
            </w:r>
          </w:p>
        </w:tc>
      </w:tr>
      <w:tr w14:paraId="42B6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Merge w:val="restart"/>
            <w:tcBorders>
              <w:top w:val="single" w:color="auto" w:sz="4" w:space="0"/>
            </w:tcBorders>
            <w:noWrap w:val="0"/>
            <w:vAlign w:val="center"/>
          </w:tcPr>
          <w:p w14:paraId="7174E9AB">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需求一览表</w:t>
            </w:r>
          </w:p>
        </w:tc>
        <w:tc>
          <w:tcPr>
            <w:tcW w:w="458" w:type="dxa"/>
            <w:tcBorders>
              <w:top w:val="single" w:color="auto" w:sz="4" w:space="0"/>
            </w:tcBorders>
            <w:noWrap w:val="0"/>
            <w:vAlign w:val="center"/>
          </w:tcPr>
          <w:p w14:paraId="7CB3970E">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75" w:type="dxa"/>
            <w:tcBorders>
              <w:top w:val="single" w:color="auto" w:sz="4" w:space="0"/>
            </w:tcBorders>
            <w:noWrap w:val="0"/>
            <w:vAlign w:val="center"/>
          </w:tcPr>
          <w:p w14:paraId="456A18E6">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标的的名称</w:t>
            </w:r>
          </w:p>
        </w:tc>
        <w:tc>
          <w:tcPr>
            <w:tcW w:w="651" w:type="dxa"/>
            <w:tcBorders>
              <w:top w:val="single" w:color="auto" w:sz="4" w:space="0"/>
            </w:tcBorders>
            <w:noWrap w:val="0"/>
            <w:vAlign w:val="center"/>
          </w:tcPr>
          <w:p w14:paraId="12F1D10E">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p w14:paraId="71DCA88A">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及单位</w:t>
            </w:r>
          </w:p>
          <w:p w14:paraId="6BDDC79C">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p>
        </w:tc>
        <w:tc>
          <w:tcPr>
            <w:tcW w:w="6984" w:type="dxa"/>
            <w:tcBorders>
              <w:top w:val="single" w:color="auto" w:sz="4" w:space="0"/>
            </w:tcBorders>
            <w:noWrap w:val="0"/>
            <w:vAlign w:val="center"/>
          </w:tcPr>
          <w:p w14:paraId="5E8E3126">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w:t>
            </w:r>
          </w:p>
        </w:tc>
        <w:tc>
          <w:tcPr>
            <w:tcW w:w="914" w:type="dxa"/>
            <w:tcBorders>
              <w:top w:val="single" w:color="auto" w:sz="4" w:space="0"/>
            </w:tcBorders>
            <w:noWrap w:val="0"/>
            <w:vAlign w:val="center"/>
          </w:tcPr>
          <w:p w14:paraId="33034EC7">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中小企业划分标准所属行业名称</w:t>
            </w:r>
          </w:p>
        </w:tc>
      </w:tr>
      <w:tr w14:paraId="2603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23" w:type="dxa"/>
            <w:vMerge w:val="continue"/>
            <w:noWrap w:val="0"/>
            <w:vAlign w:val="center"/>
          </w:tcPr>
          <w:p w14:paraId="451BA65F">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p>
        </w:tc>
        <w:tc>
          <w:tcPr>
            <w:tcW w:w="458" w:type="dxa"/>
            <w:noWrap w:val="0"/>
            <w:vAlign w:val="center"/>
          </w:tcPr>
          <w:p w14:paraId="54C79C67">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75" w:type="dxa"/>
            <w:noWrap w:val="0"/>
            <w:vAlign w:val="center"/>
          </w:tcPr>
          <w:p w14:paraId="43896F87">
            <w:pPr>
              <w:keepNext w:val="0"/>
              <w:keepLines w:val="0"/>
              <w:pageBreakBefore w:val="0"/>
              <w:widowControl w:val="0"/>
              <w:kinsoku/>
              <w:wordWrap/>
              <w:overflowPunct/>
              <w:topLinePunct w:val="0"/>
              <w:autoSpaceDE/>
              <w:autoSpaceDN/>
              <w:bidi w:val="0"/>
              <w:adjustRightInd/>
              <w:snapToGrid/>
              <w:spacing w:line="420" w:lineRule="exact"/>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南宁市明天学校足球场改造工程</w:t>
            </w:r>
          </w:p>
        </w:tc>
        <w:tc>
          <w:tcPr>
            <w:tcW w:w="651" w:type="dxa"/>
            <w:noWrap w:val="0"/>
            <w:vAlign w:val="center"/>
          </w:tcPr>
          <w:p w14:paraId="3DE3C48E">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6984" w:type="dxa"/>
            <w:noWrap w:val="0"/>
            <w:vAlign w:val="center"/>
          </w:tcPr>
          <w:p w14:paraId="71415B93">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一、项目概况</w:t>
            </w:r>
          </w:p>
          <w:p w14:paraId="32F24B32">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工程名称：</w:t>
            </w:r>
            <w:r>
              <w:rPr>
                <w:rFonts w:hint="eastAsia" w:ascii="宋体" w:hAnsi="宋体" w:cs="宋体"/>
                <w:color w:val="auto"/>
                <w:szCs w:val="21"/>
                <w:highlight w:val="none"/>
                <w:lang w:eastAsia="zh-CN"/>
              </w:rPr>
              <w:t>南宁市明天学校足球场改造工程</w:t>
            </w:r>
          </w:p>
          <w:p w14:paraId="5E113611">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建设地点：南宁市西乡塘区新峰路6号明天学校安吉校区校园内</w:t>
            </w:r>
          </w:p>
          <w:p w14:paraId="72884A60">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本项目规模及采购范围：</w:t>
            </w:r>
            <w:r>
              <w:rPr>
                <w:rFonts w:hint="eastAsia" w:ascii="宋体" w:hAnsi="宋体" w:cs="宋体"/>
                <w:color w:val="auto"/>
                <w:sz w:val="21"/>
                <w:szCs w:val="21"/>
                <w:highlight w:val="none"/>
                <w:lang w:eastAsia="zh-CN"/>
              </w:rPr>
              <w:t>南宁市明天学校足球场改造工程，改造建设3171平方米运动场。</w:t>
            </w:r>
            <w:r>
              <w:rPr>
                <w:rFonts w:hint="eastAsia" w:ascii="宋体" w:hAnsi="宋体" w:eastAsia="宋体" w:cs="宋体"/>
                <w:color w:val="auto"/>
                <w:sz w:val="21"/>
                <w:szCs w:val="21"/>
                <w:highlight w:val="none"/>
                <w:lang w:eastAsia="zh-CN"/>
              </w:rPr>
              <w:t>具体内容详见工程量清单及图纸。</w:t>
            </w:r>
          </w:p>
          <w:p w14:paraId="31E59299">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二、质量标准</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达到国家有关施工质量验收规范的合格标准。</w:t>
            </w:r>
          </w:p>
          <w:p w14:paraId="08B2A12D">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▲三、服务要求：</w:t>
            </w:r>
          </w:p>
          <w:p w14:paraId="30C89372">
            <w:pPr>
              <w:keepNext w:val="0"/>
              <w:keepLines w:val="0"/>
              <w:pageBreakBefore w:val="0"/>
              <w:widowControl w:val="0"/>
              <w:numPr>
                <w:ilvl w:val="0"/>
                <w:numId w:val="0"/>
              </w:numPr>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成交人应提供有固定为本项目服务的专业施工团队及机械设施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其中</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拟派项目经理须具有建筑工程专业贰级以上（含贰级）注册建造师执业资格，且具有有效的安全生产考核合格证书（B类）；供应商拟派专职安全生产管理人员须具有有效的安全生产考核合格证书（C类）</w:t>
            </w:r>
            <w:r>
              <w:rPr>
                <w:rFonts w:hint="eastAsia" w:ascii="宋体" w:hAnsi="宋体" w:eastAsia="宋体" w:cs="宋体"/>
                <w:color w:val="auto"/>
                <w:sz w:val="21"/>
                <w:szCs w:val="21"/>
                <w:highlight w:val="none"/>
              </w:rPr>
              <w:t>。</w:t>
            </w:r>
          </w:p>
          <w:p w14:paraId="19F5A8C8">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2、成交人须确保自身人员、第三方人员、设备、周边建筑物等所有与项目相关的安全，为施工人员配备安全帽等安全器械，项目实施过程中出现的安全事故一律由成交人负责，承担一切法律责任和赔偿责任。</w:t>
            </w:r>
          </w:p>
          <w:p w14:paraId="2797FFA7">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成交人应建立完善作业班组，制定岗位职责以及各岗位规范、操作规程、管理制度（包括节假日值班制度、防汛防台期间的值班制度和应急工作制度）。进场前，岗位规范、操作规程、管理制度须报采购人审批备案。采购人与成交人派驻服务人员不发生任何劳动和雇佣关系，派驻服务人员由成交人自行管理。成交人应重视劳动关系，建立完善的管理措施及风险预案，避免项目实施过程中发生劳资纠纷，成交人须承担由此产生的一切经济及法律责任。</w:t>
            </w:r>
          </w:p>
          <w:p w14:paraId="58588CD2">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4.成交人施工如损坏相关管线、邻近建筑物、构筑物，所发生的费用由成交人承担。如因成交人的施工损害行为，导致采购人承担连带责任的，成交人按采购人的责任数额赔偿给采购人。</w:t>
            </w:r>
          </w:p>
          <w:p w14:paraId="6932D6CA">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、安全施工的要求</w:t>
            </w:r>
            <w:r>
              <w:rPr>
                <w:rFonts w:hint="eastAsia" w:ascii="宋体" w:hAnsi="宋体" w:eastAsia="宋体" w:cs="宋体"/>
                <w:b/>
                <w:bCs/>
                <w:color w:val="auto"/>
                <w:sz w:val="21"/>
                <w:szCs w:val="21"/>
                <w:highlight w:val="none"/>
                <w:lang w:eastAsia="zh-CN"/>
              </w:rPr>
              <w:t>：</w:t>
            </w:r>
          </w:p>
          <w:p w14:paraId="41A7D6DD">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执行《广西壮族自治区建筑工程安全文明施工费使用管理细则》的有关规定，供应商应确保施工工程各项安全防护、文明施工措施落实到位。</w:t>
            </w:r>
          </w:p>
          <w:p w14:paraId="0F8CA713">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、文明施工的要求</w:t>
            </w:r>
            <w:r>
              <w:rPr>
                <w:rFonts w:hint="eastAsia" w:ascii="宋体" w:hAnsi="宋体" w:eastAsia="宋体" w:cs="宋体"/>
                <w:b/>
                <w:bCs/>
                <w:color w:val="auto"/>
                <w:sz w:val="21"/>
                <w:szCs w:val="21"/>
                <w:highlight w:val="none"/>
                <w:lang w:eastAsia="zh-CN"/>
              </w:rPr>
              <w:t>：</w:t>
            </w:r>
          </w:p>
          <w:p w14:paraId="4D69D05E">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按照国家有关安全生产、环境保护、消防等方面的法律、行政法规、标准等规定。</w:t>
            </w:r>
          </w:p>
          <w:p w14:paraId="382BB6DA">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、技术标准和要求</w:t>
            </w:r>
            <w:r>
              <w:rPr>
                <w:rFonts w:hint="eastAsia" w:ascii="宋体" w:hAnsi="宋体" w:eastAsia="宋体" w:cs="宋体"/>
                <w:b/>
                <w:bCs/>
                <w:color w:val="auto"/>
                <w:sz w:val="21"/>
                <w:szCs w:val="21"/>
                <w:highlight w:val="none"/>
                <w:lang w:eastAsia="zh-CN"/>
              </w:rPr>
              <w:t>：</w:t>
            </w:r>
          </w:p>
          <w:p w14:paraId="7DC77948">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按国家行业和地方现行标准、规范和规程等执行。</w:t>
            </w:r>
          </w:p>
        </w:tc>
        <w:tc>
          <w:tcPr>
            <w:tcW w:w="914" w:type="dxa"/>
            <w:noWrap w:val="0"/>
            <w:vAlign w:val="center"/>
          </w:tcPr>
          <w:p w14:paraId="2B1D2450">
            <w:pPr>
              <w:keepNext w:val="0"/>
              <w:keepLines w:val="0"/>
              <w:pageBreakBefore w:val="0"/>
              <w:widowControl w:val="0"/>
              <w:kinsoku/>
              <w:wordWrap/>
              <w:overflowPunct/>
              <w:topLinePunct w:val="0"/>
              <w:autoSpaceDE/>
              <w:autoSpaceDN/>
              <w:bidi w:val="0"/>
              <w:adjustRightInd/>
              <w:snapToGrid/>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建筑业</w:t>
            </w:r>
          </w:p>
        </w:tc>
      </w:tr>
      <w:tr w14:paraId="4272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noWrap w:val="0"/>
            <w:vAlign w:val="center"/>
          </w:tcPr>
          <w:p w14:paraId="345B6D16">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w:t>
            </w:r>
          </w:p>
        </w:tc>
        <w:tc>
          <w:tcPr>
            <w:tcW w:w="9682" w:type="dxa"/>
            <w:gridSpan w:val="5"/>
            <w:noWrap w:val="0"/>
            <w:vAlign w:val="top"/>
          </w:tcPr>
          <w:p w14:paraId="4EE63A58">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一、合同签订期：自成交通知书发出之日起25日内。</w:t>
            </w:r>
          </w:p>
          <w:p w14:paraId="7158A20C">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二、工期：</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自合同签订之日起</w:t>
            </w:r>
            <w:r>
              <w:rPr>
                <w:rFonts w:hint="eastAsia" w:ascii="宋体" w:hAnsi="宋体" w:cs="宋体"/>
                <w:i w:val="0"/>
                <w:iCs w:val="0"/>
                <w:caps w:val="0"/>
                <w:color w:val="auto"/>
                <w:spacing w:val="0"/>
                <w:kern w:val="0"/>
                <w:sz w:val="21"/>
                <w:szCs w:val="21"/>
                <w:highlight w:val="none"/>
                <w:shd w:val="clear" w:color="auto" w:fill="FFFFFF"/>
                <w:lang w:val="en-US" w:eastAsia="zh-CN" w:bidi="ar"/>
              </w:rPr>
              <w:t>56</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个日历天内完工</w:t>
            </w:r>
            <w:r>
              <w:rPr>
                <w:rFonts w:hint="eastAsia" w:ascii="宋体" w:hAnsi="宋体" w:eastAsia="宋体" w:cs="宋体"/>
                <w:color w:val="auto"/>
                <w:sz w:val="21"/>
                <w:szCs w:val="21"/>
                <w:highlight w:val="none"/>
              </w:rPr>
              <w:t>。</w:t>
            </w:r>
          </w:p>
          <w:p w14:paraId="7E06089C">
            <w:pPr>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三、验收标准、规范：</w:t>
            </w:r>
          </w:p>
          <w:p w14:paraId="1F9A768E">
            <w:pPr>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1.根据采购人的要求和国家现行的有关的工程建设标准、技术规范及强制性标准条文等有关规范标准。</w:t>
            </w:r>
          </w:p>
          <w:p w14:paraId="301A69D9">
            <w:pPr>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2.验收过程中所产生的一切费用均由成交人承担。报价时应考虑相关费用。</w:t>
            </w:r>
          </w:p>
          <w:p w14:paraId="59780D67">
            <w:pPr>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四、售后服务要求</w:t>
            </w:r>
          </w:p>
          <w:p w14:paraId="452C9F12">
            <w:pPr>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1.工程质量保修要求：2年，质量保修期从工程实际竣工验收通过之日算起。</w:t>
            </w:r>
          </w:p>
          <w:p w14:paraId="135163C1">
            <w:pPr>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（1）双方根据国家有关规定，按法律、行政法规或国家关于工程质量保修的有关规定，对交付采购人使用的工程质量保修期为工程实际竣工验收通过之日起2年，应承担质量保修责任。</w:t>
            </w:r>
          </w:p>
          <w:p w14:paraId="55B3D2CA">
            <w:pPr>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（2）在工程质量保修期期限内发生质量问题，必须在收到质保通知后的1个日历天内整改完毕。</w:t>
            </w:r>
          </w:p>
          <w:p w14:paraId="2F7DC596">
            <w:pPr>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（3）在没有明文规定下，参照建设工程质量保修条例，双方协商为设计文件规定的该工程的合理使用年限内保修。</w:t>
            </w:r>
          </w:p>
          <w:p w14:paraId="1D7C8CD8">
            <w:pPr>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2.涉及货物部分成交产品必须是全新、未使用过的产品。产品包装必须是未经使用的全新的合格产品，并按照原厂标准包装规格供货，不接受散装或拆包装件。</w:t>
            </w:r>
          </w:p>
          <w:p w14:paraId="35721829">
            <w:pPr>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3.其余部分按合同相关条款执行。</w:t>
            </w:r>
          </w:p>
          <w:p w14:paraId="5D70AA9D">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五、竞标报价</w:t>
            </w:r>
          </w:p>
          <w:p w14:paraId="06285160">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Cs w:val="21"/>
                <w:highlight w:val="none"/>
              </w:rPr>
              <w:t>采用工程量清单报价方式，供应商已标价工程量清单（包含首次报价、最后报价）的项目编码、项目名称及项目特征描述、计量单位、工程量须与采购工程量清单一致的，</w:t>
            </w:r>
            <w:r>
              <w:rPr>
                <w:rFonts w:hint="eastAsia" w:ascii="宋体" w:hAnsi="宋体" w:eastAsia="宋体" w:cs="宋体"/>
                <w:b/>
                <w:bCs/>
                <w:color w:val="auto"/>
                <w:szCs w:val="21"/>
                <w:highlight w:val="none"/>
              </w:rPr>
              <w:t>否则竞标无效</w:t>
            </w:r>
            <w:r>
              <w:rPr>
                <w:rFonts w:hint="eastAsia" w:ascii="宋体" w:hAnsi="宋体" w:eastAsia="宋体" w:cs="宋体"/>
                <w:color w:val="auto"/>
                <w:szCs w:val="21"/>
                <w:highlight w:val="none"/>
              </w:rPr>
              <w:t>；最终报价不得高于最高限价。本项目采用二次报价方式，竞标人的最终报价如有变动，则必须以工程量清单报价表的格式编制提交，竞标人须提前做好相关准备并按时递交最终报价文件，</w:t>
            </w:r>
            <w:r>
              <w:rPr>
                <w:rFonts w:hint="eastAsia" w:ascii="宋体" w:hAnsi="宋体" w:eastAsia="宋体" w:cs="宋体"/>
                <w:b/>
                <w:bCs/>
                <w:color w:val="auto"/>
                <w:szCs w:val="21"/>
                <w:highlight w:val="none"/>
              </w:rPr>
              <w:t>否则报价无效</w:t>
            </w:r>
            <w:r>
              <w:rPr>
                <w:rFonts w:hint="eastAsia" w:ascii="宋体" w:hAnsi="宋体" w:eastAsia="宋体" w:cs="宋体"/>
                <w:color w:val="auto"/>
                <w:szCs w:val="21"/>
                <w:highlight w:val="none"/>
              </w:rPr>
              <w:t>。</w:t>
            </w:r>
          </w:p>
          <w:p w14:paraId="5B2FBD49">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（2）报价必须包含以下部分，包括：</w:t>
            </w:r>
          </w:p>
          <w:p w14:paraId="6490E779">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履行合同的最终价格，为实施和完成合同工程所需的劳务、材料、机械、质检（自检）、安装、缺陷修复、管理、保险、税费、利润等费用，以及合同明示或暗示的所有责任、义务和一般风险。</w:t>
            </w:r>
          </w:p>
          <w:p w14:paraId="3788C85B">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六、付款方式及条件：</w:t>
            </w:r>
          </w:p>
          <w:p w14:paraId="0B6EAE1F">
            <w:pPr>
              <w:numPr>
                <w:ilvl w:val="0"/>
                <w:numId w:val="0"/>
              </w:numPr>
              <w:spacing w:line="30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双方约定的工程款（进度款）的支付方式：工程进度款按进度申请支付，合同价款内的进度款支付额为当期实际完成工程量价款的80%，发包人在每期已完成的工程价款中扣留20%作为保留金，保留金限额为合同价款的20%。合同价款外的进度款支付额为当期实际完成工程量价款的60%。工程竣工结算经审核后，工程款支付至97%。</w:t>
            </w:r>
          </w:p>
          <w:p w14:paraId="63391D3E">
            <w:pPr>
              <w:numPr>
                <w:ilvl w:val="0"/>
                <w:numId w:val="0"/>
              </w:numPr>
              <w:spacing w:line="30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2.建设单位按工程价款的3%作为工程质量保修金，待工程质量保修期满后无息返还给施工单位。</w:t>
            </w:r>
          </w:p>
          <w:p w14:paraId="76344A29">
            <w:pPr>
              <w:numPr>
                <w:ilvl w:val="0"/>
                <w:numId w:val="0"/>
              </w:numPr>
              <w:spacing w:line="30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工程竣工验收合格，结算金额经城区</w:t>
            </w:r>
            <w:r>
              <w:rPr>
                <w:rFonts w:hint="eastAsia" w:ascii="宋体" w:hAnsi="宋体" w:cs="宋体"/>
                <w:color w:val="auto"/>
                <w:kern w:val="2"/>
                <w:sz w:val="21"/>
                <w:szCs w:val="21"/>
                <w:highlight w:val="none"/>
                <w:lang w:val="en-US" w:eastAsia="zh-CN" w:bidi="ar-SA"/>
              </w:rPr>
              <w:t>财政</w:t>
            </w:r>
            <w:r>
              <w:rPr>
                <w:rFonts w:hint="eastAsia" w:ascii="宋体" w:hAnsi="宋体" w:eastAsia="宋体" w:cs="宋体"/>
                <w:color w:val="auto"/>
                <w:kern w:val="2"/>
                <w:sz w:val="21"/>
                <w:szCs w:val="21"/>
                <w:highlight w:val="none"/>
                <w:lang w:val="en-US" w:eastAsia="zh-CN" w:bidi="ar-SA"/>
              </w:rPr>
              <w:t>部门对审核结论提出审核意见后，15个工作日内，付97%的工程款，余下3%的工程款的在质保期满后（具体已按照签订的工程质量保修书）后15个工作日内付清给承包人。</w:t>
            </w:r>
          </w:p>
          <w:p w14:paraId="1388B3EA">
            <w:pPr>
              <w:numPr>
                <w:ilvl w:val="0"/>
                <w:numId w:val="0"/>
              </w:numPr>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七、</w:t>
            </w:r>
            <w:r>
              <w:rPr>
                <w:rFonts w:hint="eastAsia" w:ascii="宋体" w:hAnsi="宋体" w:eastAsia="宋体" w:cs="宋体"/>
                <w:color w:val="auto"/>
                <w:szCs w:val="21"/>
                <w:highlight w:val="none"/>
              </w:rPr>
              <w:t>其他：</w:t>
            </w:r>
          </w:p>
          <w:p w14:paraId="0E423EB3">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响应报价是履行合同的最终价格，必须包含满足本次响应全部采购需求所应提供的服务包括：货物的价格；货物的标准附件、备品备件、专用工具的价格；运输、装卸、调试、培训、技术支持、售后服务、配合费、货物保护等费用；必要的保险费用和各项税费；包括安装和检测费；安装需要的土建内容。</w:t>
            </w:r>
          </w:p>
        </w:tc>
      </w:tr>
      <w:tr w14:paraId="4694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noWrap w:val="0"/>
            <w:vAlign w:val="center"/>
          </w:tcPr>
          <w:p w14:paraId="5C9B9135">
            <w:pPr>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其他说明</w:t>
            </w:r>
          </w:p>
        </w:tc>
        <w:tc>
          <w:tcPr>
            <w:tcW w:w="9682" w:type="dxa"/>
            <w:gridSpan w:val="5"/>
            <w:noWrap w:val="0"/>
            <w:vAlign w:val="center"/>
          </w:tcPr>
          <w:p w14:paraId="10FC2F3A">
            <w:pPr>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一、进口产品说明</w:t>
            </w:r>
          </w:p>
          <w:p w14:paraId="244F6852">
            <w:pPr>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本分标不涉及进口产品。</w:t>
            </w:r>
          </w:p>
          <w:p w14:paraId="37C2947C">
            <w:pPr>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二、与本分标有关的图纸、工程量清单及其获取方式</w:t>
            </w:r>
          </w:p>
          <w:p w14:paraId="2A8386DD">
            <w:pPr>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资料名称：具体详见采购文件附件。</w:t>
            </w:r>
          </w:p>
          <w:p w14:paraId="542FDEA3">
            <w:pPr>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获取方式：网上下载。供应商可自行在“广西政府采购云平台”（https：//www.gcy.zfcg.gxzf.gov.cn）下载相关资料，方式同采购文件获取方式（操作路径：登录“广西政府采购云平台”-项目采购-获取采购文件-找到本项目-点击“申请获取工程量清单、图纸”）。</w:t>
            </w:r>
          </w:p>
        </w:tc>
      </w:tr>
    </w:tbl>
    <w:p w14:paraId="52EA505D">
      <w:pPr>
        <w:spacing w:line="428" w:lineRule="exact"/>
        <w:rPr>
          <w:rFonts w:hint="eastAsia" w:ascii="宋体" w:hAnsi="宋体" w:eastAsia="宋体" w:cs="宋体"/>
          <w:color w:val="auto"/>
          <w:sz w:val="32"/>
          <w:szCs w:val="32"/>
          <w:highlight w:val="none"/>
        </w:rPr>
      </w:pPr>
    </w:p>
    <w:p w14:paraId="545BF1CF">
      <w:pPr>
        <w:spacing w:line="428" w:lineRule="exact"/>
        <w:rPr>
          <w:rFonts w:hint="eastAsia" w:ascii="宋体" w:hAnsi="宋体" w:eastAsia="宋体" w:cs="宋体"/>
          <w:color w:val="auto"/>
          <w:sz w:val="32"/>
          <w:szCs w:val="32"/>
          <w:highlight w:val="none"/>
        </w:rPr>
      </w:pPr>
    </w:p>
    <w:p w14:paraId="57C92162">
      <w:pPr>
        <w:spacing w:line="428" w:lineRule="exact"/>
        <w:ind w:left="119"/>
        <w:rPr>
          <w:rFonts w:hint="eastAsia" w:ascii="宋体" w:hAnsi="宋体" w:eastAsia="宋体" w:cs="宋体"/>
          <w:color w:val="auto"/>
          <w:sz w:val="17"/>
          <w:szCs w:val="17"/>
          <w:highlight w:val="none"/>
        </w:rPr>
      </w:pPr>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附件1：</w:t>
      </w:r>
    </w:p>
    <w:p w14:paraId="7C00111E">
      <w:pPr>
        <w:spacing w:line="528" w:lineRule="exact"/>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29"/>
        <w:tblW w:w="9358" w:type="dxa"/>
        <w:jc w:val="center"/>
        <w:tblLayout w:type="autofit"/>
        <w:tblCellMar>
          <w:top w:w="0" w:type="dxa"/>
          <w:left w:w="108" w:type="dxa"/>
          <w:bottom w:w="0" w:type="dxa"/>
          <w:right w:w="108" w:type="dxa"/>
        </w:tblCellMar>
      </w:tblPr>
      <w:tblGrid>
        <w:gridCol w:w="779"/>
        <w:gridCol w:w="1116"/>
        <w:gridCol w:w="1516"/>
        <w:gridCol w:w="1612"/>
        <w:gridCol w:w="4335"/>
      </w:tblGrid>
      <w:tr w14:paraId="5BD2F41A">
        <w:tblPrEx>
          <w:tblCellMar>
            <w:top w:w="0" w:type="dxa"/>
            <w:left w:w="108" w:type="dxa"/>
            <w:bottom w:w="0" w:type="dxa"/>
            <w:right w:w="108" w:type="dxa"/>
          </w:tblCellMar>
        </w:tblPrEx>
        <w:trPr>
          <w:trHeight w:val="555" w:hRule="atLeast"/>
          <w:jc w:val="center"/>
        </w:trPr>
        <w:tc>
          <w:tcPr>
            <w:tcW w:w="779" w:type="dxa"/>
            <w:tcBorders>
              <w:top w:val="single" w:color="000000" w:sz="8" w:space="0"/>
              <w:left w:val="single" w:color="000000" w:sz="8" w:space="0"/>
              <w:bottom w:val="single" w:color="000000" w:sz="8" w:space="0"/>
              <w:right w:val="single" w:color="000000" w:sz="8" w:space="0"/>
            </w:tcBorders>
            <w:noWrap w:val="0"/>
            <w:vAlign w:val="top"/>
          </w:tcPr>
          <w:p w14:paraId="28DC8C54">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品目序号</w:t>
            </w:r>
          </w:p>
        </w:tc>
        <w:tc>
          <w:tcPr>
            <w:tcW w:w="4244" w:type="dxa"/>
            <w:gridSpan w:val="3"/>
            <w:tcBorders>
              <w:top w:val="single" w:color="000000" w:sz="8" w:space="0"/>
              <w:left w:val="nil"/>
              <w:bottom w:val="single" w:color="000000" w:sz="8" w:space="0"/>
              <w:right w:val="single" w:color="000000" w:sz="8" w:space="0"/>
            </w:tcBorders>
            <w:noWrap w:val="0"/>
            <w:vAlign w:val="center"/>
          </w:tcPr>
          <w:p w14:paraId="56B704A6">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名称</w:t>
            </w:r>
          </w:p>
        </w:tc>
        <w:tc>
          <w:tcPr>
            <w:tcW w:w="4335" w:type="dxa"/>
            <w:tcBorders>
              <w:top w:val="single" w:color="000000" w:sz="8" w:space="0"/>
              <w:left w:val="nil"/>
              <w:bottom w:val="single" w:color="000000" w:sz="8" w:space="0"/>
              <w:right w:val="single" w:color="000000" w:sz="8" w:space="0"/>
            </w:tcBorders>
            <w:noWrap w:val="0"/>
            <w:vAlign w:val="center"/>
          </w:tcPr>
          <w:p w14:paraId="2F46DE59">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依据的标准</w:t>
            </w:r>
          </w:p>
        </w:tc>
      </w:tr>
      <w:tr w14:paraId="2584A7A0">
        <w:tblPrEx>
          <w:tblCellMar>
            <w:top w:w="0" w:type="dxa"/>
            <w:left w:w="108" w:type="dxa"/>
            <w:bottom w:w="0" w:type="dxa"/>
            <w:right w:w="108" w:type="dxa"/>
          </w:tblCellMar>
        </w:tblPrEx>
        <w:trPr>
          <w:trHeight w:val="495" w:hRule="atLeast"/>
          <w:jc w:val="center"/>
        </w:trPr>
        <w:tc>
          <w:tcPr>
            <w:tcW w:w="779" w:type="dxa"/>
            <w:vMerge w:val="restart"/>
            <w:tcBorders>
              <w:top w:val="nil"/>
              <w:left w:val="single" w:color="000000" w:sz="8" w:space="0"/>
              <w:bottom w:val="single" w:color="000000" w:sz="8" w:space="0"/>
              <w:right w:val="single" w:color="000000" w:sz="8" w:space="0"/>
            </w:tcBorders>
            <w:noWrap w:val="0"/>
            <w:vAlign w:val="center"/>
          </w:tcPr>
          <w:p w14:paraId="065BB7A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5F3EBEA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516" w:type="dxa"/>
            <w:tcBorders>
              <w:top w:val="nil"/>
              <w:left w:val="nil"/>
              <w:bottom w:val="single" w:color="000000" w:sz="8" w:space="0"/>
              <w:right w:val="single" w:color="000000" w:sz="8" w:space="0"/>
            </w:tcBorders>
            <w:noWrap w:val="0"/>
            <w:vAlign w:val="center"/>
          </w:tcPr>
          <w:p w14:paraId="0FDFB8B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1612" w:type="dxa"/>
            <w:tcBorders>
              <w:top w:val="nil"/>
              <w:left w:val="nil"/>
              <w:bottom w:val="single" w:color="000000" w:sz="8" w:space="0"/>
              <w:right w:val="single" w:color="000000" w:sz="8" w:space="0"/>
            </w:tcBorders>
            <w:noWrap w:val="0"/>
            <w:vAlign w:val="center"/>
          </w:tcPr>
          <w:p w14:paraId="22B0F0D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79DF9FA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3BEEA371">
        <w:tblPrEx>
          <w:tblCellMar>
            <w:top w:w="0" w:type="dxa"/>
            <w:left w:w="108" w:type="dxa"/>
            <w:bottom w:w="0" w:type="dxa"/>
            <w:right w:w="108" w:type="dxa"/>
          </w:tblCellMar>
        </w:tblPrEx>
        <w:trPr>
          <w:trHeight w:val="49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45EAE598">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359C588">
            <w:pPr>
              <w:widowControl/>
              <w:jc w:val="left"/>
              <w:rPr>
                <w:rFonts w:hint="eastAsia" w:ascii="宋体" w:hAnsi="宋体" w:eastAsia="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D2EE07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1612" w:type="dxa"/>
            <w:tcBorders>
              <w:top w:val="nil"/>
              <w:left w:val="nil"/>
              <w:bottom w:val="single" w:color="000000" w:sz="8" w:space="0"/>
              <w:right w:val="single" w:color="000000" w:sz="8" w:space="0"/>
            </w:tcBorders>
            <w:noWrap w:val="0"/>
            <w:vAlign w:val="center"/>
          </w:tcPr>
          <w:p w14:paraId="6FD52DB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6C5AD12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148DFAFB">
        <w:tblPrEx>
          <w:tblCellMar>
            <w:top w:w="0" w:type="dxa"/>
            <w:left w:w="108" w:type="dxa"/>
            <w:bottom w:w="0" w:type="dxa"/>
            <w:right w:w="108" w:type="dxa"/>
          </w:tblCellMar>
        </w:tblPrEx>
        <w:trPr>
          <w:trHeight w:val="73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3B6EE5E5">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1442F9B">
            <w:pPr>
              <w:widowControl/>
              <w:jc w:val="left"/>
              <w:rPr>
                <w:rFonts w:hint="eastAsia" w:ascii="宋体" w:hAnsi="宋体" w:eastAsia="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7EA4FFD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1612" w:type="dxa"/>
            <w:tcBorders>
              <w:top w:val="nil"/>
              <w:left w:val="nil"/>
              <w:bottom w:val="single" w:color="000000" w:sz="8" w:space="0"/>
              <w:right w:val="single" w:color="000000" w:sz="8" w:space="0"/>
            </w:tcBorders>
            <w:noWrap w:val="0"/>
            <w:vAlign w:val="center"/>
          </w:tcPr>
          <w:p w14:paraId="65BB201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373F9EE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4B0EC4CA">
        <w:tblPrEx>
          <w:tblCellMar>
            <w:top w:w="0" w:type="dxa"/>
            <w:left w:w="108" w:type="dxa"/>
            <w:bottom w:w="0" w:type="dxa"/>
            <w:right w:w="108" w:type="dxa"/>
          </w:tblCellMar>
        </w:tblPrEx>
        <w:trPr>
          <w:trHeight w:val="495" w:hRule="atLeast"/>
          <w:jc w:val="center"/>
        </w:trPr>
        <w:tc>
          <w:tcPr>
            <w:tcW w:w="779" w:type="dxa"/>
            <w:vMerge w:val="restart"/>
            <w:tcBorders>
              <w:top w:val="nil"/>
              <w:left w:val="single" w:color="000000" w:sz="8" w:space="0"/>
              <w:bottom w:val="single" w:color="000000" w:sz="8" w:space="0"/>
              <w:right w:val="single" w:color="000000" w:sz="8" w:space="0"/>
            </w:tcBorders>
            <w:noWrap w:val="0"/>
            <w:vAlign w:val="center"/>
          </w:tcPr>
          <w:p w14:paraId="7B504A2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403423B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0728336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1612" w:type="dxa"/>
            <w:tcBorders>
              <w:top w:val="nil"/>
              <w:left w:val="nil"/>
              <w:bottom w:val="single" w:color="000000" w:sz="8" w:space="0"/>
              <w:right w:val="single" w:color="000000" w:sz="8" w:space="0"/>
            </w:tcBorders>
            <w:noWrap w:val="0"/>
            <w:vAlign w:val="center"/>
          </w:tcPr>
          <w:p w14:paraId="227DB3F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4335" w:type="dxa"/>
            <w:tcBorders>
              <w:top w:val="nil"/>
              <w:left w:val="nil"/>
              <w:bottom w:val="single" w:color="000000" w:sz="8" w:space="0"/>
              <w:right w:val="single" w:color="000000" w:sz="8" w:space="0"/>
            </w:tcBorders>
            <w:noWrap w:val="0"/>
            <w:vAlign w:val="center"/>
          </w:tcPr>
          <w:p w14:paraId="7DDF013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50DCF377">
        <w:trPr>
          <w:trHeight w:val="49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2912149F">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790CC2C">
            <w:pPr>
              <w:widowControl/>
              <w:jc w:val="left"/>
              <w:rPr>
                <w:rFonts w:hint="eastAsia" w:ascii="宋体" w:hAnsi="宋体" w:eastAsia="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21F8B0E9">
            <w:pPr>
              <w:widowControl/>
              <w:jc w:val="left"/>
              <w:rPr>
                <w:rFonts w:hint="eastAsia" w:ascii="宋体" w:hAnsi="宋体" w:eastAsia="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1170853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4335" w:type="dxa"/>
            <w:tcBorders>
              <w:top w:val="nil"/>
              <w:left w:val="nil"/>
              <w:bottom w:val="single" w:color="000000" w:sz="8" w:space="0"/>
              <w:right w:val="single" w:color="000000" w:sz="8" w:space="0"/>
            </w:tcBorders>
            <w:noWrap w:val="0"/>
            <w:vAlign w:val="center"/>
          </w:tcPr>
          <w:p w14:paraId="03A709C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65E8AF52">
        <w:tblPrEx>
          <w:tblCellMar>
            <w:top w:w="0" w:type="dxa"/>
            <w:left w:w="108" w:type="dxa"/>
            <w:bottom w:w="0" w:type="dxa"/>
            <w:right w:w="108" w:type="dxa"/>
          </w:tblCellMar>
        </w:tblPrEx>
        <w:trPr>
          <w:trHeight w:val="49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6EB4416C">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260CC8D">
            <w:pPr>
              <w:widowControl/>
              <w:jc w:val="left"/>
              <w:rPr>
                <w:rFonts w:hint="eastAsia" w:ascii="宋体" w:hAnsi="宋体" w:eastAsia="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5A6FF497">
            <w:pPr>
              <w:widowControl/>
              <w:jc w:val="left"/>
              <w:rPr>
                <w:rFonts w:hint="eastAsia" w:ascii="宋体" w:hAnsi="宋体" w:eastAsia="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0799178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4335" w:type="dxa"/>
            <w:tcBorders>
              <w:top w:val="nil"/>
              <w:left w:val="nil"/>
              <w:bottom w:val="single" w:color="000000" w:sz="8" w:space="0"/>
              <w:right w:val="single" w:color="000000" w:sz="8" w:space="0"/>
            </w:tcBorders>
            <w:noWrap w:val="0"/>
            <w:vAlign w:val="center"/>
          </w:tcPr>
          <w:p w14:paraId="46D7E9C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16D0F33B">
        <w:tblPrEx>
          <w:tblCellMar>
            <w:top w:w="0" w:type="dxa"/>
            <w:left w:w="108" w:type="dxa"/>
            <w:bottom w:w="0" w:type="dxa"/>
            <w:right w:w="108" w:type="dxa"/>
          </w:tblCellMar>
        </w:tblPrEx>
        <w:trPr>
          <w:trHeight w:val="49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32235B7D">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4BCAAA1">
            <w:pPr>
              <w:widowControl/>
              <w:jc w:val="left"/>
              <w:rPr>
                <w:rFonts w:hint="eastAsia" w:ascii="宋体" w:hAnsi="宋体" w:eastAsia="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C83684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1612" w:type="dxa"/>
            <w:tcBorders>
              <w:top w:val="nil"/>
              <w:left w:val="nil"/>
              <w:bottom w:val="single" w:color="000000" w:sz="8" w:space="0"/>
              <w:right w:val="single" w:color="000000" w:sz="8" w:space="0"/>
            </w:tcBorders>
            <w:noWrap w:val="0"/>
            <w:vAlign w:val="center"/>
          </w:tcPr>
          <w:p w14:paraId="3DAE2E5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4335" w:type="dxa"/>
            <w:tcBorders>
              <w:top w:val="nil"/>
              <w:left w:val="nil"/>
              <w:bottom w:val="single" w:color="000000" w:sz="8" w:space="0"/>
              <w:right w:val="single" w:color="000000" w:sz="8" w:space="0"/>
            </w:tcBorders>
            <w:noWrap w:val="0"/>
            <w:vAlign w:val="center"/>
          </w:tcPr>
          <w:p w14:paraId="1891115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14:paraId="58FD5609">
        <w:tblPrEx>
          <w:tblCellMar>
            <w:top w:w="0" w:type="dxa"/>
            <w:left w:w="108" w:type="dxa"/>
            <w:bottom w:w="0" w:type="dxa"/>
            <w:right w:w="108" w:type="dxa"/>
          </w:tblCellMar>
        </w:tblPrEx>
        <w:trPr>
          <w:trHeight w:val="97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02B44A33">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FF70B59">
            <w:pPr>
              <w:widowControl/>
              <w:jc w:val="left"/>
              <w:rPr>
                <w:rFonts w:hint="eastAsia" w:ascii="宋体" w:hAnsi="宋体" w:eastAsia="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29CCB0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1612" w:type="dxa"/>
            <w:tcBorders>
              <w:top w:val="nil"/>
              <w:left w:val="nil"/>
              <w:bottom w:val="single" w:color="000000" w:sz="8" w:space="0"/>
              <w:right w:val="single" w:color="000000" w:sz="8" w:space="0"/>
            </w:tcBorders>
            <w:noWrap w:val="0"/>
            <w:vAlign w:val="center"/>
          </w:tcPr>
          <w:p w14:paraId="4532728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4335" w:type="dxa"/>
            <w:tcBorders>
              <w:top w:val="nil"/>
              <w:left w:val="nil"/>
              <w:bottom w:val="single" w:color="000000" w:sz="8" w:space="0"/>
              <w:right w:val="single" w:color="000000" w:sz="8" w:space="0"/>
            </w:tcBorders>
            <w:noWrap w:val="0"/>
            <w:vAlign w:val="center"/>
          </w:tcPr>
          <w:p w14:paraId="323B175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753E9B7B">
        <w:trPr>
          <w:trHeight w:val="495" w:hRule="atLeast"/>
          <w:jc w:val="center"/>
        </w:trPr>
        <w:tc>
          <w:tcPr>
            <w:tcW w:w="779" w:type="dxa"/>
            <w:tcBorders>
              <w:top w:val="nil"/>
              <w:left w:val="single" w:color="000000" w:sz="8" w:space="0"/>
              <w:bottom w:val="single" w:color="000000" w:sz="8" w:space="0"/>
              <w:right w:val="single" w:color="000000" w:sz="8" w:space="0"/>
            </w:tcBorders>
            <w:noWrap w:val="0"/>
            <w:vAlign w:val="center"/>
          </w:tcPr>
          <w:p w14:paraId="1858970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116" w:type="dxa"/>
            <w:tcBorders>
              <w:top w:val="nil"/>
              <w:left w:val="nil"/>
              <w:bottom w:val="single" w:color="000000" w:sz="8" w:space="0"/>
              <w:right w:val="single" w:color="000000" w:sz="8" w:space="0"/>
            </w:tcBorders>
            <w:noWrap w:val="0"/>
            <w:vAlign w:val="center"/>
          </w:tcPr>
          <w:p w14:paraId="4D7FB01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516" w:type="dxa"/>
            <w:tcBorders>
              <w:top w:val="nil"/>
              <w:left w:val="nil"/>
              <w:bottom w:val="single" w:color="000000" w:sz="8" w:space="0"/>
              <w:right w:val="single" w:color="000000" w:sz="8" w:space="0"/>
            </w:tcBorders>
            <w:noWrap w:val="0"/>
            <w:vAlign w:val="center"/>
          </w:tcPr>
          <w:p w14:paraId="212F1F1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441BF69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7BB8F89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14:paraId="22D82623">
        <w:tblPrEx>
          <w:tblCellMar>
            <w:top w:w="0" w:type="dxa"/>
            <w:left w:w="108" w:type="dxa"/>
            <w:bottom w:w="0" w:type="dxa"/>
            <w:right w:w="108" w:type="dxa"/>
          </w:tblCellMar>
        </w:tblPrEx>
        <w:trPr>
          <w:trHeight w:val="495" w:hRule="atLeast"/>
          <w:jc w:val="center"/>
        </w:trPr>
        <w:tc>
          <w:tcPr>
            <w:tcW w:w="779" w:type="dxa"/>
            <w:tcBorders>
              <w:top w:val="nil"/>
              <w:left w:val="single" w:color="000000" w:sz="8" w:space="0"/>
              <w:bottom w:val="single" w:color="000000" w:sz="8" w:space="0"/>
              <w:right w:val="single" w:color="000000" w:sz="8" w:space="0"/>
            </w:tcBorders>
            <w:noWrap w:val="0"/>
            <w:vAlign w:val="center"/>
          </w:tcPr>
          <w:p w14:paraId="13B5D1E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116" w:type="dxa"/>
            <w:tcBorders>
              <w:top w:val="nil"/>
              <w:left w:val="nil"/>
              <w:bottom w:val="single" w:color="000000" w:sz="8" w:space="0"/>
              <w:right w:val="single" w:color="000000" w:sz="8" w:space="0"/>
            </w:tcBorders>
            <w:noWrap w:val="0"/>
            <w:vAlign w:val="center"/>
          </w:tcPr>
          <w:p w14:paraId="236AFF7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516" w:type="dxa"/>
            <w:tcBorders>
              <w:top w:val="nil"/>
              <w:left w:val="nil"/>
              <w:bottom w:val="single" w:color="000000" w:sz="8" w:space="0"/>
              <w:right w:val="single" w:color="000000" w:sz="8" w:space="0"/>
            </w:tcBorders>
            <w:noWrap w:val="0"/>
            <w:vAlign w:val="center"/>
          </w:tcPr>
          <w:p w14:paraId="72FA35A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5BF633C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6D434D0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7910ACF3">
        <w:tblPrEx>
          <w:tblCellMar>
            <w:top w:w="0" w:type="dxa"/>
            <w:left w:w="108" w:type="dxa"/>
            <w:bottom w:w="0" w:type="dxa"/>
            <w:right w:w="108" w:type="dxa"/>
          </w:tblCellMar>
        </w:tblPrEx>
        <w:trPr>
          <w:trHeight w:val="495" w:hRule="atLeast"/>
          <w:jc w:val="center"/>
        </w:trPr>
        <w:tc>
          <w:tcPr>
            <w:tcW w:w="779" w:type="dxa"/>
            <w:tcBorders>
              <w:top w:val="nil"/>
              <w:left w:val="single" w:color="000000" w:sz="8" w:space="0"/>
              <w:bottom w:val="single" w:color="000000" w:sz="8" w:space="0"/>
              <w:right w:val="single" w:color="000000" w:sz="8" w:space="0"/>
            </w:tcBorders>
            <w:noWrap w:val="0"/>
            <w:vAlign w:val="center"/>
          </w:tcPr>
          <w:p w14:paraId="740FEE2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116" w:type="dxa"/>
            <w:tcBorders>
              <w:top w:val="nil"/>
              <w:left w:val="nil"/>
              <w:bottom w:val="single" w:color="000000" w:sz="8" w:space="0"/>
              <w:right w:val="single" w:color="000000" w:sz="8" w:space="0"/>
            </w:tcBorders>
            <w:noWrap w:val="0"/>
            <w:vAlign w:val="center"/>
          </w:tcPr>
          <w:p w14:paraId="59C2488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516" w:type="dxa"/>
            <w:tcBorders>
              <w:top w:val="nil"/>
              <w:left w:val="nil"/>
              <w:bottom w:val="single" w:color="000000" w:sz="8" w:space="0"/>
              <w:right w:val="single" w:color="000000" w:sz="8" w:space="0"/>
            </w:tcBorders>
            <w:noWrap w:val="0"/>
            <w:vAlign w:val="center"/>
          </w:tcPr>
          <w:p w14:paraId="3C72EC4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1612" w:type="dxa"/>
            <w:tcBorders>
              <w:top w:val="nil"/>
              <w:left w:val="nil"/>
              <w:bottom w:val="single" w:color="000000" w:sz="8" w:space="0"/>
              <w:right w:val="single" w:color="000000" w:sz="8" w:space="0"/>
            </w:tcBorders>
            <w:noWrap w:val="0"/>
            <w:vAlign w:val="center"/>
          </w:tcPr>
          <w:p w14:paraId="50EB797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5ACAAF1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14:paraId="62757044">
        <w:tblPrEx>
          <w:tblCellMar>
            <w:top w:w="0" w:type="dxa"/>
            <w:left w:w="108" w:type="dxa"/>
            <w:bottom w:w="0" w:type="dxa"/>
            <w:right w:w="108" w:type="dxa"/>
          </w:tblCellMar>
        </w:tblPrEx>
        <w:trPr>
          <w:trHeight w:val="735" w:hRule="atLeast"/>
          <w:jc w:val="center"/>
        </w:trPr>
        <w:tc>
          <w:tcPr>
            <w:tcW w:w="779" w:type="dxa"/>
            <w:vMerge w:val="restart"/>
            <w:tcBorders>
              <w:top w:val="nil"/>
              <w:left w:val="single" w:color="000000" w:sz="8" w:space="0"/>
              <w:bottom w:val="single" w:color="000000" w:sz="8" w:space="0"/>
              <w:right w:val="single" w:color="000000" w:sz="8" w:space="0"/>
            </w:tcBorders>
            <w:noWrap w:val="0"/>
            <w:vAlign w:val="center"/>
          </w:tcPr>
          <w:p w14:paraId="11F3CCD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5082207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1DC04F1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1612" w:type="dxa"/>
            <w:tcBorders>
              <w:top w:val="nil"/>
              <w:left w:val="nil"/>
              <w:bottom w:val="single" w:color="000000" w:sz="8" w:space="0"/>
              <w:right w:val="single" w:color="000000" w:sz="8" w:space="0"/>
            </w:tcBorders>
            <w:noWrap w:val="0"/>
            <w:vAlign w:val="center"/>
          </w:tcPr>
          <w:p w14:paraId="0CCBBF7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4335" w:type="dxa"/>
            <w:tcBorders>
              <w:top w:val="nil"/>
              <w:left w:val="nil"/>
              <w:bottom w:val="single" w:color="000000" w:sz="8" w:space="0"/>
              <w:right w:val="single" w:color="000000" w:sz="8" w:space="0"/>
            </w:tcBorders>
            <w:noWrap w:val="0"/>
            <w:vAlign w:val="center"/>
          </w:tcPr>
          <w:p w14:paraId="17DBB34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14:paraId="40A615EE">
        <w:tblPrEx>
          <w:tblCellMar>
            <w:top w:w="0" w:type="dxa"/>
            <w:left w:w="108" w:type="dxa"/>
            <w:bottom w:w="0" w:type="dxa"/>
            <w:right w:w="108" w:type="dxa"/>
          </w:tblCellMar>
        </w:tblPrEx>
        <w:trPr>
          <w:trHeight w:val="49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0A9E48AE">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A0DB3DD">
            <w:pPr>
              <w:widowControl/>
              <w:jc w:val="left"/>
              <w:rPr>
                <w:rFonts w:hint="eastAsia" w:ascii="宋体" w:hAnsi="宋体" w:eastAsia="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595436A0">
            <w:pPr>
              <w:widowControl/>
              <w:jc w:val="left"/>
              <w:rPr>
                <w:rFonts w:hint="eastAsia" w:ascii="宋体" w:hAnsi="宋体" w:eastAsia="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0CB604D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4335" w:type="dxa"/>
            <w:tcBorders>
              <w:top w:val="nil"/>
              <w:left w:val="nil"/>
              <w:bottom w:val="single" w:color="000000" w:sz="8" w:space="0"/>
              <w:right w:val="single" w:color="000000" w:sz="8" w:space="0"/>
            </w:tcBorders>
            <w:noWrap w:val="0"/>
            <w:vAlign w:val="center"/>
          </w:tcPr>
          <w:p w14:paraId="5C9893F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14:paraId="7B69FF75">
        <w:tblPrEx>
          <w:tblCellMar>
            <w:top w:w="0" w:type="dxa"/>
            <w:left w:w="108" w:type="dxa"/>
            <w:bottom w:w="0" w:type="dxa"/>
            <w:right w:w="108" w:type="dxa"/>
          </w:tblCellMar>
        </w:tblPrEx>
        <w:trPr>
          <w:trHeight w:val="49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0F9CDA3C">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2AD2E6C0">
            <w:pPr>
              <w:widowControl/>
              <w:jc w:val="left"/>
              <w:rPr>
                <w:rFonts w:hint="eastAsia" w:ascii="宋体" w:hAnsi="宋体" w:eastAsia="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09DF125D">
            <w:pPr>
              <w:widowControl/>
              <w:jc w:val="left"/>
              <w:rPr>
                <w:rFonts w:hint="eastAsia" w:ascii="宋体" w:hAnsi="宋体" w:eastAsia="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5E03C2E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4335" w:type="dxa"/>
            <w:tcBorders>
              <w:top w:val="nil"/>
              <w:left w:val="nil"/>
              <w:bottom w:val="single" w:color="000000" w:sz="8" w:space="0"/>
              <w:right w:val="single" w:color="000000" w:sz="8" w:space="0"/>
            </w:tcBorders>
            <w:noWrap w:val="0"/>
            <w:vAlign w:val="center"/>
          </w:tcPr>
          <w:p w14:paraId="5A2A37A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14:paraId="0039CDAC">
        <w:tblPrEx>
          <w:tblCellMar>
            <w:top w:w="0" w:type="dxa"/>
            <w:left w:w="108" w:type="dxa"/>
            <w:bottom w:w="0" w:type="dxa"/>
            <w:right w:w="108" w:type="dxa"/>
          </w:tblCellMar>
        </w:tblPrEx>
        <w:trPr>
          <w:trHeight w:val="73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568876DF">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9E8F885">
            <w:pPr>
              <w:widowControl/>
              <w:jc w:val="left"/>
              <w:rPr>
                <w:rFonts w:hint="eastAsia" w:ascii="宋体" w:hAnsi="宋体" w:eastAsia="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582568D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1612" w:type="dxa"/>
            <w:tcBorders>
              <w:top w:val="nil"/>
              <w:left w:val="nil"/>
              <w:bottom w:val="single" w:color="000000" w:sz="8" w:space="0"/>
              <w:right w:val="single" w:color="000000" w:sz="8" w:space="0"/>
            </w:tcBorders>
            <w:noWrap w:val="0"/>
            <w:vAlign w:val="center"/>
          </w:tcPr>
          <w:p w14:paraId="532FE8A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多联式空调（热泵）机组(制冷量&gt;14000W)</w:t>
            </w:r>
          </w:p>
        </w:tc>
        <w:tc>
          <w:tcPr>
            <w:tcW w:w="4335" w:type="dxa"/>
            <w:tcBorders>
              <w:top w:val="nil"/>
              <w:left w:val="nil"/>
              <w:bottom w:val="single" w:color="000000" w:sz="8" w:space="0"/>
              <w:right w:val="single" w:color="000000" w:sz="8" w:space="0"/>
            </w:tcBorders>
            <w:noWrap w:val="0"/>
            <w:vAlign w:val="center"/>
          </w:tcPr>
          <w:p w14:paraId="5B05DF3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18271861">
        <w:tblPrEx>
          <w:tblCellMar>
            <w:top w:w="0" w:type="dxa"/>
            <w:left w:w="108" w:type="dxa"/>
            <w:bottom w:w="0" w:type="dxa"/>
            <w:right w:w="108" w:type="dxa"/>
          </w:tblCellMar>
        </w:tblPrEx>
        <w:trPr>
          <w:trHeight w:val="73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740062C1">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2F1AB60B">
            <w:pPr>
              <w:widowControl/>
              <w:jc w:val="left"/>
              <w:rPr>
                <w:rFonts w:hint="eastAsia" w:ascii="宋体" w:hAnsi="宋体" w:eastAsia="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19078953">
            <w:pPr>
              <w:widowControl/>
              <w:jc w:val="left"/>
              <w:rPr>
                <w:rFonts w:hint="eastAsia" w:ascii="宋体" w:hAnsi="宋体" w:eastAsia="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31B3EC5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4335" w:type="dxa"/>
            <w:tcBorders>
              <w:top w:val="nil"/>
              <w:left w:val="nil"/>
              <w:bottom w:val="single" w:color="000000" w:sz="8" w:space="0"/>
              <w:right w:val="single" w:color="000000" w:sz="8" w:space="0"/>
            </w:tcBorders>
            <w:noWrap w:val="0"/>
            <w:vAlign w:val="center"/>
          </w:tcPr>
          <w:p w14:paraId="445F380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14:paraId="2727DE3D">
        <w:tblPrEx>
          <w:tblCellMar>
            <w:top w:w="0" w:type="dxa"/>
            <w:left w:w="108" w:type="dxa"/>
            <w:bottom w:w="0" w:type="dxa"/>
            <w:right w:w="108" w:type="dxa"/>
          </w:tblCellMar>
        </w:tblPrEx>
        <w:trPr>
          <w:trHeight w:val="73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61ABE8B8">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272F6F7">
            <w:pPr>
              <w:widowControl/>
              <w:jc w:val="left"/>
              <w:rPr>
                <w:rFonts w:hint="eastAsia" w:ascii="宋体" w:hAnsi="宋体" w:eastAsia="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1BBEBFB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1612" w:type="dxa"/>
            <w:tcBorders>
              <w:top w:val="nil"/>
              <w:left w:val="nil"/>
              <w:bottom w:val="single" w:color="000000" w:sz="8" w:space="0"/>
              <w:right w:val="single" w:color="000000" w:sz="8" w:space="0"/>
            </w:tcBorders>
            <w:noWrap w:val="0"/>
            <w:vAlign w:val="center"/>
          </w:tcPr>
          <w:p w14:paraId="79C7CFF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4335" w:type="dxa"/>
            <w:tcBorders>
              <w:top w:val="nil"/>
              <w:left w:val="nil"/>
              <w:bottom w:val="single" w:color="000000" w:sz="8" w:space="0"/>
              <w:right w:val="single" w:color="000000" w:sz="8" w:space="0"/>
            </w:tcBorders>
            <w:noWrap w:val="0"/>
            <w:vAlign w:val="center"/>
          </w:tcPr>
          <w:p w14:paraId="6F44C86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14:paraId="2822B400">
        <w:tblPrEx>
          <w:tblCellMar>
            <w:top w:w="0" w:type="dxa"/>
            <w:left w:w="108" w:type="dxa"/>
            <w:bottom w:w="0" w:type="dxa"/>
            <w:right w:w="108" w:type="dxa"/>
          </w:tblCellMar>
        </w:tblPrEx>
        <w:trPr>
          <w:trHeight w:val="73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5001B009">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37A2454">
            <w:pPr>
              <w:widowControl/>
              <w:jc w:val="left"/>
              <w:rPr>
                <w:rFonts w:hint="eastAsia" w:ascii="宋体" w:hAnsi="宋体" w:eastAsia="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1823BD0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1612" w:type="dxa"/>
            <w:tcBorders>
              <w:top w:val="nil"/>
              <w:left w:val="nil"/>
              <w:bottom w:val="single" w:color="000000" w:sz="8" w:space="0"/>
              <w:right w:val="single" w:color="000000" w:sz="8" w:space="0"/>
            </w:tcBorders>
            <w:noWrap w:val="0"/>
            <w:vAlign w:val="center"/>
          </w:tcPr>
          <w:p w14:paraId="16EF795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4335" w:type="dxa"/>
            <w:tcBorders>
              <w:top w:val="nil"/>
              <w:left w:val="nil"/>
              <w:bottom w:val="single" w:color="000000" w:sz="8" w:space="0"/>
              <w:right w:val="single" w:color="000000" w:sz="8" w:space="0"/>
            </w:tcBorders>
            <w:noWrap w:val="0"/>
            <w:vAlign w:val="center"/>
          </w:tcPr>
          <w:p w14:paraId="33BB5F6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14:paraId="456DE1D0">
        <w:tblPrEx>
          <w:tblCellMar>
            <w:top w:w="0" w:type="dxa"/>
            <w:left w:w="108" w:type="dxa"/>
            <w:bottom w:w="0" w:type="dxa"/>
            <w:right w:w="108" w:type="dxa"/>
          </w:tblCellMar>
        </w:tblPrEx>
        <w:trPr>
          <w:trHeight w:val="495" w:hRule="atLeast"/>
          <w:jc w:val="center"/>
        </w:trPr>
        <w:tc>
          <w:tcPr>
            <w:tcW w:w="779" w:type="dxa"/>
            <w:tcBorders>
              <w:top w:val="nil"/>
              <w:left w:val="single" w:color="000000" w:sz="8" w:space="0"/>
              <w:bottom w:val="single" w:color="000000" w:sz="8" w:space="0"/>
              <w:right w:val="single" w:color="000000" w:sz="8" w:space="0"/>
            </w:tcBorders>
            <w:noWrap w:val="0"/>
            <w:vAlign w:val="center"/>
          </w:tcPr>
          <w:p w14:paraId="1A0F9D8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1116" w:type="dxa"/>
            <w:tcBorders>
              <w:top w:val="nil"/>
              <w:left w:val="nil"/>
              <w:bottom w:val="single" w:color="000000" w:sz="8" w:space="0"/>
              <w:right w:val="single" w:color="000000" w:sz="8" w:space="0"/>
            </w:tcBorders>
            <w:noWrap w:val="0"/>
            <w:vAlign w:val="center"/>
          </w:tcPr>
          <w:p w14:paraId="21429E3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516" w:type="dxa"/>
            <w:tcBorders>
              <w:top w:val="nil"/>
              <w:left w:val="nil"/>
              <w:bottom w:val="single" w:color="000000" w:sz="8" w:space="0"/>
              <w:right w:val="single" w:color="000000" w:sz="8" w:space="0"/>
            </w:tcBorders>
            <w:noWrap w:val="0"/>
            <w:vAlign w:val="center"/>
          </w:tcPr>
          <w:p w14:paraId="0A17311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12CA879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34AB240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14:paraId="309E1173">
        <w:tblPrEx>
          <w:tblCellMar>
            <w:top w:w="0" w:type="dxa"/>
            <w:left w:w="108" w:type="dxa"/>
            <w:bottom w:w="0" w:type="dxa"/>
            <w:right w:w="108" w:type="dxa"/>
          </w:tblCellMar>
        </w:tblPrEx>
        <w:trPr>
          <w:trHeight w:val="495" w:hRule="atLeast"/>
          <w:jc w:val="center"/>
        </w:trPr>
        <w:tc>
          <w:tcPr>
            <w:tcW w:w="779" w:type="dxa"/>
            <w:tcBorders>
              <w:top w:val="nil"/>
              <w:left w:val="single" w:color="000000" w:sz="8" w:space="0"/>
              <w:bottom w:val="single" w:color="000000" w:sz="8" w:space="0"/>
              <w:right w:val="single" w:color="000000" w:sz="8" w:space="0"/>
            </w:tcBorders>
            <w:noWrap w:val="0"/>
            <w:vAlign w:val="center"/>
          </w:tcPr>
          <w:p w14:paraId="43846CF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1116" w:type="dxa"/>
            <w:tcBorders>
              <w:top w:val="nil"/>
              <w:left w:val="nil"/>
              <w:bottom w:val="single" w:color="000000" w:sz="8" w:space="0"/>
              <w:right w:val="single" w:color="000000" w:sz="8" w:space="0"/>
            </w:tcBorders>
            <w:noWrap w:val="0"/>
            <w:vAlign w:val="center"/>
          </w:tcPr>
          <w:p w14:paraId="6A19EF5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516" w:type="dxa"/>
            <w:tcBorders>
              <w:top w:val="nil"/>
              <w:left w:val="nil"/>
              <w:bottom w:val="single" w:color="000000" w:sz="8" w:space="0"/>
              <w:right w:val="single" w:color="000000" w:sz="8" w:space="0"/>
            </w:tcBorders>
            <w:noWrap w:val="0"/>
            <w:vAlign w:val="center"/>
          </w:tcPr>
          <w:p w14:paraId="7927829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1612" w:type="dxa"/>
            <w:tcBorders>
              <w:top w:val="nil"/>
              <w:left w:val="nil"/>
              <w:bottom w:val="single" w:color="000000" w:sz="8" w:space="0"/>
              <w:right w:val="single" w:color="000000" w:sz="8" w:space="0"/>
            </w:tcBorders>
            <w:noWrap w:val="0"/>
            <w:vAlign w:val="center"/>
          </w:tcPr>
          <w:p w14:paraId="3F581B2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6058040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14:paraId="7783B303">
        <w:tblPrEx>
          <w:tblCellMar>
            <w:top w:w="0" w:type="dxa"/>
            <w:left w:w="108" w:type="dxa"/>
            <w:bottom w:w="0" w:type="dxa"/>
            <w:right w:w="108" w:type="dxa"/>
          </w:tblCellMar>
        </w:tblPrEx>
        <w:trPr>
          <w:trHeight w:val="495" w:hRule="atLeast"/>
          <w:jc w:val="center"/>
        </w:trPr>
        <w:tc>
          <w:tcPr>
            <w:tcW w:w="779" w:type="dxa"/>
            <w:tcBorders>
              <w:top w:val="nil"/>
              <w:left w:val="single" w:color="000000" w:sz="8" w:space="0"/>
              <w:bottom w:val="single" w:color="000000" w:sz="8" w:space="0"/>
              <w:right w:val="single" w:color="000000" w:sz="8" w:space="0"/>
            </w:tcBorders>
            <w:noWrap w:val="0"/>
            <w:vAlign w:val="center"/>
          </w:tcPr>
          <w:p w14:paraId="65C2311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1116" w:type="dxa"/>
            <w:tcBorders>
              <w:top w:val="nil"/>
              <w:left w:val="nil"/>
              <w:bottom w:val="single" w:color="000000" w:sz="8" w:space="0"/>
              <w:right w:val="single" w:color="000000" w:sz="8" w:space="0"/>
            </w:tcBorders>
            <w:noWrap w:val="0"/>
            <w:vAlign w:val="center"/>
          </w:tcPr>
          <w:p w14:paraId="3A2FDB8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516" w:type="dxa"/>
            <w:tcBorders>
              <w:top w:val="nil"/>
              <w:left w:val="nil"/>
              <w:bottom w:val="single" w:color="000000" w:sz="8" w:space="0"/>
              <w:right w:val="single" w:color="000000" w:sz="8" w:space="0"/>
            </w:tcBorders>
            <w:noWrap w:val="0"/>
            <w:vAlign w:val="center"/>
          </w:tcPr>
          <w:p w14:paraId="251C0EF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1612" w:type="dxa"/>
            <w:tcBorders>
              <w:top w:val="nil"/>
              <w:left w:val="nil"/>
              <w:bottom w:val="single" w:color="000000" w:sz="8" w:space="0"/>
              <w:right w:val="single" w:color="000000" w:sz="8" w:space="0"/>
            </w:tcBorders>
            <w:noWrap w:val="0"/>
            <w:vAlign w:val="center"/>
          </w:tcPr>
          <w:p w14:paraId="399F9B1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4B456BB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14:paraId="07CF0FE7">
        <w:tblPrEx>
          <w:tblCellMar>
            <w:top w:w="0" w:type="dxa"/>
            <w:left w:w="108" w:type="dxa"/>
            <w:bottom w:w="0" w:type="dxa"/>
            <w:right w:w="108" w:type="dxa"/>
          </w:tblCellMar>
        </w:tblPrEx>
        <w:trPr>
          <w:trHeight w:val="495" w:hRule="atLeast"/>
          <w:jc w:val="center"/>
        </w:trPr>
        <w:tc>
          <w:tcPr>
            <w:tcW w:w="779" w:type="dxa"/>
            <w:vMerge w:val="restart"/>
            <w:tcBorders>
              <w:top w:val="nil"/>
              <w:left w:val="single" w:color="000000" w:sz="8" w:space="0"/>
              <w:bottom w:val="single" w:color="000000" w:sz="8" w:space="0"/>
              <w:right w:val="single" w:color="000000" w:sz="8" w:space="0"/>
            </w:tcBorders>
            <w:noWrap w:val="0"/>
            <w:vAlign w:val="center"/>
          </w:tcPr>
          <w:p w14:paraId="69166B2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777D983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516" w:type="dxa"/>
            <w:tcBorders>
              <w:top w:val="nil"/>
              <w:left w:val="nil"/>
              <w:bottom w:val="single" w:color="000000" w:sz="8" w:space="0"/>
              <w:right w:val="single" w:color="000000" w:sz="8" w:space="0"/>
            </w:tcBorders>
            <w:noWrap w:val="0"/>
            <w:vAlign w:val="center"/>
          </w:tcPr>
          <w:p w14:paraId="4F1E4DF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1612" w:type="dxa"/>
            <w:tcBorders>
              <w:top w:val="nil"/>
              <w:left w:val="nil"/>
              <w:bottom w:val="single" w:color="000000" w:sz="8" w:space="0"/>
              <w:right w:val="single" w:color="000000" w:sz="8" w:space="0"/>
            </w:tcBorders>
            <w:noWrap w:val="0"/>
            <w:vAlign w:val="center"/>
          </w:tcPr>
          <w:p w14:paraId="3AE4425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09B078A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 12021.2）</w:t>
            </w:r>
          </w:p>
        </w:tc>
      </w:tr>
      <w:tr w14:paraId="4FC6D919">
        <w:tblPrEx>
          <w:tblCellMar>
            <w:top w:w="0" w:type="dxa"/>
            <w:left w:w="108" w:type="dxa"/>
            <w:bottom w:w="0" w:type="dxa"/>
            <w:right w:w="108" w:type="dxa"/>
          </w:tblCellMar>
        </w:tblPrEx>
        <w:trPr>
          <w:trHeight w:val="97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10531D07">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C48FB22">
            <w:pPr>
              <w:widowControl/>
              <w:jc w:val="left"/>
              <w:rPr>
                <w:rFonts w:hint="eastAsia" w:ascii="宋体" w:hAnsi="宋体" w:eastAsia="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61EE6C4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1612" w:type="dxa"/>
            <w:tcBorders>
              <w:top w:val="nil"/>
              <w:left w:val="nil"/>
              <w:bottom w:val="single" w:color="000000" w:sz="8" w:space="0"/>
              <w:right w:val="single" w:color="000000" w:sz="8" w:space="0"/>
            </w:tcBorders>
            <w:noWrap w:val="0"/>
            <w:vAlign w:val="center"/>
          </w:tcPr>
          <w:p w14:paraId="105C0C0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4335" w:type="dxa"/>
            <w:tcBorders>
              <w:top w:val="nil"/>
              <w:left w:val="nil"/>
              <w:bottom w:val="single" w:color="000000" w:sz="8" w:space="0"/>
              <w:right w:val="single" w:color="000000" w:sz="8" w:space="0"/>
            </w:tcBorders>
            <w:noWrap w:val="0"/>
            <w:vAlign w:val="center"/>
          </w:tcPr>
          <w:p w14:paraId="70FED66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5C6692BE">
        <w:tblPrEx>
          <w:tblCellMar>
            <w:top w:w="0" w:type="dxa"/>
            <w:left w:w="108" w:type="dxa"/>
            <w:bottom w:w="0" w:type="dxa"/>
            <w:right w:w="108" w:type="dxa"/>
          </w:tblCellMar>
        </w:tblPrEx>
        <w:trPr>
          <w:trHeight w:val="73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07B60953">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21E8C91">
            <w:pPr>
              <w:widowControl/>
              <w:jc w:val="left"/>
              <w:rPr>
                <w:rFonts w:hint="eastAsia" w:ascii="宋体" w:hAnsi="宋体" w:eastAsia="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612DB579">
            <w:pPr>
              <w:widowControl/>
              <w:jc w:val="left"/>
              <w:rPr>
                <w:rFonts w:hint="eastAsia" w:ascii="宋体" w:hAnsi="宋体" w:eastAsia="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31EA33F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 14000W）</w:t>
            </w:r>
          </w:p>
        </w:tc>
        <w:tc>
          <w:tcPr>
            <w:tcW w:w="4335" w:type="dxa"/>
            <w:tcBorders>
              <w:top w:val="nil"/>
              <w:left w:val="nil"/>
              <w:bottom w:val="single" w:color="000000" w:sz="8" w:space="0"/>
              <w:right w:val="single" w:color="000000" w:sz="8" w:space="0"/>
            </w:tcBorders>
            <w:noWrap w:val="0"/>
            <w:vAlign w:val="center"/>
          </w:tcPr>
          <w:p w14:paraId="2742279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3244DAE3">
        <w:tblPrEx>
          <w:tblCellMar>
            <w:top w:w="0" w:type="dxa"/>
            <w:left w:w="108" w:type="dxa"/>
            <w:bottom w:w="0" w:type="dxa"/>
            <w:right w:w="108" w:type="dxa"/>
          </w:tblCellMar>
        </w:tblPrEx>
        <w:trPr>
          <w:trHeight w:val="73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6F73EB2C">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83DAA16">
            <w:pPr>
              <w:widowControl/>
              <w:jc w:val="left"/>
              <w:rPr>
                <w:rFonts w:hint="eastAsia" w:ascii="宋体" w:hAnsi="宋体" w:eastAsia="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14ACF768">
            <w:pPr>
              <w:widowControl/>
              <w:jc w:val="left"/>
              <w:rPr>
                <w:rFonts w:hint="eastAsia" w:ascii="宋体" w:hAnsi="宋体" w:eastAsia="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4C46DD8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4335" w:type="dxa"/>
            <w:tcBorders>
              <w:top w:val="nil"/>
              <w:left w:val="nil"/>
              <w:bottom w:val="single" w:color="000000" w:sz="8" w:space="0"/>
              <w:right w:val="single" w:color="000000" w:sz="8" w:space="0"/>
            </w:tcBorders>
            <w:noWrap w:val="0"/>
            <w:vAlign w:val="center"/>
          </w:tcPr>
          <w:p w14:paraId="40DA746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14:paraId="1E392EDB">
        <w:tblPrEx>
          <w:tblCellMar>
            <w:top w:w="0" w:type="dxa"/>
            <w:left w:w="108" w:type="dxa"/>
            <w:bottom w:w="0" w:type="dxa"/>
            <w:right w:w="108" w:type="dxa"/>
          </w:tblCellMar>
        </w:tblPrEx>
        <w:trPr>
          <w:trHeight w:val="49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40D9D274">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35163A0">
            <w:pPr>
              <w:widowControl/>
              <w:jc w:val="left"/>
              <w:rPr>
                <w:rFonts w:hint="eastAsia" w:ascii="宋体" w:hAnsi="宋体" w:eastAsia="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43E7322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1612" w:type="dxa"/>
            <w:tcBorders>
              <w:top w:val="nil"/>
              <w:left w:val="nil"/>
              <w:bottom w:val="single" w:color="000000" w:sz="8" w:space="0"/>
              <w:right w:val="single" w:color="000000" w:sz="8" w:space="0"/>
            </w:tcBorders>
            <w:noWrap w:val="0"/>
            <w:vAlign w:val="center"/>
          </w:tcPr>
          <w:p w14:paraId="6D36558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55C491D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14:paraId="545085A3">
        <w:tblPrEx>
          <w:tblCellMar>
            <w:top w:w="0" w:type="dxa"/>
            <w:left w:w="108" w:type="dxa"/>
            <w:bottom w:w="0" w:type="dxa"/>
            <w:right w:w="108" w:type="dxa"/>
          </w:tblCellMar>
        </w:tblPrEx>
        <w:trPr>
          <w:trHeight w:val="49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32556BE9">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8D8F94D">
            <w:pPr>
              <w:widowControl/>
              <w:jc w:val="left"/>
              <w:rPr>
                <w:rFonts w:hint="eastAsia" w:ascii="宋体" w:hAnsi="宋体" w:eastAsia="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67A5C6F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1612" w:type="dxa"/>
            <w:tcBorders>
              <w:top w:val="nil"/>
              <w:left w:val="nil"/>
              <w:bottom w:val="single" w:color="000000" w:sz="8" w:space="0"/>
              <w:right w:val="single" w:color="000000" w:sz="8" w:space="0"/>
            </w:tcBorders>
            <w:noWrap w:val="0"/>
            <w:vAlign w:val="center"/>
          </w:tcPr>
          <w:p w14:paraId="6B09C29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4335" w:type="dxa"/>
            <w:tcBorders>
              <w:top w:val="nil"/>
              <w:left w:val="nil"/>
              <w:bottom w:val="single" w:color="000000" w:sz="8" w:space="0"/>
              <w:right w:val="single" w:color="000000" w:sz="8" w:space="0"/>
            </w:tcBorders>
            <w:noWrap w:val="0"/>
            <w:vAlign w:val="center"/>
          </w:tcPr>
          <w:p w14:paraId="35D5FCD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14:paraId="06F3FCD3">
        <w:tblPrEx>
          <w:tblCellMar>
            <w:top w:w="0" w:type="dxa"/>
            <w:left w:w="108" w:type="dxa"/>
            <w:bottom w:w="0" w:type="dxa"/>
            <w:right w:w="108" w:type="dxa"/>
          </w:tblCellMar>
        </w:tblPrEx>
        <w:trPr>
          <w:trHeight w:val="49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06DE2F46">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273A2930">
            <w:pPr>
              <w:widowControl/>
              <w:jc w:val="left"/>
              <w:rPr>
                <w:rFonts w:hint="eastAsia" w:ascii="宋体" w:hAnsi="宋体" w:eastAsia="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2CB03E97">
            <w:pPr>
              <w:widowControl/>
              <w:jc w:val="left"/>
              <w:rPr>
                <w:rFonts w:hint="eastAsia" w:ascii="宋体" w:hAnsi="宋体" w:eastAsia="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FE3A2B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4335" w:type="dxa"/>
            <w:tcBorders>
              <w:top w:val="nil"/>
              <w:left w:val="nil"/>
              <w:bottom w:val="single" w:color="000000" w:sz="8" w:space="0"/>
              <w:right w:val="single" w:color="000000" w:sz="8" w:space="0"/>
            </w:tcBorders>
            <w:noWrap w:val="0"/>
            <w:vAlign w:val="center"/>
          </w:tcPr>
          <w:p w14:paraId="110203B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14:paraId="1D65F9CB">
        <w:tblPrEx>
          <w:tblCellMar>
            <w:top w:w="0" w:type="dxa"/>
            <w:left w:w="108" w:type="dxa"/>
            <w:bottom w:w="0" w:type="dxa"/>
            <w:right w:w="108" w:type="dxa"/>
          </w:tblCellMar>
        </w:tblPrEx>
        <w:trPr>
          <w:trHeight w:val="49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348587F1">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2A6A1EC">
            <w:pPr>
              <w:widowControl/>
              <w:jc w:val="left"/>
              <w:rPr>
                <w:rFonts w:hint="eastAsia" w:ascii="宋体" w:hAnsi="宋体" w:eastAsia="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14380BC1">
            <w:pPr>
              <w:widowControl/>
              <w:jc w:val="left"/>
              <w:rPr>
                <w:rFonts w:hint="eastAsia" w:ascii="宋体" w:hAnsi="宋体" w:eastAsia="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2A4C31D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4335" w:type="dxa"/>
            <w:tcBorders>
              <w:top w:val="nil"/>
              <w:left w:val="nil"/>
              <w:bottom w:val="single" w:color="000000" w:sz="8" w:space="0"/>
              <w:right w:val="single" w:color="000000" w:sz="8" w:space="0"/>
            </w:tcBorders>
            <w:noWrap w:val="0"/>
            <w:vAlign w:val="center"/>
          </w:tcPr>
          <w:p w14:paraId="39957F0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14:paraId="7963115F">
        <w:tblPrEx>
          <w:tblCellMar>
            <w:top w:w="0" w:type="dxa"/>
            <w:left w:w="108" w:type="dxa"/>
            <w:bottom w:w="0" w:type="dxa"/>
            <w:right w:w="108" w:type="dxa"/>
          </w:tblCellMar>
        </w:tblPrEx>
        <w:trPr>
          <w:trHeight w:val="49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7B23CB83">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F633351">
            <w:pPr>
              <w:widowControl/>
              <w:jc w:val="left"/>
              <w:rPr>
                <w:rFonts w:hint="eastAsia" w:ascii="宋体" w:hAnsi="宋体" w:eastAsia="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5757DAEB">
            <w:pPr>
              <w:widowControl/>
              <w:jc w:val="left"/>
              <w:rPr>
                <w:rFonts w:hint="eastAsia" w:ascii="宋体" w:hAnsi="宋体" w:eastAsia="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014CDC7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4335" w:type="dxa"/>
            <w:tcBorders>
              <w:top w:val="nil"/>
              <w:left w:val="nil"/>
              <w:bottom w:val="single" w:color="000000" w:sz="8" w:space="0"/>
              <w:right w:val="single" w:color="000000" w:sz="8" w:space="0"/>
            </w:tcBorders>
            <w:noWrap w:val="0"/>
            <w:vAlign w:val="center"/>
          </w:tcPr>
          <w:p w14:paraId="5031C40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14:paraId="725397C8">
        <w:tblPrEx>
          <w:tblCellMar>
            <w:top w:w="0" w:type="dxa"/>
            <w:left w:w="108" w:type="dxa"/>
            <w:bottom w:w="0" w:type="dxa"/>
            <w:right w:w="108" w:type="dxa"/>
          </w:tblCellMar>
        </w:tblPrEx>
        <w:trPr>
          <w:trHeight w:val="495" w:hRule="atLeast"/>
          <w:jc w:val="center"/>
        </w:trPr>
        <w:tc>
          <w:tcPr>
            <w:tcW w:w="779" w:type="dxa"/>
            <w:vMerge w:val="restart"/>
            <w:tcBorders>
              <w:top w:val="nil"/>
              <w:left w:val="single" w:color="000000" w:sz="8" w:space="0"/>
              <w:bottom w:val="single" w:color="000000" w:sz="8" w:space="0"/>
              <w:right w:val="single" w:color="000000" w:sz="8" w:space="0"/>
            </w:tcBorders>
            <w:noWrap w:val="0"/>
            <w:vAlign w:val="center"/>
          </w:tcPr>
          <w:p w14:paraId="600E54B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76FFB6A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516" w:type="dxa"/>
            <w:tcBorders>
              <w:top w:val="nil"/>
              <w:left w:val="nil"/>
              <w:bottom w:val="single" w:color="000000" w:sz="8" w:space="0"/>
              <w:right w:val="single" w:color="000000" w:sz="8" w:space="0"/>
            </w:tcBorders>
            <w:noWrap w:val="0"/>
            <w:vAlign w:val="center"/>
          </w:tcPr>
          <w:p w14:paraId="139F7B4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1612" w:type="dxa"/>
            <w:tcBorders>
              <w:top w:val="nil"/>
              <w:left w:val="nil"/>
              <w:bottom w:val="single" w:color="000000" w:sz="8" w:space="0"/>
              <w:right w:val="single" w:color="000000" w:sz="8" w:space="0"/>
            </w:tcBorders>
            <w:noWrap w:val="0"/>
            <w:vAlign w:val="center"/>
          </w:tcPr>
          <w:p w14:paraId="233FA6D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0A5E99F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14:paraId="7FBF249F">
        <w:tblPrEx>
          <w:tblCellMar>
            <w:top w:w="0" w:type="dxa"/>
            <w:left w:w="108" w:type="dxa"/>
            <w:bottom w:w="0" w:type="dxa"/>
            <w:right w:w="108" w:type="dxa"/>
          </w:tblCellMar>
        </w:tblPrEx>
        <w:trPr>
          <w:trHeight w:val="49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7BB68CC7">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7BB50C7">
            <w:pPr>
              <w:widowControl/>
              <w:jc w:val="left"/>
              <w:rPr>
                <w:rFonts w:hint="eastAsia" w:ascii="宋体" w:hAnsi="宋体" w:eastAsia="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7829344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1612" w:type="dxa"/>
            <w:tcBorders>
              <w:top w:val="nil"/>
              <w:left w:val="nil"/>
              <w:bottom w:val="single" w:color="000000" w:sz="8" w:space="0"/>
              <w:right w:val="single" w:color="000000" w:sz="8" w:space="0"/>
            </w:tcBorders>
            <w:noWrap w:val="0"/>
            <w:vAlign w:val="center"/>
          </w:tcPr>
          <w:p w14:paraId="7A91051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3565180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14:paraId="5DC63CEE">
        <w:tblPrEx>
          <w:tblCellMar>
            <w:top w:w="0" w:type="dxa"/>
            <w:left w:w="108" w:type="dxa"/>
            <w:bottom w:w="0" w:type="dxa"/>
            <w:right w:w="108" w:type="dxa"/>
          </w:tblCellMar>
        </w:tblPrEx>
        <w:trPr>
          <w:trHeight w:val="49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45401321">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70A31F0">
            <w:pPr>
              <w:widowControl/>
              <w:jc w:val="left"/>
              <w:rPr>
                <w:rFonts w:hint="eastAsia" w:ascii="宋体" w:hAnsi="宋体" w:eastAsia="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2710BB0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1612" w:type="dxa"/>
            <w:tcBorders>
              <w:top w:val="nil"/>
              <w:left w:val="nil"/>
              <w:bottom w:val="single" w:color="000000" w:sz="8" w:space="0"/>
              <w:right w:val="single" w:color="000000" w:sz="8" w:space="0"/>
            </w:tcBorders>
            <w:noWrap w:val="0"/>
            <w:vAlign w:val="center"/>
          </w:tcPr>
          <w:p w14:paraId="02A3E24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7131B4D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3E787651">
        <w:tblPrEx>
          <w:tblCellMar>
            <w:top w:w="0" w:type="dxa"/>
            <w:left w:w="108" w:type="dxa"/>
            <w:bottom w:w="0" w:type="dxa"/>
            <w:right w:w="108" w:type="dxa"/>
          </w:tblCellMar>
        </w:tblPrEx>
        <w:trPr>
          <w:trHeight w:val="73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4E77F03B">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8C26D7D">
            <w:pPr>
              <w:widowControl/>
              <w:jc w:val="left"/>
              <w:rPr>
                <w:rFonts w:hint="eastAsia" w:ascii="宋体" w:hAnsi="宋体" w:eastAsia="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2165BCC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1612" w:type="dxa"/>
            <w:tcBorders>
              <w:top w:val="nil"/>
              <w:left w:val="nil"/>
              <w:bottom w:val="single" w:color="000000" w:sz="8" w:space="0"/>
              <w:right w:val="single" w:color="000000" w:sz="8" w:space="0"/>
            </w:tcBorders>
            <w:noWrap w:val="0"/>
            <w:vAlign w:val="center"/>
          </w:tcPr>
          <w:p w14:paraId="7B62A34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2B47A00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768B47F9">
        <w:tblPrEx>
          <w:tblCellMar>
            <w:top w:w="0" w:type="dxa"/>
            <w:left w:w="108" w:type="dxa"/>
            <w:bottom w:w="0" w:type="dxa"/>
            <w:right w:w="108" w:type="dxa"/>
          </w:tblCellMar>
        </w:tblPrEx>
        <w:trPr>
          <w:trHeight w:val="735" w:hRule="atLeast"/>
          <w:jc w:val="center"/>
        </w:trPr>
        <w:tc>
          <w:tcPr>
            <w:tcW w:w="779" w:type="dxa"/>
            <w:tcBorders>
              <w:top w:val="nil"/>
              <w:left w:val="single" w:color="000000" w:sz="8" w:space="0"/>
              <w:bottom w:val="single" w:color="000000" w:sz="8" w:space="0"/>
              <w:right w:val="single" w:color="000000" w:sz="8" w:space="0"/>
            </w:tcBorders>
            <w:noWrap w:val="0"/>
            <w:vAlign w:val="center"/>
          </w:tcPr>
          <w:p w14:paraId="344E9BE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1116" w:type="dxa"/>
            <w:tcBorders>
              <w:top w:val="nil"/>
              <w:left w:val="nil"/>
              <w:bottom w:val="single" w:color="000000" w:sz="8" w:space="0"/>
              <w:right w:val="single" w:color="000000" w:sz="8" w:space="0"/>
            </w:tcBorders>
            <w:noWrap w:val="0"/>
            <w:vAlign w:val="center"/>
          </w:tcPr>
          <w:p w14:paraId="677AD22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516" w:type="dxa"/>
            <w:tcBorders>
              <w:top w:val="nil"/>
              <w:left w:val="nil"/>
              <w:bottom w:val="single" w:color="000000" w:sz="8" w:space="0"/>
              <w:right w:val="single" w:color="000000" w:sz="8" w:space="0"/>
            </w:tcBorders>
            <w:noWrap w:val="0"/>
            <w:vAlign w:val="center"/>
          </w:tcPr>
          <w:p w14:paraId="0B9CDEB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1612" w:type="dxa"/>
            <w:tcBorders>
              <w:top w:val="nil"/>
              <w:left w:val="nil"/>
              <w:bottom w:val="single" w:color="000000" w:sz="8" w:space="0"/>
              <w:right w:val="single" w:color="000000" w:sz="8" w:space="0"/>
            </w:tcBorders>
            <w:noWrap w:val="0"/>
            <w:vAlign w:val="center"/>
          </w:tcPr>
          <w:p w14:paraId="5099839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351E35F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14:paraId="2E68839E">
        <w:tblPrEx>
          <w:tblCellMar>
            <w:top w:w="0" w:type="dxa"/>
            <w:left w:w="108" w:type="dxa"/>
            <w:bottom w:w="0" w:type="dxa"/>
            <w:right w:w="108" w:type="dxa"/>
          </w:tblCellMar>
        </w:tblPrEx>
        <w:trPr>
          <w:trHeight w:val="975" w:hRule="atLeast"/>
          <w:jc w:val="center"/>
        </w:trPr>
        <w:tc>
          <w:tcPr>
            <w:tcW w:w="779" w:type="dxa"/>
            <w:tcBorders>
              <w:top w:val="nil"/>
              <w:left w:val="single" w:color="000000" w:sz="8" w:space="0"/>
              <w:bottom w:val="single" w:color="000000" w:sz="8" w:space="0"/>
              <w:right w:val="single" w:color="000000" w:sz="8" w:space="0"/>
            </w:tcBorders>
            <w:noWrap w:val="0"/>
            <w:vAlign w:val="center"/>
          </w:tcPr>
          <w:p w14:paraId="766D7FF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1116" w:type="dxa"/>
            <w:tcBorders>
              <w:top w:val="nil"/>
              <w:left w:val="nil"/>
              <w:bottom w:val="single" w:color="000000" w:sz="8" w:space="0"/>
              <w:right w:val="single" w:color="000000" w:sz="8" w:space="0"/>
            </w:tcBorders>
            <w:noWrap w:val="0"/>
            <w:vAlign w:val="center"/>
          </w:tcPr>
          <w:p w14:paraId="070D77F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516" w:type="dxa"/>
            <w:tcBorders>
              <w:top w:val="nil"/>
              <w:left w:val="nil"/>
              <w:bottom w:val="single" w:color="000000" w:sz="8" w:space="0"/>
              <w:right w:val="single" w:color="000000" w:sz="8" w:space="0"/>
            </w:tcBorders>
            <w:noWrap w:val="0"/>
            <w:vAlign w:val="center"/>
          </w:tcPr>
          <w:p w14:paraId="7DAF9AA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1612" w:type="dxa"/>
            <w:tcBorders>
              <w:top w:val="nil"/>
              <w:left w:val="nil"/>
              <w:bottom w:val="single" w:color="000000" w:sz="8" w:space="0"/>
              <w:right w:val="single" w:color="000000" w:sz="8" w:space="0"/>
            </w:tcBorders>
            <w:noWrap w:val="0"/>
            <w:vAlign w:val="center"/>
          </w:tcPr>
          <w:p w14:paraId="3C6CD5D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4335" w:type="dxa"/>
            <w:tcBorders>
              <w:top w:val="nil"/>
              <w:left w:val="nil"/>
              <w:bottom w:val="single" w:color="000000" w:sz="8" w:space="0"/>
              <w:right w:val="single" w:color="000000" w:sz="8" w:space="0"/>
            </w:tcBorders>
            <w:noWrap w:val="0"/>
            <w:vAlign w:val="center"/>
          </w:tcPr>
          <w:p w14:paraId="019D84B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7FF47D86">
        <w:tblPrEx>
          <w:tblCellMar>
            <w:top w:w="0" w:type="dxa"/>
            <w:left w:w="108" w:type="dxa"/>
            <w:bottom w:w="0" w:type="dxa"/>
            <w:right w:w="108" w:type="dxa"/>
          </w:tblCellMar>
        </w:tblPrEx>
        <w:trPr>
          <w:trHeight w:val="495" w:hRule="atLeast"/>
          <w:jc w:val="center"/>
        </w:trPr>
        <w:tc>
          <w:tcPr>
            <w:tcW w:w="779" w:type="dxa"/>
            <w:tcBorders>
              <w:top w:val="nil"/>
              <w:left w:val="single" w:color="000000" w:sz="8" w:space="0"/>
              <w:bottom w:val="single" w:color="000000" w:sz="8" w:space="0"/>
              <w:right w:val="single" w:color="000000" w:sz="8" w:space="0"/>
            </w:tcBorders>
            <w:noWrap w:val="0"/>
            <w:vAlign w:val="center"/>
          </w:tcPr>
          <w:p w14:paraId="7566171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1116" w:type="dxa"/>
            <w:tcBorders>
              <w:top w:val="nil"/>
              <w:left w:val="nil"/>
              <w:bottom w:val="single" w:color="000000" w:sz="8" w:space="0"/>
              <w:right w:val="single" w:color="000000" w:sz="8" w:space="0"/>
            </w:tcBorders>
            <w:noWrap w:val="0"/>
            <w:vAlign w:val="center"/>
          </w:tcPr>
          <w:p w14:paraId="1F99C85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516" w:type="dxa"/>
            <w:tcBorders>
              <w:top w:val="nil"/>
              <w:left w:val="nil"/>
              <w:bottom w:val="single" w:color="000000" w:sz="8" w:space="0"/>
              <w:right w:val="single" w:color="000000" w:sz="8" w:space="0"/>
            </w:tcBorders>
            <w:noWrap w:val="0"/>
            <w:vAlign w:val="center"/>
          </w:tcPr>
          <w:p w14:paraId="51DE0E4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1612" w:type="dxa"/>
            <w:tcBorders>
              <w:top w:val="nil"/>
              <w:left w:val="nil"/>
              <w:bottom w:val="single" w:color="000000" w:sz="8" w:space="0"/>
              <w:right w:val="single" w:color="000000" w:sz="8" w:space="0"/>
            </w:tcBorders>
            <w:noWrap w:val="0"/>
            <w:vAlign w:val="center"/>
          </w:tcPr>
          <w:p w14:paraId="60B338D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2821E95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14:paraId="24EA49C5">
        <w:tblPrEx>
          <w:tblCellMar>
            <w:top w:w="0" w:type="dxa"/>
            <w:left w:w="108" w:type="dxa"/>
            <w:bottom w:w="0" w:type="dxa"/>
            <w:right w:w="108" w:type="dxa"/>
          </w:tblCellMar>
        </w:tblPrEx>
        <w:trPr>
          <w:trHeight w:val="285" w:hRule="atLeast"/>
          <w:jc w:val="center"/>
        </w:trPr>
        <w:tc>
          <w:tcPr>
            <w:tcW w:w="779" w:type="dxa"/>
            <w:vMerge w:val="restart"/>
            <w:tcBorders>
              <w:top w:val="nil"/>
              <w:left w:val="single" w:color="000000" w:sz="8" w:space="0"/>
              <w:bottom w:val="single" w:color="000000" w:sz="8" w:space="0"/>
              <w:right w:val="single" w:color="000000" w:sz="8" w:space="0"/>
            </w:tcBorders>
            <w:noWrap w:val="0"/>
            <w:vAlign w:val="center"/>
          </w:tcPr>
          <w:p w14:paraId="6F55B6B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7E9876D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516" w:type="dxa"/>
            <w:tcBorders>
              <w:top w:val="nil"/>
              <w:left w:val="nil"/>
              <w:bottom w:val="single" w:color="000000" w:sz="8" w:space="0"/>
              <w:right w:val="single" w:color="000000" w:sz="8" w:space="0"/>
            </w:tcBorders>
            <w:noWrap w:val="0"/>
            <w:vAlign w:val="center"/>
          </w:tcPr>
          <w:p w14:paraId="5EECEDF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1612" w:type="dxa"/>
            <w:tcBorders>
              <w:top w:val="nil"/>
              <w:left w:val="nil"/>
              <w:bottom w:val="single" w:color="000000" w:sz="8" w:space="0"/>
              <w:right w:val="single" w:color="000000" w:sz="8" w:space="0"/>
            </w:tcBorders>
            <w:noWrap w:val="0"/>
            <w:vAlign w:val="center"/>
          </w:tcPr>
          <w:p w14:paraId="0091482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4666BDF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14:paraId="36A49BC7">
        <w:tblPrEx>
          <w:tblCellMar>
            <w:top w:w="0" w:type="dxa"/>
            <w:left w:w="108" w:type="dxa"/>
            <w:bottom w:w="0" w:type="dxa"/>
            <w:right w:w="108" w:type="dxa"/>
          </w:tblCellMar>
        </w:tblPrEx>
        <w:trPr>
          <w:trHeight w:val="49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4A017949">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277782F3">
            <w:pPr>
              <w:widowControl/>
              <w:jc w:val="left"/>
              <w:rPr>
                <w:rFonts w:hint="eastAsia" w:ascii="宋体" w:hAnsi="宋体" w:eastAsia="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097B530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1612" w:type="dxa"/>
            <w:tcBorders>
              <w:top w:val="nil"/>
              <w:left w:val="nil"/>
              <w:bottom w:val="single" w:color="000000" w:sz="8" w:space="0"/>
              <w:right w:val="single" w:color="000000" w:sz="8" w:space="0"/>
            </w:tcBorders>
            <w:noWrap w:val="0"/>
            <w:vAlign w:val="center"/>
          </w:tcPr>
          <w:p w14:paraId="33F4082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680F611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14:paraId="7713FFC5">
        <w:tblPrEx>
          <w:tblCellMar>
            <w:top w:w="0" w:type="dxa"/>
            <w:left w:w="108" w:type="dxa"/>
            <w:bottom w:w="0" w:type="dxa"/>
            <w:right w:w="108" w:type="dxa"/>
          </w:tblCellMar>
        </w:tblPrEx>
        <w:trPr>
          <w:trHeight w:val="495" w:hRule="atLeast"/>
          <w:jc w:val="center"/>
        </w:trPr>
        <w:tc>
          <w:tcPr>
            <w:tcW w:w="779" w:type="dxa"/>
            <w:vMerge w:val="continue"/>
            <w:tcBorders>
              <w:top w:val="nil"/>
              <w:left w:val="single" w:color="000000" w:sz="8" w:space="0"/>
              <w:bottom w:val="single" w:color="000000" w:sz="8" w:space="0"/>
              <w:right w:val="single" w:color="000000" w:sz="8" w:space="0"/>
            </w:tcBorders>
            <w:noWrap w:val="0"/>
            <w:vAlign w:val="center"/>
          </w:tcPr>
          <w:p w14:paraId="04F6B196">
            <w:pPr>
              <w:widowControl/>
              <w:jc w:val="left"/>
              <w:rPr>
                <w:rFonts w:hint="eastAsia" w:ascii="宋体" w:hAnsi="宋体" w:eastAsia="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DCCFC38">
            <w:pPr>
              <w:widowControl/>
              <w:jc w:val="left"/>
              <w:rPr>
                <w:rFonts w:hint="eastAsia" w:ascii="宋体" w:hAnsi="宋体" w:eastAsia="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6CB24BC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1612" w:type="dxa"/>
            <w:tcBorders>
              <w:top w:val="nil"/>
              <w:left w:val="nil"/>
              <w:bottom w:val="single" w:color="000000" w:sz="8" w:space="0"/>
              <w:right w:val="single" w:color="000000" w:sz="8" w:space="0"/>
            </w:tcBorders>
            <w:noWrap w:val="0"/>
            <w:vAlign w:val="center"/>
          </w:tcPr>
          <w:p w14:paraId="4B9D5D7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24F93EB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14:paraId="24A728C6">
        <w:tblPrEx>
          <w:tblCellMar>
            <w:top w:w="0" w:type="dxa"/>
            <w:left w:w="108" w:type="dxa"/>
            <w:bottom w:w="0" w:type="dxa"/>
            <w:right w:w="108" w:type="dxa"/>
          </w:tblCellMar>
        </w:tblPrEx>
        <w:trPr>
          <w:trHeight w:val="495" w:hRule="atLeast"/>
          <w:jc w:val="center"/>
        </w:trPr>
        <w:tc>
          <w:tcPr>
            <w:tcW w:w="779" w:type="dxa"/>
            <w:tcBorders>
              <w:top w:val="nil"/>
              <w:left w:val="single" w:color="000000" w:sz="8" w:space="0"/>
              <w:bottom w:val="single" w:color="000000" w:sz="8" w:space="0"/>
              <w:right w:val="single" w:color="000000" w:sz="8" w:space="0"/>
            </w:tcBorders>
            <w:noWrap w:val="0"/>
            <w:vAlign w:val="center"/>
          </w:tcPr>
          <w:p w14:paraId="0B2B962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116" w:type="dxa"/>
            <w:tcBorders>
              <w:top w:val="nil"/>
              <w:left w:val="nil"/>
              <w:bottom w:val="single" w:color="000000" w:sz="8" w:space="0"/>
              <w:right w:val="single" w:color="000000" w:sz="8" w:space="0"/>
            </w:tcBorders>
            <w:noWrap w:val="0"/>
            <w:vAlign w:val="center"/>
          </w:tcPr>
          <w:p w14:paraId="3676DD3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516" w:type="dxa"/>
            <w:tcBorders>
              <w:top w:val="nil"/>
              <w:left w:val="nil"/>
              <w:bottom w:val="single" w:color="000000" w:sz="8" w:space="0"/>
              <w:right w:val="single" w:color="000000" w:sz="8" w:space="0"/>
            </w:tcBorders>
            <w:noWrap w:val="0"/>
            <w:vAlign w:val="center"/>
          </w:tcPr>
          <w:p w14:paraId="7EF299F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32D358C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59A848C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 25501）</w:t>
            </w:r>
          </w:p>
        </w:tc>
      </w:tr>
      <w:tr w14:paraId="1199CC64">
        <w:tblPrEx>
          <w:tblCellMar>
            <w:top w:w="0" w:type="dxa"/>
            <w:left w:w="108" w:type="dxa"/>
            <w:bottom w:w="0" w:type="dxa"/>
            <w:right w:w="108" w:type="dxa"/>
          </w:tblCellMar>
        </w:tblPrEx>
        <w:trPr>
          <w:trHeight w:val="495" w:hRule="atLeast"/>
          <w:jc w:val="center"/>
        </w:trPr>
        <w:tc>
          <w:tcPr>
            <w:tcW w:w="779" w:type="dxa"/>
            <w:tcBorders>
              <w:top w:val="nil"/>
              <w:left w:val="single" w:color="000000" w:sz="8" w:space="0"/>
              <w:bottom w:val="single" w:color="000000" w:sz="8" w:space="0"/>
              <w:right w:val="single" w:color="000000" w:sz="8" w:space="0"/>
            </w:tcBorders>
            <w:noWrap w:val="0"/>
            <w:vAlign w:val="center"/>
          </w:tcPr>
          <w:p w14:paraId="6A5FDC4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1116" w:type="dxa"/>
            <w:tcBorders>
              <w:top w:val="nil"/>
              <w:left w:val="nil"/>
              <w:bottom w:val="single" w:color="000000" w:sz="8" w:space="0"/>
              <w:right w:val="single" w:color="000000" w:sz="8" w:space="0"/>
            </w:tcBorders>
            <w:noWrap w:val="0"/>
            <w:vAlign w:val="center"/>
          </w:tcPr>
          <w:p w14:paraId="390663A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516" w:type="dxa"/>
            <w:tcBorders>
              <w:top w:val="nil"/>
              <w:left w:val="nil"/>
              <w:bottom w:val="single" w:color="000000" w:sz="8" w:space="0"/>
              <w:right w:val="single" w:color="000000" w:sz="8" w:space="0"/>
            </w:tcBorders>
            <w:noWrap w:val="0"/>
            <w:vAlign w:val="center"/>
          </w:tcPr>
          <w:p w14:paraId="6BDFDC2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03CFB0D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782495C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14:paraId="2FFDE792">
        <w:tblPrEx>
          <w:tblCellMar>
            <w:top w:w="0" w:type="dxa"/>
            <w:left w:w="108" w:type="dxa"/>
            <w:bottom w:w="0" w:type="dxa"/>
            <w:right w:w="108" w:type="dxa"/>
          </w:tblCellMar>
        </w:tblPrEx>
        <w:trPr>
          <w:trHeight w:val="495" w:hRule="atLeast"/>
          <w:jc w:val="center"/>
        </w:trPr>
        <w:tc>
          <w:tcPr>
            <w:tcW w:w="779" w:type="dxa"/>
            <w:tcBorders>
              <w:top w:val="nil"/>
              <w:left w:val="single" w:color="000000" w:sz="8" w:space="0"/>
              <w:bottom w:val="single" w:color="000000" w:sz="8" w:space="0"/>
              <w:right w:val="single" w:color="000000" w:sz="8" w:space="0"/>
            </w:tcBorders>
            <w:noWrap w:val="0"/>
            <w:vAlign w:val="center"/>
          </w:tcPr>
          <w:p w14:paraId="3AD9EA5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1116" w:type="dxa"/>
            <w:tcBorders>
              <w:top w:val="nil"/>
              <w:left w:val="nil"/>
              <w:bottom w:val="single" w:color="000000" w:sz="8" w:space="0"/>
              <w:right w:val="single" w:color="000000" w:sz="8" w:space="0"/>
            </w:tcBorders>
            <w:noWrap w:val="0"/>
            <w:vAlign w:val="center"/>
          </w:tcPr>
          <w:p w14:paraId="3DEA371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516" w:type="dxa"/>
            <w:tcBorders>
              <w:top w:val="nil"/>
              <w:left w:val="nil"/>
              <w:bottom w:val="single" w:color="000000" w:sz="8" w:space="0"/>
              <w:right w:val="single" w:color="000000" w:sz="8" w:space="0"/>
            </w:tcBorders>
            <w:noWrap w:val="0"/>
            <w:vAlign w:val="center"/>
          </w:tcPr>
          <w:p w14:paraId="7B436BF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4BE6787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14:paraId="28525BC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14:paraId="280D0E87">
      <w:pPr>
        <w:pStyle w:val="13"/>
        <w:spacing w:line="360" w:lineRule="auto"/>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14:paraId="52871795">
      <w:pPr>
        <w:pStyle w:val="17"/>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t xml:space="preserve">    2.以“★”标注的为政府强制采购产品。</w:t>
      </w: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附件2：</w:t>
      </w:r>
    </w:p>
    <w:p w14:paraId="2EB291BC">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9"/>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0A7A075D">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4E4704E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75BDA6B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002AD72D">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140D0BAD">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6BDB2C7A">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33E39A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24BF1E5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center"/>
          </w:tcPr>
          <w:p w14:paraId="00FF485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74F378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0D03A8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94D262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550BBC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511CB3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E10E54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6B8BE36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6C6462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3C0E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286A7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A7838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19DD94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84BA6E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281FC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DF77F8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7060C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79FBE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295653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2D2ACD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67F47C9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0F89D18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45BA70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300D5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22B3A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3A577C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7FF922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4B44E3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C3D541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D538A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57B7E1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8E04A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7C9375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4CC407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1453EEA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04E8B82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5E86B3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CC63D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0150A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741251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02899F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6774C4F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D444F2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0DA26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90EFA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77B86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0816D5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7B6799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56EDBC4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0C8EAC0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6F2330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A27C9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17867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14153B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6E14D7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B9D085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F9DDD1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AD9B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673B8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9B30E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0D9244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6E590D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9741A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60866CE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0545B9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3187B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60E84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634B7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97198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1164CD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C6072C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AC097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72312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3E2A5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20043A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6D4C46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406B495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58A1A59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7B3FA1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0EAB2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FBF4C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202EDF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29301D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3CB72F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00F015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7934A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6890D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15929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52A62A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18035D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619318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0CC5656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69DD2D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DE80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3E5CE8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2D3FB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F3C79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860F01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B42CA1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39046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D959D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4CD4C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4FE3B2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6F4ED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4EB2AA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5281CAB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4DC3D5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5DDC7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5F6E2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C6685D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BE2C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9C4FDB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04F46C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0735F8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AAF74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731A5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147DA8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7B255F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12950F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331C4E2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3D0AFC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606CD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B3025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0C2CA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74771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DF420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5A439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1BD78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3A967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482FA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572EAA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3EE80D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B420E7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7D86552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07A5F2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A2745E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FC26C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08320E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EDB2F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054850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FFC352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E197C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E41AE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9708E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7CBFED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54A3A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282397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293D680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36011A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71C3B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AC9B2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48325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8E082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CDC2F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DE3DF5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69CD6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47DA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65073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7C7C57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0E48B4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746D438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776C9D5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378D76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40806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3A0FA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130B07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1931C9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0E7A6AA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9453C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43AC4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7AA4A7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7643C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02007D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617E99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3A73375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6493E30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86A39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EDADD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9666E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05FE3F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39C747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133BB2C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3668D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5853F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FF1BC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0122F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0669E7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36AE6F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079A579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56482C8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4558F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5B32F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3640A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B81B3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DC5B1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22E603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6F9043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7D59C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09979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953EE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6DE2C0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1BE0CB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B60A247">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center"/>
          </w:tcPr>
          <w:p w14:paraId="0D9005F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18FE71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B1B2F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5E4C16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B8581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B8E6F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313CDE18">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F002F00">
      <w:pPr>
        <w:widowControl/>
        <w:jc w:val="left"/>
        <w:rPr>
          <w:rFonts w:hint="eastAsia" w:ascii="宋体" w:hAnsi="宋体" w:eastAsia="宋体" w:cs="宋体"/>
          <w:color w:val="auto"/>
          <w:kern w:val="0"/>
          <w:sz w:val="20"/>
          <w:szCs w:val="21"/>
          <w:highlight w:val="none"/>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14:paraId="5D5E279D">
      <w:pPr>
        <w:pStyle w:val="2"/>
        <w:spacing w:line="480" w:lineRule="auto"/>
        <w:jc w:val="center"/>
        <w:rPr>
          <w:rFonts w:hint="eastAsia" w:ascii="宋体" w:hAnsi="宋体" w:eastAsia="宋体" w:cs="宋体"/>
          <w:b/>
          <w:bCs/>
          <w:color w:val="auto"/>
          <w:highlight w:val="none"/>
        </w:rPr>
      </w:pPr>
      <w:bookmarkStart w:id="16" w:name="_Toc7704"/>
      <w:bookmarkStart w:id="17" w:name="_Toc9332"/>
      <w:bookmarkStart w:id="18" w:name="_Toc13614"/>
      <w:bookmarkStart w:id="19" w:name="_Toc9239"/>
      <w:bookmarkStart w:id="20" w:name="_Toc24174"/>
      <w:bookmarkStart w:id="21" w:name="_Toc3319"/>
      <w:r>
        <w:rPr>
          <w:rFonts w:hint="eastAsia" w:ascii="宋体" w:hAnsi="宋体" w:eastAsia="宋体" w:cs="宋体"/>
          <w:b/>
          <w:bCs w:val="0"/>
          <w:color w:val="auto"/>
          <w:sz w:val="32"/>
          <w:szCs w:val="32"/>
          <w:highlight w:val="none"/>
        </w:rPr>
        <w:t>第三章 供应商须知</w:t>
      </w:r>
      <w:bookmarkEnd w:id="16"/>
      <w:bookmarkEnd w:id="17"/>
      <w:bookmarkEnd w:id="18"/>
      <w:bookmarkEnd w:id="19"/>
      <w:bookmarkEnd w:id="20"/>
      <w:bookmarkEnd w:id="21"/>
    </w:p>
    <w:p w14:paraId="13498B5A">
      <w:pPr>
        <w:pStyle w:val="3"/>
        <w:jc w:val="center"/>
        <w:rPr>
          <w:rFonts w:hint="eastAsia" w:ascii="宋体" w:hAnsi="宋体" w:eastAsia="宋体" w:cs="宋体"/>
          <w:b/>
          <w:bCs/>
          <w:color w:val="auto"/>
          <w:sz w:val="32"/>
          <w:szCs w:val="32"/>
          <w:highlight w:val="none"/>
        </w:rPr>
      </w:pPr>
      <w:bookmarkStart w:id="22" w:name="_Toc9482"/>
      <w:bookmarkStart w:id="23" w:name="_Toc30660"/>
      <w:r>
        <w:rPr>
          <w:rFonts w:hint="eastAsia" w:ascii="宋体" w:hAnsi="宋体" w:eastAsia="宋体" w:cs="宋体"/>
          <w:b w:val="0"/>
          <w:bCs/>
          <w:color w:val="auto"/>
          <w:highlight w:val="none"/>
        </w:rPr>
        <w:t>第一节 供应商须知前附表</w:t>
      </w:r>
      <w:bookmarkEnd w:id="22"/>
      <w:bookmarkEnd w:id="23"/>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321"/>
        <w:gridCol w:w="7080"/>
      </w:tblGrid>
      <w:tr w14:paraId="66475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noWrap w:val="0"/>
            <w:vAlign w:val="top"/>
          </w:tcPr>
          <w:p w14:paraId="0BCC7872">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321" w:type="dxa"/>
            <w:noWrap w:val="0"/>
            <w:vAlign w:val="center"/>
          </w:tcPr>
          <w:p w14:paraId="7F9181D2">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7080" w:type="dxa"/>
            <w:noWrap w:val="0"/>
            <w:vAlign w:val="top"/>
          </w:tcPr>
          <w:p w14:paraId="30226397">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7E98D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A46B8F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321" w:type="dxa"/>
            <w:noWrap w:val="0"/>
            <w:vAlign w:val="center"/>
          </w:tcPr>
          <w:p w14:paraId="6B0C67C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7080" w:type="dxa"/>
            <w:noWrap w:val="0"/>
            <w:vAlign w:val="top"/>
          </w:tcPr>
          <w:p w14:paraId="2146DF9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B3B7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61CE68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321" w:type="dxa"/>
            <w:noWrap w:val="0"/>
            <w:vAlign w:val="center"/>
          </w:tcPr>
          <w:p w14:paraId="13BD375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7080" w:type="dxa"/>
            <w:noWrap w:val="0"/>
            <w:vAlign w:val="center"/>
          </w:tcPr>
          <w:p w14:paraId="33438EC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3DE8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4049BDA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321" w:type="dxa"/>
            <w:noWrap w:val="0"/>
            <w:vAlign w:val="center"/>
          </w:tcPr>
          <w:p w14:paraId="5EE24F1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7080" w:type="dxa"/>
            <w:noWrap w:val="0"/>
            <w:vAlign w:val="center"/>
          </w:tcPr>
          <w:p w14:paraId="057C6CE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1E7BF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1CF83DE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321" w:type="dxa"/>
            <w:noWrap w:val="0"/>
            <w:vAlign w:val="center"/>
          </w:tcPr>
          <w:p w14:paraId="2238AFF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7080" w:type="dxa"/>
            <w:noWrap w:val="0"/>
            <w:vAlign w:val="center"/>
          </w:tcPr>
          <w:p w14:paraId="171F27C3">
            <w:pPr>
              <w:pStyle w:val="1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☑不允许分包</w:t>
            </w:r>
          </w:p>
          <w:p w14:paraId="19F0920E">
            <w:pPr>
              <w:pStyle w:val="1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□允许分包</w:t>
            </w:r>
          </w:p>
          <w:p w14:paraId="68866ABF">
            <w:pPr>
              <w:pStyle w:val="11"/>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分包内容：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w:t>
            </w:r>
          </w:p>
          <w:p w14:paraId="730FE159">
            <w:pPr>
              <w:pStyle w:val="1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分包金额或者比例：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w:t>
            </w:r>
          </w:p>
        </w:tc>
      </w:tr>
      <w:tr w14:paraId="7AB4C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35290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321" w:type="dxa"/>
            <w:noWrap w:val="0"/>
            <w:vAlign w:val="center"/>
          </w:tcPr>
          <w:p w14:paraId="712C49A8">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资格证明文件组成</w:t>
            </w:r>
          </w:p>
        </w:tc>
        <w:tc>
          <w:tcPr>
            <w:tcW w:w="7080" w:type="dxa"/>
            <w:noWrap w:val="0"/>
            <w:vAlign w:val="center"/>
          </w:tcPr>
          <w:p w14:paraId="7B39D768">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供应商为法人或者其他组织的提供其营业执照等证明文件复印件（如营业执照或者事业单位法人证书或者执业许可证等），供应商为自然人的提供其有效身份证正反面复印件；</w:t>
            </w:r>
            <w:r>
              <w:rPr>
                <w:rFonts w:hint="eastAsia" w:ascii="宋体" w:hAnsi="宋体" w:eastAsia="宋体" w:cs="宋体"/>
                <w:b/>
                <w:color w:val="auto"/>
                <w:szCs w:val="21"/>
                <w:highlight w:val="none"/>
              </w:rPr>
              <w:t>（必须提供，否则响应文件按无效响应处理）</w:t>
            </w:r>
          </w:p>
          <w:p w14:paraId="2F968D9F">
            <w:pPr>
              <w:spacing w:line="360" w:lineRule="auto"/>
              <w:ind w:firstLine="411" w:firstLineChars="196"/>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2.供应商依法缴纳税收的相关材料；（</w:t>
            </w:r>
            <w:r>
              <w:rPr>
                <w:rFonts w:hint="eastAsia" w:ascii="宋体" w:hAnsi="宋体" w:eastAsia="宋体" w:cs="宋体"/>
                <w:color w:val="auto"/>
                <w:szCs w:val="21"/>
                <w:highlight w:val="none"/>
                <w:u w:val="none"/>
                <w:lang w:val="en-US" w:eastAsia="zh-CN"/>
              </w:rPr>
              <w:t>提供税款所属时期为</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首次响应文件提交</w:t>
            </w:r>
            <w:r>
              <w:rPr>
                <w:rFonts w:hint="eastAsia" w:ascii="宋体" w:hAnsi="宋体" w:eastAsia="宋体" w:cs="宋体"/>
                <w:color w:val="auto"/>
                <w:szCs w:val="21"/>
                <w:highlight w:val="none"/>
                <w:u w:val="none"/>
                <w:lang w:val="en-US" w:eastAsia="zh-CN"/>
              </w:rPr>
              <w:t>截止时间前半年内任意1个月的依法缴纳税收的凭据复印件</w:t>
            </w:r>
            <w:r>
              <w:rPr>
                <w:rFonts w:hint="eastAsia" w:ascii="宋体" w:hAnsi="宋体" w:eastAsia="宋体" w:cs="宋体"/>
                <w:color w:val="auto"/>
                <w:szCs w:val="21"/>
                <w:highlight w:val="none"/>
              </w:rPr>
              <w:t>；依法免税的供应商，必须提供相应文件证明其依法免税。从取得营业执照时间起到首次响应文件提交截止时间为止不足要求月数的，只需提供从取得营业执照起的依法缴纳税收相应证明文件）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eastAsia="宋体" w:cs="宋体"/>
                <w:color w:val="auto"/>
                <w:szCs w:val="21"/>
                <w:highlight w:val="none"/>
                <w:lang w:eastAsia="zh-CN"/>
              </w:rPr>
              <w:t>；</w:t>
            </w:r>
            <w:r>
              <w:rPr>
                <w:rFonts w:hint="eastAsia" w:ascii="宋体" w:hAnsi="宋体" w:eastAsia="宋体" w:cs="宋体"/>
                <w:b/>
                <w:color w:val="auto"/>
                <w:szCs w:val="21"/>
                <w:highlight w:val="none"/>
              </w:rPr>
              <w:t>（必须提供，否则响应文件按无效响应处理）</w:t>
            </w:r>
          </w:p>
          <w:p w14:paraId="23BC0E6C">
            <w:pPr>
              <w:spacing w:line="360" w:lineRule="auto"/>
              <w:ind w:firstLine="411" w:firstLineChars="196"/>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供应商依法缴纳社会保障资金的相关材料；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none"/>
                <w:lang w:val="en-US" w:eastAsia="zh-CN"/>
              </w:rPr>
              <w:t>提供税款所属时期</w:t>
            </w:r>
            <w:r>
              <w:rPr>
                <w:rFonts w:hint="eastAsia" w:ascii="宋体" w:hAnsi="宋体" w:cs="宋体"/>
                <w:color w:val="auto"/>
                <w:szCs w:val="21"/>
                <w:highlight w:val="none"/>
                <w:u w:val="none"/>
                <w:lang w:val="en-US" w:eastAsia="zh-CN"/>
              </w:rPr>
              <w:t>为</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首次响应文件提交</w:t>
            </w:r>
            <w:r>
              <w:rPr>
                <w:rFonts w:hint="eastAsia" w:ascii="宋体" w:hAnsi="宋体" w:eastAsia="宋体" w:cs="宋体"/>
                <w:color w:val="auto"/>
                <w:szCs w:val="21"/>
                <w:highlight w:val="none"/>
                <w:u w:val="none"/>
                <w:lang w:val="en-US" w:eastAsia="zh-CN"/>
              </w:rPr>
              <w:t>截止时间前半年内任意1个月</w:t>
            </w:r>
            <w:r>
              <w:rPr>
                <w:rFonts w:hint="eastAsia" w:ascii="宋体" w:hAnsi="宋体" w:eastAsia="宋体" w:cs="宋体"/>
                <w:color w:val="auto"/>
                <w:szCs w:val="21"/>
                <w:highlight w:val="none"/>
              </w:rPr>
              <w:t>的依法缴纳社会保障资金的缴费凭证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eastAsia="宋体" w:cs="宋体"/>
                <w:color w:val="auto"/>
                <w:szCs w:val="21"/>
                <w:highlight w:val="none"/>
                <w:lang w:eastAsia="zh-CN"/>
              </w:rPr>
              <w:t>）；</w:t>
            </w:r>
            <w:r>
              <w:rPr>
                <w:rFonts w:hint="eastAsia" w:ascii="宋体" w:hAnsi="宋体" w:eastAsia="宋体" w:cs="宋体"/>
                <w:b/>
                <w:color w:val="auto"/>
                <w:szCs w:val="21"/>
                <w:highlight w:val="none"/>
              </w:rPr>
              <w:t>（必须提供，否则响应文件按无效响应处理）</w:t>
            </w:r>
          </w:p>
          <w:p w14:paraId="749157C5">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4.供应商财务状况报告</w:t>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u w:val="none"/>
                <w:lang w:val="en-US" w:eastAsia="zh-CN"/>
              </w:rPr>
              <w:t>2024年或2025年财务状况报告复印件；供应商成立不满一年的应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6B0F9C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5.供应商直接控股、管理关系信息表（格式后附）；</w:t>
            </w:r>
            <w:r>
              <w:rPr>
                <w:rFonts w:hint="eastAsia" w:ascii="宋体" w:hAnsi="宋体" w:eastAsia="宋体" w:cs="宋体"/>
                <w:b/>
                <w:color w:val="auto"/>
                <w:szCs w:val="21"/>
                <w:highlight w:val="none"/>
              </w:rPr>
              <w:t>（必须提供，否则响应文件按无效响应处理）</w:t>
            </w:r>
          </w:p>
          <w:p w14:paraId="172547A6">
            <w:pPr>
              <w:spacing w:line="360" w:lineRule="auto"/>
              <w:ind w:firstLine="411" w:firstLineChars="196"/>
              <w:rPr>
                <w:rFonts w:hint="eastAsia" w:ascii="宋体" w:hAnsi="宋体" w:eastAsia="宋体" w:cs="宋体"/>
                <w:b/>
                <w:color w:val="auto"/>
                <w:szCs w:val="21"/>
                <w:highlight w:val="none"/>
              </w:rPr>
            </w:pPr>
            <w:bookmarkStart w:id="24" w:name="OLE_LINK28"/>
            <w:r>
              <w:rPr>
                <w:rFonts w:hint="eastAsia" w:ascii="宋体" w:hAnsi="宋体" w:eastAsia="宋体" w:cs="宋体"/>
                <w:color w:val="auto"/>
                <w:szCs w:val="21"/>
                <w:highlight w:val="none"/>
              </w:rPr>
              <w:t>6.资格声明函</w:t>
            </w:r>
            <w:bookmarkEnd w:id="24"/>
            <w:r>
              <w:rPr>
                <w:rFonts w:hint="eastAsia" w:ascii="宋体" w:hAnsi="宋体" w:eastAsia="宋体" w:cs="宋体"/>
                <w:color w:val="auto"/>
                <w:szCs w:val="21"/>
                <w:highlight w:val="none"/>
              </w:rPr>
              <w:t>（格式后附）；</w:t>
            </w:r>
            <w:r>
              <w:rPr>
                <w:rFonts w:hint="eastAsia" w:ascii="宋体" w:hAnsi="宋体" w:eastAsia="宋体" w:cs="宋体"/>
                <w:b/>
                <w:color w:val="auto"/>
                <w:szCs w:val="21"/>
                <w:highlight w:val="none"/>
              </w:rPr>
              <w:t>（必须提供，否则响应文件按无效响应处理）</w:t>
            </w:r>
          </w:p>
          <w:p w14:paraId="5F40CC50">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本项目的特定资格要求：具有建筑工程施工总承包三级及以上资质，且具有有效的安全生产许可证，并在人员、设备、资金等方面具备相应的施工能力的企业，其中拟派项目经理须具有建筑工程专业贰级以上（含贰级）注册建造师执业资格，且具有有效的安全生产考核合格证书（B类）</w:t>
            </w:r>
            <w:r>
              <w:rPr>
                <w:rFonts w:hint="eastAsia" w:ascii="宋体" w:hAnsi="宋体" w:eastAsia="宋体" w:cs="宋体"/>
                <w:color w:val="auto"/>
                <w:szCs w:val="21"/>
                <w:highlight w:val="none"/>
                <w:lang w:eastAsia="zh-CN"/>
              </w:rPr>
              <w:t>；</w:t>
            </w:r>
            <w:r>
              <w:rPr>
                <w:rFonts w:hint="eastAsia" w:ascii="宋体" w:hAnsi="宋体" w:eastAsia="宋体" w:cs="宋体"/>
                <w:b/>
                <w:bCs/>
                <w:color w:val="auto"/>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b/>
                <w:bCs/>
                <w:color w:val="auto"/>
                <w:highlight w:val="none"/>
              </w:rPr>
              <w:t>）</w:t>
            </w:r>
          </w:p>
          <w:p w14:paraId="17065BA2">
            <w:pPr>
              <w:snapToGrid w:val="0"/>
              <w:spacing w:line="380" w:lineRule="exact"/>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eastAsia="宋体" w:cs="宋体"/>
                <w:color w:val="auto"/>
                <w:szCs w:val="21"/>
                <w:highlight w:val="none"/>
                <w:lang w:eastAsia="zh-CN"/>
              </w:rPr>
              <w:t>；</w:t>
            </w:r>
            <w:r>
              <w:rPr>
                <w:rFonts w:hint="eastAsia" w:ascii="宋体" w:hAnsi="宋体" w:eastAsia="宋体" w:cs="宋体"/>
                <w:b/>
                <w:color w:val="auto"/>
                <w:szCs w:val="21"/>
                <w:highlight w:val="none"/>
              </w:rPr>
              <w:t>（必须提供，否则响应文件按无效响应处理）</w:t>
            </w:r>
          </w:p>
          <w:p w14:paraId="0F3FC29A">
            <w:pPr>
              <w:snapToGri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.除竞争性磋商文件规定必须提供以外，供应商认为需要提供的其他证明材料。</w:t>
            </w:r>
          </w:p>
          <w:p w14:paraId="0A23329D">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1727CFA4">
            <w:pPr>
              <w:spacing w:line="360" w:lineRule="auto"/>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1.以上标明“必须提供”材料复印件的，必须加盖供应商CA签章，否则电子响应文件作无效处理。</w:t>
            </w:r>
          </w:p>
          <w:p w14:paraId="06284336">
            <w:pPr>
              <w:spacing w:line="360" w:lineRule="auto"/>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电子响应文件中所须加盖公章部分均采用CA签章。若竞争性磋商文件中有专门标注的某关联点，并要求供应商在电子投标系统中作出磋商响应的，如供应商未对关联点进行响应或者在电子响应文件其它内容进行描述，造成电子评审不能查询的责任由供应商自行承担。</w:t>
            </w:r>
          </w:p>
          <w:p w14:paraId="774B5B65">
            <w:pPr>
              <w:pStyle w:val="11"/>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3.以上材料未附格式的，由供应商自行拟定。</w:t>
            </w:r>
          </w:p>
        </w:tc>
      </w:tr>
      <w:tr w14:paraId="7CB30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764C747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321" w:type="dxa"/>
            <w:noWrap w:val="0"/>
            <w:vAlign w:val="center"/>
          </w:tcPr>
          <w:p w14:paraId="59CF9112">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7080" w:type="dxa"/>
            <w:noWrap w:val="0"/>
            <w:vAlign w:val="center"/>
          </w:tcPr>
          <w:p w14:paraId="33D2B7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响应函</w:t>
            </w:r>
            <w:r>
              <w:rPr>
                <w:rFonts w:hint="eastAsia" w:ascii="宋体" w:hAnsi="宋体" w:eastAsia="宋体" w:cs="宋体"/>
                <w:color w:val="auto"/>
                <w:szCs w:val="21"/>
                <w:highlight w:val="none"/>
              </w:rPr>
              <w:t>（格式后附）；</w:t>
            </w:r>
            <w:r>
              <w:rPr>
                <w:rFonts w:hint="eastAsia" w:ascii="宋体" w:hAnsi="宋体" w:eastAsia="宋体" w:cs="宋体"/>
                <w:b/>
                <w:color w:val="auto"/>
                <w:szCs w:val="21"/>
                <w:highlight w:val="none"/>
              </w:rPr>
              <w:t>（必须提供，否则响应文件按无效响应处理）</w:t>
            </w:r>
          </w:p>
          <w:p w14:paraId="35A51D24">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响应函</w:t>
            </w:r>
            <w:r>
              <w:rPr>
                <w:rFonts w:hint="eastAsia" w:ascii="宋体" w:hAnsi="宋体" w:eastAsia="宋体" w:cs="宋体"/>
                <w:color w:val="auto"/>
                <w:szCs w:val="21"/>
                <w:highlight w:val="none"/>
                <w:lang w:val="en-US" w:eastAsia="zh-CN"/>
              </w:rPr>
              <w:t>附录</w:t>
            </w:r>
            <w:r>
              <w:rPr>
                <w:rFonts w:hint="eastAsia" w:ascii="宋体" w:hAnsi="宋体" w:eastAsia="宋体" w:cs="宋体"/>
                <w:color w:val="auto"/>
                <w:szCs w:val="21"/>
                <w:highlight w:val="none"/>
              </w:rPr>
              <w:t>（格式后附）；</w:t>
            </w:r>
            <w:r>
              <w:rPr>
                <w:rFonts w:hint="eastAsia" w:ascii="宋体" w:hAnsi="宋体" w:eastAsia="宋体" w:cs="宋体"/>
                <w:b/>
                <w:color w:val="auto"/>
                <w:szCs w:val="21"/>
                <w:highlight w:val="none"/>
              </w:rPr>
              <w:t>（必须提供，否则响应文件按无效响应处理）</w:t>
            </w:r>
          </w:p>
          <w:p w14:paraId="56A0579F">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响应报价表</w:t>
            </w:r>
            <w:r>
              <w:rPr>
                <w:rFonts w:hint="eastAsia" w:ascii="宋体" w:hAnsi="宋体" w:eastAsia="宋体" w:cs="宋体"/>
                <w:b w:val="0"/>
                <w:bCs/>
                <w:color w:val="auto"/>
                <w:szCs w:val="21"/>
                <w:highlight w:val="none"/>
              </w:rPr>
              <w:t>（格式后附）；</w:t>
            </w:r>
            <w:r>
              <w:rPr>
                <w:rFonts w:hint="eastAsia" w:ascii="宋体" w:hAnsi="宋体" w:eastAsia="宋体" w:cs="宋体"/>
                <w:b/>
                <w:color w:val="auto"/>
                <w:szCs w:val="21"/>
                <w:highlight w:val="none"/>
              </w:rPr>
              <w:t>（必须提供，否则响应文件按无效响应处理）</w:t>
            </w:r>
          </w:p>
          <w:p w14:paraId="50A1FC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.已标价工程量清单；</w:t>
            </w:r>
            <w:r>
              <w:rPr>
                <w:rFonts w:hint="eastAsia" w:ascii="宋体" w:hAnsi="宋体" w:eastAsia="宋体" w:cs="宋体"/>
                <w:b/>
                <w:color w:val="auto"/>
                <w:szCs w:val="21"/>
                <w:highlight w:val="none"/>
              </w:rPr>
              <w:t>（必须提供，否则响应文件按无效响应处理）</w:t>
            </w:r>
          </w:p>
          <w:p w14:paraId="01F41F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5.供应商认为需要提供的其他有关资料。</w:t>
            </w:r>
          </w:p>
        </w:tc>
      </w:tr>
      <w:tr w14:paraId="6D170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A5CCB49">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12.1.3</w:t>
            </w:r>
          </w:p>
        </w:tc>
        <w:tc>
          <w:tcPr>
            <w:tcW w:w="2321" w:type="dxa"/>
            <w:noWrap w:val="0"/>
            <w:vAlign w:val="center"/>
          </w:tcPr>
          <w:p w14:paraId="4E45E087">
            <w:pPr>
              <w:spacing w:line="360"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商务技术文件</w:t>
            </w:r>
            <w:r>
              <w:rPr>
                <w:rFonts w:hint="eastAsia" w:ascii="宋体" w:hAnsi="宋体" w:eastAsia="宋体" w:cs="宋体"/>
                <w:b/>
                <w:bCs/>
                <w:color w:val="auto"/>
                <w:szCs w:val="21"/>
                <w:highlight w:val="none"/>
                <w:lang w:val="en-US" w:eastAsia="zh-CN"/>
              </w:rPr>
              <w:t>组成</w:t>
            </w:r>
          </w:p>
        </w:tc>
        <w:tc>
          <w:tcPr>
            <w:tcW w:w="7080" w:type="dxa"/>
            <w:noWrap w:val="0"/>
            <w:vAlign w:val="center"/>
          </w:tcPr>
          <w:p w14:paraId="53581689">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1.无串通竞标行为的承诺函（格式后附）；</w:t>
            </w:r>
            <w:r>
              <w:rPr>
                <w:rFonts w:hint="eastAsia" w:ascii="宋体" w:hAnsi="宋体" w:eastAsia="宋体" w:cs="宋体"/>
                <w:b/>
                <w:color w:val="auto"/>
                <w:szCs w:val="21"/>
                <w:highlight w:val="none"/>
              </w:rPr>
              <w:t>（必须提供，否则响应文件按无效响应处理）</w:t>
            </w:r>
          </w:p>
          <w:p w14:paraId="5C7A4E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2.法定代表人身份证明书及法定代表人有效身份证正反面复印件（格式后附）；</w:t>
            </w:r>
            <w:r>
              <w:rPr>
                <w:rFonts w:hint="eastAsia" w:ascii="宋体" w:hAnsi="宋体" w:eastAsia="宋体" w:cs="宋体"/>
                <w:b/>
                <w:color w:val="auto"/>
                <w:szCs w:val="21"/>
                <w:highlight w:val="none"/>
              </w:rPr>
              <w:t>（必须提供，否则响应文件按无效响应处理）</w:t>
            </w:r>
          </w:p>
          <w:p w14:paraId="788D0BAA">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3.授权委托书及委托代理人有效身份证正反面复印件（格式后附）；</w:t>
            </w:r>
            <w:r>
              <w:rPr>
                <w:rFonts w:hint="eastAsia" w:ascii="宋体" w:hAnsi="宋体" w:eastAsia="宋体" w:cs="宋体"/>
                <w:b/>
                <w:color w:val="auto"/>
                <w:szCs w:val="21"/>
                <w:highlight w:val="none"/>
              </w:rPr>
              <w:t>（必须提供，否则响应文件按无效响应处理）</w:t>
            </w:r>
          </w:p>
          <w:p w14:paraId="69846A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4.磋商保证金提交凭证；</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如有</w:t>
            </w:r>
            <w:r>
              <w:rPr>
                <w:rFonts w:hint="eastAsia" w:ascii="宋体" w:hAnsi="宋体" w:eastAsia="宋体" w:cs="宋体"/>
                <w:b/>
                <w:color w:val="auto"/>
                <w:szCs w:val="21"/>
                <w:highlight w:val="none"/>
              </w:rPr>
              <w:t>）</w:t>
            </w:r>
          </w:p>
          <w:p w14:paraId="5F38B0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5.商务条款偏离表（格式后附）；</w:t>
            </w:r>
            <w:r>
              <w:rPr>
                <w:rFonts w:hint="eastAsia" w:ascii="宋体" w:hAnsi="宋体" w:eastAsia="宋体" w:cs="宋体"/>
                <w:b/>
                <w:color w:val="auto"/>
                <w:szCs w:val="21"/>
                <w:highlight w:val="none"/>
              </w:rPr>
              <w:t>（必须提供，否则响应文件按无效响应处理）</w:t>
            </w:r>
          </w:p>
          <w:p w14:paraId="464529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6.建设工程项目管理承诺书（格式后附）；</w:t>
            </w:r>
            <w:r>
              <w:rPr>
                <w:rFonts w:hint="eastAsia" w:ascii="宋体" w:hAnsi="宋体" w:eastAsia="宋体" w:cs="宋体"/>
                <w:b/>
                <w:color w:val="auto"/>
                <w:szCs w:val="21"/>
                <w:highlight w:val="none"/>
              </w:rPr>
              <w:t>（必须提供，否则响应文件按无效响应处理）</w:t>
            </w:r>
          </w:p>
          <w:p w14:paraId="69FDE1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技术需求偏离表（格式后附）；</w:t>
            </w:r>
            <w:r>
              <w:rPr>
                <w:rFonts w:hint="eastAsia" w:ascii="宋体" w:hAnsi="宋体" w:eastAsia="宋体" w:cs="宋体"/>
                <w:b/>
                <w:color w:val="auto"/>
                <w:szCs w:val="21"/>
                <w:highlight w:val="none"/>
              </w:rPr>
              <w:t>（必须提供，否则响应文件按无效响应处理）</w:t>
            </w:r>
          </w:p>
          <w:p w14:paraId="2BB831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.施工组织设计（格式自拟）；</w:t>
            </w:r>
            <w:r>
              <w:rPr>
                <w:rFonts w:hint="eastAsia" w:ascii="宋体" w:hAnsi="宋体" w:eastAsia="宋体" w:cs="宋体"/>
                <w:b/>
                <w:color w:val="auto"/>
                <w:szCs w:val="21"/>
                <w:highlight w:val="none"/>
              </w:rPr>
              <w:t>（必须提供，否则响应文件按无效响应处理）</w:t>
            </w:r>
          </w:p>
          <w:p w14:paraId="1D308E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.项目管理机构配备情况表及主要人员简历表（格式自拟）；</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 xml:space="preserve"> </w:t>
            </w:r>
          </w:p>
          <w:p w14:paraId="09F44A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.供应商认为需要提供的其他有关资料。</w:t>
            </w:r>
          </w:p>
          <w:p w14:paraId="78D6B281">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注：1.以上标明“必须提供”材料复印件的，必须加盖供应商CA签章，否则电子响应文件作无效处理。</w:t>
            </w:r>
          </w:p>
          <w:p w14:paraId="7FE4BC5F">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电子响应文件中所须加盖公章部分均采用CA签章。若竞争性磋商文件中有专门标注的某关联点，并要求供应商在电子投标系统中作出磋商响应的，如供应商未对关联点进行响应或者在电子响应文件其它内容进行描述，造成电子评审不能查询的责任由供应商自行承担。</w:t>
            </w:r>
          </w:p>
          <w:p w14:paraId="2521E304">
            <w:pPr>
              <w:spacing w:line="360" w:lineRule="auto"/>
              <w:ind w:firstLine="422" w:firstLineChars="200"/>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rPr>
              <w:t>3.以上材料未附格式的，由供应商自行拟定。</w:t>
            </w:r>
          </w:p>
        </w:tc>
      </w:tr>
      <w:tr w14:paraId="4A1F4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649212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321" w:type="dxa"/>
            <w:noWrap w:val="0"/>
            <w:vAlign w:val="center"/>
          </w:tcPr>
          <w:p w14:paraId="3F93BB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7080" w:type="dxa"/>
            <w:noWrap w:val="0"/>
            <w:vAlign w:val="center"/>
          </w:tcPr>
          <w:p w14:paraId="3F35E80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1.响应文件电子版要求：按照本采购文件“第五章 响应文件格式”编写（第五章未附格式的，由供应商自行拟定），并在规定加盖公章处加盖公章，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24C155F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2.响应文件电子版密封方式：电子响应文件通过平台有效CA加密后在“广西政府采购云平台”平台投送。</w:t>
            </w:r>
          </w:p>
        </w:tc>
      </w:tr>
      <w:tr w14:paraId="27240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4F048122">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15.1</w:t>
            </w:r>
          </w:p>
        </w:tc>
        <w:tc>
          <w:tcPr>
            <w:tcW w:w="2321" w:type="dxa"/>
            <w:noWrap w:val="0"/>
            <w:vAlign w:val="center"/>
          </w:tcPr>
          <w:p w14:paraId="790F636E">
            <w:pPr>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工程量清单的填写方式</w:t>
            </w:r>
          </w:p>
        </w:tc>
        <w:tc>
          <w:tcPr>
            <w:tcW w:w="7080" w:type="dxa"/>
            <w:noWrap w:val="0"/>
            <w:vAlign w:val="center"/>
          </w:tcPr>
          <w:p w14:paraId="268A7FAA">
            <w:pPr>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□供应商按照采购人提供的工程量固化清单电子文件填写工程量清单。</w:t>
            </w:r>
          </w:p>
          <w:p w14:paraId="4BAECEF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☑供应商按照采购人提供的工程量清单编写工程量清单。</w:t>
            </w:r>
          </w:p>
        </w:tc>
      </w:tr>
      <w:tr w14:paraId="161FB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BD91EC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321" w:type="dxa"/>
            <w:noWrap w:val="0"/>
            <w:vAlign w:val="center"/>
          </w:tcPr>
          <w:p w14:paraId="45B787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响应报价的价格构成</w:t>
            </w:r>
          </w:p>
        </w:tc>
        <w:tc>
          <w:tcPr>
            <w:tcW w:w="7080" w:type="dxa"/>
            <w:noWrap w:val="0"/>
            <w:vAlign w:val="center"/>
          </w:tcPr>
          <w:p w14:paraId="7227B982">
            <w:pPr>
              <w:spacing w:line="360" w:lineRule="auto"/>
              <w:contextualSpacing/>
              <w:jc w:val="left"/>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竞标报价是履行合同的最终价格，包括为实施和完成合同工程所需的劳务、材料、机械、质检（自检）、缺陷修复、管理、保险、税费、利润和</w:t>
            </w:r>
            <w:r>
              <w:rPr>
                <w:rFonts w:hint="eastAsia" w:ascii="宋体" w:hAnsi="宋体" w:eastAsia="宋体" w:cs="宋体"/>
                <w:b w:val="0"/>
                <w:bCs/>
                <w:color w:val="auto"/>
                <w:highlight w:val="none"/>
              </w:rPr>
              <w:t>验收费用</w:t>
            </w:r>
            <w:r>
              <w:rPr>
                <w:rFonts w:hint="eastAsia" w:ascii="宋体" w:hAnsi="宋体" w:eastAsia="宋体" w:cs="宋体"/>
                <w:b w:val="0"/>
                <w:bCs/>
                <w:color w:val="auto"/>
                <w:szCs w:val="21"/>
                <w:highlight w:val="none"/>
              </w:rPr>
              <w:t>等</w:t>
            </w:r>
            <w:r>
              <w:rPr>
                <w:rFonts w:hint="eastAsia" w:ascii="宋体" w:hAnsi="宋体" w:eastAsia="宋体" w:cs="宋体"/>
                <w:color w:val="auto"/>
                <w:szCs w:val="21"/>
                <w:highlight w:val="none"/>
              </w:rPr>
              <w:t>费用，以及合同明示或暗示的所有责任、义务和一般风险。</w:t>
            </w:r>
          </w:p>
        </w:tc>
      </w:tr>
      <w:tr w14:paraId="20C80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5FF338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w:t>
            </w:r>
          </w:p>
        </w:tc>
        <w:tc>
          <w:tcPr>
            <w:tcW w:w="2321" w:type="dxa"/>
            <w:noWrap w:val="0"/>
            <w:vAlign w:val="center"/>
          </w:tcPr>
          <w:p w14:paraId="1BD035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供应商的响应报价要求</w:t>
            </w:r>
          </w:p>
        </w:tc>
        <w:tc>
          <w:tcPr>
            <w:tcW w:w="7080" w:type="dxa"/>
            <w:noWrap w:val="0"/>
            <w:vAlign w:val="center"/>
          </w:tcPr>
          <w:p w14:paraId="0B84BAC5">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1.本项目增值税计税方法：☑一般计税法         □简易计税法</w:t>
            </w:r>
          </w:p>
          <w:p w14:paraId="6ED5A485">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【备注：根据《关于全面推开营业税改征增值税试点的通知》（财税〔2016〕36号）、《关于建筑服务等营改增试点政策的通知》（财税〔2017〕58号）文件规定选择】</w:t>
            </w:r>
          </w:p>
          <w:p w14:paraId="6962FFF5">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2.本项目采用工程量清单报价方式，供应商应依据竞争性磋商文件、采购人提供的工程量清单</w:t>
            </w:r>
            <w:r>
              <w:rPr>
                <w:rFonts w:hint="eastAsia" w:ascii="宋体" w:hAnsi="宋体" w:eastAsia="宋体" w:cs="宋体"/>
                <w:color w:val="auto"/>
                <w:szCs w:val="21"/>
                <w:highlight w:val="none"/>
              </w:rPr>
              <w:t>编写</w:t>
            </w:r>
            <w:r>
              <w:rPr>
                <w:rFonts w:hint="eastAsia" w:ascii="宋体" w:hAnsi="宋体" w:eastAsia="宋体" w:cs="宋体"/>
                <w:color w:val="auto"/>
                <w:szCs w:val="21"/>
                <w:highlight w:val="none"/>
                <w:lang w:eastAsia="zh-CN"/>
              </w:rPr>
              <w:t>已标价</w:t>
            </w:r>
            <w:r>
              <w:rPr>
                <w:rFonts w:hint="eastAsia" w:ascii="宋体" w:hAnsi="宋体" w:eastAsia="宋体" w:cs="宋体"/>
                <w:color w:val="auto"/>
                <w:szCs w:val="21"/>
                <w:highlight w:val="none"/>
              </w:rPr>
              <w:t>工程量清单</w:t>
            </w:r>
            <w:r>
              <w:rPr>
                <w:rFonts w:hint="eastAsia" w:ascii="宋体" w:hAnsi="宋体" w:eastAsia="宋体" w:cs="宋体"/>
                <w:color w:val="auto"/>
                <w:highlight w:val="none"/>
              </w:rPr>
              <w:t>。</w:t>
            </w:r>
          </w:p>
          <w:p w14:paraId="537E9245">
            <w:pPr>
              <w:snapToGrid w:val="0"/>
              <w:spacing w:line="360" w:lineRule="auto"/>
              <w:jc w:val="left"/>
              <w:rPr>
                <w:rFonts w:hint="eastAsia" w:ascii="宋体" w:hAnsi="宋体" w:eastAsia="宋体" w:cs="宋体"/>
                <w:b/>
                <w:bCs/>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b/>
                <w:bCs/>
                <w:color w:val="auto"/>
                <w:highlight w:val="none"/>
              </w:rPr>
              <w:t>响应报价（包含首次报价、最后报价）应提交相应的已标价工程量清单，最后报价</w:t>
            </w:r>
            <w:r>
              <w:rPr>
                <w:rFonts w:hint="eastAsia" w:ascii="宋体" w:hAnsi="宋体" w:eastAsia="宋体" w:cs="宋体"/>
                <w:b/>
                <w:bCs/>
                <w:color w:val="auto"/>
                <w:szCs w:val="21"/>
                <w:highlight w:val="none"/>
              </w:rPr>
              <w:t>不得以总价下浮的方式做最后报价，</w:t>
            </w:r>
            <w:r>
              <w:rPr>
                <w:rFonts w:hint="eastAsia" w:ascii="宋体" w:hAnsi="宋体" w:eastAsia="宋体" w:cs="宋体"/>
                <w:b/>
                <w:bCs/>
                <w:color w:val="auto"/>
                <w:highlight w:val="none"/>
              </w:rPr>
              <w:t>否则响应文件按无效响应处理。</w:t>
            </w:r>
          </w:p>
          <w:p w14:paraId="2369AD7C">
            <w:pPr>
              <w:snapToGrid w:val="0"/>
              <w:spacing w:line="360" w:lineRule="auto"/>
              <w:jc w:val="left"/>
              <w:rPr>
                <w:rFonts w:hint="eastAsia" w:ascii="宋体" w:hAnsi="宋体" w:eastAsia="宋体" w:cs="宋体"/>
                <w:color w:val="auto"/>
                <w:highlight w:val="none"/>
              </w:rPr>
            </w:pPr>
            <w:r>
              <w:rPr>
                <w:rFonts w:hint="eastAsia" w:ascii="宋体" w:hAnsi="宋体" w:eastAsia="宋体" w:cs="宋体"/>
                <w:b/>
                <w:bCs/>
                <w:color w:val="auto"/>
                <w:highlight w:val="none"/>
              </w:rPr>
              <w:t>重要提示：</w:t>
            </w:r>
            <w:r>
              <w:rPr>
                <w:rFonts w:hint="eastAsia" w:ascii="宋体" w:hAnsi="宋体" w:eastAsia="宋体" w:cs="宋体"/>
                <w:b/>
                <w:bCs/>
                <w:color w:val="auto"/>
                <w:szCs w:val="21"/>
                <w:highlight w:val="none"/>
              </w:rPr>
              <w:t>最后报价有时间限制，供应商须按竞争性磋商文件“第五章 响应文件格式”内容提前准备最后报价表、已标价工程量清单并按时提交最后报价，以免耽误最后报价</w:t>
            </w:r>
            <w:r>
              <w:rPr>
                <w:rFonts w:hint="eastAsia" w:ascii="宋体" w:hAnsi="宋体" w:eastAsia="宋体" w:cs="宋体"/>
                <w:b/>
                <w:bCs/>
                <w:color w:val="auto"/>
                <w:szCs w:val="21"/>
                <w:highlight w:val="none"/>
                <w:lang w:val="zh-CN"/>
              </w:rPr>
              <w:t>。</w:t>
            </w:r>
          </w:p>
        </w:tc>
      </w:tr>
      <w:tr w14:paraId="1AB14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7DD12C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321" w:type="dxa"/>
            <w:noWrap w:val="0"/>
            <w:vAlign w:val="center"/>
          </w:tcPr>
          <w:p w14:paraId="2F9787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7080" w:type="dxa"/>
            <w:noWrap w:val="0"/>
            <w:vAlign w:val="center"/>
          </w:tcPr>
          <w:p w14:paraId="27865896">
            <w:pPr>
              <w:pStyle w:val="10"/>
              <w:widowControl w:val="0"/>
              <w:tabs>
                <w:tab w:val="clear" w:pos="454"/>
              </w:tabs>
              <w:snapToGrid w:val="0"/>
              <w:spacing w:afterLines="0" w:line="360" w:lineRule="auto"/>
              <w:ind w:left="283" w:hanging="283" w:hanging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60 </w:t>
            </w:r>
            <w:r>
              <w:rPr>
                <w:rFonts w:hint="eastAsia" w:ascii="宋体" w:hAnsi="宋体" w:eastAsia="宋体" w:cs="宋体"/>
                <w:color w:val="auto"/>
                <w:kern w:val="2"/>
                <w:sz w:val="21"/>
                <w:szCs w:val="21"/>
                <w:highlight w:val="none"/>
              </w:rPr>
              <w:t>日。</w:t>
            </w:r>
          </w:p>
        </w:tc>
      </w:tr>
      <w:tr w14:paraId="43250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A5B219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321" w:type="dxa"/>
            <w:noWrap w:val="0"/>
            <w:vAlign w:val="center"/>
          </w:tcPr>
          <w:p w14:paraId="08C4F39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7080" w:type="dxa"/>
            <w:noWrap w:val="0"/>
            <w:vAlign w:val="center"/>
          </w:tcPr>
          <w:p w14:paraId="768D7A86">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磋商保证金。</w:t>
            </w:r>
          </w:p>
          <w:p w14:paraId="1BF220F3">
            <w:p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本项目需要缴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磋商保证金，相关要求如下：</w:t>
            </w:r>
          </w:p>
          <w:p w14:paraId="355C03BD">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1.磋商保证金的缴纳方式：详见竞争性磋商公告。</w:t>
            </w:r>
          </w:p>
          <w:p w14:paraId="61B6594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2.磋商保证金的金额：详见竞争性磋商公告。</w:t>
            </w:r>
          </w:p>
          <w:p w14:paraId="4CEC0CC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3.磋商保证金采用银行转账缴纳方式的，在首次响应文件提交截止时间前交至采购代理机构指定账户并且到账，供应商应将银行转账底单的复印件作为磋商保证金提交凭证，放置于商务文件中，</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0194B28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磋商保证金采用支票、汇票、本票或者金融机构、担保机构出具的保函等缴纳方式的，供应商应将支票、汇票、本票或者金融机构、担保机构出具的保函等的复印件作为磋商保证金提交凭证，放置于商务文件中，</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。供应商必须在</w:t>
            </w:r>
            <w:r>
              <w:rPr>
                <w:rFonts w:hint="eastAsia" w:ascii="宋体" w:hAnsi="宋体" w:eastAsia="宋体" w:cs="宋体"/>
                <w:color w:val="auto"/>
                <w:kern w:val="0"/>
                <w:szCs w:val="21"/>
                <w:highlight w:val="none"/>
              </w:rPr>
              <w:t>首次响应文件提交截止时间前</w:t>
            </w:r>
            <w:r>
              <w:rPr>
                <w:rFonts w:hint="eastAsia" w:ascii="宋体" w:hAnsi="宋体" w:eastAsia="宋体" w:cs="宋体"/>
                <w:color w:val="auto"/>
                <w:szCs w:val="21"/>
                <w:highlight w:val="none"/>
              </w:rPr>
              <w:t>将支票、汇票、本票或者金融机构、担保机构出具的保函等原件提交给采购代理机构，由采购代理机构向供应商出具回执，并妥善保管。</w:t>
            </w:r>
          </w:p>
          <w:p w14:paraId="00F8FB8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5.磋商保证金指定账户：详见竞争性磋商公告。</w:t>
            </w:r>
          </w:p>
          <w:p w14:paraId="1F105967">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6.供应商为联合体的，可以由联合体中的一方或者多方共同缴纳磋商保证金，其缴纳的磋商保证金对联合体各方均具有约束力。</w:t>
            </w:r>
          </w:p>
          <w:p w14:paraId="24466418">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备注： </w:t>
            </w:r>
          </w:p>
          <w:p w14:paraId="53575C18">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1.磋商保证金在首次响应文件提交截止时间后提交的，或者不按规定缴纳方式缴纳的，或者未足额缴纳的（包含保函额度不足的），视为无效磋商保证金。</w:t>
            </w:r>
          </w:p>
          <w:p w14:paraId="5C285E95">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2.供应商采用现金方式或者从个人账户（自然人竞标除外）转出的磋商保证金，视为无效磋商保证金。</w:t>
            </w:r>
          </w:p>
          <w:p w14:paraId="402B3DB0">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3.支票、汇票或者本票出现无效或者背书情形的，视为无效磋商保证金。</w:t>
            </w:r>
          </w:p>
          <w:p w14:paraId="1B6CE0FF">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4.保函有效期低于竞标有效期的，视为无效磋商保证金。</w:t>
            </w:r>
          </w:p>
          <w:p w14:paraId="51D0B6B1">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5.采用金融、担保机构出具保函的，必须为无条件保函，否则视为无效磋商保证金。</w:t>
            </w:r>
          </w:p>
        </w:tc>
      </w:tr>
      <w:tr w14:paraId="1F125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restart"/>
            <w:noWrap w:val="0"/>
            <w:vAlign w:val="center"/>
          </w:tcPr>
          <w:p w14:paraId="3EF635B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321" w:type="dxa"/>
            <w:noWrap w:val="0"/>
            <w:vAlign w:val="center"/>
          </w:tcPr>
          <w:p w14:paraId="29E47C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31BF99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提交截止时间</w:t>
            </w:r>
          </w:p>
        </w:tc>
        <w:tc>
          <w:tcPr>
            <w:tcW w:w="7080" w:type="dxa"/>
            <w:noWrap w:val="0"/>
            <w:vAlign w:val="center"/>
          </w:tcPr>
          <w:p w14:paraId="2698E99C">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D76B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noWrap w:val="0"/>
            <w:vAlign w:val="center"/>
          </w:tcPr>
          <w:p w14:paraId="455E122D">
            <w:pPr>
              <w:spacing w:line="360" w:lineRule="auto"/>
              <w:jc w:val="center"/>
              <w:rPr>
                <w:rFonts w:hint="eastAsia" w:ascii="宋体" w:hAnsi="宋体" w:eastAsia="宋体" w:cs="宋体"/>
                <w:color w:val="auto"/>
                <w:szCs w:val="21"/>
                <w:highlight w:val="none"/>
              </w:rPr>
            </w:pPr>
          </w:p>
        </w:tc>
        <w:tc>
          <w:tcPr>
            <w:tcW w:w="2321" w:type="dxa"/>
            <w:noWrap w:val="0"/>
            <w:vAlign w:val="center"/>
          </w:tcPr>
          <w:p w14:paraId="559DBE9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34906B7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开启时间</w:t>
            </w:r>
          </w:p>
        </w:tc>
        <w:tc>
          <w:tcPr>
            <w:tcW w:w="7080" w:type="dxa"/>
            <w:noWrap w:val="0"/>
            <w:vAlign w:val="center"/>
          </w:tcPr>
          <w:p w14:paraId="60BAE6E2">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61171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noWrap w:val="0"/>
            <w:vAlign w:val="center"/>
          </w:tcPr>
          <w:p w14:paraId="70C18B94">
            <w:pPr>
              <w:spacing w:line="360" w:lineRule="auto"/>
              <w:jc w:val="center"/>
              <w:rPr>
                <w:rFonts w:hint="eastAsia" w:ascii="宋体" w:hAnsi="宋体" w:eastAsia="宋体" w:cs="宋体"/>
                <w:color w:val="auto"/>
                <w:szCs w:val="21"/>
                <w:highlight w:val="none"/>
              </w:rPr>
            </w:pPr>
          </w:p>
        </w:tc>
        <w:tc>
          <w:tcPr>
            <w:tcW w:w="2321" w:type="dxa"/>
            <w:noWrap w:val="0"/>
            <w:vAlign w:val="center"/>
          </w:tcPr>
          <w:p w14:paraId="33FC48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7080" w:type="dxa"/>
            <w:noWrap w:val="0"/>
            <w:vAlign w:val="center"/>
          </w:tcPr>
          <w:p w14:paraId="42DA0C58">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7355C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14:paraId="6DFE6F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321" w:type="dxa"/>
            <w:noWrap w:val="0"/>
            <w:vAlign w:val="center"/>
          </w:tcPr>
          <w:p w14:paraId="32DF7A5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7080" w:type="dxa"/>
            <w:noWrap w:val="0"/>
            <w:vAlign w:val="center"/>
          </w:tcPr>
          <w:p w14:paraId="744168D6">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0BCBF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14:paraId="1122E05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321" w:type="dxa"/>
            <w:noWrap w:val="0"/>
            <w:vAlign w:val="center"/>
          </w:tcPr>
          <w:p w14:paraId="5348F89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首次响应文件的退回</w:t>
            </w:r>
          </w:p>
        </w:tc>
        <w:tc>
          <w:tcPr>
            <w:tcW w:w="7080" w:type="dxa"/>
            <w:noWrap w:val="0"/>
            <w:vAlign w:val="center"/>
          </w:tcPr>
          <w:p w14:paraId="0B16BC0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647C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restart"/>
            <w:noWrap w:val="0"/>
            <w:vAlign w:val="center"/>
          </w:tcPr>
          <w:p w14:paraId="63097ED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w:t>
            </w:r>
          </w:p>
        </w:tc>
        <w:tc>
          <w:tcPr>
            <w:tcW w:w="2321" w:type="dxa"/>
            <w:noWrap w:val="0"/>
            <w:vAlign w:val="center"/>
          </w:tcPr>
          <w:p w14:paraId="2CA9EDB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7080" w:type="dxa"/>
            <w:noWrap w:val="0"/>
            <w:vAlign w:val="center"/>
          </w:tcPr>
          <w:p w14:paraId="57EA665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0 </w:t>
            </w:r>
            <w:r>
              <w:rPr>
                <w:rFonts w:hint="eastAsia" w:ascii="宋体" w:hAnsi="宋体" w:eastAsia="宋体" w:cs="宋体"/>
                <w:color w:val="auto"/>
                <w:szCs w:val="21"/>
                <w:highlight w:val="none"/>
              </w:rPr>
              <w:t>项。</w:t>
            </w:r>
          </w:p>
          <w:p w14:paraId="4E5C7AD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技术需求评审中允许负偏离的条款数为</w:t>
            </w:r>
            <w:r>
              <w:rPr>
                <w:rFonts w:hint="eastAsia" w:ascii="宋体" w:hAnsi="宋体" w:eastAsia="宋体" w:cs="宋体"/>
                <w:color w:val="auto"/>
                <w:szCs w:val="21"/>
                <w:highlight w:val="none"/>
                <w:u w:val="single"/>
              </w:rPr>
              <w:t xml:space="preserve"> 0 </w:t>
            </w:r>
            <w:r>
              <w:rPr>
                <w:rFonts w:hint="eastAsia" w:ascii="宋体" w:hAnsi="宋体" w:eastAsia="宋体" w:cs="宋体"/>
                <w:color w:val="auto"/>
                <w:szCs w:val="21"/>
                <w:highlight w:val="none"/>
              </w:rPr>
              <w:t>项。</w:t>
            </w:r>
          </w:p>
        </w:tc>
      </w:tr>
      <w:tr w14:paraId="6BF97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7729CFF3">
            <w:pPr>
              <w:spacing w:line="360" w:lineRule="auto"/>
              <w:jc w:val="center"/>
              <w:rPr>
                <w:rFonts w:hint="eastAsia" w:ascii="宋体" w:hAnsi="宋体" w:eastAsia="宋体" w:cs="宋体"/>
                <w:color w:val="auto"/>
                <w:szCs w:val="21"/>
                <w:highlight w:val="none"/>
              </w:rPr>
            </w:pPr>
          </w:p>
        </w:tc>
        <w:tc>
          <w:tcPr>
            <w:tcW w:w="2321" w:type="dxa"/>
            <w:noWrap w:val="0"/>
            <w:vAlign w:val="center"/>
          </w:tcPr>
          <w:p w14:paraId="52821B5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tc>
        <w:tc>
          <w:tcPr>
            <w:tcW w:w="7080" w:type="dxa"/>
            <w:noWrap w:val="0"/>
            <w:vAlign w:val="center"/>
          </w:tcPr>
          <w:p w14:paraId="6E7A96D8">
            <w:pPr>
              <w:pStyle w:val="1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□按照提交首次响应文件的顺序，通知磋商时，若某供应商不在通知现场时，该供应商排序到最后磋商，按照签到的顺序由其下一位供应商先参与磋商。</w:t>
            </w:r>
          </w:p>
          <w:p w14:paraId="12B5F42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☑随机排序。</w:t>
            </w:r>
          </w:p>
          <w:p w14:paraId="4F9C0924">
            <w:pPr>
              <w:pStyle w:val="11"/>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参与磋商前，磋商小组如有要求，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6CF29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D75B55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321" w:type="dxa"/>
            <w:noWrap w:val="0"/>
            <w:vAlign w:val="center"/>
          </w:tcPr>
          <w:p w14:paraId="46BDD89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080" w:type="dxa"/>
            <w:noWrap w:val="0"/>
            <w:vAlign w:val="center"/>
          </w:tcPr>
          <w:p w14:paraId="389D74F4">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履约保证金。</w:t>
            </w:r>
          </w:p>
          <w:p w14:paraId="47105689">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本项目需要缴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履约保证金，相关要求如下：</w:t>
            </w:r>
          </w:p>
          <w:p w14:paraId="00E82B71">
            <w:pPr>
              <w:spacing w:line="360" w:lineRule="auto"/>
              <w:rPr>
                <w:rFonts w:hint="eastAsia" w:ascii="宋体" w:hAnsi="宋体" w:eastAsia="宋体" w:cs="宋体"/>
                <w:i/>
                <w:iCs/>
                <w:color w:val="auto"/>
                <w:szCs w:val="21"/>
                <w:highlight w:val="none"/>
              </w:rPr>
            </w:pPr>
            <w:r>
              <w:rPr>
                <w:rFonts w:hint="eastAsia" w:ascii="宋体" w:hAnsi="宋体" w:eastAsia="宋体" w:cs="宋体"/>
                <w:color w:val="auto"/>
                <w:szCs w:val="21"/>
                <w:highlight w:val="none"/>
              </w:rPr>
              <w:t>1.履约保证金金额：按项目成交总金额的</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587AB19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2.履约保证金提交方式：成交供应商在</w:t>
            </w:r>
            <w:r>
              <w:rPr>
                <w:rFonts w:hint="eastAsia" w:ascii="宋体" w:hAnsi="宋体" w:eastAsia="宋体" w:cs="宋体"/>
                <w:color w:val="auto"/>
                <w:kern w:val="0"/>
                <w:szCs w:val="21"/>
                <w:highlight w:val="none"/>
                <w:u w:val="single"/>
              </w:rPr>
              <w:t>签订合同</w:t>
            </w:r>
            <w:r>
              <w:rPr>
                <w:rFonts w:hint="eastAsia" w:ascii="宋体" w:hAnsi="宋体" w:eastAsia="宋体" w:cs="宋体"/>
                <w:color w:val="auto"/>
                <w:szCs w:val="21"/>
                <w:highlight w:val="none"/>
                <w:u w:val="single"/>
              </w:rPr>
              <w:t>前</w:t>
            </w:r>
            <w:r>
              <w:rPr>
                <w:rFonts w:hint="eastAsia" w:ascii="宋体" w:hAnsi="宋体" w:eastAsia="宋体" w:cs="宋体"/>
                <w:color w:val="auto"/>
                <w:szCs w:val="21"/>
                <w:highlight w:val="none"/>
              </w:rPr>
              <w:t>以银行转账、支票、汇票、本票或者金融机构、担保机构出具的保函等非现金方式向</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采购人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提交。</w:t>
            </w:r>
          </w:p>
          <w:p w14:paraId="43F0CFD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3.履约保证金退付方式、时间及条件：</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成交供应商向采购人提交完整的验收资料后，可向采购人申请退还履约保证金 </w:t>
            </w:r>
            <w:r>
              <w:rPr>
                <w:rFonts w:hint="eastAsia" w:ascii="宋体" w:hAnsi="宋体" w:eastAsia="宋体" w:cs="宋体"/>
                <w:color w:val="auto"/>
                <w:szCs w:val="21"/>
                <w:highlight w:val="none"/>
              </w:rPr>
              <w:t>。</w:t>
            </w:r>
          </w:p>
          <w:p w14:paraId="07D6C23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4.缴纳履约保证金指定账户的信息：</w:t>
            </w:r>
          </w:p>
          <w:p w14:paraId="54E783C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p>
          <w:p w14:paraId="1C5D011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p>
          <w:p w14:paraId="519394E0">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u w:val="single"/>
              </w:rPr>
              <w:t xml:space="preserve">                </w:t>
            </w:r>
          </w:p>
          <w:p w14:paraId="72CDB08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开户行行号：</w:t>
            </w:r>
            <w:r>
              <w:rPr>
                <w:rFonts w:hint="eastAsia" w:ascii="宋体" w:hAnsi="宋体" w:eastAsia="宋体" w:cs="宋体"/>
                <w:color w:val="auto"/>
                <w:szCs w:val="21"/>
                <w:highlight w:val="none"/>
                <w:u w:val="single"/>
              </w:rPr>
              <w:t xml:space="preserve">              </w:t>
            </w:r>
          </w:p>
          <w:p w14:paraId="110DBAA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5E258E2D">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14:paraId="6D85B0CE">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.采用金融、担保机构出具保函的，必须为无条件保函，否则视为未按规定提交履约保证金。</w:t>
            </w:r>
          </w:p>
          <w:p w14:paraId="0B7FFBA2">
            <w:pPr>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.供应商为联合体的，可由联合体任意一方或者联合体各方共同提交的履约保证金，视为有效履约保证金。</w:t>
            </w:r>
            <w:r>
              <w:rPr>
                <w:rFonts w:hint="eastAsia" w:ascii="宋体" w:hAnsi="宋体" w:eastAsia="宋体" w:cs="宋体"/>
                <w:color w:val="auto"/>
                <w:szCs w:val="21"/>
                <w:highlight w:val="none"/>
              </w:rPr>
              <w:t xml:space="preserve"> </w:t>
            </w:r>
          </w:p>
        </w:tc>
      </w:tr>
      <w:tr w14:paraId="21909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417A46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2321" w:type="dxa"/>
            <w:noWrap w:val="0"/>
            <w:vAlign w:val="center"/>
          </w:tcPr>
          <w:p w14:paraId="737DB7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7080" w:type="dxa"/>
            <w:noWrap w:val="0"/>
            <w:vAlign w:val="center"/>
          </w:tcPr>
          <w:p w14:paraId="703957A5">
            <w:pPr>
              <w:snapToGrid w:val="0"/>
              <w:spacing w:line="360" w:lineRule="auto"/>
              <w:rPr>
                <w:rFonts w:hint="eastAsia" w:ascii="宋体" w:hAnsi="宋体" w:eastAsia="宋体" w:cs="宋体"/>
                <w:b/>
                <w:bCs/>
                <w:i/>
                <w:iCs/>
                <w:color w:val="auto"/>
                <w:szCs w:val="21"/>
                <w:highlight w:val="none"/>
              </w:rPr>
            </w:pPr>
            <w:r>
              <w:rPr>
                <w:rFonts w:hint="eastAsia" w:ascii="宋体" w:hAnsi="宋体" w:eastAsia="宋体" w:cs="宋体"/>
                <w:color w:val="auto"/>
                <w:szCs w:val="21"/>
                <w:highlight w:val="none"/>
              </w:rPr>
              <w:t>使用的有效CA证书加盖单位电子公章</w:t>
            </w:r>
          </w:p>
          <w:p w14:paraId="02BF5C28">
            <w:pPr>
              <w:autoSpaceDE w:val="0"/>
              <w:autoSpaceDN w:val="0"/>
              <w:snapToGrid w:val="0"/>
              <w:spacing w:line="360" w:lineRule="auto"/>
              <w:textAlignment w:val="bottom"/>
              <w:rPr>
                <w:rFonts w:hint="eastAsia" w:ascii="宋体" w:hAnsi="宋体" w:eastAsia="宋体" w:cs="宋体"/>
                <w:b/>
                <w:bCs/>
                <w:i/>
                <w:iCs/>
                <w:color w:val="auto"/>
                <w:szCs w:val="21"/>
                <w:highlight w:val="none"/>
              </w:rPr>
            </w:pPr>
            <w:r>
              <w:rPr>
                <w:rFonts w:hint="eastAsia" w:ascii="宋体" w:hAnsi="宋体" w:eastAsia="宋体" w:cs="宋体"/>
                <w:color w:val="auto"/>
                <w:szCs w:val="21"/>
                <w:highlight w:val="none"/>
              </w:rPr>
              <w:t>委托代理人负责签订合同的，须携带有效的法定代表人授权委托书及其委托代理人身份证原件等其他资格证件。</w:t>
            </w:r>
          </w:p>
        </w:tc>
      </w:tr>
      <w:tr w14:paraId="1F9AB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6E736C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321" w:type="dxa"/>
            <w:noWrap w:val="0"/>
            <w:vAlign w:val="center"/>
          </w:tcPr>
          <w:p w14:paraId="23EB2AEE">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7080" w:type="dxa"/>
            <w:noWrap w:val="0"/>
            <w:vAlign w:val="center"/>
          </w:tcPr>
          <w:p w14:paraId="60858F8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B4AD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631ECC8E">
            <w:pPr>
              <w:spacing w:line="360" w:lineRule="auto"/>
              <w:jc w:val="center"/>
              <w:rPr>
                <w:rFonts w:hint="eastAsia" w:ascii="宋体" w:hAnsi="宋体" w:eastAsia="宋体" w:cs="宋体"/>
                <w:color w:val="auto"/>
                <w:szCs w:val="21"/>
                <w:highlight w:val="none"/>
              </w:rPr>
            </w:pPr>
          </w:p>
        </w:tc>
        <w:tc>
          <w:tcPr>
            <w:tcW w:w="2321" w:type="dxa"/>
            <w:noWrap w:val="0"/>
            <w:vAlign w:val="center"/>
          </w:tcPr>
          <w:p w14:paraId="3D2CD3A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283285FF">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7080" w:type="dxa"/>
            <w:noWrap w:val="0"/>
            <w:vAlign w:val="center"/>
          </w:tcPr>
          <w:p w14:paraId="2F4692AB">
            <w:pPr>
              <w:snapToGrid w:val="0"/>
              <w:spacing w:line="380" w:lineRule="exact"/>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highlight w:val="none"/>
              </w:rPr>
              <w:t>名称：</w:t>
            </w:r>
            <w:r>
              <w:rPr>
                <w:rFonts w:hint="eastAsia" w:ascii="宋体" w:hAnsi="宋体" w:cs="宋体"/>
                <w:color w:val="auto"/>
                <w:szCs w:val="21"/>
                <w:highlight w:val="none"/>
                <w:lang w:eastAsia="zh-CN"/>
              </w:rPr>
              <w:t>南宁市明天学校</w:t>
            </w:r>
          </w:p>
          <w:p w14:paraId="45F17DEA">
            <w:pPr>
              <w:snapToGrid w:val="0"/>
              <w:spacing w:line="380" w:lineRule="exact"/>
              <w:rPr>
                <w:rFonts w:hint="eastAsia" w:ascii="宋体" w:hAnsi="宋体" w:cs="宋体"/>
                <w:color w:val="auto"/>
                <w:szCs w:val="21"/>
                <w:highlight w:val="none"/>
                <w:lang w:eastAsia="zh-CN"/>
              </w:rPr>
            </w:pPr>
            <w:r>
              <w:rPr>
                <w:rFonts w:hint="eastAsia" w:ascii="宋体" w:hAnsi="宋体" w:eastAsia="宋体" w:cs="宋体"/>
                <w:color w:val="auto"/>
                <w:highlight w:val="none"/>
              </w:rPr>
              <w:t>地址：</w:t>
            </w:r>
            <w:r>
              <w:rPr>
                <w:rFonts w:hint="eastAsia" w:ascii="宋体" w:hAnsi="宋体" w:cs="宋体"/>
                <w:color w:val="auto"/>
                <w:szCs w:val="21"/>
                <w:highlight w:val="none"/>
                <w:lang w:eastAsia="zh-CN"/>
              </w:rPr>
              <w:t>南宁市新峰路6号</w:t>
            </w:r>
          </w:p>
          <w:p w14:paraId="49707EB5">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联系电话：0771-3119854</w:t>
            </w:r>
          </w:p>
          <w:p w14:paraId="64DACE12">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（2）名称：</w:t>
            </w:r>
            <w:r>
              <w:rPr>
                <w:rFonts w:hint="eastAsia" w:ascii="宋体" w:hAnsi="宋体" w:cs="宋体"/>
                <w:color w:val="auto"/>
                <w:szCs w:val="21"/>
                <w:highlight w:val="none"/>
                <w:lang w:eastAsia="zh-CN"/>
              </w:rPr>
              <w:t>广西冠庆工程项目管理咨询有限公司</w:t>
            </w:r>
          </w:p>
          <w:p w14:paraId="140826F5">
            <w:pPr>
              <w:snapToGrid w:val="0"/>
              <w:spacing w:line="380" w:lineRule="exact"/>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0771-3807276</w:t>
            </w:r>
          </w:p>
          <w:p w14:paraId="2D5D639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通讯地址：</w:t>
            </w:r>
            <w:r>
              <w:rPr>
                <w:rFonts w:hint="default" w:ascii="宋体" w:hAnsi="宋体" w:cs="宋体"/>
                <w:color w:val="auto"/>
                <w:szCs w:val="21"/>
                <w:highlight w:val="none"/>
                <w:lang w:eastAsia="zh-CN"/>
              </w:rPr>
              <w:t>南宁市西乡塘区高新区罗赖路8号A1栋三楼</w:t>
            </w:r>
          </w:p>
        </w:tc>
      </w:tr>
      <w:tr w14:paraId="18B62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77377FDE">
            <w:pPr>
              <w:spacing w:line="360" w:lineRule="auto"/>
              <w:jc w:val="center"/>
              <w:rPr>
                <w:rFonts w:hint="eastAsia" w:ascii="宋体" w:hAnsi="宋体" w:eastAsia="宋体" w:cs="宋体"/>
                <w:color w:val="auto"/>
                <w:szCs w:val="21"/>
                <w:highlight w:val="none"/>
              </w:rPr>
            </w:pPr>
          </w:p>
        </w:tc>
        <w:tc>
          <w:tcPr>
            <w:tcW w:w="2321" w:type="dxa"/>
            <w:noWrap w:val="0"/>
            <w:vAlign w:val="center"/>
          </w:tcPr>
          <w:p w14:paraId="4E8A0C50">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4C23A04E">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7080" w:type="dxa"/>
            <w:noWrap w:val="0"/>
            <w:vAlign w:val="center"/>
          </w:tcPr>
          <w:p w14:paraId="4C2ECF0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质疑期内每个工作日（北京时间）上午</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分，下午</w:t>
            </w:r>
            <w:r>
              <w:rPr>
                <w:rFonts w:hint="eastAsia" w:ascii="宋体" w:hAnsi="宋体" w:eastAsia="宋体" w:cs="宋体"/>
                <w:color w:val="auto"/>
                <w:highlight w:val="none"/>
                <w:u w:val="single"/>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p>
        </w:tc>
      </w:tr>
      <w:tr w14:paraId="23E1D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4A14132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321" w:type="dxa"/>
            <w:noWrap w:val="0"/>
            <w:vAlign w:val="center"/>
          </w:tcPr>
          <w:p w14:paraId="31EF573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7080" w:type="dxa"/>
            <w:noWrap w:val="0"/>
            <w:vAlign w:val="center"/>
          </w:tcPr>
          <w:p w14:paraId="4DB475EC">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7A051D9C">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通讯方式</w:t>
            </w:r>
          </w:p>
          <w:p w14:paraId="5BAFFAE3">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名称：南宁市西乡塘区人民政府采购管理办公室</w:t>
            </w:r>
          </w:p>
          <w:p w14:paraId="68ACF888">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地址：南宁市西乡塘区衡阳西路11号</w:t>
            </w:r>
          </w:p>
          <w:p w14:paraId="52A52658">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联系电话：0771-3130365</w:t>
            </w:r>
          </w:p>
        </w:tc>
      </w:tr>
      <w:tr w14:paraId="712D1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79A384B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321" w:type="dxa"/>
            <w:noWrap w:val="0"/>
            <w:vAlign w:val="center"/>
          </w:tcPr>
          <w:p w14:paraId="42BBCB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7080" w:type="dxa"/>
            <w:noWrap w:val="0"/>
            <w:vAlign w:val="center"/>
          </w:tcPr>
          <w:p w14:paraId="5EAFE5B6">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是否收取采购代理服务理费：</w:t>
            </w:r>
          </w:p>
          <w:p w14:paraId="3A3E46C7">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    □ 否</w:t>
            </w:r>
          </w:p>
          <w:p w14:paraId="76C31222">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2.采购代理服务费支付方式：</w:t>
            </w:r>
          </w:p>
          <w:p w14:paraId="0F0C6E76">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☑本项目采购代理服务费由成交供应商在签订合同前，</w:t>
            </w:r>
            <w:r>
              <w:rPr>
                <w:rFonts w:hint="eastAsia" w:ascii="宋体" w:hAnsi="宋体" w:eastAsia="宋体" w:cs="宋体"/>
                <w:color w:val="auto"/>
                <w:highlight w:val="none"/>
              </w:rPr>
              <w:t>以银行转账、电汇等方式</w:t>
            </w:r>
            <w:r>
              <w:rPr>
                <w:rFonts w:hint="eastAsia" w:ascii="宋体" w:hAnsi="宋体" w:eastAsia="宋体" w:cs="宋体"/>
                <w:color w:val="auto"/>
                <w:kern w:val="0"/>
                <w:szCs w:val="21"/>
                <w:highlight w:val="none"/>
              </w:rPr>
              <w:t>一次性向采购代理机构支付。</w:t>
            </w:r>
          </w:p>
          <w:p w14:paraId="0B47134F">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□采购人支付：</w:t>
            </w:r>
            <w:r>
              <w:rPr>
                <w:rFonts w:hint="eastAsia" w:ascii="宋体" w:hAnsi="宋体" w:eastAsia="宋体" w:cs="宋体"/>
                <w:color w:val="auto"/>
                <w:kern w:val="0"/>
                <w:szCs w:val="21"/>
                <w:highlight w:val="none"/>
                <w:u w:val="single"/>
              </w:rPr>
              <w:t xml:space="preserve">   </w:t>
            </w:r>
            <w:r>
              <w:rPr>
                <w:rFonts w:hint="eastAsia" w:ascii="宋体" w:hAnsi="宋体" w:eastAsia="宋体" w:cs="宋体"/>
                <w:i/>
                <w:iCs/>
                <w:color w:val="auto"/>
                <w:highlight w:val="none"/>
                <w:u w:val="single"/>
              </w:rPr>
              <w:t xml:space="preserve">/   </w:t>
            </w:r>
            <w:r>
              <w:rPr>
                <w:rFonts w:hint="eastAsia" w:ascii="宋体" w:hAnsi="宋体" w:eastAsia="宋体" w:cs="宋体"/>
                <w:i/>
                <w:iCs/>
                <w:color w:val="auto"/>
                <w:highlight w:val="none"/>
              </w:rPr>
              <w:t>。</w:t>
            </w:r>
          </w:p>
          <w:p w14:paraId="6DABDB02">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3.采购代理服务费收取标准：</w:t>
            </w:r>
          </w:p>
          <w:p w14:paraId="280DD795">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以项目（</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成交总金额/</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采购预算/□暂定成交金额/□其他</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）为计费额，按</w:t>
            </w:r>
            <w:r>
              <w:rPr>
                <w:rFonts w:hint="eastAsia" w:ascii="宋体" w:hAnsi="宋体" w:eastAsia="宋体" w:cs="宋体"/>
                <w:color w:val="auto"/>
                <w:highlight w:val="none"/>
              </w:rPr>
              <w:t>本须知正文第</w:t>
            </w:r>
            <w:bookmarkStart w:id="25" w:name="OLE_LINK29"/>
            <w:r>
              <w:rPr>
                <w:rFonts w:hint="eastAsia" w:ascii="宋体" w:hAnsi="宋体" w:eastAsia="宋体" w:cs="宋体"/>
                <w:color w:val="auto"/>
                <w:highlight w:val="none"/>
              </w:rPr>
              <w:t>33.2</w:t>
            </w:r>
            <w:bookmarkEnd w:id="25"/>
            <w:r>
              <w:rPr>
                <w:rFonts w:hint="eastAsia" w:ascii="宋体" w:hAnsi="宋体" w:eastAsia="宋体" w:cs="宋体"/>
                <w:color w:val="auto"/>
                <w:highlight w:val="none"/>
              </w:rPr>
              <w:t>条规定的收费计算标准（</w:t>
            </w:r>
            <w:r>
              <w:rPr>
                <w:rFonts w:hint="eastAsia" w:ascii="宋体" w:hAnsi="宋体" w:eastAsia="宋体" w:cs="宋体"/>
                <w:b/>
                <w:bCs/>
                <w:color w:val="auto"/>
                <w:kern w:val="0"/>
                <w:szCs w:val="21"/>
                <w:highlight w:val="none"/>
                <w:u w:val="single"/>
              </w:rPr>
              <w:t>工程类</w:t>
            </w:r>
            <w:r>
              <w:rPr>
                <w:rFonts w:hint="eastAsia" w:ascii="宋体" w:hAnsi="宋体" w:eastAsia="宋体" w:cs="宋体"/>
                <w:color w:val="auto"/>
                <w:highlight w:val="none"/>
              </w:rPr>
              <w:t>）</w:t>
            </w:r>
            <w:r>
              <w:rPr>
                <w:rFonts w:hint="eastAsia" w:ascii="宋体" w:hAnsi="宋体" w:eastAsia="宋体" w:cs="宋体"/>
                <w:color w:val="auto"/>
                <w:kern w:val="0"/>
                <w:szCs w:val="21"/>
                <w:highlight w:val="none"/>
              </w:rPr>
              <w:t>采用差额定率累进法计算出收费基准价格，采购代理机构收费以（</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收费基准价格/□收费基准价格下浮</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/□收费基准价格上浮</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）收取。</w:t>
            </w:r>
          </w:p>
          <w:p w14:paraId="5B1019C5">
            <w:pPr>
              <w:snapToGrid w:val="0"/>
              <w:spacing w:line="360" w:lineRule="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固定采购代理收费：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14:paraId="7F465886">
            <w:pPr>
              <w:tabs>
                <w:tab w:val="left" w:pos="4670"/>
              </w:tabs>
              <w:snapToGrid w:val="0"/>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4. 采购代理服务费收取银行账户的信息</w:t>
            </w:r>
            <w:r>
              <w:rPr>
                <w:rFonts w:hint="eastAsia" w:ascii="宋体" w:hAnsi="宋体" w:eastAsia="宋体" w:cs="宋体"/>
                <w:color w:val="auto"/>
                <w:kern w:val="0"/>
                <w:szCs w:val="21"/>
                <w:highlight w:val="none"/>
                <w:lang w:eastAsia="zh-CN"/>
              </w:rPr>
              <w:tab/>
            </w:r>
          </w:p>
          <w:p w14:paraId="3BE993DD">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开户名称：广西冠庆工程项目管理咨询有限公司第六分公司</w:t>
            </w:r>
          </w:p>
          <w:p w14:paraId="50C72386">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开户银行：广西北部湾银行股份有限公司南宁市中华路支行</w:t>
            </w:r>
          </w:p>
          <w:p w14:paraId="7B6FE2FC">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账号： 805050263500003</w:t>
            </w:r>
          </w:p>
        </w:tc>
      </w:tr>
      <w:tr w14:paraId="5618D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103268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321" w:type="dxa"/>
            <w:noWrap w:val="0"/>
            <w:vAlign w:val="center"/>
          </w:tcPr>
          <w:p w14:paraId="683ABB5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7080" w:type="dxa"/>
            <w:noWrap w:val="0"/>
            <w:vAlign w:val="center"/>
          </w:tcPr>
          <w:p w14:paraId="21E8DC66">
            <w:pPr>
              <w:snapToGrid w:val="0"/>
              <w:spacing w:line="360" w:lineRule="auto"/>
              <w:rPr>
                <w:rFonts w:hint="eastAsia" w:ascii="宋体" w:hAnsi="宋体" w:eastAsia="宋体" w:cs="宋体"/>
                <w:b w:val="0"/>
                <w:bCs w:val="0"/>
                <w:color w:val="auto"/>
                <w:kern w:val="0"/>
                <w:szCs w:val="21"/>
                <w:highlight w:val="none"/>
              </w:rPr>
            </w:pPr>
            <w:r>
              <w:rPr>
                <w:rFonts w:hint="eastAsia" w:ascii="宋体" w:hAnsi="宋体" w:eastAsia="宋体" w:cs="宋体"/>
                <w:b/>
                <w:color w:val="auto"/>
                <w:kern w:val="0"/>
                <w:szCs w:val="21"/>
                <w:highlight w:val="none"/>
              </w:rPr>
              <w:t>解释：</w:t>
            </w:r>
            <w:r>
              <w:rPr>
                <w:rFonts w:hint="eastAsia" w:ascii="宋体" w:hAnsi="宋体" w:eastAsia="宋体" w:cs="宋体"/>
                <w:color w:val="auto"/>
                <w:kern w:val="0"/>
                <w:szCs w:val="21"/>
                <w:highlight w:val="none"/>
              </w:rPr>
              <w:t>构成本竞争性磋商文件的各个组成文件应互为解释，互为说明；除竞争性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val="0"/>
                <w:bCs w:val="0"/>
                <w:color w:val="auto"/>
                <w:kern w:val="0"/>
                <w:szCs w:val="21"/>
                <w:highlight w:val="none"/>
              </w:rPr>
              <w:t>，由采购人或者采购代理机构负责解释。</w:t>
            </w:r>
          </w:p>
          <w:p w14:paraId="361FE69E">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法律责任：</w:t>
            </w:r>
            <w:r>
              <w:rPr>
                <w:rFonts w:hint="eastAsia" w:ascii="宋体" w:hAnsi="宋体" w:eastAsia="宋体" w:cs="宋体"/>
                <w:color w:val="auto"/>
                <w:kern w:val="0"/>
                <w:szCs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6AD4F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081B9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321" w:type="dxa"/>
            <w:noWrap w:val="0"/>
            <w:vAlign w:val="center"/>
          </w:tcPr>
          <w:p w14:paraId="252BDEC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7080" w:type="dxa"/>
            <w:noWrap w:val="0"/>
            <w:vAlign w:val="center"/>
          </w:tcPr>
          <w:p w14:paraId="1894553B">
            <w:pPr>
              <w:pStyle w:val="11"/>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磋商文件有特殊规定外，供应商的财务章、部门章、分公司章、工会章、合同章、投标专用章、业务专用章及银行的转账章、现金收讫章、现金付讫章等其他形式印章均不能代替公章。</w:t>
            </w:r>
          </w:p>
          <w:p w14:paraId="08E11EAE">
            <w:pPr>
              <w:pStyle w:val="11"/>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2.本竞争性磋商文件中描述供应商的“签字”是指供应商通过指定电子化政府采购平台办理数字证书（CA认证）获得的以供应商法定代表人或者委托代理人姓名制作的电子印章或手写签字。</w:t>
            </w:r>
          </w:p>
          <w:p w14:paraId="1D23BB1C">
            <w:pPr>
              <w:pStyle w:val="11"/>
              <w:tabs>
                <w:tab w:val="center" w:pos="4153"/>
                <w:tab w:val="right" w:pos="8306"/>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3.本竞争性磋商文件所称的“电子签章”“电子签名”，是指经“</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”平台认可的CA认证的电子签名数据为表现形式的印章，可用于签署电子响应文件，电子印章与实物印章具有同等法律效力，不因其采用电子化表现形式而否定其法律效力。</w:t>
            </w:r>
          </w:p>
          <w:p w14:paraId="0040FCD1">
            <w:pPr>
              <w:pStyle w:val="11"/>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为其他组织或者自然人时，本竞争性磋商文件规定的法定代表人指负责人或者自然人。本竞争性磋商文件所称负责人是指参加竞标的其他组织营业执照上的负责人，本竞争性磋商文件所称自然人指参与竞标的自然人本人。</w:t>
            </w:r>
          </w:p>
          <w:p w14:paraId="3280955E">
            <w:pPr>
              <w:pStyle w:val="11"/>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5.自然人竞标的，竞争性磋商文件规定盖公章处由自然人摁手指指印。</w:t>
            </w:r>
          </w:p>
          <w:p w14:paraId="53B7F94A">
            <w:pPr>
              <w:pStyle w:val="11"/>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6.同义词语：</w:t>
            </w:r>
            <w:r>
              <w:rPr>
                <w:rFonts w:hint="eastAsia" w:ascii="宋体" w:hAnsi="宋体" w:eastAsia="宋体" w:cs="宋体"/>
                <w:color w:val="auto"/>
                <w:highlight w:val="none"/>
              </w:rPr>
              <w:t>构成</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组成部分的“通用合同条款”、“专用合同条款”、“技术标准和要求”和“工程量清单”等章节中出现的措辞“发包人”和“承包人”，在采购阶段应当分别按“采购人”和“供应商”进行理解。</w:t>
            </w:r>
          </w:p>
          <w:p w14:paraId="5A213A0A">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    7.本竞争性磋商文件所称的“以上”“以下”“以内”“届满”，包括本数；所称的“不满”“超过”“以外”，不包括本数。</w:t>
            </w:r>
          </w:p>
        </w:tc>
      </w:tr>
    </w:tbl>
    <w:p w14:paraId="2360262F">
      <w:pPr>
        <w:pStyle w:val="3"/>
        <w:pageBreakBefore w:val="0"/>
        <w:widowControl w:val="0"/>
        <w:kinsoku/>
        <w:wordWrap/>
        <w:overflowPunct/>
        <w:topLinePunct w:val="0"/>
        <w:autoSpaceDE/>
        <w:autoSpaceDN/>
        <w:bidi w:val="0"/>
        <w:spacing w:line="360" w:lineRule="auto"/>
        <w:jc w:val="center"/>
        <w:rPr>
          <w:rFonts w:hint="eastAsia" w:ascii="宋体" w:hAnsi="宋体" w:eastAsia="宋体" w:cs="宋体"/>
          <w:b w:val="0"/>
          <w:bCs/>
          <w:color w:val="auto"/>
          <w:highlight w:val="none"/>
        </w:rPr>
      </w:pPr>
      <w:r>
        <w:rPr>
          <w:rFonts w:hint="eastAsia" w:ascii="宋体" w:hAnsi="宋体" w:eastAsia="宋体" w:cs="宋体"/>
          <w:b w:val="0"/>
          <w:bCs/>
          <w:color w:val="auto"/>
          <w:highlight w:val="none"/>
        </w:rPr>
        <w:br w:type="page"/>
      </w:r>
      <w:bookmarkStart w:id="26" w:name="_Toc27094"/>
      <w:bookmarkStart w:id="27" w:name="_Toc30957"/>
      <w:r>
        <w:rPr>
          <w:rFonts w:hint="eastAsia" w:ascii="宋体" w:hAnsi="宋体" w:eastAsia="宋体" w:cs="宋体"/>
          <w:b/>
          <w:bCs w:val="0"/>
          <w:color w:val="auto"/>
          <w:highlight w:val="none"/>
        </w:rPr>
        <w:t>第二节 供应商须知正文</w:t>
      </w:r>
      <w:bookmarkEnd w:id="26"/>
      <w:bookmarkEnd w:id="27"/>
    </w:p>
    <w:p w14:paraId="55B960EF">
      <w:pPr>
        <w:pStyle w:val="4"/>
        <w:pageBreakBefore w:val="0"/>
        <w:widowControl w:val="0"/>
        <w:kinsoku/>
        <w:wordWrap/>
        <w:overflowPunct/>
        <w:topLinePunct w:val="0"/>
        <w:autoSpaceDE/>
        <w:autoSpaceDN/>
        <w:bidi w:val="0"/>
        <w:spacing w:before="0" w:after="0" w:line="360" w:lineRule="auto"/>
        <w:rPr>
          <w:rFonts w:hint="eastAsia" w:ascii="宋体" w:hAnsi="宋体" w:eastAsia="宋体" w:cs="宋体"/>
          <w:b/>
          <w:bCs w:val="0"/>
          <w:color w:val="auto"/>
          <w:highlight w:val="none"/>
        </w:rPr>
      </w:pPr>
      <w:r>
        <w:rPr>
          <w:rFonts w:hint="eastAsia" w:ascii="宋体" w:hAnsi="宋体" w:eastAsia="宋体" w:cs="宋体"/>
          <w:b/>
          <w:bCs w:val="0"/>
          <w:color w:val="auto"/>
          <w:highlight w:val="none"/>
        </w:rPr>
        <w:t>一、总则</w:t>
      </w:r>
    </w:p>
    <w:p w14:paraId="48D45F76">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530B3F97">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D420F46">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3C1412C5">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50ED873E">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52E3C5D9">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4810F19C">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1F781CAA">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7952FD1E">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2.5“竞标”是指供应商按照本项目竞争性磋商公告规定的方式获取磋商文件、提交响应文件并希望获得标的的行为。</w:t>
      </w:r>
    </w:p>
    <w:p w14:paraId="3BFA70C4">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2C2C2659">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7DBAA05C">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4E5E21B4">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69ED03D2">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327AC928">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14EC654D">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6CA643A1">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5F469FD9">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38483A01">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6AD4B2AE">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3C343B0D">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636653E6">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259DBA10">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761692A5">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524D9520">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5.3根据《政府采购促进中小企业发展管理办法》（财库[2020]46号）第九规定，接受大中型企业与小微企业组成联合体的采购项目，对于联合协议约定小微企业的合同份额占到合同总金额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503DCE79">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4CC9B68D">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6DBC3FB1">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6.2根据《政府采购促进中小企业发展管理办法》（财库[2020]46号）第九条规定，允许大中型企业向一家或者多家小微企业分包的采购项目，对于分包意向协议约定小微企业的合同份额占到合同总金额 30%以上的，采购人、采购代理机构应当对大中型企业的报价给予 1%—2%的扣除，用扣除后的价格参加评审。接受分包的小微企业与分包企业之间存在直接控股、管理关系的，不享受价格扣除优惠政策。</w:t>
      </w:r>
    </w:p>
    <w:p w14:paraId="4E9C5C98">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7.特别说明</w:t>
      </w:r>
    </w:p>
    <w:p w14:paraId="4C1362D9">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7.1如果本磋商文件要求提供供应商或制造商的资格、信誉、荣誉、业绩与企业认证等材料的，资格、信誉、荣誉、业绩与企业认证等必须为供应商或者制造商所拥有或自身获得 。</w:t>
      </w:r>
    </w:p>
    <w:p w14:paraId="2EF95F93">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430417A8">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37479816">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40295357">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1AD54340">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1455CC8B">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57F23276">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1CB99A83">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4F3FCFCC">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09EF68D">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29D67660">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2FA3D657">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5386C4BD">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1DE99F2">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15B058B4">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6A675BEB">
      <w:pPr>
        <w:pageBreakBefore w:val="0"/>
        <w:widowControl w:val="0"/>
        <w:tabs>
          <w:tab w:val="left" w:pos="6931"/>
        </w:tabs>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1A55FFCE">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29C3F5DA">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59861E9E">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4BBACF67">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0869DB27">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5787CD2F">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B0D9B6F">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18F3F647">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6478A513">
      <w:pPr>
        <w:pStyle w:val="4"/>
        <w:pageBreakBefore w:val="0"/>
        <w:widowControl w:val="0"/>
        <w:kinsoku/>
        <w:wordWrap/>
        <w:overflowPunct/>
        <w:topLinePunct w:val="0"/>
        <w:autoSpaceDE/>
        <w:autoSpaceDN/>
        <w:bidi w:val="0"/>
        <w:spacing w:before="0" w:after="0" w:line="360" w:lineRule="auto"/>
        <w:rPr>
          <w:rFonts w:hint="eastAsia" w:ascii="宋体" w:hAnsi="宋体" w:eastAsia="宋体" w:cs="宋体"/>
          <w:b/>
          <w:bCs w:val="0"/>
          <w:color w:val="auto"/>
          <w:highlight w:val="none"/>
        </w:rPr>
      </w:pPr>
      <w:r>
        <w:rPr>
          <w:rFonts w:hint="eastAsia" w:ascii="宋体" w:hAnsi="宋体" w:eastAsia="宋体" w:cs="宋体"/>
          <w:b/>
          <w:bCs w:val="0"/>
          <w:color w:val="auto"/>
          <w:highlight w:val="none"/>
        </w:rPr>
        <w:t>二、磋商文件</w:t>
      </w:r>
    </w:p>
    <w:p w14:paraId="0821F580">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6B7D5C9F">
      <w:pPr>
        <w:pageBreakBefore w:val="0"/>
        <w:widowControl w:val="0"/>
        <w:kinsoku/>
        <w:wordWrap/>
        <w:overflowPunct/>
        <w:topLinePunct w:val="0"/>
        <w:autoSpaceDE/>
        <w:autoSpaceDN/>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67C340A">
      <w:pPr>
        <w:pageBreakBefore w:val="0"/>
        <w:widowControl w:val="0"/>
        <w:kinsoku/>
        <w:wordWrap/>
        <w:overflowPunct/>
        <w:topLinePunct w:val="0"/>
        <w:autoSpaceDE/>
        <w:autoSpaceDN/>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7E2A0B00">
      <w:pPr>
        <w:pageBreakBefore w:val="0"/>
        <w:widowControl w:val="0"/>
        <w:kinsoku/>
        <w:wordWrap/>
        <w:overflowPunct/>
        <w:topLinePunct w:val="0"/>
        <w:autoSpaceDE/>
        <w:autoSpaceDN/>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14:paraId="2364199E">
      <w:pPr>
        <w:pageBreakBefore w:val="0"/>
        <w:widowControl w:val="0"/>
        <w:kinsoku/>
        <w:wordWrap/>
        <w:overflowPunct/>
        <w:topLinePunct w:val="0"/>
        <w:autoSpaceDE/>
        <w:autoSpaceDN/>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14:paraId="0E91BF5E">
      <w:pPr>
        <w:pageBreakBefore w:val="0"/>
        <w:widowControl w:val="0"/>
        <w:kinsoku/>
        <w:wordWrap/>
        <w:overflowPunct/>
        <w:topLinePunct w:val="0"/>
        <w:autoSpaceDE/>
        <w:autoSpaceDN/>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14:paraId="0F74AB0C">
      <w:pPr>
        <w:pageBreakBefore w:val="0"/>
        <w:widowControl w:val="0"/>
        <w:kinsoku/>
        <w:wordWrap/>
        <w:overflowPunct/>
        <w:topLinePunct w:val="0"/>
        <w:autoSpaceDE/>
        <w:autoSpaceDN/>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14:paraId="645D80AD">
      <w:pPr>
        <w:pageBreakBefore w:val="0"/>
        <w:widowControl w:val="0"/>
        <w:kinsoku/>
        <w:wordWrap/>
        <w:overflowPunct/>
        <w:topLinePunct w:val="0"/>
        <w:autoSpaceDE/>
        <w:autoSpaceDN/>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第七章 </w:t>
      </w:r>
      <w:r>
        <w:rPr>
          <w:rFonts w:hint="eastAsia" w:ascii="宋体" w:hAnsi="宋体" w:eastAsia="宋体" w:cs="宋体"/>
          <w:color w:val="auto"/>
          <w:szCs w:val="21"/>
          <w:highlight w:val="none"/>
          <w:lang w:val="en-US" w:eastAsia="zh-CN"/>
        </w:rPr>
        <w:t>工程量清单、图纸；</w:t>
      </w:r>
    </w:p>
    <w:p w14:paraId="71BBF194">
      <w:pPr>
        <w:pageBreakBefore w:val="0"/>
        <w:widowControl w:val="0"/>
        <w:kinsoku/>
        <w:wordWrap/>
        <w:overflowPunct/>
        <w:topLinePunct w:val="0"/>
        <w:autoSpaceDE/>
        <w:autoSpaceDN/>
        <w:bidi w:val="0"/>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质疑、投诉材料格式</w:t>
      </w:r>
      <w:r>
        <w:rPr>
          <w:rFonts w:hint="eastAsia" w:ascii="宋体" w:hAnsi="宋体" w:eastAsia="宋体" w:cs="宋体"/>
          <w:color w:val="auto"/>
          <w:szCs w:val="21"/>
          <w:highlight w:val="none"/>
          <w:lang w:eastAsia="zh-CN"/>
        </w:rPr>
        <w:t>。</w:t>
      </w:r>
    </w:p>
    <w:p w14:paraId="71FF37B8">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002B9ADC">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257E4C37">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53702AF6">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1E5B821A">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5648CF60">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39E23A40">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238C07A4">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w:t>
      </w:r>
      <w:r>
        <w:rPr>
          <w:rFonts w:hint="eastAsia" w:ascii="宋体" w:hAnsi="宋体" w:eastAsia="宋体" w:cs="宋体"/>
          <w:color w:val="auto"/>
          <w:highlight w:val="none"/>
          <w:lang w:eastAsia="zh-CN"/>
        </w:rPr>
        <w:t>竞争性磋商公告</w:t>
      </w:r>
      <w:r>
        <w:rPr>
          <w:rFonts w:hint="eastAsia" w:ascii="宋体" w:hAnsi="宋体" w:eastAsia="宋体" w:cs="宋体"/>
          <w:color w:val="auto"/>
          <w:highlight w:val="none"/>
        </w:rPr>
        <w:t>”中“七、其他补充事宜3.网上查询地址”规定的政府采购信息发布媒体上发布更正公告。</w:t>
      </w:r>
    </w:p>
    <w:p w14:paraId="37705B0C">
      <w:pPr>
        <w:pageBreakBefore w:val="0"/>
        <w:widowControl w:val="0"/>
        <w:kinsoku/>
        <w:wordWrap/>
        <w:overflowPunct/>
        <w:topLinePunct w:val="0"/>
        <w:autoSpaceDE/>
        <w:autoSpaceDN/>
        <w:bidi w:val="0"/>
        <w:spacing w:line="360" w:lineRule="auto"/>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w:t>
      </w:r>
      <w:r>
        <w:rPr>
          <w:rFonts w:hint="eastAsia" w:ascii="宋体" w:hAnsi="宋体" w:eastAsia="宋体" w:cs="宋体"/>
          <w:b/>
          <w:color w:val="auto"/>
          <w:kern w:val="0"/>
          <w:sz w:val="20"/>
          <w:szCs w:val="21"/>
          <w:highlight w:val="none"/>
        </w:rPr>
        <w:t>响应文件未按磋商文件的澄清、修改的内容编制，又不符合实质性要求的，其响应文件作无效处理。</w:t>
      </w:r>
    </w:p>
    <w:p w14:paraId="0E383F22">
      <w:pPr>
        <w:pStyle w:val="4"/>
        <w:pageBreakBefore w:val="0"/>
        <w:widowControl w:val="0"/>
        <w:kinsoku/>
        <w:wordWrap/>
        <w:overflowPunct/>
        <w:topLinePunct w:val="0"/>
        <w:autoSpaceDE/>
        <w:autoSpaceDN/>
        <w:bidi w:val="0"/>
        <w:spacing w:before="0" w:after="0" w:line="360" w:lineRule="auto"/>
        <w:ind w:firstLine="64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三、响应文件的编制</w:t>
      </w:r>
    </w:p>
    <w:p w14:paraId="42310938">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369CCBEB">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756D4E9A">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718535FA">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5C7772CD">
      <w:pPr>
        <w:pageBreakBefore w:val="0"/>
        <w:widowControl w:val="0"/>
        <w:kinsoku/>
        <w:wordWrap/>
        <w:overflowPunct/>
        <w:topLinePunct w:val="0"/>
        <w:autoSpaceDE/>
        <w:autoSpaceDN/>
        <w:bidi w:val="0"/>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09789078">
      <w:pPr>
        <w:pageBreakBefore w:val="0"/>
        <w:widowControl w:val="0"/>
        <w:kinsoku/>
        <w:wordWrap/>
        <w:overflowPunct/>
        <w:topLinePunct w:val="0"/>
        <w:autoSpaceDE/>
        <w:autoSpaceDN/>
        <w:bidi w:val="0"/>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1425C897">
      <w:pPr>
        <w:pageBreakBefore w:val="0"/>
        <w:widowControl w:val="0"/>
        <w:kinsoku/>
        <w:wordWrap/>
        <w:overflowPunct/>
        <w:topLinePunct w:val="0"/>
        <w:autoSpaceDE/>
        <w:autoSpaceDN/>
        <w:bidi w:val="0"/>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2591A6BE">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477168B8">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538E75C4">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60548A68">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3BFE5F08">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717D98DF">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1C373385">
      <w:pPr>
        <w:pageBreakBefore w:val="0"/>
        <w:widowControl w:val="0"/>
        <w:tabs>
          <w:tab w:val="left" w:pos="2492"/>
        </w:tabs>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7214FAE9">
      <w:pPr>
        <w:pageBreakBefore w:val="0"/>
        <w:widowControl w:val="0"/>
        <w:tabs>
          <w:tab w:val="left" w:pos="2492"/>
        </w:tabs>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32B52C65">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0A6844CA">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02B54474">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的全部内容分别作完整唯一总价报价，不得存在漏项报价；</w:t>
      </w:r>
    </w:p>
    <w:p w14:paraId="5683F4CA">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（2）供应商必须就所竞标项目的单项内容作唯一报价。</w:t>
      </w:r>
    </w:p>
    <w:p w14:paraId="7E5512BC">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15.3.2响应报价（包含首次报价、最后报价）超过所竞标项目规定的采购预算金额或者最高限价的，其响应文件将作无效处理。</w:t>
      </w:r>
    </w:p>
    <w:p w14:paraId="6C5DB176">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15.3.3响应报价（包含首次报价、最后报价）超过项目采购预算金额或者最高限价的，其响应文件将作无效处理。</w:t>
      </w:r>
    </w:p>
    <w:p w14:paraId="5D5F1800">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1FBC0478">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1185E48">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039686CE">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54BE3736">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4501A4F9">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3AA2E581">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F669783">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38CBC023">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50848D7F">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规定位置进行签署、盖章，否则其响应文件按无效响应处理。骑缝盖公章不视为在规定位置盖章。</w:t>
      </w:r>
    </w:p>
    <w:p w14:paraId="773DAD65">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4A43DE2C">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5E4DEDDC">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0C2D3FF9">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07F65E9E">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19.2使用“广西政府采购云平台电子交易客户端”需要提前申领CA数字证书，申领流程见该项目采购公告附件。</w:t>
      </w:r>
    </w:p>
    <w:p w14:paraId="6F444EB5">
      <w:pPr>
        <w:pageBreakBefore w:val="0"/>
        <w:widowControl w:val="0"/>
        <w:kinsoku/>
        <w:wordWrap/>
        <w:overflowPunct/>
        <w:topLinePunct w:val="0"/>
        <w:autoSpaceDE/>
        <w:autoSpaceDN/>
        <w:bidi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19.3为确保网上操作合法、有效和安全，供应商应当在响应文件提交截止时间前完成在“政府采购云平台”的身份认证，确保在电子交易过程中能够对相关数据电文进行加密和使用电子签名。</w:t>
      </w:r>
    </w:p>
    <w:p w14:paraId="3837002A">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1108F1B6">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05A88EBB">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36E10008">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669C84BD">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3B391762">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58213275">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详见“供应商须知前附表”。</w:t>
      </w:r>
    </w:p>
    <w:p w14:paraId="53CE3E7B">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45FCC664">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55CB76C0">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首次响应文件的退回</w:t>
      </w:r>
    </w:p>
    <w:p w14:paraId="6E6D7742">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”平台操作退回，除此之外采购人和采购代理机构对已提交的电子响应文件概不退回。</w:t>
      </w:r>
    </w:p>
    <w:p w14:paraId="55856A25">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2B2EE15C">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本项目不收取磋商保证金，供应商在首次响应文件提交截止时间后可向采购人、采购代理机构书面申请撤回电子响应文件。</w:t>
      </w:r>
    </w:p>
    <w:p w14:paraId="7532CDD8">
      <w:pPr>
        <w:pStyle w:val="4"/>
        <w:pageBreakBefore w:val="0"/>
        <w:widowControl w:val="0"/>
        <w:kinsoku/>
        <w:wordWrap/>
        <w:overflowPunct/>
        <w:topLinePunct w:val="0"/>
        <w:autoSpaceDE/>
        <w:autoSpaceDN/>
        <w:bidi w:val="0"/>
        <w:spacing w:before="0" w:after="0"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四、评审及磋商</w:t>
      </w:r>
    </w:p>
    <w:p w14:paraId="6D28760C">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536C165B">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18AE0BB">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27AA707">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8EC0F05">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2177450D">
      <w:pPr>
        <w:pageBreakBefore w:val="0"/>
        <w:widowControl w:val="0"/>
        <w:kinsoku/>
        <w:wordWrap/>
        <w:overflowPunct/>
        <w:topLinePunct w:val="0"/>
        <w:autoSpaceDE/>
        <w:autoSpaceDN/>
        <w:bidi w:val="0"/>
        <w:spacing w:line="360" w:lineRule="auto"/>
        <w:ind w:firstLine="420" w:firstLineChars="200"/>
        <w:jc w:val="both"/>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25.2 </w:t>
      </w:r>
      <w:r>
        <w:rPr>
          <w:rFonts w:hint="eastAsia" w:ascii="宋体" w:hAnsi="宋体" w:eastAsia="宋体" w:cs="宋体"/>
          <w:bCs/>
          <w:color w:val="auto"/>
          <w:kern w:val="0"/>
          <w:sz w:val="21"/>
          <w:szCs w:val="21"/>
          <w:highlight w:val="none"/>
          <w:lang w:val="en-US" w:eastAsia="zh-CN" w:bidi="ar-SA"/>
        </w:rPr>
        <w:t>响应文件解密</w:t>
      </w:r>
    </w:p>
    <w:p w14:paraId="22A8181C">
      <w:pPr>
        <w:pageBreakBefore w:val="0"/>
        <w:widowControl w:val="0"/>
        <w:kinsoku/>
        <w:wordWrap/>
        <w:overflowPunct/>
        <w:topLinePunct w:val="0"/>
        <w:autoSpaceDE/>
        <w:autoSpaceDN/>
        <w:bidi w:val="0"/>
        <w:snapToGrid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采购代理机构将在“供应商须知前附表”规定的时</w:t>
      </w:r>
      <w:r>
        <w:rPr>
          <w:rFonts w:hint="eastAsia" w:ascii="宋体" w:hAnsi="宋体" w:eastAsia="宋体" w:cs="宋体"/>
          <w:color w:val="auto"/>
          <w:kern w:val="0"/>
          <w:sz w:val="21"/>
          <w:szCs w:val="21"/>
          <w:highlight w:val="none"/>
          <w:lang w:val="en-US" w:eastAsia="zh-CN" w:bidi="ar-SA"/>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 w:val="21"/>
          <w:szCs w:val="21"/>
          <w:highlight w:val="none"/>
          <w:lang w:val="en-US" w:eastAsia="zh-CN" w:bidi="ar-SA"/>
        </w:rPr>
        <w:t>须携带加密时所用的CA锁按平台提示和采购文件的规定登录到“广西政府采购云平台”平台电子开标大厅签到并在发起解密指令之时起30分钟内完成对电子响应文件在线解密</w:t>
      </w:r>
      <w:r>
        <w:rPr>
          <w:rFonts w:hint="eastAsia" w:ascii="宋体" w:hAnsi="宋体" w:eastAsia="宋体" w:cs="宋体"/>
          <w:color w:val="auto"/>
          <w:kern w:val="0"/>
          <w:sz w:val="21"/>
          <w:szCs w:val="21"/>
          <w:highlight w:val="none"/>
          <w:lang w:val="en-US" w:eastAsia="zh-CN" w:bidi="ar-SA"/>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auto"/>
          <w:kern w:val="0"/>
          <w:sz w:val="21"/>
          <w:szCs w:val="21"/>
          <w:highlight w:val="none"/>
          <w:lang w:val="en-US" w:eastAsia="zh-CN" w:bidi="ar-SA"/>
        </w:rPr>
        <w:t>视为响应文件无效。</w:t>
      </w:r>
      <w:r>
        <w:rPr>
          <w:rFonts w:hint="eastAsia" w:ascii="宋体" w:hAnsi="宋体" w:eastAsia="宋体" w:cs="宋体"/>
          <w:color w:val="auto"/>
          <w:kern w:val="0"/>
          <w:sz w:val="21"/>
          <w:szCs w:val="21"/>
          <w:highlight w:val="none"/>
          <w:lang w:val="en-US" w:eastAsia="zh-CN" w:bidi="ar-SA"/>
        </w:rPr>
        <w:t>（解密</w:t>
      </w:r>
      <w:r>
        <w:rPr>
          <w:rFonts w:hint="eastAsia" w:ascii="宋体" w:hAnsi="宋体" w:eastAsia="宋体" w:cs="宋体"/>
          <w:bCs/>
          <w:color w:val="auto"/>
          <w:kern w:val="0"/>
          <w:sz w:val="21"/>
          <w:szCs w:val="21"/>
          <w:highlight w:val="none"/>
          <w:lang w:val="en-US" w:eastAsia="zh-CN" w:bidi="ar-SA"/>
        </w:rPr>
        <w:t>异常情况处理：详见本章</w:t>
      </w:r>
      <w:r>
        <w:rPr>
          <w:rFonts w:hint="eastAsia" w:ascii="宋体" w:hAnsi="宋体" w:eastAsia="宋体" w:cs="宋体"/>
          <w:color w:val="auto"/>
          <w:kern w:val="0"/>
          <w:sz w:val="21"/>
          <w:szCs w:val="21"/>
          <w:highlight w:val="none"/>
          <w:lang w:val="en-US" w:eastAsia="zh-CN" w:bidi="ar-SA"/>
        </w:rPr>
        <w:t>26.4电子交易活动的中止。）</w:t>
      </w:r>
    </w:p>
    <w:p w14:paraId="1E319DAA">
      <w:pPr>
        <w:pageBreakBefore w:val="0"/>
        <w:widowControl w:val="0"/>
        <w:kinsoku/>
        <w:wordWrap/>
        <w:overflowPunct/>
        <w:topLinePunct w:val="0"/>
        <w:autoSpaceDE/>
        <w:autoSpaceDN/>
        <w:bidi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如</w:t>
      </w:r>
      <w:r>
        <w:rPr>
          <w:rFonts w:hint="eastAsia" w:ascii="宋体" w:hAnsi="宋体" w:eastAsia="宋体" w:cs="宋体"/>
          <w:bCs/>
          <w:color w:val="auto"/>
          <w:kern w:val="0"/>
          <w:sz w:val="21"/>
          <w:szCs w:val="21"/>
          <w:highlight w:val="none"/>
          <w:lang w:val="en-US" w:eastAsia="zh-CN" w:bidi="ar-SA"/>
        </w:rPr>
        <w:t>供应商成功解密响应文件，但未在“广西政府采购云平台”电子开标大厅参加磋商的，视同认可磋商过程和结果，</w:t>
      </w:r>
      <w:r>
        <w:rPr>
          <w:rFonts w:hint="eastAsia" w:ascii="宋体" w:hAnsi="宋体" w:eastAsia="宋体" w:cs="宋体"/>
          <w:color w:val="auto"/>
          <w:kern w:val="0"/>
          <w:sz w:val="21"/>
          <w:szCs w:val="21"/>
          <w:highlight w:val="none"/>
          <w:lang w:val="en-US" w:eastAsia="zh-CN" w:bidi="ar-SA"/>
        </w:rPr>
        <w:t>由此产生的后果由供应商自行负责。 参与磋商的供应商不足3家的，不得磋商。</w:t>
      </w:r>
    </w:p>
    <w:p w14:paraId="433269A2">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3529277D">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14:paraId="2958B338">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磋商文件内容违反国家有关强制性规定的，磋商小组应当停止评审并向采购人或者采购代理机构说明情况，并在评审报告中书面体现。</w:t>
      </w:r>
    </w:p>
    <w:p w14:paraId="7CE1AA76">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 采购需求负偏离要求及磋商顺序详见 “ 供应商须知前附表”。</w:t>
      </w:r>
    </w:p>
    <w:p w14:paraId="3E5BF3FE">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559F4B0C">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021D4745">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7C72CC6C">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5D54041D">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3D826BA9">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（5）其他无法保证电子交易的公平、公正和安全的情况。</w:t>
      </w:r>
    </w:p>
    <w:p w14:paraId="130415B7">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79FA680">
      <w:pPr>
        <w:pStyle w:val="4"/>
        <w:pageBreakBefore w:val="0"/>
        <w:widowControl w:val="0"/>
        <w:kinsoku/>
        <w:wordWrap/>
        <w:overflowPunct/>
        <w:topLinePunct w:val="0"/>
        <w:autoSpaceDE/>
        <w:autoSpaceDN/>
        <w:bidi w:val="0"/>
        <w:spacing w:before="0" w:after="0"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五、成交及合同</w:t>
      </w:r>
    </w:p>
    <w:p w14:paraId="32749ADE">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CE28AAA">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1FEC6E00">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同时向成交供应商发出成交通知书，成交通知书规定签订合同的时间不得超过25日。</w:t>
      </w:r>
    </w:p>
    <w:p w14:paraId="0C0782CD">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一并保存。成交供应商享受《政府采购促进中小企业发展管理办法》（财库〔2020〕46号）规定的中小企业扶持政策的，采购人、采购代理机构应当随成交结果公开成交供应商的《中小企业声明函》。</w:t>
      </w:r>
    </w:p>
    <w:p w14:paraId="395A097E">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AB9DA82">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FEAA379">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11B0AC82">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0DDF2E8D">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19924C72">
      <w:pPr>
        <w:pStyle w:val="78"/>
        <w:pageBreakBefore w:val="0"/>
        <w:widowControl w:val="0"/>
        <w:kinsoku/>
        <w:wordWrap/>
        <w:overflowPunct/>
        <w:topLinePunct w:val="0"/>
        <w:autoSpaceDE/>
        <w:autoSpaceDN/>
        <w:bidi w:val="0"/>
        <w:snapToGrid w:val="0"/>
        <w:spacing w:before="0" w:line="360" w:lineRule="auto"/>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D8BD51C">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E14FE9E">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D424AD4">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AD84463">
      <w:pPr>
        <w:pStyle w:val="78"/>
        <w:pageBreakBefore w:val="0"/>
        <w:widowControl w:val="0"/>
        <w:kinsoku/>
        <w:wordWrap/>
        <w:overflowPunct/>
        <w:topLinePunct w:val="0"/>
        <w:autoSpaceDE/>
        <w:autoSpaceDN/>
        <w:bidi w:val="0"/>
        <w:spacing w:before="0"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643CDE62">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692833A4">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highlight w:val="none"/>
        </w:rPr>
        <w:t>上公告，但政府采购合同中涉及国家秘密、商业秘密的内容除外。</w:t>
      </w:r>
    </w:p>
    <w:p w14:paraId="69B84F82">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154EE1BA">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23DBFA40">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2D4ACFCC">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w:t>
      </w:r>
      <w:r>
        <w:rPr>
          <w:rFonts w:hint="eastAsia" w:ascii="宋体" w:hAnsi="宋体" w:eastAsia="宋体" w:cs="宋体"/>
          <w:bCs/>
          <w:color w:val="auto"/>
          <w:highlight w:val="none"/>
          <w:lang w:eastAsia="zh-CN"/>
        </w:rPr>
        <w:t>竞争性磋商文件</w:t>
      </w:r>
      <w:r>
        <w:rPr>
          <w:rFonts w:hint="eastAsia" w:ascii="宋体" w:hAnsi="宋体" w:eastAsia="宋体" w:cs="宋体"/>
          <w:bCs/>
          <w:color w:val="auto"/>
          <w:highlight w:val="none"/>
        </w:rPr>
        <w:t>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37103C4">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ED83554">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2B32C220">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6C4E227">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8FA9D6F">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46D1BFAE">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32465C72">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0DB656A3">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2AC6DA8C">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198E64AA">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17FDDDD2">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6E2B8A3E">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2D230287">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725D26F8">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D2B3DBD">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5EAA6387">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7E96123B">
      <w:pPr>
        <w:pStyle w:val="4"/>
        <w:pageBreakBefore w:val="0"/>
        <w:widowControl w:val="0"/>
        <w:kinsoku/>
        <w:wordWrap/>
        <w:overflowPunct/>
        <w:topLinePunct w:val="0"/>
        <w:autoSpaceDE/>
        <w:autoSpaceDN/>
        <w:bidi w:val="0"/>
        <w:spacing w:before="0" w:after="0"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六、验收</w:t>
      </w:r>
    </w:p>
    <w:p w14:paraId="3C377107">
      <w:pPr>
        <w:pageBreakBefore w:val="0"/>
        <w:widowControl w:val="0"/>
        <w:tabs>
          <w:tab w:val="left" w:pos="0"/>
        </w:tabs>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13D964B2">
      <w:pPr>
        <w:pageBreakBefore w:val="0"/>
        <w:widowControl w:val="0"/>
        <w:tabs>
          <w:tab w:val="left" w:pos="0"/>
        </w:tabs>
        <w:kinsoku/>
        <w:wordWrap/>
        <w:overflowPunct/>
        <w:topLinePunct w:val="0"/>
        <w:autoSpaceDE/>
        <w:autoSpaceDN/>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FF44173">
      <w:pPr>
        <w:pageBreakBefore w:val="0"/>
        <w:widowControl w:val="0"/>
        <w:tabs>
          <w:tab w:val="left" w:pos="0"/>
        </w:tabs>
        <w:kinsoku/>
        <w:wordWrap/>
        <w:overflowPunct/>
        <w:topLinePunct w:val="0"/>
        <w:autoSpaceDE/>
        <w:autoSpaceDN/>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38240FE4">
      <w:pPr>
        <w:pageBreakBefore w:val="0"/>
        <w:widowControl w:val="0"/>
        <w:tabs>
          <w:tab w:val="left" w:pos="0"/>
        </w:tabs>
        <w:kinsoku/>
        <w:wordWrap/>
        <w:overflowPunct/>
        <w:topLinePunct w:val="0"/>
        <w:autoSpaceDE/>
        <w:autoSpaceDN/>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98218BB">
      <w:pPr>
        <w:pageBreakBefore w:val="0"/>
        <w:widowControl w:val="0"/>
        <w:tabs>
          <w:tab w:val="left" w:pos="0"/>
        </w:tabs>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7667D42">
      <w:pPr>
        <w:pStyle w:val="4"/>
        <w:pageBreakBefore w:val="0"/>
        <w:widowControl w:val="0"/>
        <w:kinsoku/>
        <w:wordWrap/>
        <w:overflowPunct/>
        <w:topLinePunct w:val="0"/>
        <w:autoSpaceDE/>
        <w:autoSpaceDN/>
        <w:bidi w:val="0"/>
        <w:spacing w:before="0" w:after="0"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七、其他事项</w:t>
      </w:r>
    </w:p>
    <w:p w14:paraId="08161D5F">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0FEE41FA">
      <w:pPr>
        <w:pageBreakBefore w:val="0"/>
        <w:widowControl w:val="0"/>
        <w:tabs>
          <w:tab w:val="left" w:pos="2835"/>
        </w:tabs>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14:paraId="6B6E8DD8">
      <w:pPr>
        <w:pStyle w:val="13"/>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33.2采购代理服务费收费计算标准：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2CBF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noWrap w:val="0"/>
            <w:vAlign w:val="top"/>
          </w:tcPr>
          <w:p w14:paraId="233CEE7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0DAD4BC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659" w:type="dxa"/>
            <w:noWrap w:val="0"/>
            <w:vAlign w:val="center"/>
          </w:tcPr>
          <w:p w14:paraId="0E90E669">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532" w:type="dxa"/>
            <w:noWrap w:val="0"/>
            <w:vAlign w:val="center"/>
          </w:tcPr>
          <w:p w14:paraId="1FA4237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546" w:type="dxa"/>
            <w:noWrap w:val="0"/>
            <w:vAlign w:val="center"/>
          </w:tcPr>
          <w:p w14:paraId="4F95D96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61C0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5C2E64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43568031">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532" w:type="dxa"/>
            <w:noWrap w:val="0"/>
            <w:vAlign w:val="top"/>
          </w:tcPr>
          <w:p w14:paraId="42B59A3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546" w:type="dxa"/>
            <w:noWrap w:val="0"/>
            <w:vAlign w:val="top"/>
          </w:tcPr>
          <w:p w14:paraId="099809E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1027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63C8A0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5D33687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532" w:type="dxa"/>
            <w:noWrap w:val="0"/>
            <w:vAlign w:val="top"/>
          </w:tcPr>
          <w:p w14:paraId="44F6B1B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546" w:type="dxa"/>
            <w:noWrap w:val="0"/>
            <w:vAlign w:val="top"/>
          </w:tcPr>
          <w:p w14:paraId="7E3ECB2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4ACD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3FCEA8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37A23803">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532" w:type="dxa"/>
            <w:noWrap w:val="0"/>
            <w:vAlign w:val="top"/>
          </w:tcPr>
          <w:p w14:paraId="2A82C4B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546" w:type="dxa"/>
            <w:noWrap w:val="0"/>
            <w:vAlign w:val="top"/>
          </w:tcPr>
          <w:p w14:paraId="534CA11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3DC7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9BFC61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716AF0B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532" w:type="dxa"/>
            <w:noWrap w:val="0"/>
            <w:vAlign w:val="top"/>
          </w:tcPr>
          <w:p w14:paraId="6B43591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546" w:type="dxa"/>
            <w:noWrap w:val="0"/>
            <w:vAlign w:val="top"/>
          </w:tcPr>
          <w:p w14:paraId="3DB7D87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488D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37BD88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2A118C1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532" w:type="dxa"/>
            <w:noWrap w:val="0"/>
            <w:vAlign w:val="top"/>
          </w:tcPr>
          <w:p w14:paraId="17D5D14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546" w:type="dxa"/>
            <w:noWrap w:val="0"/>
            <w:vAlign w:val="top"/>
          </w:tcPr>
          <w:p w14:paraId="1222C73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60D68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7DA914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3BB9BE2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32" w:type="dxa"/>
            <w:noWrap w:val="0"/>
            <w:vAlign w:val="top"/>
          </w:tcPr>
          <w:p w14:paraId="5BC1AE8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546" w:type="dxa"/>
            <w:noWrap w:val="0"/>
            <w:vAlign w:val="top"/>
          </w:tcPr>
          <w:p w14:paraId="14E92A7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7184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724B8E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30A2CC32">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32" w:type="dxa"/>
            <w:noWrap w:val="0"/>
            <w:vAlign w:val="top"/>
          </w:tcPr>
          <w:p w14:paraId="7D4B66D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546" w:type="dxa"/>
            <w:noWrap w:val="0"/>
            <w:vAlign w:val="top"/>
          </w:tcPr>
          <w:p w14:paraId="30DA9CE4">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6071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CBCCE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1D2B032A">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32" w:type="dxa"/>
            <w:noWrap w:val="0"/>
            <w:vAlign w:val="top"/>
          </w:tcPr>
          <w:p w14:paraId="7111689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46" w:type="dxa"/>
            <w:noWrap w:val="0"/>
            <w:vAlign w:val="top"/>
          </w:tcPr>
          <w:p w14:paraId="36CAA024">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0E09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307635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75D2EC4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532" w:type="dxa"/>
            <w:noWrap w:val="0"/>
            <w:vAlign w:val="top"/>
          </w:tcPr>
          <w:p w14:paraId="4E24063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46" w:type="dxa"/>
            <w:noWrap w:val="0"/>
            <w:vAlign w:val="top"/>
          </w:tcPr>
          <w:p w14:paraId="705CA804">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7D41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E2F690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w:t>
            </w:r>
            <w:r>
              <w:rPr>
                <w:rFonts w:hint="eastAsia" w:ascii="宋体" w:hAnsi="宋体" w:eastAsia="宋体" w:cs="宋体"/>
                <w:color w:val="auto"/>
                <w:highlight w:val="none"/>
                <w:lang w:val="en-US" w:eastAsia="zh-CN"/>
              </w:rPr>
              <w:t>元</w:t>
            </w:r>
            <w:r>
              <w:rPr>
                <w:rFonts w:hint="eastAsia" w:ascii="宋体" w:hAnsi="宋体" w:eastAsia="宋体" w:cs="宋体"/>
                <w:color w:val="auto"/>
                <w:szCs w:val="21"/>
                <w:highlight w:val="none"/>
              </w:rPr>
              <w:t>以上</w:t>
            </w:r>
          </w:p>
        </w:tc>
        <w:tc>
          <w:tcPr>
            <w:tcW w:w="1659" w:type="dxa"/>
            <w:noWrap w:val="0"/>
            <w:vAlign w:val="top"/>
          </w:tcPr>
          <w:p w14:paraId="4E66570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532" w:type="dxa"/>
            <w:noWrap w:val="0"/>
            <w:vAlign w:val="top"/>
          </w:tcPr>
          <w:p w14:paraId="0C276B3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46" w:type="dxa"/>
            <w:noWrap w:val="0"/>
            <w:vAlign w:val="top"/>
          </w:tcPr>
          <w:p w14:paraId="12C72565">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3212D7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w:t>
      </w:r>
    </w:p>
    <w:p w14:paraId="3D1A0FB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14:paraId="00D2355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14:paraId="305DC7E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例如：某采购代理业务成交金额或者暂定价为150万元，计算采购代理收费额如下：</w:t>
      </w:r>
    </w:p>
    <w:p w14:paraId="77E6265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100 万元 ×l ％＝ </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 xml:space="preserve"> 万元</w:t>
      </w:r>
    </w:p>
    <w:p w14:paraId="76528BA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150 － 100 ）万元 ×0.</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0.</w:t>
      </w:r>
      <w:r>
        <w:rPr>
          <w:rFonts w:hint="eastAsia" w:ascii="宋体" w:hAnsi="宋体" w:eastAsia="宋体" w:cs="宋体"/>
          <w:color w:val="auto"/>
          <w:highlight w:val="none"/>
          <w:lang w:val="en-US" w:eastAsia="zh-CN"/>
        </w:rPr>
        <w:t>35</w:t>
      </w:r>
      <w:r>
        <w:rPr>
          <w:rFonts w:hint="eastAsia" w:ascii="宋体" w:hAnsi="宋体" w:eastAsia="宋体" w:cs="宋体"/>
          <w:color w:val="auto"/>
          <w:highlight w:val="none"/>
        </w:rPr>
        <w:t>万元</w:t>
      </w:r>
    </w:p>
    <w:p w14:paraId="520980F4">
      <w:pPr>
        <w:pageBreakBefore w:val="0"/>
        <w:widowControl w:val="0"/>
        <w:tabs>
          <w:tab w:val="left" w:pos="2835"/>
        </w:tabs>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合计收费＝ 1 ＋ 0.</w:t>
      </w:r>
      <w:r>
        <w:rPr>
          <w:rFonts w:hint="eastAsia" w:ascii="宋体" w:hAnsi="宋体" w:eastAsia="宋体" w:cs="宋体"/>
          <w:color w:val="auto"/>
          <w:highlight w:val="none"/>
          <w:lang w:val="en-US" w:eastAsia="zh-CN"/>
        </w:rPr>
        <w:t>35</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1.35</w:t>
      </w:r>
      <w:r>
        <w:rPr>
          <w:rFonts w:hint="eastAsia" w:ascii="宋体" w:hAnsi="宋体" w:eastAsia="宋体" w:cs="宋体"/>
          <w:color w:val="auto"/>
          <w:highlight w:val="none"/>
        </w:rPr>
        <w:t xml:space="preserve"> 万元</w:t>
      </w:r>
    </w:p>
    <w:p w14:paraId="3054B8E4">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131864A0">
      <w:pPr>
        <w:pageBreakBefore w:val="0"/>
        <w:widowControl w:val="0"/>
        <w:kinsoku/>
        <w:wordWrap/>
        <w:overflowPunct/>
        <w:topLinePunct w:val="0"/>
        <w:autoSpaceDE/>
        <w:autoSpaceDN/>
        <w:bidi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34.1本磋商文件解释规则详见“供应商须知前附表”。</w:t>
      </w:r>
    </w:p>
    <w:p w14:paraId="25FEC3CC">
      <w:pPr>
        <w:pageBreakBefore w:val="0"/>
        <w:widowControl w:val="0"/>
        <w:kinsoku/>
        <w:wordWrap/>
        <w:overflowPunct/>
        <w:topLinePunct w:val="0"/>
        <w:autoSpaceDE/>
        <w:autoSpaceDN/>
        <w:bidi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34.2 其他事项详见“供应商须知前附表”。</w:t>
      </w:r>
    </w:p>
    <w:p w14:paraId="75FC7DB5">
      <w:pPr>
        <w:pageBreakBefore w:val="0"/>
        <w:widowControl w:val="0"/>
        <w:kinsoku/>
        <w:wordWrap/>
        <w:overflowPunct/>
        <w:topLinePunct w:val="0"/>
        <w:autoSpaceDE/>
        <w:autoSpaceDN/>
        <w:bidi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工程由中小企业承建，即工程施工单位为中小企业（不对其中涉及的货物的制造商和服务的承接商作出要求）的，享受本文件规定的中小企业扶持政策。</w:t>
      </w:r>
    </w:p>
    <w:p w14:paraId="03737EB2">
      <w:pPr>
        <w:pageBreakBefore w:val="0"/>
        <w:widowControl w:val="0"/>
        <w:kinsoku/>
        <w:wordWrap/>
        <w:overflowPunct/>
        <w:topLinePunct w:val="0"/>
        <w:autoSpaceDE/>
        <w:autoSpaceDN/>
        <w:bidi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以联合体形式参加政府采购活动，联合体各方均为中小企业的，联合体视同中小企业。其中，联合体各方均为小微企业的，联合体视同小微企业。</w:t>
      </w:r>
    </w:p>
    <w:p w14:paraId="0521EBB7">
      <w:pPr>
        <w:pageBreakBefore w:val="0"/>
        <w:widowControl w:val="0"/>
        <w:kinsoku/>
        <w:wordWrap/>
        <w:overflowPunct/>
        <w:topLinePunct w:val="0"/>
        <w:autoSpaceDE/>
        <w:autoSpaceDN/>
        <w:bidi w:val="0"/>
        <w:spacing w:line="360" w:lineRule="auto"/>
        <w:ind w:firstLine="420" w:firstLineChars="20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依据本文件规定享受扶持政策获得政府采购合同的，小微企业不得将合同分包给大中型企业，中型企业不得将合同分包给大型企业。</w:t>
      </w:r>
    </w:p>
    <w:p w14:paraId="7CD035E5">
      <w:pPr>
        <w:pageBreakBefore w:val="0"/>
        <w:widowControl w:val="0"/>
        <w:kinsoku/>
        <w:wordWrap/>
        <w:overflowPunct/>
        <w:topLinePunct w:val="0"/>
        <w:autoSpaceDE/>
        <w:autoSpaceDN/>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35. 政采贷相关说明</w:t>
      </w:r>
    </w:p>
    <w:p w14:paraId="5749B727">
      <w:pPr>
        <w:pageBreakBefore w:val="0"/>
        <w:widowControl w:val="0"/>
        <w:kinsoku/>
        <w:wordWrap/>
        <w:overflowPunct/>
        <w:topLinePunct w:val="0"/>
        <w:autoSpaceDE/>
        <w:autoSpaceDN/>
        <w:bidi w:val="0"/>
        <w:spacing w:line="360" w:lineRule="auto"/>
        <w:ind w:firstLine="420" w:firstLineChars="200"/>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为优化政府采购营商环境，缓解供应商资金难题，南宁市政府采购试行政府采购信用融资制度，中标供应商如有融资需求，可凭政府采购合同通过以下方式申请政府采购信用融资贷款：</w:t>
      </w:r>
    </w:p>
    <w:p w14:paraId="221C9090">
      <w:pPr>
        <w:pageBreakBefore w:val="0"/>
        <w:widowControl w:val="0"/>
        <w:numPr>
          <w:ilvl w:val="0"/>
          <w:numId w:val="2"/>
        </w:numPr>
        <w:kinsoku/>
        <w:wordWrap/>
        <w:overflowPunct/>
        <w:topLinePunct w:val="0"/>
        <w:autoSpaceDE/>
        <w:autoSpaceDN/>
        <w:bidi w:val="0"/>
        <w:spacing w:line="360" w:lineRule="auto"/>
        <w:ind w:firstLine="420" w:firstLineChars="200"/>
        <w:jc w:val="both"/>
        <w:textAlignment w:val="center"/>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线下渠道：在“南宁市公共资源交易中心”官网（网址：</w:t>
      </w:r>
      <w:r>
        <w:rPr>
          <w:rFonts w:hint="eastAsia" w:ascii="宋体" w:hAnsi="宋体" w:eastAsia="宋体" w:cs="宋体"/>
          <w:color w:val="auto"/>
          <w:kern w:val="0"/>
          <w:sz w:val="21"/>
          <w:szCs w:val="21"/>
          <w:highlight w:val="none"/>
          <w:lang w:val="en-US" w:eastAsia="zh-CN" w:bidi="ar-SA"/>
        </w:rPr>
        <w:fldChar w:fldCharType="begin"/>
      </w:r>
      <w:r>
        <w:rPr>
          <w:rFonts w:hint="eastAsia" w:ascii="宋体" w:hAnsi="宋体" w:eastAsia="宋体" w:cs="宋体"/>
          <w:color w:val="auto"/>
          <w:kern w:val="0"/>
          <w:sz w:val="21"/>
          <w:szCs w:val="21"/>
          <w:highlight w:val="none"/>
          <w:lang w:val="en-US" w:eastAsia="zh-CN" w:bidi="ar-SA"/>
        </w:rPr>
        <w:instrText xml:space="preserve"> HYPERLINK "http://www.nnggzy.org.cn）\“交易信息-政府采购-政府采购信用融资\”中融资银行和南宁市企业融资服务中心专栏信息申请政府采购信用融资。" </w:instrText>
      </w:r>
      <w:r>
        <w:rPr>
          <w:rFonts w:hint="eastAsia" w:ascii="宋体" w:hAnsi="宋体" w:eastAsia="宋体" w:cs="宋体"/>
          <w:color w:val="auto"/>
          <w:kern w:val="0"/>
          <w:sz w:val="21"/>
          <w:szCs w:val="21"/>
          <w:highlight w:val="none"/>
          <w:lang w:val="en-US" w:eastAsia="zh-CN" w:bidi="ar-SA"/>
        </w:rPr>
        <w:fldChar w:fldCharType="separate"/>
      </w:r>
      <w:r>
        <w:rPr>
          <w:rFonts w:hint="eastAsia" w:ascii="宋体" w:hAnsi="宋体" w:eastAsia="宋体" w:cs="宋体"/>
          <w:color w:val="auto"/>
          <w:kern w:val="0"/>
          <w:sz w:val="21"/>
          <w:szCs w:val="21"/>
          <w:highlight w:val="none"/>
          <w:lang w:val="en-US" w:eastAsia="zh-CN" w:bidi="ar-SA"/>
        </w:rPr>
        <w:t>http://www.nnggzy.org.cn）“交易信息-政府采购-政府采购信用融资”中融资银行和南宁市企业融资服务中心专栏信息申请政府采购信用融资。</w:t>
      </w:r>
      <w:r>
        <w:rPr>
          <w:rFonts w:hint="eastAsia" w:ascii="宋体" w:hAnsi="宋体" w:eastAsia="宋体" w:cs="宋体"/>
          <w:color w:val="auto"/>
          <w:kern w:val="0"/>
          <w:sz w:val="21"/>
          <w:szCs w:val="21"/>
          <w:highlight w:val="none"/>
          <w:lang w:val="en-US" w:eastAsia="zh-CN" w:bidi="ar-SA"/>
        </w:rPr>
        <w:fldChar w:fldCharType="end"/>
      </w:r>
    </w:p>
    <w:p w14:paraId="421A33ED">
      <w:pPr>
        <w:pageBreakBefore w:val="0"/>
        <w:widowControl w:val="0"/>
        <w:numPr>
          <w:ilvl w:val="0"/>
          <w:numId w:val="2"/>
        </w:numPr>
        <w:kinsoku/>
        <w:wordWrap/>
        <w:overflowPunct/>
        <w:topLinePunct w:val="0"/>
        <w:autoSpaceDE/>
        <w:autoSpaceDN/>
        <w:bidi w:val="0"/>
        <w:spacing w:line="360" w:lineRule="auto"/>
        <w:ind w:firstLine="420" w:firstLineChars="200"/>
        <w:jc w:val="both"/>
        <w:textAlignment w:val="center"/>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72B3A32B">
      <w:pPr>
        <w:pStyle w:val="21"/>
        <w:rPr>
          <w:rFonts w:hint="eastAsia" w:ascii="宋体" w:hAnsi="宋体" w:eastAsia="宋体" w:cs="宋体"/>
          <w:color w:val="auto"/>
          <w:szCs w:val="21"/>
          <w:highlight w:val="none"/>
        </w:rPr>
      </w:pPr>
    </w:p>
    <w:p w14:paraId="56D6137B">
      <w:pPr>
        <w:pStyle w:val="21"/>
        <w:rPr>
          <w:rFonts w:hint="eastAsia" w:ascii="宋体" w:hAnsi="宋体" w:eastAsia="宋体" w:cs="宋体"/>
          <w:color w:val="auto"/>
          <w:szCs w:val="21"/>
          <w:highlight w:val="none"/>
        </w:rPr>
      </w:pPr>
    </w:p>
    <w:p w14:paraId="186A457D">
      <w:pPr>
        <w:pStyle w:val="21"/>
        <w:rPr>
          <w:rFonts w:hint="eastAsia" w:ascii="宋体" w:hAnsi="宋体" w:eastAsia="宋体" w:cs="宋体"/>
          <w:color w:val="auto"/>
          <w:szCs w:val="21"/>
          <w:highlight w:val="none"/>
        </w:rPr>
      </w:pPr>
    </w:p>
    <w:p w14:paraId="1A65725A">
      <w:pPr>
        <w:pStyle w:val="2"/>
        <w:pageBreakBefore w:val="0"/>
        <w:kinsoku/>
        <w:wordWrap/>
        <w:overflowPunct/>
        <w:topLinePunct w:val="0"/>
        <w:autoSpaceDE/>
        <w:autoSpaceDN/>
        <w:bidi w:val="0"/>
        <w:spacing w:line="360" w:lineRule="auto"/>
        <w:jc w:val="center"/>
        <w:textAlignment w:val="auto"/>
        <w:rPr>
          <w:rFonts w:hint="eastAsia" w:ascii="宋体" w:hAnsi="宋体" w:eastAsia="宋体" w:cs="宋体"/>
          <w:b/>
          <w:bCs/>
          <w:color w:val="auto"/>
          <w:highlight w:val="none"/>
        </w:rPr>
      </w:pPr>
      <w:bookmarkStart w:id="28" w:name="_Toc28979"/>
      <w:bookmarkStart w:id="29" w:name="_Toc8593"/>
      <w:bookmarkStart w:id="30" w:name="_Toc21081"/>
      <w:bookmarkStart w:id="31" w:name="_Toc17511"/>
      <w:bookmarkStart w:id="32" w:name="_Toc8412"/>
      <w:bookmarkStart w:id="33" w:name="_Toc3879"/>
      <w:r>
        <w:rPr>
          <w:rFonts w:hint="eastAsia" w:ascii="宋体" w:hAnsi="宋体" w:eastAsia="宋体" w:cs="宋体"/>
          <w:b/>
          <w:bCs/>
          <w:color w:val="auto"/>
          <w:highlight w:val="none"/>
        </w:rPr>
        <w:br w:type="page"/>
      </w:r>
      <w:r>
        <w:rPr>
          <w:rFonts w:hint="eastAsia" w:ascii="宋体" w:hAnsi="宋体" w:eastAsia="宋体" w:cs="宋体"/>
          <w:b/>
          <w:bCs/>
          <w:color w:val="auto"/>
          <w:highlight w:val="none"/>
        </w:rPr>
        <w:t>第四章  评审程序、评审方法和评审标准</w:t>
      </w:r>
      <w:bookmarkEnd w:id="28"/>
      <w:bookmarkEnd w:id="29"/>
      <w:bookmarkEnd w:id="30"/>
      <w:bookmarkEnd w:id="31"/>
      <w:bookmarkEnd w:id="32"/>
      <w:bookmarkEnd w:id="33"/>
    </w:p>
    <w:p w14:paraId="41600277">
      <w:pPr>
        <w:pStyle w:val="3"/>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highlight w:val="none"/>
        </w:rPr>
      </w:pPr>
      <w:bookmarkStart w:id="34" w:name="_Toc11607"/>
      <w:bookmarkStart w:id="35" w:name="_Toc17424"/>
      <w:r>
        <w:rPr>
          <w:rFonts w:hint="eastAsia" w:ascii="宋体" w:hAnsi="宋体" w:eastAsia="宋体" w:cs="宋体"/>
          <w:b w:val="0"/>
          <w:bCs/>
          <w:color w:val="auto"/>
          <w:highlight w:val="none"/>
        </w:rPr>
        <w:t>第一节 评审程序和评审方法</w:t>
      </w:r>
      <w:bookmarkEnd w:id="34"/>
      <w:bookmarkEnd w:id="35"/>
    </w:p>
    <w:p w14:paraId="69A6846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5D7418C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3644C53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1AAF64EB">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39F12E1B">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5C365C8B">
      <w:pPr>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”平台“信用中国”网站(</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35"/>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35"/>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0A5AB4D8">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69C6160">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47CF199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BFF93C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5C280CB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9432187">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7A9E77B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CC12FC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3A5EBB6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p>
    <w:p w14:paraId="7F90436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1EEB144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36852AF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657B745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43FE77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04EAD794">
      <w:pPr>
        <w:keepNext w:val="0"/>
        <w:keepLines w:val="0"/>
        <w:pageBreakBefore w:val="0"/>
        <w:kinsoku/>
        <w:wordWrap/>
        <w:overflowPunct/>
        <w:topLinePunct w:val="0"/>
        <w:autoSpaceDE/>
        <w:autoSpaceDN/>
        <w:bidi w:val="0"/>
        <w:spacing w:line="360" w:lineRule="auto"/>
        <w:ind w:firstLine="39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61A32B9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C766E9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0FF20AA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1704509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699FD3C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3A7A43D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15CAA81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05C459F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439A11E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6982285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17E0509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CDF053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0118CA3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08FBB86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2542588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1E62AA8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379310F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646A41F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0D28579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446D616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18793AB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145B75C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6B10D77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4251EB8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3F3525D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3D7C397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0269D27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进行报价或者存在漏项报价；供应商未就所竞标项目的单项内容作唯一报价；供应商未就所竞标项目的全部内容作唯一总价报价；供应商响应文件中存在有选择、有条件报价的（磋商文件允许有备选方案或者其他约定的除外）；</w:t>
      </w:r>
    </w:p>
    <w:p w14:paraId="214EDFF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项目规定的采购预算金额或者最高限价的（如本项目公布了最高限价）；响应报价（包含首次报价、最后报价）超过磋商文件项目采购预算金额或者最高限价的（如本项目公布了最高限价）；</w:t>
      </w:r>
    </w:p>
    <w:p w14:paraId="382C8AA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项目规定的采购预算金额或者最高限价（如本项目公布了最高限价）；或者经供应商确认修正后响应报价（包含首次报价、最后报价）超过磋商文件分项采购预算金额或者最高限价的（如本项目公布了最高限价）。</w:t>
      </w:r>
    </w:p>
    <w:p w14:paraId="59D332D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6）供应商已标价工程量清单中的项目编码（12位）、项目名称、项目特征、计量单位、工程量与工程量清单不一致的；</w:t>
      </w:r>
    </w:p>
    <w:p w14:paraId="2C1B6C0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）响应文件响应的标的数量及单位与</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要求实质性不一致的。</w:t>
      </w:r>
    </w:p>
    <w:p w14:paraId="0D265B8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F5CBCB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DCD3E2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BCC83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4181DA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FA8F89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4F628BA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14E2B09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D56F341">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w:t>
      </w:r>
      <w:r>
        <w:rPr>
          <w:rFonts w:hint="eastAsia" w:ascii="宋体" w:hAnsi="宋体" w:eastAsia="宋体" w:cs="宋体"/>
          <w:color w:val="auto"/>
          <w:szCs w:val="21"/>
          <w:highlight w:val="none"/>
          <w:lang w:eastAsia="zh-CN"/>
        </w:rPr>
        <w:t>评审报告</w:t>
      </w:r>
      <w:r>
        <w:rPr>
          <w:rFonts w:hint="eastAsia" w:ascii="宋体" w:hAnsi="宋体" w:eastAsia="宋体" w:cs="宋体"/>
          <w:color w:val="auto"/>
          <w:szCs w:val="21"/>
          <w:highlight w:val="none"/>
        </w:rPr>
        <w:t>一部分，磋商小组在记录上签字确认。</w:t>
      </w:r>
      <w:r>
        <w:rPr>
          <w:rFonts w:hint="eastAsia" w:ascii="宋体" w:hAnsi="宋体" w:eastAsia="宋体" w:cs="宋体"/>
          <w:b/>
          <w:color w:val="auto"/>
          <w:highlight w:val="none"/>
        </w:rPr>
        <w:t>主要内容包括：</w:t>
      </w:r>
    </w:p>
    <w:p w14:paraId="5656023F">
      <w:pPr>
        <w:pStyle w:val="78"/>
        <w:keepNext w:val="0"/>
        <w:keepLines w:val="0"/>
        <w:pageBreakBefore w:val="0"/>
        <w:kinsoku/>
        <w:wordWrap/>
        <w:overflowPunct/>
        <w:topLinePunct w:val="0"/>
        <w:autoSpaceDE/>
        <w:autoSpaceDN/>
        <w:bidi w:val="0"/>
        <w:spacing w:before="0" w:line="360" w:lineRule="auto"/>
        <w:ind w:firstLine="396"/>
        <w:textAlignment w:val="auto"/>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6EF1ED3">
      <w:pPr>
        <w:pStyle w:val="78"/>
        <w:keepNext w:val="0"/>
        <w:keepLines w:val="0"/>
        <w:pageBreakBefore w:val="0"/>
        <w:kinsoku/>
        <w:wordWrap/>
        <w:overflowPunct/>
        <w:topLinePunct w:val="0"/>
        <w:autoSpaceDE/>
        <w:autoSpaceDN/>
        <w:bidi w:val="0"/>
        <w:spacing w:before="0" w:line="360" w:lineRule="auto"/>
        <w:ind w:firstLine="396"/>
        <w:textAlignment w:val="auto"/>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600E27E9">
      <w:pPr>
        <w:pStyle w:val="78"/>
        <w:keepNext w:val="0"/>
        <w:keepLines w:val="0"/>
        <w:pageBreakBefore w:val="0"/>
        <w:kinsoku/>
        <w:wordWrap/>
        <w:overflowPunct/>
        <w:topLinePunct w:val="0"/>
        <w:autoSpaceDE/>
        <w:autoSpaceDN/>
        <w:bidi w:val="0"/>
        <w:spacing w:before="0" w:line="360" w:lineRule="auto"/>
        <w:ind w:firstLine="396"/>
        <w:textAlignment w:val="auto"/>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B716E71">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328846B1">
      <w:pPr>
        <w:keepNext w:val="0"/>
        <w:keepLines w:val="0"/>
        <w:pageBreakBefore w:val="0"/>
        <w:tabs>
          <w:tab w:val="left" w:pos="2835"/>
        </w:tabs>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11465EE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5.最后报价</w:t>
      </w:r>
    </w:p>
    <w:p w14:paraId="473E1EA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31C5FAE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4EE4372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50358A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4745B54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5.5供应商未在规定时间内提交最后报价的，视同退出磋商，其响应文件按无效处理。</w:t>
      </w:r>
    </w:p>
    <w:p w14:paraId="607B67B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432D098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2FA971B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35FB47C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4BC732F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577DBB1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0BFB1DD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5BB74B9D">
      <w:pPr>
        <w:snapToGrid w:val="0"/>
        <w:spacing w:line="360" w:lineRule="auto"/>
        <w:ind w:firstLine="424" w:firstLineChars="202"/>
        <w:jc w:val="left"/>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5.10异常低价响应审查</w:t>
      </w:r>
    </w:p>
    <w:p w14:paraId="0BA285F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（1）磋商小组在评审中发现下列情形之一的，应当启动异常低价响应审查程序：</w:t>
      </w:r>
    </w:p>
    <w:p w14:paraId="55085E7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①响应报价低于全部通过符合性审查供应商响应报价平均值</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的，即响应报价＜全部通过符合性审查供应商响应报价平均值×</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i/>
          <w:color w:val="auto"/>
          <w:szCs w:val="21"/>
          <w:highlight w:val="none"/>
        </w:rPr>
        <w:t>（范围为50%-65%）</w:t>
      </w:r>
    </w:p>
    <w:p w14:paraId="3EB52DF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②响应报价低于通过符合性审查的次低报价供应商响应报价</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的，即响应报价＜通过符合性审查的次低报价供应商响应报价×</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i/>
          <w:color w:val="auto"/>
          <w:szCs w:val="21"/>
          <w:highlight w:val="none"/>
        </w:rPr>
        <w:t>（范围为50%-65%）</w:t>
      </w:r>
    </w:p>
    <w:p w14:paraId="210B66F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③响应报价低于采购项目最高限价</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 xml:space="preserve">5% </w:t>
      </w:r>
      <w:r>
        <w:rPr>
          <w:rFonts w:hint="eastAsia" w:ascii="宋体" w:hAnsi="宋体" w:eastAsia="宋体" w:cs="宋体"/>
          <w:color w:val="auto"/>
          <w:szCs w:val="21"/>
          <w:highlight w:val="none"/>
        </w:rPr>
        <w:t>的，即响应报价＜采购项目最高限价×</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 xml:space="preserve">5% </w:t>
      </w:r>
      <w:r>
        <w:rPr>
          <w:rFonts w:hint="eastAsia" w:ascii="宋体" w:hAnsi="宋体" w:eastAsia="宋体" w:cs="宋体"/>
          <w:color w:val="auto"/>
          <w:szCs w:val="21"/>
          <w:highlight w:val="none"/>
        </w:rPr>
        <w:t>；</w:t>
      </w:r>
      <w:r>
        <w:rPr>
          <w:rFonts w:hint="eastAsia" w:ascii="宋体" w:hAnsi="宋体" w:eastAsia="宋体" w:cs="宋体"/>
          <w:i/>
          <w:color w:val="auto"/>
          <w:szCs w:val="21"/>
          <w:highlight w:val="none"/>
        </w:rPr>
        <w:t>（范围为45%-65%）</w:t>
      </w:r>
    </w:p>
    <w:p w14:paraId="343A554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④磋商小组基于专业判断，认为供应商报价过低，有可能影响产品质量或者不能诚信履约的其他情形。</w:t>
      </w:r>
    </w:p>
    <w:p w14:paraId="1421052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2EDC9F8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color w:val="auto"/>
          <w:szCs w:val="21"/>
          <w:highlight w:val="none"/>
        </w:rPr>
        <w:t>相关供应商不能提供书面说明、证明材料，或者提供的书面说明、证明材料不能证明其报价合理性的，磋商小组应当将其作为无效响应处理。</w:t>
      </w:r>
    </w:p>
    <w:p w14:paraId="26C4457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734D6D8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异常低价响应审查的启动原因、审查意见和审查结果应当在评审报告中记录，并随供应商提供的相关书面说明及证明材料，以及磋商小组有关互联网浏览、查询历史一并归档。</w:t>
      </w:r>
    </w:p>
    <w:p w14:paraId="6E923BC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9DD9D9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最后报价结束后，磋商小组不得再与供应商进行任何形式的商谈。</w:t>
      </w:r>
    </w:p>
    <w:p w14:paraId="2F76E981">
      <w:pPr>
        <w:keepNext w:val="0"/>
        <w:keepLines w:val="0"/>
        <w:pageBreakBefore w:val="0"/>
        <w:kinsoku/>
        <w:wordWrap/>
        <w:overflowPunct/>
        <w:topLinePunct w:val="0"/>
        <w:autoSpaceDE/>
        <w:autoSpaceDN/>
        <w:bidi w:val="0"/>
        <w:spacing w:line="360" w:lineRule="auto"/>
        <w:ind w:firstLine="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33A308D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15897E9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w:t>
      </w:r>
      <w:bookmarkStart w:id="36" w:name="OLE_LINK35"/>
      <w:r>
        <w:rPr>
          <w:rFonts w:hint="eastAsia" w:ascii="宋体" w:hAnsi="宋体" w:eastAsia="宋体" w:cs="宋体"/>
          <w:color w:val="auto"/>
          <w:szCs w:val="21"/>
          <w:highlight w:val="none"/>
        </w:rPr>
        <w:t>磋商小组</w:t>
      </w:r>
      <w:bookmarkEnd w:id="36"/>
      <w:r>
        <w:rPr>
          <w:rFonts w:hint="eastAsia" w:ascii="宋体" w:hAnsi="宋体" w:eastAsia="宋体" w:cs="宋体"/>
          <w:color w:val="auto"/>
          <w:szCs w:val="21"/>
          <w:highlight w:val="none"/>
        </w:rPr>
        <w:t>采用综合评分法对提交最后报价的供应商的响应文件和最后报价进行综合评分。</w:t>
      </w:r>
    </w:p>
    <w:p w14:paraId="3EFC2DF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1E6CBAD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成员要根据政府采购法律法规和采购文件所载明的评审方法、标准进行评审。对供应商的价格分等客观评分项的评分应当一致，对其他需要借助专业知识评判的主观评分项，应当严格按照评分细则公正评分。</w:t>
      </w:r>
    </w:p>
    <w:p w14:paraId="632521A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（2）磋商小组按照磋商文件中规定的评审标准计算各供应商的报价得分。项目评审过程中，不得去掉最后报价中的最高报价和最低报价。</w:t>
      </w:r>
    </w:p>
    <w:p w14:paraId="3F91A47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（3）各供应商的得分为磋商小组所有成员的有效评分的算术平均数。</w:t>
      </w:r>
    </w:p>
    <w:p w14:paraId="0332D70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4F0FF4F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审报告。符合本章第5.3条情形的，可以推荐2家成交候选供应商。评审得分相同的，按照最后报价由低到高的顺序推荐。评审得分且最后报价相同的，按照技术指标优劣顺序推荐。</w:t>
      </w:r>
    </w:p>
    <w:p w14:paraId="7304413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0A40F0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7.评审复核</w:t>
      </w:r>
    </w:p>
    <w:p w14:paraId="425A15C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7.1评审报告签署前，</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要对评审结果进行复核，复核意见要体现在评审报告中。</w:t>
      </w:r>
    </w:p>
    <w:p w14:paraId="247C154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7.2评审结果汇总完成后，采购人、采购代理机构和</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均不得修改评审结果或者要求重新评审，但资格性检查认定错误、分值汇总计算错误、分项评分超出评分标准范围、客观分评分不一致、经</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一致认定评分畸高、畸低的情形除外。出现上述除外情形的，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应当现场修改评审结果，并在评审报告中明确记载。</w:t>
      </w:r>
    </w:p>
    <w:p w14:paraId="3CED0D65">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.评审标准</w:t>
      </w:r>
    </w:p>
    <w:p w14:paraId="6BCEAFCE">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highlight w:val="none"/>
          <w:lang w:val="en-US" w:eastAsia="zh-CN"/>
        </w:rPr>
        <w:t>8</w:t>
      </w:r>
      <w:r>
        <w:rPr>
          <w:rFonts w:hint="eastAsia" w:ascii="宋体" w:hAnsi="宋体" w:eastAsia="宋体" w:cs="宋体"/>
          <w:bCs/>
          <w:color w:val="auto"/>
          <w:highlight w:val="none"/>
        </w:rPr>
        <w:t>.</w:t>
      </w:r>
      <w:r>
        <w:rPr>
          <w:rFonts w:hint="eastAsia" w:ascii="宋体" w:hAnsi="宋体" w:eastAsia="宋体" w:cs="宋体"/>
          <w:bCs/>
          <w:color w:val="auto"/>
          <w:szCs w:val="21"/>
          <w:highlight w:val="none"/>
        </w:rPr>
        <w:t>1评审依据：磋商小组将以响应文件为评审依据，对供应商的报价、技术、商务等方面内容按百分制打分，供应商总得分=报价分+技术分+商务分。（计分方法按四舍五入取至百分位）</w:t>
      </w:r>
    </w:p>
    <w:tbl>
      <w:tblPr>
        <w:tblStyle w:val="29"/>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125"/>
        <w:gridCol w:w="6536"/>
        <w:gridCol w:w="851"/>
      </w:tblGrid>
      <w:tr w14:paraId="4762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693" w:type="dxa"/>
            <w:noWrap w:val="0"/>
            <w:vAlign w:val="center"/>
          </w:tcPr>
          <w:p w14:paraId="0E5DB9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1125" w:type="dxa"/>
            <w:noWrap w:val="0"/>
            <w:vAlign w:val="center"/>
          </w:tcPr>
          <w:p w14:paraId="2315EA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w:t>
            </w:r>
          </w:p>
        </w:tc>
        <w:tc>
          <w:tcPr>
            <w:tcW w:w="6536" w:type="dxa"/>
            <w:noWrap w:val="0"/>
            <w:vAlign w:val="center"/>
          </w:tcPr>
          <w:p w14:paraId="73C0BE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评审因素具体内容</w:t>
            </w:r>
          </w:p>
        </w:tc>
        <w:tc>
          <w:tcPr>
            <w:tcW w:w="851" w:type="dxa"/>
            <w:noWrap w:val="0"/>
            <w:vAlign w:val="center"/>
          </w:tcPr>
          <w:p w14:paraId="7D754B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分值</w:t>
            </w:r>
          </w:p>
        </w:tc>
      </w:tr>
      <w:tr w14:paraId="7D6A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3" w:type="dxa"/>
            <w:noWrap w:val="0"/>
            <w:vAlign w:val="center"/>
          </w:tcPr>
          <w:p w14:paraId="2333FE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125" w:type="dxa"/>
            <w:noWrap w:val="0"/>
            <w:vAlign w:val="center"/>
          </w:tcPr>
          <w:p w14:paraId="5DE514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价格分</w:t>
            </w:r>
          </w:p>
        </w:tc>
        <w:tc>
          <w:tcPr>
            <w:tcW w:w="6536" w:type="dxa"/>
            <w:noWrap w:val="0"/>
            <w:vAlign w:val="top"/>
          </w:tcPr>
          <w:p w14:paraId="5B8FBB9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1.本项目为专门面向中小企业采购的项目，按照《政府采购促进中小企业发展管理办法》（财库〔2020〕46号）的规定，对供应商最后报价不再执行价格评审优惠的扶持政策。</w:t>
            </w:r>
          </w:p>
          <w:p w14:paraId="3DD5623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2.评审报价为供应商的最后报价，评审报价只是作为评审时使用。最终成交供应商的成交金额等于最后报价（如有修正，以确认修正后的最后报价为准）。</w:t>
            </w:r>
          </w:p>
          <w:p w14:paraId="09B00C8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3.以进入比较与评价环节的最低的评审报价为基准价，基准价得分为30分。</w:t>
            </w:r>
          </w:p>
          <w:p w14:paraId="45D4A61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4.价格分计算公式：</w:t>
            </w:r>
          </w:p>
          <w:p w14:paraId="0F7C4EC4">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lang w:val="en-US" w:eastAsia="zh-CN"/>
              </w:rPr>
              <w:t>报价得分=（基准价/评审报价）×30分</w:t>
            </w:r>
          </w:p>
        </w:tc>
        <w:tc>
          <w:tcPr>
            <w:tcW w:w="851" w:type="dxa"/>
            <w:noWrap w:val="0"/>
            <w:vAlign w:val="center"/>
          </w:tcPr>
          <w:p w14:paraId="70A54C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30分</w:t>
            </w:r>
          </w:p>
        </w:tc>
      </w:tr>
      <w:tr w14:paraId="6B18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3" w:type="dxa"/>
            <w:noWrap w:val="0"/>
            <w:vAlign w:val="center"/>
          </w:tcPr>
          <w:p w14:paraId="5C61B2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p>
        </w:tc>
        <w:tc>
          <w:tcPr>
            <w:tcW w:w="7661" w:type="dxa"/>
            <w:gridSpan w:val="2"/>
            <w:noWrap w:val="0"/>
            <w:vAlign w:val="center"/>
          </w:tcPr>
          <w:p w14:paraId="6FEE6038">
            <w:pPr>
              <w:keepNext w:val="0"/>
              <w:keepLines w:val="0"/>
              <w:pageBreakBefore w:val="0"/>
              <w:widowControl/>
              <w:kinsoku/>
              <w:wordWrap/>
              <w:overflowPunct/>
              <w:topLinePunct w:val="0"/>
              <w:autoSpaceDE/>
              <w:autoSpaceDN/>
              <w:bidi w:val="0"/>
              <w:adjustRightInd/>
              <w:snapToGrid/>
              <w:spacing w:line="360" w:lineRule="exact"/>
              <w:ind w:firstLine="422" w:firstLineChars="200"/>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技术分</w:t>
            </w:r>
          </w:p>
        </w:tc>
        <w:tc>
          <w:tcPr>
            <w:tcW w:w="851" w:type="dxa"/>
            <w:noWrap w:val="0"/>
            <w:vAlign w:val="top"/>
          </w:tcPr>
          <w:p w14:paraId="08EDB9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66</w:t>
            </w:r>
            <w:r>
              <w:rPr>
                <w:rFonts w:hint="eastAsia" w:ascii="宋体" w:hAnsi="宋体" w:eastAsia="宋体" w:cs="宋体"/>
                <w:b/>
                <w:color w:val="auto"/>
                <w:kern w:val="0"/>
                <w:szCs w:val="21"/>
                <w:highlight w:val="none"/>
              </w:rPr>
              <w:t>分</w:t>
            </w:r>
          </w:p>
        </w:tc>
      </w:tr>
      <w:tr w14:paraId="3400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693" w:type="dxa"/>
            <w:noWrap w:val="0"/>
            <w:vAlign w:val="center"/>
          </w:tcPr>
          <w:p w14:paraId="24A6B0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2.1</w:t>
            </w:r>
          </w:p>
        </w:tc>
        <w:tc>
          <w:tcPr>
            <w:tcW w:w="1125" w:type="dxa"/>
            <w:noWrap w:val="0"/>
            <w:vAlign w:val="center"/>
          </w:tcPr>
          <w:p w14:paraId="7131C4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highlight w:val="none"/>
              </w:rPr>
              <w:t>主要施工方法</w:t>
            </w:r>
          </w:p>
        </w:tc>
        <w:tc>
          <w:tcPr>
            <w:tcW w:w="6536" w:type="dxa"/>
            <w:noWrap w:val="0"/>
            <w:vAlign w:val="center"/>
          </w:tcPr>
          <w:p w14:paraId="0441EC6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针对供应商提供的主要施工方法【(1)工程施工；(2)主要物资计划；(3)项目的重点难点；(4)供应商针对本项目特点提出的其他施工方法】按以下标准计分：</w:t>
            </w:r>
          </w:p>
          <w:p w14:paraId="542E850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一档（15分）：对各主要分部施工工程分别进行了具体的施工技术方案的阐述，提供的各主要分部施工方法符合项目实际，能指导具体施工并确保施工质量和施工安全。有主要建筑材料的资源稳定供应的保证措施，完全满足施工需要。针对本工程的特点，阐述本工程的重点和难点，解决重点和难点问题的方法和措施科学合理。</w:t>
            </w:r>
          </w:p>
          <w:p w14:paraId="4D4BBDE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二档（11分）：对各主要分部施工工程分别进行了具体的施工技术方案的阐述，提供的各主要分部施工方法符合项目实际，能指导具体施工并确保施工质量和施工安全。有主要建筑材料稳定供应的保证措施，满足施工需要。</w:t>
            </w:r>
          </w:p>
          <w:p w14:paraId="5C943CB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三档（7分）：对各主要分部施工工程分别进行了具体的施工技术方案的阐述，提供的各主要分部施工方法符合项目实际，能指导具体施工并确保施工质量和施工安全。</w:t>
            </w:r>
          </w:p>
          <w:p w14:paraId="28D5042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四档（3分）：提供的主要施工方法符合项目实际，但未能针对各主要分部施工配有全面的施工技术方案。</w:t>
            </w:r>
          </w:p>
          <w:p w14:paraId="44ECB4C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注：供应商满足某一档全部要求时，即获得该档对应分值，不得累计或叠加得分。</w:t>
            </w:r>
          </w:p>
        </w:tc>
        <w:tc>
          <w:tcPr>
            <w:tcW w:w="851" w:type="dxa"/>
            <w:noWrap w:val="0"/>
            <w:vAlign w:val="center"/>
          </w:tcPr>
          <w:p w14:paraId="622815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Cs w:val="21"/>
                <w:highlight w:val="none"/>
                <w:lang w:val="en-US" w:eastAsia="zh-CN"/>
              </w:rPr>
              <w:t>15分</w:t>
            </w:r>
          </w:p>
        </w:tc>
      </w:tr>
      <w:tr w14:paraId="1550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noWrap w:val="0"/>
            <w:vAlign w:val="center"/>
          </w:tcPr>
          <w:p w14:paraId="737BDC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2.2</w:t>
            </w:r>
          </w:p>
        </w:tc>
        <w:tc>
          <w:tcPr>
            <w:tcW w:w="1125" w:type="dxa"/>
            <w:noWrap w:val="0"/>
            <w:vAlign w:val="center"/>
          </w:tcPr>
          <w:p w14:paraId="0ABD176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确保工程质量的技术组织措施</w:t>
            </w:r>
          </w:p>
        </w:tc>
        <w:tc>
          <w:tcPr>
            <w:tcW w:w="6536" w:type="dxa"/>
            <w:noWrap w:val="0"/>
            <w:vAlign w:val="center"/>
          </w:tcPr>
          <w:p w14:paraId="628F8A0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针对供应商提供的确保工程质量的技术组织措施【①质量技术管理班子和制度；②关键材料质量控制内容；③材料组织计划；④供应商针对本项目特点提出的其他确保工程质量的技术组织措施】按以下标准计分：</w:t>
            </w:r>
          </w:p>
          <w:p w14:paraId="11A8C64D">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一档（15分）：有专门的质量技术管理班子和制度，且人员配备合理，制度健全。主要工序有质量技术保证措施和手段，自控体系完整，能有效保证技术质量，完全能达到承诺的质量标准。有主要建筑材料质量保证措施确保施工质量，对材料的环保要求的把控措施。有投入的施工材料组织计划且计划周密，并根据本项目的特点提出其他有针对性的确保工程质量的技术组织措施，满足施工需要。</w:t>
            </w:r>
          </w:p>
          <w:p w14:paraId="3765A528">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二档（11分）：有专门的质量技术管理班子和制度，且人员配备基本合理，制度较健全。主要工序有较好的质量技术保证措施和手段，基本能有效保证技术质量，提供的自控体系较完整。有主要建筑材料质量保证措施确保施工质量。</w:t>
            </w:r>
          </w:p>
          <w:p w14:paraId="74BB1845">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三档（7分）：有专门的质量技术管理班子和制度，有人员配备，制度健全。有主要工序的质量技术保证措施和手段及自控体系，能保证技术质量，达到承诺的质量标准。</w:t>
            </w:r>
          </w:p>
          <w:p w14:paraId="6C23CAA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四档（3分）：有专门的质量技术管理班子和制度但质量技术管理班子和制度不健全，主要工序无质量技术保证措施和手段，自控体系不完整，不能有效保证承诺的技术质量。</w:t>
            </w:r>
          </w:p>
          <w:p w14:paraId="3238883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注：供应商满足某一档全部要求时，即获得该档对应分值，不得累计或叠加得分。</w:t>
            </w:r>
          </w:p>
        </w:tc>
        <w:tc>
          <w:tcPr>
            <w:tcW w:w="851" w:type="dxa"/>
            <w:noWrap w:val="0"/>
            <w:vAlign w:val="center"/>
          </w:tcPr>
          <w:p w14:paraId="2BBC08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kern w:val="0"/>
                <w:szCs w:val="21"/>
                <w:highlight w:val="none"/>
                <w:lang w:val="en-US" w:eastAsia="zh-CN"/>
              </w:rPr>
              <w:t>15分</w:t>
            </w:r>
          </w:p>
        </w:tc>
      </w:tr>
      <w:tr w14:paraId="2000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noWrap w:val="0"/>
            <w:vAlign w:val="center"/>
          </w:tcPr>
          <w:p w14:paraId="5BF195A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lang w:val="en-US" w:eastAsia="zh-CN"/>
              </w:rPr>
              <w:t>2.3</w:t>
            </w:r>
          </w:p>
        </w:tc>
        <w:tc>
          <w:tcPr>
            <w:tcW w:w="1125" w:type="dxa"/>
            <w:noWrap w:val="0"/>
            <w:vAlign w:val="center"/>
          </w:tcPr>
          <w:p w14:paraId="3F66C8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确保安全生产的技术组织措施</w:t>
            </w:r>
          </w:p>
        </w:tc>
        <w:tc>
          <w:tcPr>
            <w:tcW w:w="6536" w:type="dxa"/>
            <w:noWrap w:val="0"/>
            <w:vAlign w:val="center"/>
          </w:tcPr>
          <w:p w14:paraId="47655D55">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针对供应商提供的确保安全生产的技术组织措施【①安全管理制度和人员；②安全技术措施；③防火、救援等应急措施；④确保文明施工的技术组织措施；⑤环保等相关措施；⑥供应商针对本项目其他特点提出其他确保安全生产的技术组织措施】按以下标准计分：</w:t>
            </w:r>
          </w:p>
          <w:p w14:paraId="26FCEF7F">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一档（15分）：保证安全生产的技术措施有专门的安全管理人员和制度，且人员配备合理，制度健全，各道工序安全技术措施有针对性，确保工程质量的技术组织措施符合实际且满足有关安全技术标准要求。现场防火、应急救援、社会治安安全措施得力，能针对本工程项目场地和施工特点提出全面得力的确保文明施工的技术组织措施、环境保护措施，且措施内容达到《建筑施工安全生产检查标准》（JGJ59-2011）合格标准并符合《广西壮族自治区建筑工程文明施工导则》要求，各项措施科学、具体、有效，有具体实现现场文明施工目标的承诺。</w:t>
            </w:r>
          </w:p>
          <w:p w14:paraId="4822ED7F">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二档（11分）：保证安全生产的技术措施有专门的安全管理人员和制度，且人员配备和制度健全，阐述了可行的有针对性的各道工序安全技术措施，确保工程质量的技术组织措施符合实际且满足有关安全技术标准要求，措施可行且考虑周全。提供可行的有关于现场防火、应急救援、社会治安安全的措施。提出可行的确保文明施工的技术组织措施、环境保护措施，且措施内容达到《建筑施工安全生产检查标准》（JGJ59-2011）合格标准并符合《广西壮族自治区建筑工程文明施工导则》要求。</w:t>
            </w:r>
          </w:p>
          <w:p w14:paraId="6378990B">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三档（7分）：保证安全生产的技术措施有专门的安全管理人员和制度，且人员配备和制度合理，阐述了各道工序安全技术措施但缺乏针对性，确保工程质量的技术组织措符合实际且满足有关安全技术标准要求且措施可行。</w:t>
            </w:r>
          </w:p>
          <w:p w14:paraId="214F9268">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四档（3分）：保证安全生产的技术措施有专门的安全管理人员和制度，各道工序安全技术措施阐述不完整，确保工程质量的技术组织措施满足有关安全技术标准要求但措施考虑欠周全。</w:t>
            </w:r>
          </w:p>
          <w:p w14:paraId="08D0CB60">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注：供应商满足某一档全部要求时，即获得该档对应分值，不得累计或叠加得分。</w:t>
            </w:r>
          </w:p>
        </w:tc>
        <w:tc>
          <w:tcPr>
            <w:tcW w:w="851" w:type="dxa"/>
            <w:noWrap w:val="0"/>
            <w:vAlign w:val="center"/>
          </w:tcPr>
          <w:p w14:paraId="443C39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15分</w:t>
            </w:r>
          </w:p>
        </w:tc>
      </w:tr>
      <w:tr w14:paraId="3835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3" w:type="dxa"/>
            <w:noWrap w:val="0"/>
            <w:vAlign w:val="center"/>
          </w:tcPr>
          <w:p w14:paraId="29750A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rPr>
              <w:t>2.</w:t>
            </w:r>
            <w:r>
              <w:rPr>
                <w:rFonts w:hint="eastAsia" w:ascii="宋体" w:hAnsi="宋体" w:eastAsia="宋体" w:cs="宋体"/>
                <w:b w:val="0"/>
                <w:bCs/>
                <w:color w:val="auto"/>
                <w:kern w:val="0"/>
                <w:szCs w:val="21"/>
                <w:highlight w:val="none"/>
                <w:lang w:val="en-US" w:eastAsia="zh-CN"/>
              </w:rPr>
              <w:t>4</w:t>
            </w:r>
          </w:p>
        </w:tc>
        <w:tc>
          <w:tcPr>
            <w:tcW w:w="1125" w:type="dxa"/>
            <w:noWrap w:val="0"/>
            <w:vAlign w:val="center"/>
          </w:tcPr>
          <w:p w14:paraId="4955AB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确保工期的技术组织措施</w:t>
            </w:r>
          </w:p>
        </w:tc>
        <w:tc>
          <w:tcPr>
            <w:tcW w:w="6536" w:type="dxa"/>
            <w:noWrap w:val="0"/>
            <w:vAlign w:val="center"/>
          </w:tcPr>
          <w:p w14:paraId="3E146EDB">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kern w:val="2"/>
                <w:sz w:val="21"/>
                <w:szCs w:val="24"/>
                <w:highlight w:val="none"/>
                <w:lang w:val="en-US" w:eastAsia="zh-CN" w:bidi="ar-SA"/>
              </w:rPr>
              <w:t>针对供应商提供的确保工期的技术组织措施【①工期保障措施；②施工进度计划；③施工进度图（表）；④劳动力计划；⑤供应商针对本项目特点提出其他确保工期的技术组织措施】按以下标准计分：</w:t>
            </w:r>
          </w:p>
          <w:p w14:paraId="257151D0">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kern w:val="2"/>
                <w:sz w:val="21"/>
                <w:szCs w:val="24"/>
                <w:highlight w:val="none"/>
                <w:lang w:val="en-US" w:eastAsia="zh-CN" w:bidi="ar-SA"/>
              </w:rPr>
              <w:t>一档（15分）：保证工期的施工组织措施方案中在施工工艺、施工方法、材料选用、劳动力安排、技术等方面有保证工期的具体措施且措施得当，有控制工期的施工进度计划。有施工总进度表或施工网络图，各项计划图表编制完善，安排科学合理，符合本项目施工实际要求。有具体周密的劳动力安排计划，能保障供应商承诺的工期。</w:t>
            </w:r>
          </w:p>
          <w:p w14:paraId="5E9A2399">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kern w:val="2"/>
                <w:sz w:val="21"/>
                <w:szCs w:val="24"/>
                <w:highlight w:val="none"/>
                <w:lang w:val="en-US" w:eastAsia="zh-CN" w:bidi="ar-SA"/>
              </w:rPr>
              <w:t>二档（11分）：保证工期的施工组织措施方案中在施工工艺、施工方法、材料选用、劳动力安排、技术等方面有保证工期的具体措施且措施可行，有控制工期的施工进度计划，有施工总进度表或施工网络图，对供应商承诺的工期有一定的保障。</w:t>
            </w:r>
          </w:p>
          <w:p w14:paraId="48DE842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kern w:val="2"/>
                <w:sz w:val="21"/>
                <w:szCs w:val="24"/>
                <w:highlight w:val="none"/>
                <w:lang w:val="en-US" w:eastAsia="zh-CN" w:bidi="ar-SA"/>
              </w:rPr>
              <w:t>三档（7分）：保证工期的施工组织措施方案中在施工工艺、施工方法、材料选用、劳动力安排、技术等方面有具体措施，且有控制工期的施工进度计划，但考虑欠周全。</w:t>
            </w:r>
          </w:p>
          <w:p w14:paraId="36DEA318">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kern w:val="2"/>
                <w:sz w:val="21"/>
                <w:szCs w:val="24"/>
                <w:highlight w:val="none"/>
                <w:lang w:val="en-US" w:eastAsia="zh-CN" w:bidi="ar-SA"/>
              </w:rPr>
              <w:t>四档（3分）：保证工期的施工组织措施方案中有施工工艺、施工方法、劳动力安排等方面有具体实施措施但未提供控制工期的施工进度计划。</w:t>
            </w:r>
          </w:p>
          <w:p w14:paraId="30B30DBA">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kern w:val="2"/>
                <w:sz w:val="21"/>
                <w:szCs w:val="24"/>
                <w:highlight w:val="none"/>
                <w:lang w:val="en-US" w:eastAsia="zh-CN" w:bidi="ar-SA"/>
              </w:rPr>
              <w:t>注：供应商满足某一档全部要求时，即获得该档对应分值，不得累计或叠加得分。</w:t>
            </w:r>
          </w:p>
        </w:tc>
        <w:tc>
          <w:tcPr>
            <w:tcW w:w="851" w:type="dxa"/>
            <w:noWrap w:val="0"/>
            <w:vAlign w:val="center"/>
          </w:tcPr>
          <w:p w14:paraId="452687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Cs w:val="21"/>
                <w:highlight w:val="none"/>
                <w:lang w:val="en-US" w:eastAsia="zh-CN"/>
              </w:rPr>
              <w:t>15分</w:t>
            </w:r>
          </w:p>
        </w:tc>
      </w:tr>
      <w:tr w14:paraId="41ED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3" w:type="dxa"/>
            <w:noWrap w:val="0"/>
            <w:vAlign w:val="center"/>
          </w:tcPr>
          <w:p w14:paraId="2D9DA0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lang w:val="en-US" w:eastAsia="zh-CN"/>
              </w:rPr>
              <w:t>2.5</w:t>
            </w:r>
          </w:p>
        </w:tc>
        <w:tc>
          <w:tcPr>
            <w:tcW w:w="1125" w:type="dxa"/>
            <w:noWrap w:val="0"/>
            <w:vAlign w:val="center"/>
          </w:tcPr>
          <w:p w14:paraId="2868F8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项目经理</w:t>
            </w:r>
          </w:p>
        </w:tc>
        <w:tc>
          <w:tcPr>
            <w:tcW w:w="6536" w:type="dxa"/>
            <w:noWrap w:val="0"/>
            <w:vAlign w:val="center"/>
          </w:tcPr>
          <w:p w14:paraId="64F75B9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val="en-US" w:eastAsia="zh-CN"/>
              </w:rPr>
              <w:t>供应商</w:t>
            </w:r>
            <w:r>
              <w:rPr>
                <w:rFonts w:hint="eastAsia" w:ascii="宋体" w:hAnsi="宋体" w:eastAsia="宋体" w:cs="宋体"/>
                <w:bCs/>
                <w:color w:val="auto"/>
                <w:highlight w:val="none"/>
              </w:rPr>
              <w:t>拟投入本项目的项目经理具有</w:t>
            </w:r>
            <w:r>
              <w:rPr>
                <w:rFonts w:hint="eastAsia" w:ascii="宋体" w:hAnsi="宋体" w:eastAsia="宋体" w:cs="宋体"/>
                <w:bCs/>
                <w:color w:val="auto"/>
                <w:highlight w:val="none"/>
                <w:lang w:val="en-US" w:eastAsia="zh-CN"/>
              </w:rPr>
              <w:t>工</w:t>
            </w:r>
            <w:r>
              <w:rPr>
                <w:rFonts w:hint="eastAsia" w:ascii="宋体" w:hAnsi="宋体" w:eastAsia="宋体" w:cs="宋体"/>
                <w:bCs/>
                <w:color w:val="auto"/>
                <w:kern w:val="0"/>
                <w:szCs w:val="21"/>
                <w:highlight w:val="none"/>
              </w:rPr>
              <w:t>程类中级及以上技术职称的得</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highlight w:val="none"/>
              </w:rPr>
              <w:t>分</w:t>
            </w:r>
            <w:r>
              <w:rPr>
                <w:rFonts w:hint="eastAsia" w:ascii="宋体" w:hAnsi="宋体" w:eastAsia="宋体" w:cs="宋体"/>
                <w:bCs/>
                <w:color w:val="auto"/>
                <w:highlight w:val="none"/>
                <w:lang w:eastAsia="zh-CN"/>
              </w:rPr>
              <w:t>。</w:t>
            </w:r>
          </w:p>
          <w:p w14:paraId="79F22504">
            <w:pPr>
              <w:pStyle w:val="13"/>
              <w:keepNext w:val="0"/>
              <w:keepLines w:val="0"/>
              <w:pageBreakBefore w:val="0"/>
              <w:kinsoku/>
              <w:wordWrap/>
              <w:overflowPunct/>
              <w:topLinePunct w:val="0"/>
              <w:autoSpaceDE/>
              <w:autoSpaceDN/>
              <w:bidi w:val="0"/>
              <w:adjustRightInd/>
              <w:snapToGrid/>
              <w:spacing w:after="0"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注：</w:t>
            </w:r>
            <w:r>
              <w:rPr>
                <w:rFonts w:hint="eastAsia" w:ascii="宋体" w:hAnsi="宋体" w:eastAsia="宋体" w:cs="宋体"/>
                <w:color w:val="auto"/>
                <w:highlight w:val="none"/>
              </w:rPr>
              <w:t>须提供</w:t>
            </w:r>
            <w:r>
              <w:rPr>
                <w:rFonts w:hint="eastAsia" w:ascii="宋体" w:hAnsi="宋体" w:eastAsia="宋体" w:cs="宋体"/>
                <w:color w:val="auto"/>
                <w:highlight w:val="none"/>
                <w:lang w:val="en-US" w:eastAsia="zh-CN"/>
              </w:rPr>
              <w:t>竞标</w:t>
            </w:r>
            <w:r>
              <w:rPr>
                <w:rFonts w:hint="eastAsia" w:ascii="宋体" w:hAnsi="宋体" w:eastAsia="宋体" w:cs="宋体"/>
                <w:color w:val="auto"/>
                <w:highlight w:val="none"/>
              </w:rPr>
              <w:t>截止之日前半年内</w:t>
            </w:r>
            <w:r>
              <w:rPr>
                <w:rFonts w:hint="eastAsia" w:ascii="宋体" w:hAnsi="宋体" w:eastAsia="宋体" w:cs="宋体"/>
                <w:color w:val="auto"/>
                <w:highlight w:val="none"/>
                <w:lang w:eastAsia="zh-CN"/>
              </w:rPr>
              <w:t>竞标人</w:t>
            </w:r>
            <w:r>
              <w:rPr>
                <w:rFonts w:hint="eastAsia" w:ascii="宋体" w:hAnsi="宋体" w:eastAsia="宋体" w:cs="宋体"/>
                <w:color w:val="auto"/>
                <w:highlight w:val="none"/>
              </w:rPr>
              <w:t>任意</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个月的</w:t>
            </w:r>
            <w:r>
              <w:rPr>
                <w:rFonts w:hint="eastAsia" w:ascii="宋体" w:hAnsi="宋体" w:eastAsia="宋体" w:cs="宋体"/>
                <w:color w:val="auto"/>
                <w:highlight w:val="none"/>
                <w:lang w:val="en-US" w:eastAsia="zh-CN"/>
              </w:rPr>
              <w:t>竞标</w:t>
            </w:r>
            <w:r>
              <w:rPr>
                <w:rFonts w:hint="eastAsia" w:ascii="宋体" w:hAnsi="宋体" w:eastAsia="宋体" w:cs="宋体"/>
                <w:color w:val="auto"/>
                <w:highlight w:val="none"/>
              </w:rPr>
              <w:t>单位为其在本单位依法缴纳社保费的凭证及有关社保证明材料的复印件。</w:t>
            </w:r>
          </w:p>
        </w:tc>
        <w:tc>
          <w:tcPr>
            <w:tcW w:w="851" w:type="dxa"/>
            <w:noWrap w:val="0"/>
            <w:vAlign w:val="center"/>
          </w:tcPr>
          <w:p w14:paraId="7C01D8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3分</w:t>
            </w:r>
          </w:p>
        </w:tc>
      </w:tr>
      <w:tr w14:paraId="1145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3" w:type="dxa"/>
            <w:noWrap w:val="0"/>
            <w:vAlign w:val="center"/>
          </w:tcPr>
          <w:p w14:paraId="49D38E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lang w:val="en-US" w:eastAsia="zh-CN"/>
              </w:rPr>
              <w:t>2.6</w:t>
            </w:r>
          </w:p>
        </w:tc>
        <w:tc>
          <w:tcPr>
            <w:tcW w:w="1125" w:type="dxa"/>
            <w:noWrap w:val="0"/>
            <w:vAlign w:val="center"/>
          </w:tcPr>
          <w:p w14:paraId="1BBBE1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技术负责人</w:t>
            </w:r>
          </w:p>
        </w:tc>
        <w:tc>
          <w:tcPr>
            <w:tcW w:w="6536" w:type="dxa"/>
            <w:noWrap w:val="0"/>
            <w:vAlign w:val="center"/>
          </w:tcPr>
          <w:p w14:paraId="1229AE6C">
            <w:pPr>
              <w:pStyle w:val="13"/>
              <w:keepNext w:val="0"/>
              <w:keepLines w:val="0"/>
              <w:pageBreakBefore w:val="0"/>
              <w:kinsoku/>
              <w:wordWrap/>
              <w:overflowPunct/>
              <w:topLinePunct w:val="0"/>
              <w:autoSpaceDE/>
              <w:autoSpaceDN/>
              <w:bidi w:val="0"/>
              <w:adjustRightInd/>
              <w:snapToGrid/>
              <w:spacing w:after="0"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供应商拟投入的技术负责人具有工程类中级及以上技术职称的得3分。</w:t>
            </w:r>
          </w:p>
          <w:p w14:paraId="5DA2ECCF">
            <w:pPr>
              <w:pStyle w:val="13"/>
              <w:keepNext w:val="0"/>
              <w:keepLines w:val="0"/>
              <w:pageBreakBefore w:val="0"/>
              <w:kinsoku/>
              <w:wordWrap/>
              <w:overflowPunct/>
              <w:topLinePunct w:val="0"/>
              <w:autoSpaceDE/>
              <w:autoSpaceDN/>
              <w:bidi w:val="0"/>
              <w:adjustRightInd/>
              <w:snapToGrid/>
              <w:spacing w:after="0"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w:t>
            </w:r>
            <w:r>
              <w:rPr>
                <w:rFonts w:hint="eastAsia" w:ascii="宋体" w:hAnsi="宋体" w:eastAsia="宋体" w:cs="宋体"/>
                <w:color w:val="auto"/>
                <w:highlight w:val="none"/>
              </w:rPr>
              <w:t>须提供</w:t>
            </w:r>
            <w:r>
              <w:rPr>
                <w:rFonts w:hint="eastAsia" w:ascii="宋体" w:hAnsi="宋体" w:eastAsia="宋体" w:cs="宋体"/>
                <w:color w:val="auto"/>
                <w:highlight w:val="none"/>
                <w:lang w:val="en-US" w:eastAsia="zh-CN"/>
              </w:rPr>
              <w:t>竞标</w:t>
            </w:r>
            <w:r>
              <w:rPr>
                <w:rFonts w:hint="eastAsia" w:ascii="宋体" w:hAnsi="宋体" w:eastAsia="宋体" w:cs="宋体"/>
                <w:color w:val="auto"/>
                <w:highlight w:val="none"/>
              </w:rPr>
              <w:t>截止之日前半年内</w:t>
            </w:r>
            <w:r>
              <w:rPr>
                <w:rFonts w:hint="eastAsia" w:ascii="宋体" w:hAnsi="宋体" w:eastAsia="宋体" w:cs="宋体"/>
                <w:color w:val="auto"/>
                <w:highlight w:val="none"/>
                <w:lang w:eastAsia="zh-CN"/>
              </w:rPr>
              <w:t>竞标人</w:t>
            </w:r>
            <w:r>
              <w:rPr>
                <w:rFonts w:hint="eastAsia" w:ascii="宋体" w:hAnsi="宋体" w:eastAsia="宋体" w:cs="宋体"/>
                <w:color w:val="auto"/>
                <w:highlight w:val="none"/>
              </w:rPr>
              <w:t>任意</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个月的</w:t>
            </w:r>
            <w:r>
              <w:rPr>
                <w:rFonts w:hint="eastAsia" w:ascii="宋体" w:hAnsi="宋体" w:eastAsia="宋体" w:cs="宋体"/>
                <w:color w:val="auto"/>
                <w:highlight w:val="none"/>
                <w:lang w:val="en-US" w:eastAsia="zh-CN"/>
              </w:rPr>
              <w:t>竞标</w:t>
            </w:r>
            <w:r>
              <w:rPr>
                <w:rFonts w:hint="eastAsia" w:ascii="宋体" w:hAnsi="宋体" w:eastAsia="宋体" w:cs="宋体"/>
                <w:color w:val="auto"/>
                <w:highlight w:val="none"/>
              </w:rPr>
              <w:t>单位为其在本单位依法缴纳社保费的凭证及有关社保证明材料的复印件。</w:t>
            </w:r>
          </w:p>
        </w:tc>
        <w:tc>
          <w:tcPr>
            <w:tcW w:w="851" w:type="dxa"/>
            <w:noWrap w:val="0"/>
            <w:vAlign w:val="center"/>
          </w:tcPr>
          <w:p w14:paraId="2B8EE0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3分</w:t>
            </w:r>
          </w:p>
        </w:tc>
      </w:tr>
      <w:tr w14:paraId="2B80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3" w:type="dxa"/>
            <w:noWrap w:val="0"/>
            <w:vAlign w:val="center"/>
          </w:tcPr>
          <w:p w14:paraId="2FF6A8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val="en-US" w:eastAsia="zh-CN"/>
              </w:rPr>
              <w:t>3</w:t>
            </w:r>
          </w:p>
        </w:tc>
        <w:tc>
          <w:tcPr>
            <w:tcW w:w="7661" w:type="dxa"/>
            <w:gridSpan w:val="2"/>
            <w:noWrap w:val="0"/>
            <w:vAlign w:val="center"/>
          </w:tcPr>
          <w:p w14:paraId="41A6DAFD">
            <w:pPr>
              <w:keepNext w:val="0"/>
              <w:keepLines w:val="0"/>
              <w:pageBreakBefore w:val="0"/>
              <w:widowControl/>
              <w:kinsoku/>
              <w:wordWrap/>
              <w:overflowPunct/>
              <w:topLinePunct w:val="0"/>
              <w:autoSpaceDE/>
              <w:autoSpaceDN/>
              <w:bidi w:val="0"/>
              <w:adjustRightInd/>
              <w:snapToGrid/>
              <w:spacing w:line="360" w:lineRule="exact"/>
              <w:ind w:firstLine="422" w:firstLineChars="20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商务分</w:t>
            </w:r>
          </w:p>
        </w:tc>
        <w:tc>
          <w:tcPr>
            <w:tcW w:w="851" w:type="dxa"/>
            <w:noWrap w:val="0"/>
            <w:vAlign w:val="center"/>
          </w:tcPr>
          <w:p w14:paraId="6DFB9A1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分</w:t>
            </w:r>
          </w:p>
        </w:tc>
      </w:tr>
      <w:tr w14:paraId="01F7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693" w:type="dxa"/>
            <w:noWrap w:val="0"/>
            <w:vAlign w:val="center"/>
          </w:tcPr>
          <w:p w14:paraId="6D38EC29">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3.1</w:t>
            </w:r>
          </w:p>
        </w:tc>
        <w:tc>
          <w:tcPr>
            <w:tcW w:w="1125" w:type="dxa"/>
            <w:noWrap w:val="0"/>
            <w:vAlign w:val="center"/>
          </w:tcPr>
          <w:p w14:paraId="085C58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szCs w:val="21"/>
                <w:highlight w:val="none"/>
                <w:lang w:val="en-US" w:eastAsia="zh-CN"/>
              </w:rPr>
              <w:t>业绩分</w:t>
            </w:r>
          </w:p>
        </w:tc>
        <w:tc>
          <w:tcPr>
            <w:tcW w:w="6536" w:type="dxa"/>
            <w:noWrap w:val="0"/>
            <w:vAlign w:val="center"/>
          </w:tcPr>
          <w:p w14:paraId="786B1E5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highlight w:val="none"/>
                <w:lang w:val="en-US" w:eastAsia="zh-CN"/>
              </w:rPr>
              <w:t>2023年01月01日至今</w:t>
            </w:r>
            <w:r>
              <w:rPr>
                <w:rFonts w:hint="eastAsia" w:ascii="宋体" w:hAnsi="宋体" w:eastAsia="宋体" w:cs="宋体"/>
                <w:bCs/>
                <w:color w:val="auto"/>
                <w:highlight w:val="none"/>
              </w:rPr>
              <w:t>竞标人承担过类似项目</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类似项目指维修改造工程）</w:t>
            </w:r>
            <w:r>
              <w:rPr>
                <w:rFonts w:hint="eastAsia" w:ascii="宋体" w:hAnsi="宋体" w:eastAsia="宋体" w:cs="宋体"/>
                <w:bCs/>
                <w:color w:val="auto"/>
                <w:highlight w:val="none"/>
              </w:rPr>
              <w:t>的，每有一个得</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分。此项满分</w:t>
            </w: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rPr>
              <w:t>分（提供项目中标/成交通知书或合同证明材料复印件，未提供不得分）。</w:t>
            </w:r>
          </w:p>
        </w:tc>
        <w:tc>
          <w:tcPr>
            <w:tcW w:w="851" w:type="dxa"/>
            <w:noWrap w:val="0"/>
            <w:vAlign w:val="center"/>
          </w:tcPr>
          <w:p w14:paraId="5A61695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color w:val="auto"/>
                <w:kern w:val="0"/>
                <w:szCs w:val="21"/>
                <w:highlight w:val="none"/>
              </w:rPr>
            </w:pPr>
            <w:r>
              <w:rPr>
                <w:rFonts w:hint="eastAsia" w:ascii="宋体" w:hAnsi="宋体" w:eastAsia="宋体" w:cs="宋体"/>
                <w:b/>
                <w:bCs w:val="0"/>
                <w:color w:val="auto"/>
                <w:szCs w:val="21"/>
                <w:highlight w:val="none"/>
                <w:lang w:val="en-US" w:eastAsia="zh-CN"/>
              </w:rPr>
              <w:t>4</w:t>
            </w:r>
            <w:r>
              <w:rPr>
                <w:rFonts w:hint="eastAsia" w:ascii="宋体" w:hAnsi="宋体" w:eastAsia="宋体" w:cs="宋体"/>
                <w:b/>
                <w:bCs w:val="0"/>
                <w:color w:val="auto"/>
                <w:szCs w:val="21"/>
                <w:highlight w:val="none"/>
              </w:rPr>
              <w:t>分</w:t>
            </w:r>
          </w:p>
        </w:tc>
      </w:tr>
      <w:tr w14:paraId="1078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354" w:type="dxa"/>
            <w:gridSpan w:val="3"/>
            <w:noWrap w:val="0"/>
            <w:vAlign w:val="center"/>
          </w:tcPr>
          <w:p w14:paraId="2287348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Cs/>
                <w:color w:val="auto"/>
                <w:highlight w:val="none"/>
                <w:lang w:val="en-US"/>
              </w:rPr>
            </w:pPr>
            <w:r>
              <w:rPr>
                <w:rFonts w:hint="eastAsia" w:ascii="宋体" w:hAnsi="宋体" w:eastAsia="宋体" w:cs="宋体"/>
                <w:b/>
                <w:bCs w:val="0"/>
                <w:color w:val="auto"/>
                <w:szCs w:val="21"/>
                <w:highlight w:val="none"/>
                <w:lang w:val="en-US" w:eastAsia="zh-CN"/>
              </w:rPr>
              <w:t>总得分=1+2+3</w:t>
            </w:r>
          </w:p>
        </w:tc>
        <w:tc>
          <w:tcPr>
            <w:tcW w:w="851" w:type="dxa"/>
            <w:noWrap w:val="0"/>
            <w:vAlign w:val="center"/>
          </w:tcPr>
          <w:p w14:paraId="1FCE989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100分</w:t>
            </w:r>
          </w:p>
        </w:tc>
      </w:tr>
    </w:tbl>
    <w:p w14:paraId="5D294C6F">
      <w:pPr>
        <w:widowControl w:val="0"/>
        <w:spacing w:line="360" w:lineRule="auto"/>
        <w:ind w:firstLine="420" w:firstLineChars="200"/>
        <w:jc w:val="both"/>
        <w:rPr>
          <w:rFonts w:hint="eastAsia" w:ascii="宋体" w:hAnsi="宋体" w:eastAsia="宋体" w:cs="宋体"/>
          <w:bCs/>
          <w:color w:val="auto"/>
          <w:kern w:val="2"/>
          <w:sz w:val="21"/>
          <w:szCs w:val="21"/>
          <w:highlight w:val="none"/>
          <w:lang w:val="en-US" w:eastAsia="zh-CN" w:bidi="ar-SA"/>
        </w:rPr>
      </w:pPr>
      <w:bookmarkStart w:id="37" w:name="_Toc22545"/>
      <w:bookmarkStart w:id="38" w:name="_Toc11595"/>
      <w:r>
        <w:rPr>
          <w:rFonts w:hint="eastAsia" w:ascii="宋体" w:hAnsi="宋体" w:eastAsia="宋体" w:cs="宋体"/>
          <w:bCs/>
          <w:color w:val="auto"/>
          <w:kern w:val="2"/>
          <w:sz w:val="21"/>
          <w:szCs w:val="21"/>
          <w:highlight w:val="none"/>
          <w:lang w:val="en-US" w:eastAsia="zh-CN" w:bidi="ar-SA"/>
        </w:rPr>
        <w:t>8.2商务技术评审因素为客观评分项的，应在评分项目或评分标准中予以标注为“客观分”。对供应商的客观评分项目，各评审专家评分应当一致。</w:t>
      </w:r>
    </w:p>
    <w:p w14:paraId="491DE2F6">
      <w:pPr>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8.3.终止竞争性磋商采购活动</w:t>
      </w:r>
    </w:p>
    <w:p w14:paraId="2AF5BD9E">
      <w:pPr>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691F164B">
      <w:pPr>
        <w:outlineLvl w:val="9"/>
        <w:rPr>
          <w:rFonts w:hint="eastAsia" w:ascii="宋体" w:hAnsi="宋体" w:eastAsia="宋体" w:cs="宋体"/>
          <w:b w:val="0"/>
          <w:bCs/>
          <w:color w:val="auto"/>
          <w:highlight w:val="none"/>
        </w:rPr>
      </w:pPr>
    </w:p>
    <w:p w14:paraId="3B5B3E1E">
      <w:pPr>
        <w:outlineLvl w:val="9"/>
        <w:rPr>
          <w:rFonts w:hint="eastAsia" w:ascii="宋体" w:hAnsi="宋体" w:eastAsia="宋体" w:cs="宋体"/>
          <w:b w:val="0"/>
          <w:bCs/>
          <w:color w:val="auto"/>
          <w:highlight w:val="none"/>
        </w:rPr>
      </w:pPr>
    </w:p>
    <w:bookmarkEnd w:id="37"/>
    <w:bookmarkEnd w:id="38"/>
    <w:p w14:paraId="56FDA23D">
      <w:pPr>
        <w:pStyle w:val="3"/>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highlight w:val="none"/>
        </w:rPr>
      </w:pPr>
      <w:bookmarkStart w:id="39" w:name="_Toc26272"/>
      <w:bookmarkStart w:id="40" w:name="_Toc12890"/>
      <w:bookmarkStart w:id="41" w:name="_Toc7776"/>
      <w:bookmarkStart w:id="42" w:name="_Toc5005"/>
      <w:bookmarkStart w:id="43" w:name="_Toc27282"/>
      <w:r>
        <w:rPr>
          <w:rFonts w:hint="eastAsia" w:ascii="宋体" w:hAnsi="宋体" w:eastAsia="宋体" w:cs="宋体"/>
          <w:b w:val="0"/>
          <w:bCs/>
          <w:color w:val="auto"/>
          <w:highlight w:val="none"/>
        </w:rPr>
        <w:t>第二节 评审报告</w:t>
      </w:r>
    </w:p>
    <w:p w14:paraId="17449D24">
      <w:pPr>
        <w:spacing w:line="360" w:lineRule="auto"/>
        <w:rPr>
          <w:rFonts w:hint="eastAsia" w:ascii="宋体" w:hAnsi="宋体" w:eastAsia="宋体" w:cs="宋体"/>
          <w:b/>
          <w:bCs/>
          <w:color w:val="auto"/>
          <w:sz w:val="24"/>
          <w:szCs w:val="32"/>
          <w:highlight w:val="none"/>
        </w:rPr>
      </w:pPr>
      <w:bookmarkStart w:id="44" w:name="_Toc2025"/>
      <w:bookmarkStart w:id="45" w:name="_Toc20045"/>
      <w:r>
        <w:rPr>
          <w:rFonts w:hint="eastAsia" w:ascii="宋体" w:hAnsi="宋体" w:eastAsia="宋体" w:cs="宋体"/>
          <w:b/>
          <w:bCs/>
          <w:color w:val="auto"/>
          <w:sz w:val="24"/>
          <w:szCs w:val="32"/>
          <w:highlight w:val="none"/>
        </w:rPr>
        <w:t>1.成交标准</w:t>
      </w:r>
    </w:p>
    <w:p w14:paraId="2356CDA0">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商务指标优劣顺序推荐（按技术得分由高到低排序，技术得分相同的按照</w:t>
      </w:r>
      <w:r>
        <w:rPr>
          <w:rFonts w:hint="eastAsia" w:ascii="宋体" w:hAnsi="宋体" w:eastAsia="宋体" w:cs="宋体"/>
          <w:bCs/>
          <w:color w:val="auto"/>
          <w:szCs w:val="21"/>
          <w:highlight w:val="none"/>
          <w:lang w:eastAsia="zh-CN"/>
        </w:rPr>
        <w:t>商务</w:t>
      </w:r>
      <w:r>
        <w:rPr>
          <w:rFonts w:hint="eastAsia" w:ascii="宋体" w:hAnsi="宋体" w:eastAsia="宋体" w:cs="宋体"/>
          <w:bCs/>
          <w:color w:val="auto"/>
          <w:szCs w:val="21"/>
          <w:highlight w:val="none"/>
        </w:rPr>
        <w:t>分由高到低排序）。评审得分、最后报价（不计算价格折扣）、技术得分、商务分均相同的，由磋商小组随机抽取推荐。</w:t>
      </w:r>
    </w:p>
    <w:p w14:paraId="1ED1769E">
      <w:pPr>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2.评标争议事项处理</w:t>
      </w:r>
    </w:p>
    <w:p w14:paraId="11446169">
      <w:pPr>
        <w:pStyle w:val="78"/>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w:t>
      </w:r>
      <w:r>
        <w:rPr>
          <w:rFonts w:hint="eastAsia" w:ascii="宋体" w:hAnsi="宋体" w:eastAsia="宋体" w:cs="宋体"/>
          <w:color w:val="auto"/>
          <w:kern w:val="2"/>
          <w:sz w:val="21"/>
          <w:szCs w:val="24"/>
          <w:highlight w:val="none"/>
          <w:lang w:eastAsia="zh-CN"/>
        </w:rPr>
        <w:t>评审报告</w:t>
      </w:r>
      <w:r>
        <w:rPr>
          <w:rFonts w:hint="eastAsia" w:ascii="宋体" w:hAnsi="宋体" w:eastAsia="宋体" w:cs="宋体"/>
          <w:color w:val="auto"/>
          <w:kern w:val="2"/>
          <w:sz w:val="21"/>
          <w:szCs w:val="24"/>
          <w:highlight w:val="none"/>
        </w:rPr>
        <w:t>上签署不同意见及理由，否则视为同意</w:t>
      </w:r>
      <w:r>
        <w:rPr>
          <w:rFonts w:hint="eastAsia" w:ascii="宋体" w:hAnsi="宋体" w:eastAsia="宋体" w:cs="宋体"/>
          <w:color w:val="auto"/>
          <w:kern w:val="2"/>
          <w:sz w:val="21"/>
          <w:szCs w:val="24"/>
          <w:highlight w:val="none"/>
          <w:lang w:eastAsia="zh-CN"/>
        </w:rPr>
        <w:t>评审报告</w:t>
      </w:r>
      <w:r>
        <w:rPr>
          <w:rFonts w:hint="eastAsia" w:ascii="宋体" w:hAnsi="宋体" w:eastAsia="宋体" w:cs="宋体"/>
          <w:color w:val="auto"/>
          <w:kern w:val="2"/>
          <w:sz w:val="21"/>
          <w:szCs w:val="24"/>
          <w:highlight w:val="none"/>
        </w:rPr>
        <w:t>。</w:t>
      </w:r>
    </w:p>
    <w:p w14:paraId="2A7B2E6E">
      <w:pPr>
        <w:pStyle w:val="78"/>
        <w:spacing w:before="0"/>
        <w:ind w:firstLine="420"/>
        <w:rPr>
          <w:rFonts w:hint="eastAsia" w:ascii="宋体" w:hAnsi="宋体" w:eastAsia="宋体" w:cs="宋体"/>
          <w:color w:val="auto"/>
          <w:kern w:val="2"/>
          <w:sz w:val="21"/>
          <w:szCs w:val="24"/>
          <w:highlight w:val="none"/>
        </w:rPr>
      </w:pPr>
    </w:p>
    <w:p w14:paraId="7556976A">
      <w:pPr>
        <w:pStyle w:val="78"/>
        <w:spacing w:before="0"/>
        <w:ind w:firstLine="420"/>
        <w:rPr>
          <w:rFonts w:hint="eastAsia" w:ascii="宋体" w:hAnsi="宋体" w:eastAsia="宋体" w:cs="宋体"/>
          <w:color w:val="auto"/>
          <w:kern w:val="2"/>
          <w:sz w:val="21"/>
          <w:szCs w:val="24"/>
          <w:highlight w:val="none"/>
        </w:rPr>
      </w:pPr>
    </w:p>
    <w:p w14:paraId="668FBEF0">
      <w:pPr>
        <w:pStyle w:val="3"/>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第三节 评审过程的保密与录像</w:t>
      </w:r>
      <w:bookmarkEnd w:id="44"/>
      <w:bookmarkEnd w:id="45"/>
    </w:p>
    <w:p w14:paraId="607A9C88">
      <w:pPr>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1.保密。</w:t>
      </w:r>
    </w:p>
    <w:p w14:paraId="76553444">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评审活动在严格保密的情况下进行。评审过程中凡是与响应文件评审和比较、中标成交供应商推荐等评审有关的情况，以及涉及国家秘密和商业秘密等信息，</w:t>
      </w:r>
      <w:r>
        <w:rPr>
          <w:rFonts w:hint="eastAsia" w:ascii="宋体" w:hAnsi="宋体" w:eastAsia="宋体" w:cs="宋体"/>
          <w:color w:val="auto"/>
          <w:highlight w:val="none"/>
          <w:lang w:eastAsia="zh-CN"/>
        </w:rPr>
        <w:t>磋商小组</w:t>
      </w:r>
      <w:r>
        <w:rPr>
          <w:rFonts w:hint="eastAsia" w:ascii="宋体" w:hAnsi="宋体" w:eastAsia="宋体" w:cs="宋体"/>
          <w:color w:val="auto"/>
          <w:highlight w:val="none"/>
        </w:rPr>
        <w:t>成员、采购人和采购</w:t>
      </w:r>
      <w:r>
        <w:rPr>
          <w:rFonts w:hint="eastAsia" w:ascii="宋体" w:hAnsi="宋体" w:eastAsia="宋体" w:cs="宋体"/>
          <w:color w:val="auto"/>
          <w:highlight w:val="none"/>
          <w:lang w:eastAsia="zh-CN"/>
        </w:rPr>
        <w:t>代理</w:t>
      </w:r>
      <w:r>
        <w:rPr>
          <w:rFonts w:hint="eastAsia" w:ascii="宋体" w:hAnsi="宋体" w:eastAsia="宋体" w:cs="宋体"/>
          <w:color w:val="auto"/>
          <w:highlight w:val="none"/>
        </w:rPr>
        <w:t>机构工作人员、相关监督人员等与评审有关的人员应当予以保密。</w:t>
      </w:r>
    </w:p>
    <w:p w14:paraId="56942315">
      <w:pPr>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2.录音录像。</w:t>
      </w:r>
    </w:p>
    <w:p w14:paraId="2E0B68E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55B2B85">
      <w:pPr>
        <w:jc w:val="center"/>
        <w:outlineLvl w:val="9"/>
        <w:rPr>
          <w:rFonts w:hint="eastAsia" w:ascii="宋体" w:hAnsi="宋体" w:eastAsia="宋体" w:cs="宋体"/>
          <w:b/>
          <w:bCs/>
          <w:color w:val="auto"/>
          <w:highlight w:val="none"/>
        </w:rPr>
      </w:pPr>
    </w:p>
    <w:p w14:paraId="3CE0CB55">
      <w:pPr>
        <w:outlineLvl w:val="9"/>
        <w:rPr>
          <w:rFonts w:hint="eastAsia" w:ascii="宋体" w:hAnsi="宋体" w:eastAsia="宋体" w:cs="宋体"/>
          <w:b/>
          <w:bCs/>
          <w:color w:val="auto"/>
          <w:highlight w:val="none"/>
        </w:rPr>
      </w:pPr>
    </w:p>
    <w:p w14:paraId="1BDE6728">
      <w:pPr>
        <w:outlineLvl w:val="9"/>
        <w:rPr>
          <w:rFonts w:hint="eastAsia" w:ascii="宋体" w:hAnsi="宋体" w:eastAsia="宋体" w:cs="宋体"/>
          <w:b/>
          <w:bCs/>
          <w:color w:val="auto"/>
          <w:highlight w:val="none"/>
        </w:rPr>
      </w:pPr>
    </w:p>
    <w:p w14:paraId="49C2AB5B">
      <w:pPr>
        <w:outlineLvl w:val="9"/>
        <w:rPr>
          <w:rFonts w:hint="eastAsia" w:ascii="宋体" w:hAnsi="宋体" w:eastAsia="宋体" w:cs="宋体"/>
          <w:b/>
          <w:bCs/>
          <w:color w:val="auto"/>
          <w:highlight w:val="none"/>
        </w:rPr>
      </w:pPr>
    </w:p>
    <w:p w14:paraId="46625C95">
      <w:pPr>
        <w:outlineLvl w:val="9"/>
        <w:rPr>
          <w:rFonts w:hint="eastAsia" w:ascii="宋体" w:hAnsi="宋体" w:eastAsia="宋体" w:cs="宋体"/>
          <w:b/>
          <w:bCs/>
          <w:color w:val="auto"/>
          <w:highlight w:val="none"/>
        </w:rPr>
      </w:pPr>
    </w:p>
    <w:p w14:paraId="3EDA84AF">
      <w:pPr>
        <w:jc w:val="center"/>
        <w:outlineLvl w:val="9"/>
        <w:rPr>
          <w:rFonts w:hint="eastAsia" w:ascii="宋体" w:hAnsi="宋体" w:eastAsia="宋体" w:cs="宋体"/>
          <w:b/>
          <w:bCs/>
          <w:color w:val="auto"/>
          <w:highlight w:val="none"/>
        </w:rPr>
      </w:pPr>
    </w:p>
    <w:p w14:paraId="1E7853C6">
      <w:pPr>
        <w:jc w:val="center"/>
        <w:outlineLvl w:val="9"/>
        <w:rPr>
          <w:rFonts w:hint="eastAsia" w:ascii="宋体" w:hAnsi="宋体" w:eastAsia="宋体" w:cs="宋体"/>
          <w:b/>
          <w:bCs/>
          <w:color w:val="auto"/>
          <w:highlight w:val="none"/>
        </w:rPr>
      </w:pPr>
      <w:bookmarkStart w:id="46" w:name="_Toc15809"/>
    </w:p>
    <w:p w14:paraId="21FA00E1">
      <w:pPr>
        <w:pStyle w:val="2"/>
        <w:jc w:val="center"/>
        <w:rPr>
          <w:rFonts w:hint="eastAsia" w:ascii="宋体" w:hAnsi="宋体" w:eastAsia="宋体" w:cs="宋体"/>
          <w:color w:val="auto"/>
          <w:highlight w:val="none"/>
        </w:rPr>
        <w:sectPr>
          <w:footerReference r:id="rId11" w:type="first"/>
          <w:footerReference r:id="rId10" w:type="default"/>
          <w:pgSz w:w="11911" w:h="16838"/>
          <w:pgMar w:top="1134" w:right="1134" w:bottom="979" w:left="1134" w:header="720" w:footer="720" w:gutter="0"/>
          <w:pgBorders>
            <w:top w:val="none" w:sz="0" w:space="0"/>
            <w:left w:val="none" w:sz="0" w:space="0"/>
            <w:bottom w:val="none" w:sz="0" w:space="0"/>
            <w:right w:val="none" w:sz="0" w:space="0"/>
          </w:pgBorders>
          <w:cols w:space="720" w:num="1"/>
        </w:sectPr>
      </w:pPr>
      <w:r>
        <w:rPr>
          <w:rFonts w:hint="eastAsia" w:ascii="宋体" w:hAnsi="宋体" w:eastAsia="宋体" w:cs="宋体"/>
          <w:b/>
          <w:bCs/>
          <w:color w:val="auto"/>
          <w:highlight w:val="none"/>
        </w:rPr>
        <w:br w:type="page"/>
      </w:r>
      <w:r>
        <w:rPr>
          <w:rFonts w:hint="eastAsia" w:ascii="宋体" w:hAnsi="宋体" w:eastAsia="宋体" w:cs="宋体"/>
          <w:b/>
          <w:bCs/>
          <w:color w:val="auto"/>
          <w:highlight w:val="none"/>
        </w:rPr>
        <w:t>第五章 响应文件格式</w:t>
      </w:r>
      <w:bookmarkEnd w:id="39"/>
      <w:bookmarkEnd w:id="40"/>
      <w:bookmarkEnd w:id="41"/>
      <w:bookmarkEnd w:id="42"/>
      <w:bookmarkEnd w:id="43"/>
      <w:bookmarkEnd w:id="46"/>
    </w:p>
    <w:p w14:paraId="22FC49D0">
      <w:pPr>
        <w:pStyle w:val="3"/>
        <w:pageBreakBefore w:val="0"/>
        <w:kinsoku/>
        <w:wordWrap/>
        <w:topLinePunct w:val="0"/>
        <w:bidi w:val="0"/>
        <w:spacing w:line="360" w:lineRule="auto"/>
        <w:jc w:val="center"/>
        <w:textAlignment w:val="auto"/>
        <w:rPr>
          <w:rFonts w:hint="eastAsia" w:ascii="宋体" w:hAnsi="宋体" w:eastAsia="宋体" w:cs="宋体"/>
          <w:b/>
          <w:bCs w:val="0"/>
          <w:color w:val="auto"/>
          <w:highlight w:val="none"/>
        </w:rPr>
      </w:pPr>
      <w:bookmarkStart w:id="47" w:name="_Toc12994"/>
      <w:bookmarkStart w:id="48" w:name="_Toc22245"/>
      <w:r>
        <w:rPr>
          <w:rFonts w:hint="eastAsia" w:ascii="宋体" w:hAnsi="宋体" w:eastAsia="宋体" w:cs="宋体"/>
          <w:b/>
          <w:bCs w:val="0"/>
          <w:color w:val="auto"/>
          <w:highlight w:val="none"/>
        </w:rPr>
        <w:t>第一节 资格证明文件格式</w:t>
      </w:r>
      <w:bookmarkEnd w:id="47"/>
      <w:bookmarkEnd w:id="48"/>
    </w:p>
    <w:p w14:paraId="23B3AB71">
      <w:pPr>
        <w:pageBreakBefore w:val="0"/>
        <w:kinsoku/>
        <w:wordWrap/>
        <w:topLinePunct w:val="0"/>
        <w:bidi w:val="0"/>
        <w:snapToGrid w:val="0"/>
        <w:spacing w:before="120" w:beforeLines="50" w:after="50"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8"/>
          <w:szCs w:val="28"/>
          <w:highlight w:val="none"/>
        </w:rPr>
        <w:t>资格证明文件封面的格式：</w:t>
      </w:r>
      <w:r>
        <w:rPr>
          <w:rFonts w:hint="eastAsia" w:ascii="宋体" w:hAnsi="宋体" w:eastAsia="宋体" w:cs="宋体"/>
          <w:color w:val="auto"/>
          <w:sz w:val="24"/>
          <w:highlight w:val="none"/>
        </w:rPr>
        <w:t xml:space="preserve">                                      </w:t>
      </w:r>
    </w:p>
    <w:p w14:paraId="2AAB6793">
      <w:pPr>
        <w:pageBreakBefore w:val="0"/>
        <w:kinsoku/>
        <w:wordWrap/>
        <w:topLinePunct w:val="0"/>
        <w:bidi w:val="0"/>
        <w:snapToGrid w:val="0"/>
        <w:spacing w:before="120" w:beforeLines="50" w:after="50" w:line="360" w:lineRule="auto"/>
        <w:ind w:firstLine="6930" w:firstLineChars="3300"/>
        <w:textAlignment w:val="auto"/>
        <w:rPr>
          <w:rFonts w:hint="eastAsia" w:ascii="宋体" w:hAnsi="宋体" w:eastAsia="宋体" w:cs="宋体"/>
          <w:bCs/>
          <w:color w:val="auto"/>
          <w:sz w:val="32"/>
          <w:szCs w:val="20"/>
          <w:highlight w:val="none"/>
        </w:rPr>
      </w:pPr>
      <w:r>
        <w:rPr>
          <w:rFonts w:hint="eastAsia" w:ascii="宋体" w:hAnsi="宋体" w:eastAsia="宋体" w:cs="宋体"/>
          <w:bCs/>
          <w:color w:val="auto"/>
          <w:highlight w:val="none"/>
        </w:rPr>
        <w:t>全流程电子文件</w:t>
      </w:r>
    </w:p>
    <w:p w14:paraId="687F488E">
      <w:pPr>
        <w:pageBreakBefore w:val="0"/>
        <w:kinsoku/>
        <w:wordWrap/>
        <w:topLinePunct w:val="0"/>
        <w:bidi w:val="0"/>
        <w:snapToGrid w:val="0"/>
        <w:spacing w:before="120" w:beforeLines="50" w:after="50" w:line="360" w:lineRule="auto"/>
        <w:textAlignment w:val="auto"/>
        <w:rPr>
          <w:rFonts w:hint="eastAsia" w:ascii="宋体" w:hAnsi="宋体" w:eastAsia="宋体" w:cs="宋体"/>
          <w:color w:val="auto"/>
          <w:sz w:val="24"/>
          <w:szCs w:val="20"/>
          <w:highlight w:val="none"/>
        </w:rPr>
      </w:pPr>
    </w:p>
    <w:p w14:paraId="3FA40769">
      <w:pPr>
        <w:pageBreakBefore w:val="0"/>
        <w:kinsoku/>
        <w:wordWrap/>
        <w:topLinePunct w:val="0"/>
        <w:bidi w:val="0"/>
        <w:snapToGrid w:val="0"/>
        <w:spacing w:before="120" w:beforeLines="50" w:after="50" w:line="360" w:lineRule="auto"/>
        <w:textAlignment w:val="auto"/>
        <w:rPr>
          <w:rFonts w:hint="eastAsia" w:ascii="宋体" w:hAnsi="宋体" w:eastAsia="宋体" w:cs="宋体"/>
          <w:color w:val="auto"/>
          <w:sz w:val="24"/>
          <w:szCs w:val="20"/>
          <w:highlight w:val="none"/>
        </w:rPr>
      </w:pPr>
    </w:p>
    <w:p w14:paraId="087A1359">
      <w:pPr>
        <w:pageBreakBefore w:val="0"/>
        <w:kinsoku/>
        <w:wordWrap/>
        <w:topLinePunct w:val="0"/>
        <w:bidi w:val="0"/>
        <w:snapToGrid w:val="0"/>
        <w:spacing w:before="120" w:beforeLines="50" w:after="50" w:line="360" w:lineRule="auto"/>
        <w:jc w:val="center"/>
        <w:textAlignment w:val="auto"/>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  格  证  明  文  件</w:t>
      </w:r>
    </w:p>
    <w:p w14:paraId="162AC1D0">
      <w:pPr>
        <w:pageBreakBefore w:val="0"/>
        <w:kinsoku/>
        <w:wordWrap/>
        <w:topLinePunct w:val="0"/>
        <w:bidi w:val="0"/>
        <w:snapToGrid w:val="0"/>
        <w:spacing w:before="120" w:beforeLines="50" w:after="50" w:line="360" w:lineRule="auto"/>
        <w:textAlignment w:val="auto"/>
        <w:rPr>
          <w:rFonts w:hint="eastAsia" w:ascii="宋体" w:hAnsi="宋体" w:eastAsia="宋体" w:cs="宋体"/>
          <w:bCs/>
          <w:color w:val="auto"/>
          <w:sz w:val="24"/>
          <w:szCs w:val="20"/>
          <w:highlight w:val="none"/>
        </w:rPr>
      </w:pPr>
    </w:p>
    <w:p w14:paraId="22B61C58">
      <w:pPr>
        <w:pageBreakBefore w:val="0"/>
        <w:kinsoku/>
        <w:wordWrap/>
        <w:topLinePunct w:val="0"/>
        <w:bidi w:val="0"/>
        <w:snapToGrid w:val="0"/>
        <w:spacing w:before="120" w:beforeLines="50" w:after="50" w:line="360" w:lineRule="auto"/>
        <w:textAlignment w:val="auto"/>
        <w:rPr>
          <w:rFonts w:hint="eastAsia" w:ascii="宋体" w:hAnsi="宋体" w:eastAsia="宋体" w:cs="宋体"/>
          <w:bCs/>
          <w:color w:val="auto"/>
          <w:sz w:val="24"/>
          <w:szCs w:val="20"/>
          <w:highlight w:val="none"/>
        </w:rPr>
      </w:pPr>
    </w:p>
    <w:p w14:paraId="05992960">
      <w:pPr>
        <w:pageBreakBefore w:val="0"/>
        <w:kinsoku/>
        <w:wordWrap/>
        <w:topLinePunct w:val="0"/>
        <w:bidi w:val="0"/>
        <w:snapToGrid w:val="0"/>
        <w:spacing w:before="120" w:beforeLines="50" w:after="50" w:line="360" w:lineRule="auto"/>
        <w:textAlignment w:val="auto"/>
        <w:rPr>
          <w:rFonts w:hint="eastAsia" w:ascii="宋体" w:hAnsi="宋体" w:eastAsia="宋体" w:cs="宋体"/>
          <w:bCs/>
          <w:color w:val="auto"/>
          <w:sz w:val="24"/>
          <w:szCs w:val="20"/>
          <w:highlight w:val="none"/>
        </w:rPr>
      </w:pPr>
    </w:p>
    <w:p w14:paraId="3EA3CB6C">
      <w:pPr>
        <w:pageBreakBefore w:val="0"/>
        <w:kinsoku/>
        <w:wordWrap/>
        <w:topLinePunct w:val="0"/>
        <w:bidi w:val="0"/>
        <w:snapToGrid w:val="0"/>
        <w:spacing w:before="120" w:beforeLines="50" w:after="50" w:line="360" w:lineRule="auto"/>
        <w:textAlignment w:val="auto"/>
        <w:rPr>
          <w:rFonts w:hint="eastAsia" w:ascii="宋体" w:hAnsi="宋体" w:eastAsia="宋体" w:cs="宋体"/>
          <w:bCs/>
          <w:color w:val="auto"/>
          <w:sz w:val="24"/>
          <w:szCs w:val="20"/>
          <w:highlight w:val="none"/>
        </w:rPr>
      </w:pPr>
    </w:p>
    <w:p w14:paraId="23970F48">
      <w:pPr>
        <w:pageBreakBefore w:val="0"/>
        <w:kinsoku/>
        <w:wordWrap/>
        <w:topLinePunct w:val="0"/>
        <w:bidi w:val="0"/>
        <w:snapToGrid w:val="0"/>
        <w:spacing w:before="120" w:beforeLines="50" w:after="50" w:line="360" w:lineRule="auto"/>
        <w:textAlignment w:val="auto"/>
        <w:rPr>
          <w:rFonts w:hint="eastAsia" w:ascii="宋体" w:hAnsi="宋体" w:eastAsia="宋体" w:cs="宋体"/>
          <w:bCs/>
          <w:color w:val="auto"/>
          <w:sz w:val="24"/>
          <w:szCs w:val="20"/>
          <w:highlight w:val="none"/>
        </w:rPr>
      </w:pPr>
    </w:p>
    <w:p w14:paraId="541F6530">
      <w:pPr>
        <w:pageBreakBefore w:val="0"/>
        <w:kinsoku/>
        <w:wordWrap/>
        <w:topLinePunct w:val="0"/>
        <w:bidi w:val="0"/>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63C601F1">
      <w:pPr>
        <w:pageBreakBefore w:val="0"/>
        <w:kinsoku/>
        <w:wordWrap/>
        <w:topLinePunct w:val="0"/>
        <w:bidi w:val="0"/>
        <w:snapToGrid w:val="0"/>
        <w:spacing w:before="120" w:beforeLines="50" w:after="50" w:line="360" w:lineRule="auto"/>
        <w:ind w:firstLine="720" w:firstLineChars="225"/>
        <w:textAlignment w:val="auto"/>
        <w:rPr>
          <w:rFonts w:hint="eastAsia" w:ascii="宋体" w:hAnsi="宋体" w:eastAsia="宋体" w:cs="宋体"/>
          <w:bCs/>
          <w:color w:val="auto"/>
          <w:sz w:val="32"/>
          <w:szCs w:val="32"/>
          <w:highlight w:val="none"/>
        </w:rPr>
      </w:pPr>
    </w:p>
    <w:p w14:paraId="6A7B8814">
      <w:pPr>
        <w:pageBreakBefore w:val="0"/>
        <w:kinsoku/>
        <w:wordWrap/>
        <w:topLinePunct w:val="0"/>
        <w:bidi w:val="0"/>
        <w:snapToGrid w:val="0"/>
        <w:spacing w:before="120" w:beforeLines="50" w:after="50" w:line="360" w:lineRule="auto"/>
        <w:ind w:firstLine="720" w:firstLineChars="225"/>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046132C7">
      <w:pPr>
        <w:pageBreakBefore w:val="0"/>
        <w:kinsoku/>
        <w:wordWrap/>
        <w:topLinePunct w:val="0"/>
        <w:bidi w:val="0"/>
        <w:snapToGrid w:val="0"/>
        <w:spacing w:before="120" w:beforeLines="50" w:after="50" w:line="360" w:lineRule="auto"/>
        <w:ind w:firstLine="720" w:firstLineChars="225"/>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F8885E7">
      <w:pPr>
        <w:pageBreakBefore w:val="0"/>
        <w:kinsoku/>
        <w:wordWrap/>
        <w:topLinePunct w:val="0"/>
        <w:bidi w:val="0"/>
        <w:snapToGrid w:val="0"/>
        <w:spacing w:before="120" w:beforeLines="50" w:after="50" w:line="360" w:lineRule="auto"/>
        <w:ind w:firstLine="720" w:firstLineChars="225"/>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B3FAE95">
      <w:pPr>
        <w:pageBreakBefore w:val="0"/>
        <w:kinsoku/>
        <w:wordWrap/>
        <w:topLinePunct w:val="0"/>
        <w:bidi w:val="0"/>
        <w:snapToGrid w:val="0"/>
        <w:spacing w:before="120" w:beforeLines="50" w:after="50" w:line="360" w:lineRule="auto"/>
        <w:ind w:firstLine="720" w:firstLineChars="225"/>
        <w:textAlignment w:val="auto"/>
        <w:rPr>
          <w:rFonts w:hint="eastAsia" w:ascii="宋体" w:hAnsi="宋体" w:eastAsia="宋体" w:cs="宋体"/>
          <w:bCs/>
          <w:color w:val="auto"/>
          <w:sz w:val="32"/>
          <w:szCs w:val="32"/>
          <w:highlight w:val="none"/>
        </w:rPr>
      </w:pPr>
    </w:p>
    <w:p w14:paraId="594E1391">
      <w:pPr>
        <w:pStyle w:val="7"/>
        <w:pageBreakBefore w:val="0"/>
        <w:kinsoku/>
        <w:wordWrap/>
        <w:topLinePunct w:val="0"/>
        <w:bidi w:val="0"/>
        <w:snapToGrid w:val="0"/>
        <w:spacing w:before="50" w:after="50" w:line="360" w:lineRule="auto"/>
        <w:ind w:firstLine="720" w:firstLineChars="225"/>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A92DE10">
      <w:pPr>
        <w:pStyle w:val="7"/>
        <w:pageBreakBefore w:val="0"/>
        <w:kinsoku/>
        <w:wordWrap/>
        <w:topLinePunct w:val="0"/>
        <w:bidi w:val="0"/>
        <w:snapToGrid w:val="0"/>
        <w:spacing w:before="50" w:after="50" w:line="360" w:lineRule="auto"/>
        <w:ind w:firstLine="720" w:firstLineChars="225"/>
        <w:textAlignment w:val="auto"/>
        <w:rPr>
          <w:rFonts w:hint="eastAsia" w:ascii="宋体" w:hAnsi="宋体" w:eastAsia="宋体" w:cs="宋体"/>
          <w:bCs/>
          <w:color w:val="auto"/>
          <w:sz w:val="32"/>
          <w:szCs w:val="32"/>
          <w:highlight w:val="none"/>
        </w:rPr>
      </w:pPr>
    </w:p>
    <w:p w14:paraId="7F7DEDF7">
      <w:pPr>
        <w:pStyle w:val="7"/>
        <w:pageBreakBefore w:val="0"/>
        <w:kinsoku/>
        <w:wordWrap/>
        <w:topLinePunct w:val="0"/>
        <w:bidi w:val="0"/>
        <w:snapToGrid w:val="0"/>
        <w:spacing w:before="50" w:after="50" w:line="360" w:lineRule="auto"/>
        <w:ind w:firstLine="1280" w:firstLineChars="400"/>
        <w:textAlignment w:val="auto"/>
        <w:rPr>
          <w:rFonts w:hint="eastAsia" w:ascii="宋体" w:hAnsi="宋体" w:eastAsia="宋体" w:cs="宋体"/>
          <w:bCs/>
          <w:color w:val="auto"/>
          <w:sz w:val="32"/>
          <w:szCs w:val="32"/>
          <w:highlight w:val="none"/>
        </w:rPr>
      </w:pPr>
    </w:p>
    <w:p w14:paraId="79E332E8">
      <w:pPr>
        <w:pageBreakBefore w:val="0"/>
        <w:kinsoku/>
        <w:wordWrap/>
        <w:topLinePunct w:val="0"/>
        <w:bidi w:val="0"/>
        <w:snapToGrid w:val="0"/>
        <w:spacing w:before="120" w:beforeLines="50" w:after="50"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32"/>
          <w:szCs w:val="32"/>
          <w:highlight w:val="none"/>
        </w:rPr>
        <w:t>年    月    日</w:t>
      </w:r>
      <w:r>
        <w:rPr>
          <w:rFonts w:hint="eastAsia" w:ascii="宋体" w:hAnsi="宋体" w:eastAsia="宋体" w:cs="宋体"/>
          <w:color w:val="auto"/>
          <w:sz w:val="24"/>
          <w:highlight w:val="none"/>
        </w:rPr>
        <w:br w:type="page"/>
      </w:r>
      <w:r>
        <w:rPr>
          <w:rFonts w:hint="eastAsia" w:ascii="宋体" w:hAnsi="宋体" w:eastAsia="宋体" w:cs="宋体"/>
          <w:b/>
          <w:bCs/>
          <w:color w:val="auto"/>
          <w:sz w:val="28"/>
          <w:szCs w:val="28"/>
          <w:highlight w:val="none"/>
        </w:rPr>
        <w:t>资格证明文件目录</w:t>
      </w:r>
    </w:p>
    <w:p w14:paraId="447C2980">
      <w:pPr>
        <w:pageBreakBefore w:val="0"/>
        <w:kinsoku/>
        <w:wordWrap/>
        <w:topLinePunct w:val="0"/>
        <w:bidi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4"/>
          <w:highlight w:val="none"/>
        </w:rPr>
        <w:t xml:space="preserve">  根据竞争性磋商文件规定及供应商提供的材料自行编写目录（部分格式后附）。</w:t>
      </w:r>
    </w:p>
    <w:p w14:paraId="635536C8">
      <w:pPr>
        <w:pageBreakBefore w:val="0"/>
        <w:kinsoku/>
        <w:wordWrap/>
        <w:topLinePunct w:val="0"/>
        <w:bidi w:val="0"/>
        <w:spacing w:line="360" w:lineRule="auto"/>
        <w:jc w:val="left"/>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kern w:val="0"/>
          <w:sz w:val="28"/>
          <w:szCs w:val="28"/>
          <w:highlight w:val="none"/>
        </w:rPr>
        <w:t>资格声明函的格式：</w:t>
      </w:r>
    </w:p>
    <w:p w14:paraId="4B1F0E33">
      <w:pPr>
        <w:pageBreakBefore w:val="0"/>
        <w:kinsoku/>
        <w:wordWrap/>
        <w:topLinePunct w:val="0"/>
        <w:bidi w:val="0"/>
        <w:spacing w:line="360" w:lineRule="auto"/>
        <w:jc w:val="center"/>
        <w:textAlignment w:val="auto"/>
        <w:rPr>
          <w:rFonts w:hint="eastAsia" w:ascii="宋体" w:hAnsi="宋体" w:eastAsia="宋体" w:cs="宋体"/>
          <w:b/>
          <w:color w:val="auto"/>
          <w:sz w:val="32"/>
          <w:szCs w:val="32"/>
          <w:highlight w:val="none"/>
        </w:rPr>
      </w:pPr>
    </w:p>
    <w:p w14:paraId="4E8EED64">
      <w:pPr>
        <w:pageBreakBefore w:val="0"/>
        <w:kinsoku/>
        <w:wordWrap/>
        <w:topLinePunct w:val="0"/>
        <w:bidi w:val="0"/>
        <w:spacing w:line="360" w:lineRule="auto"/>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232BE256">
      <w:pPr>
        <w:pageBreakBefore w:val="0"/>
        <w:kinsoku/>
        <w:wordWrap/>
        <w:topLinePunct w:val="0"/>
        <w:bidi w:val="0"/>
        <w:spacing w:line="360" w:lineRule="auto"/>
        <w:jc w:val="center"/>
        <w:textAlignment w:val="auto"/>
        <w:rPr>
          <w:rFonts w:hint="eastAsia" w:ascii="宋体" w:hAnsi="宋体" w:eastAsia="宋体" w:cs="宋体"/>
          <w:color w:val="auto"/>
          <w:sz w:val="24"/>
          <w:szCs w:val="20"/>
          <w:highlight w:val="none"/>
        </w:rPr>
      </w:pPr>
    </w:p>
    <w:p w14:paraId="4C232741">
      <w:pPr>
        <w:keepNext w:val="0"/>
        <w:keepLines w:val="0"/>
        <w:pageBreakBefore w:val="0"/>
        <w:widowControl w:val="0"/>
        <w:kinsoku/>
        <w:wordWrap/>
        <w:overflowPunct/>
        <w:topLinePunct w:val="0"/>
        <w:bidi w:val="0"/>
        <w:adjustRightInd/>
        <w:spacing w:line="360" w:lineRule="auto"/>
        <w:contextualSpacing/>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致：</w:t>
      </w:r>
      <w:r>
        <w:rPr>
          <w:rFonts w:hint="eastAsia" w:ascii="宋体" w:hAnsi="宋体" w:eastAsia="宋体" w:cs="宋体"/>
          <w:i w:val="0"/>
          <w:iCs w:val="0"/>
          <w:color w:val="auto"/>
          <w:szCs w:val="21"/>
          <w:highlight w:val="none"/>
          <w:u w:val="single"/>
        </w:rPr>
        <w:t>（采购代理机构名称）</w:t>
      </w:r>
      <w:r>
        <w:rPr>
          <w:rFonts w:hint="eastAsia" w:ascii="宋体" w:hAnsi="宋体" w:eastAsia="宋体" w:cs="宋体"/>
          <w:i w:val="0"/>
          <w:iCs w:val="0"/>
          <w:color w:val="auto"/>
          <w:szCs w:val="21"/>
          <w:highlight w:val="none"/>
        </w:rPr>
        <w:t>：</w:t>
      </w:r>
    </w:p>
    <w:p w14:paraId="2519518F">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u w:val="single"/>
        </w:rPr>
        <w:t>（供应商名称）</w:t>
      </w:r>
      <w:r>
        <w:rPr>
          <w:rFonts w:hint="eastAsia" w:ascii="宋体" w:hAnsi="宋体" w:eastAsia="宋体" w:cs="宋体"/>
          <w:i w:val="0"/>
          <w:iCs w:val="0"/>
          <w:color w:val="auto"/>
          <w:szCs w:val="21"/>
          <w:highlight w:val="none"/>
        </w:rPr>
        <w:t>系中华人民共和国合法供应商，经营地址</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111597F3">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i w:val="0"/>
          <w:iCs w:val="0"/>
          <w:color w:val="auto"/>
          <w:szCs w:val="21"/>
          <w:highlight w:val="none"/>
        </w:rPr>
        <w:t>我方愿意参加贵方组织的</w:t>
      </w:r>
      <w:r>
        <w:rPr>
          <w:rFonts w:hint="eastAsia" w:ascii="宋体" w:hAnsi="宋体" w:eastAsia="宋体" w:cs="宋体"/>
          <w:i w:val="0"/>
          <w:iCs w:val="0"/>
          <w:color w:val="auto"/>
          <w:szCs w:val="21"/>
          <w:highlight w:val="none"/>
          <w:u w:val="single"/>
        </w:rPr>
        <w:t>（项目名称）</w:t>
      </w:r>
      <w:r>
        <w:rPr>
          <w:rFonts w:hint="eastAsia" w:ascii="宋体" w:hAnsi="宋体" w:eastAsia="宋体" w:cs="宋体"/>
          <w:i w:val="0"/>
          <w:iCs w:val="0"/>
          <w:color w:val="auto"/>
          <w:szCs w:val="21"/>
          <w:highlight w:val="none"/>
        </w:rPr>
        <w:t>项目的竞标，为</w:t>
      </w:r>
      <w:r>
        <w:rPr>
          <w:rFonts w:hint="eastAsia" w:ascii="宋体" w:hAnsi="宋体" w:eastAsia="宋体" w:cs="宋体"/>
          <w:color w:val="auto"/>
          <w:szCs w:val="21"/>
          <w:highlight w:val="none"/>
        </w:rPr>
        <w:t>便于贵方公正、择优地确定成交供应商及其竞标产品和服务，我方就本次竞标有关事项郑重声明如下：</w:t>
      </w:r>
    </w:p>
    <w:p w14:paraId="7825ED65">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1.我方向贵方提交的所有响应文件、资料都是准确的和真实的。</w:t>
      </w:r>
    </w:p>
    <w:p w14:paraId="468A6EF2">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0A57B68">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3.在此，我方宣布同意如下：</w:t>
      </w:r>
    </w:p>
    <w:p w14:paraId="38B29B69">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（1）将按磋商文件的约定履行合同责任和义务；</w:t>
      </w:r>
    </w:p>
    <w:p w14:paraId="182D4765">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（2）已详细审查全部磋商文件，包括澄清或者更正公告（如有）；</w:t>
      </w:r>
    </w:p>
    <w:p w14:paraId="1B8A00B7">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（3）同意提供按照贵方可能要求的与磋商有关的一切数据或者资料。</w:t>
      </w:r>
    </w:p>
    <w:p w14:paraId="1FABE0A2">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4.我方承诺符合《中华人民共和国政府采购法》第二十二条规定：</w:t>
      </w:r>
    </w:p>
    <w:p w14:paraId="1B8408CE">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w:t>
      </w:r>
    </w:p>
    <w:p w14:paraId="0256FBBB">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（2）具有良好的商业信誉和健全的财务会计制度；</w:t>
      </w:r>
    </w:p>
    <w:p w14:paraId="014AED1C">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（3）具有履行合同所必需的设备和专业技术能力；</w:t>
      </w:r>
    </w:p>
    <w:p w14:paraId="713DC920">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（4）有依法缴纳税收和社会保障资金的良好记录；</w:t>
      </w:r>
    </w:p>
    <w:p w14:paraId="09030E85">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（5）参加政府采购活动前三年内，在经营活动中没有重大违法记录；</w:t>
      </w:r>
    </w:p>
    <w:p w14:paraId="2877F696">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（6）法律、行政法规规定的其他条件。</w:t>
      </w:r>
    </w:p>
    <w:p w14:paraId="5D2A6F7E">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59FDB84">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106BE82">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□我方本次响应文件</w:t>
      </w:r>
      <w:r>
        <w:rPr>
          <w:rFonts w:hint="eastAsia" w:ascii="宋体" w:hAnsi="宋体" w:eastAsia="宋体" w:cs="宋体"/>
          <w:color w:val="auto"/>
          <w:kern w:val="0"/>
          <w:szCs w:val="21"/>
          <w:highlight w:val="none"/>
        </w:rPr>
        <w:t>内容中</w:t>
      </w:r>
      <w:r>
        <w:rPr>
          <w:rFonts w:hint="eastAsia" w:ascii="宋体" w:hAnsi="宋体" w:eastAsia="宋体" w:cs="宋体"/>
          <w:color w:val="auto"/>
          <w:szCs w:val="21"/>
          <w:highlight w:val="none"/>
        </w:rPr>
        <w:t>未</w:t>
      </w:r>
      <w:r>
        <w:rPr>
          <w:rFonts w:hint="eastAsia" w:ascii="宋体" w:hAnsi="宋体" w:eastAsia="宋体" w:cs="宋体"/>
          <w:color w:val="auto"/>
          <w:kern w:val="0"/>
          <w:szCs w:val="21"/>
          <w:highlight w:val="none"/>
        </w:rPr>
        <w:t>涉及商业秘密；</w:t>
      </w:r>
    </w:p>
    <w:p w14:paraId="353AA6AC">
      <w:pPr>
        <w:keepNext w:val="0"/>
        <w:keepLines w:val="0"/>
        <w:pageBreakBefore w:val="0"/>
        <w:widowControl w:val="0"/>
        <w:kinsoku/>
        <w:wordWrap/>
        <w:overflowPunct/>
        <w:topLinePunct w:val="0"/>
        <w:bidi w:val="0"/>
        <w:adjustRightIn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□我方本次响应文件</w:t>
      </w:r>
      <w:r>
        <w:rPr>
          <w:rFonts w:hint="eastAsia" w:ascii="宋体" w:hAnsi="宋体" w:eastAsia="宋体" w:cs="宋体"/>
          <w:color w:val="auto"/>
          <w:kern w:val="0"/>
          <w:szCs w:val="21"/>
          <w:highlight w:val="none"/>
        </w:rPr>
        <w:t>涉及商业秘密的内容有：</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2C02AB7C">
      <w:pPr>
        <w:pStyle w:val="15"/>
        <w:keepNext w:val="0"/>
        <w:keepLines w:val="0"/>
        <w:pageBreakBefore w:val="0"/>
        <w:widowControl w:val="0"/>
        <w:tabs>
          <w:tab w:val="left" w:pos="939"/>
        </w:tabs>
        <w:kinsoku/>
        <w:wordWrap/>
        <w:overflowPunct/>
        <w:topLinePunct w:val="0"/>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w:t>
      </w:r>
      <w:r>
        <w:rPr>
          <w:rFonts w:hint="eastAsia" w:ascii="宋体" w:hAnsi="宋体" w:eastAsia="宋体" w:cs="宋体"/>
          <w:color w:val="auto"/>
          <w:szCs w:val="21"/>
          <w:highlight w:val="none"/>
        </w:rPr>
        <w:t>以上事项如有虚假或者隐瞒，我方愿意承担一切后果，并不再寻求任何旨在减轻或者免除法律责任的辩解。</w:t>
      </w:r>
    </w:p>
    <w:p w14:paraId="644D74F7">
      <w:pPr>
        <w:pStyle w:val="15"/>
        <w:keepNext w:val="0"/>
        <w:keepLines w:val="0"/>
        <w:pageBreakBefore w:val="0"/>
        <w:widowControl w:val="0"/>
        <w:tabs>
          <w:tab w:val="left" w:pos="939"/>
        </w:tabs>
        <w:kinsoku/>
        <w:wordWrap/>
        <w:overflowPunct/>
        <w:topLinePunct w:val="0"/>
        <w:bidi w:val="0"/>
        <w:adjustRightInd/>
        <w:spacing w:line="360" w:lineRule="auto"/>
        <w:ind w:left="141" w:leftChars="67"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46F218C3">
      <w:pPr>
        <w:pStyle w:val="15"/>
        <w:keepNext w:val="0"/>
        <w:keepLines w:val="0"/>
        <w:pageBreakBefore w:val="0"/>
        <w:widowControl w:val="0"/>
        <w:tabs>
          <w:tab w:val="left" w:pos="939"/>
        </w:tabs>
        <w:kinsoku/>
        <w:wordWrap/>
        <w:overflowPunct/>
        <w:topLinePunct w:val="0"/>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注：如为联合体竞标，盖章处须加盖联合体各方公章，否则其响应文件按无效响应处理。</w:t>
      </w:r>
    </w:p>
    <w:p w14:paraId="7B461039">
      <w:pPr>
        <w:pStyle w:val="15"/>
        <w:keepNext w:val="0"/>
        <w:keepLines w:val="0"/>
        <w:pageBreakBefore w:val="0"/>
        <w:widowControl w:val="0"/>
        <w:tabs>
          <w:tab w:val="left" w:pos="939"/>
        </w:tabs>
        <w:kinsoku/>
        <w:wordWrap/>
        <w:overflowPunct/>
        <w:topLinePunct w:val="0"/>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p>
    <w:p w14:paraId="3A515289">
      <w:pPr>
        <w:keepNext w:val="0"/>
        <w:keepLines w:val="0"/>
        <w:pageBreakBefore w:val="0"/>
        <w:widowControl w:val="0"/>
        <w:kinsoku/>
        <w:wordWrap/>
        <w:overflowPunct/>
        <w:topLinePunct w:val="0"/>
        <w:autoSpaceDE w:val="0"/>
        <w:autoSpaceDN w:val="0"/>
        <w:bidi w:val="0"/>
        <w:adjustRightInd/>
        <w:spacing w:line="360" w:lineRule="auto"/>
        <w:ind w:left="4305" w:leftChars="1850" w:hanging="420" w:hangingChars="200"/>
        <w:textAlignment w:val="auto"/>
        <w:rPr>
          <w:rFonts w:hint="eastAsia" w:ascii="宋体" w:hAnsi="宋体" w:eastAsia="宋体" w:cs="宋体"/>
          <w:color w:val="auto"/>
          <w:kern w:val="0"/>
          <w:szCs w:val="21"/>
          <w:highlight w:val="none"/>
        </w:rPr>
      </w:pPr>
    </w:p>
    <w:p w14:paraId="3A422063">
      <w:pPr>
        <w:keepNext w:val="0"/>
        <w:keepLines w:val="0"/>
        <w:pageBreakBefore w:val="0"/>
        <w:widowControl w:val="0"/>
        <w:kinsoku/>
        <w:wordWrap/>
        <w:overflowPunct/>
        <w:topLinePunct w:val="0"/>
        <w:autoSpaceDE w:val="0"/>
        <w:autoSpaceDN w:val="0"/>
        <w:bidi w:val="0"/>
        <w:adjustRightInd/>
        <w:spacing w:line="360" w:lineRule="auto"/>
        <w:ind w:left="4305" w:leftChars="1850" w:hanging="420" w:hangingChars="200"/>
        <w:textAlignment w:val="auto"/>
        <w:rPr>
          <w:rFonts w:hint="eastAsia" w:ascii="宋体" w:hAnsi="宋体" w:eastAsia="宋体" w:cs="宋体"/>
          <w:color w:val="auto"/>
          <w:kern w:val="0"/>
          <w:szCs w:val="21"/>
          <w:highlight w:val="none"/>
        </w:rPr>
      </w:pPr>
    </w:p>
    <w:p w14:paraId="47AF5E0F">
      <w:pPr>
        <w:keepNext w:val="0"/>
        <w:keepLines w:val="0"/>
        <w:pageBreakBefore w:val="0"/>
        <w:widowControl w:val="0"/>
        <w:kinsoku/>
        <w:wordWrap/>
        <w:overflowPunct/>
        <w:topLinePunct w:val="0"/>
        <w:bidi w:val="0"/>
        <w:adjustRightInd/>
        <w:spacing w:line="360" w:lineRule="auto"/>
        <w:ind w:firstLine="4410" w:firstLineChars="21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名称</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电子</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u w:val="single"/>
        </w:rPr>
        <w:t xml:space="preserve">                   </w:t>
      </w:r>
    </w:p>
    <w:p w14:paraId="14EA9052">
      <w:pPr>
        <w:keepNext w:val="0"/>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0E1FC2D">
      <w:pPr>
        <w:pStyle w:val="7"/>
        <w:pageBreakBefore w:val="0"/>
        <w:kinsoku/>
        <w:wordWrap/>
        <w:topLinePunct w:val="0"/>
        <w:bidi w:val="0"/>
        <w:spacing w:line="360" w:lineRule="auto"/>
        <w:textAlignment w:val="auto"/>
        <w:rPr>
          <w:rFonts w:hint="eastAsia" w:ascii="宋体" w:hAnsi="宋体" w:eastAsia="宋体" w:cs="宋体"/>
          <w:color w:val="auto"/>
          <w:szCs w:val="21"/>
          <w:highlight w:val="none"/>
        </w:rPr>
      </w:pPr>
    </w:p>
    <w:p w14:paraId="7F1E1AFD">
      <w:pPr>
        <w:pStyle w:val="7"/>
        <w:pageBreakBefore w:val="0"/>
        <w:kinsoku/>
        <w:wordWrap/>
        <w:topLinePunct w:val="0"/>
        <w:bidi w:val="0"/>
        <w:spacing w:line="360" w:lineRule="auto"/>
        <w:textAlignment w:val="auto"/>
        <w:rPr>
          <w:rFonts w:hint="eastAsia" w:ascii="宋体" w:hAnsi="宋体" w:eastAsia="宋体" w:cs="宋体"/>
          <w:color w:val="auto"/>
          <w:szCs w:val="21"/>
          <w:highlight w:val="none"/>
        </w:rPr>
      </w:pPr>
    </w:p>
    <w:p w14:paraId="539A7496">
      <w:pPr>
        <w:pStyle w:val="7"/>
        <w:pageBreakBefore w:val="0"/>
        <w:kinsoku/>
        <w:wordWrap/>
        <w:topLinePunct w:val="0"/>
        <w:bidi w:val="0"/>
        <w:spacing w:line="360" w:lineRule="auto"/>
        <w:textAlignment w:val="auto"/>
        <w:rPr>
          <w:rFonts w:hint="eastAsia" w:ascii="宋体" w:hAnsi="宋体" w:eastAsia="宋体" w:cs="宋体"/>
          <w:color w:val="auto"/>
          <w:szCs w:val="21"/>
          <w:highlight w:val="none"/>
        </w:rPr>
      </w:pPr>
    </w:p>
    <w:p w14:paraId="0954F9A0">
      <w:pPr>
        <w:pStyle w:val="7"/>
        <w:pageBreakBefore w:val="0"/>
        <w:kinsoku/>
        <w:wordWrap/>
        <w:topLinePunct w:val="0"/>
        <w:bidi w:val="0"/>
        <w:spacing w:line="360" w:lineRule="auto"/>
        <w:textAlignment w:val="auto"/>
        <w:rPr>
          <w:rFonts w:hint="eastAsia" w:ascii="宋体" w:hAnsi="宋体" w:eastAsia="宋体" w:cs="宋体"/>
          <w:color w:val="auto"/>
          <w:szCs w:val="21"/>
          <w:highlight w:val="none"/>
        </w:rPr>
      </w:pPr>
    </w:p>
    <w:p w14:paraId="792402E1">
      <w:pPr>
        <w:pStyle w:val="7"/>
        <w:pageBreakBefore w:val="0"/>
        <w:kinsoku/>
        <w:wordWrap/>
        <w:topLinePunct w:val="0"/>
        <w:bidi w:val="0"/>
        <w:spacing w:line="360" w:lineRule="auto"/>
        <w:textAlignment w:val="auto"/>
        <w:rPr>
          <w:rFonts w:hint="eastAsia" w:ascii="宋体" w:hAnsi="宋体" w:eastAsia="宋体" w:cs="宋体"/>
          <w:color w:val="auto"/>
          <w:szCs w:val="21"/>
          <w:highlight w:val="none"/>
        </w:rPr>
      </w:pPr>
    </w:p>
    <w:p w14:paraId="1344F225">
      <w:pPr>
        <w:pStyle w:val="7"/>
        <w:pageBreakBefore w:val="0"/>
        <w:kinsoku/>
        <w:wordWrap/>
        <w:topLinePunct w:val="0"/>
        <w:bidi w:val="0"/>
        <w:spacing w:line="360" w:lineRule="auto"/>
        <w:textAlignment w:val="auto"/>
        <w:rPr>
          <w:rFonts w:hint="eastAsia" w:ascii="宋体" w:hAnsi="宋体" w:eastAsia="宋体" w:cs="宋体"/>
          <w:color w:val="auto"/>
          <w:szCs w:val="21"/>
          <w:highlight w:val="none"/>
        </w:rPr>
      </w:pPr>
    </w:p>
    <w:p w14:paraId="73931E72">
      <w:pPr>
        <w:pStyle w:val="7"/>
        <w:pageBreakBefore w:val="0"/>
        <w:kinsoku/>
        <w:wordWrap/>
        <w:topLinePunct w:val="0"/>
        <w:bidi w:val="0"/>
        <w:spacing w:line="360" w:lineRule="auto"/>
        <w:textAlignment w:val="auto"/>
        <w:rPr>
          <w:rFonts w:hint="eastAsia" w:ascii="宋体" w:hAnsi="宋体" w:eastAsia="宋体" w:cs="宋体"/>
          <w:color w:val="auto"/>
          <w:szCs w:val="21"/>
          <w:highlight w:val="none"/>
        </w:rPr>
      </w:pPr>
    </w:p>
    <w:p w14:paraId="29977904">
      <w:pPr>
        <w:pStyle w:val="7"/>
        <w:pageBreakBefore w:val="0"/>
        <w:kinsoku/>
        <w:wordWrap/>
        <w:topLinePunct w:val="0"/>
        <w:bidi w:val="0"/>
        <w:spacing w:line="360" w:lineRule="auto"/>
        <w:textAlignment w:val="auto"/>
        <w:rPr>
          <w:rFonts w:hint="eastAsia" w:ascii="宋体" w:hAnsi="宋体" w:eastAsia="宋体" w:cs="宋体"/>
          <w:color w:val="auto"/>
          <w:szCs w:val="21"/>
          <w:highlight w:val="none"/>
        </w:rPr>
      </w:pPr>
    </w:p>
    <w:p w14:paraId="7C6E9AF5">
      <w:pPr>
        <w:pStyle w:val="7"/>
        <w:pageBreakBefore w:val="0"/>
        <w:kinsoku/>
        <w:wordWrap/>
        <w:topLinePunct w:val="0"/>
        <w:bidi w:val="0"/>
        <w:spacing w:line="360" w:lineRule="auto"/>
        <w:textAlignment w:val="auto"/>
        <w:rPr>
          <w:rFonts w:hint="eastAsia" w:ascii="宋体" w:hAnsi="宋体" w:eastAsia="宋体" w:cs="宋体"/>
          <w:color w:val="auto"/>
          <w:szCs w:val="21"/>
          <w:highlight w:val="none"/>
        </w:rPr>
      </w:pPr>
    </w:p>
    <w:p w14:paraId="4B13C0F4">
      <w:pPr>
        <w:pStyle w:val="7"/>
        <w:pageBreakBefore w:val="0"/>
        <w:kinsoku/>
        <w:wordWrap/>
        <w:topLinePunct w:val="0"/>
        <w:bidi w:val="0"/>
        <w:spacing w:line="360" w:lineRule="auto"/>
        <w:textAlignment w:val="auto"/>
        <w:rPr>
          <w:rFonts w:hint="eastAsia" w:ascii="宋体" w:hAnsi="宋体" w:eastAsia="宋体" w:cs="宋体"/>
          <w:color w:val="auto"/>
          <w:szCs w:val="21"/>
          <w:highlight w:val="none"/>
        </w:rPr>
      </w:pPr>
    </w:p>
    <w:p w14:paraId="4A5071AE">
      <w:pPr>
        <w:pStyle w:val="7"/>
        <w:pageBreakBefore w:val="0"/>
        <w:kinsoku/>
        <w:wordWrap/>
        <w:topLinePunct w:val="0"/>
        <w:bidi w:val="0"/>
        <w:spacing w:line="360" w:lineRule="auto"/>
        <w:textAlignment w:val="auto"/>
        <w:rPr>
          <w:rFonts w:hint="eastAsia" w:ascii="宋体" w:hAnsi="宋体" w:eastAsia="宋体" w:cs="宋体"/>
          <w:color w:val="auto"/>
          <w:szCs w:val="21"/>
          <w:highlight w:val="none"/>
        </w:rPr>
      </w:pPr>
    </w:p>
    <w:p w14:paraId="5EDFA54C">
      <w:pPr>
        <w:pStyle w:val="7"/>
        <w:pageBreakBefore w:val="0"/>
        <w:kinsoku/>
        <w:wordWrap/>
        <w:topLinePunct w:val="0"/>
        <w:bidi w:val="0"/>
        <w:spacing w:line="360" w:lineRule="auto"/>
        <w:textAlignment w:val="auto"/>
        <w:rPr>
          <w:rFonts w:hint="eastAsia" w:ascii="宋体" w:hAnsi="宋体" w:eastAsia="宋体" w:cs="宋体"/>
          <w:color w:val="auto"/>
          <w:szCs w:val="21"/>
          <w:highlight w:val="none"/>
        </w:rPr>
      </w:pPr>
    </w:p>
    <w:p w14:paraId="358DB3B1">
      <w:pPr>
        <w:pStyle w:val="7"/>
        <w:pageBreakBefore w:val="0"/>
        <w:kinsoku/>
        <w:wordWrap/>
        <w:topLinePunct w:val="0"/>
        <w:bidi w:val="0"/>
        <w:spacing w:line="360" w:lineRule="auto"/>
        <w:textAlignment w:val="auto"/>
        <w:rPr>
          <w:rFonts w:hint="eastAsia" w:ascii="宋体" w:hAnsi="宋体" w:eastAsia="宋体" w:cs="宋体"/>
          <w:color w:val="auto"/>
          <w:szCs w:val="21"/>
          <w:highlight w:val="none"/>
        </w:rPr>
      </w:pPr>
    </w:p>
    <w:p w14:paraId="14B90BBC">
      <w:pPr>
        <w:pStyle w:val="7"/>
        <w:pageBreakBefore w:val="0"/>
        <w:kinsoku/>
        <w:wordWrap/>
        <w:topLinePunct w:val="0"/>
        <w:bidi w:val="0"/>
        <w:spacing w:line="360" w:lineRule="auto"/>
        <w:textAlignment w:val="auto"/>
        <w:rPr>
          <w:rFonts w:hint="eastAsia" w:ascii="宋体" w:hAnsi="宋体" w:eastAsia="宋体" w:cs="宋体"/>
          <w:color w:val="auto"/>
          <w:szCs w:val="21"/>
          <w:highlight w:val="none"/>
        </w:rPr>
      </w:pPr>
    </w:p>
    <w:p w14:paraId="32A50861">
      <w:pPr>
        <w:pStyle w:val="7"/>
        <w:pageBreakBefore w:val="0"/>
        <w:kinsoku/>
        <w:wordWrap/>
        <w:topLinePunct w:val="0"/>
        <w:bidi w:val="0"/>
        <w:spacing w:line="360" w:lineRule="auto"/>
        <w:textAlignment w:val="auto"/>
        <w:rPr>
          <w:rFonts w:hint="eastAsia" w:ascii="宋体" w:hAnsi="宋体" w:eastAsia="宋体" w:cs="宋体"/>
          <w:color w:val="auto"/>
          <w:szCs w:val="21"/>
          <w:highlight w:val="none"/>
        </w:rPr>
      </w:pPr>
    </w:p>
    <w:p w14:paraId="1C544FA5">
      <w:pPr>
        <w:pStyle w:val="7"/>
        <w:pageBreakBefore w:val="0"/>
        <w:kinsoku/>
        <w:wordWrap/>
        <w:topLinePunct w:val="0"/>
        <w:bidi w:val="0"/>
        <w:spacing w:line="360" w:lineRule="auto"/>
        <w:textAlignment w:val="auto"/>
        <w:rPr>
          <w:rFonts w:hint="eastAsia" w:ascii="宋体" w:hAnsi="宋体" w:eastAsia="宋体" w:cs="宋体"/>
          <w:color w:val="auto"/>
          <w:szCs w:val="21"/>
          <w:highlight w:val="none"/>
        </w:rPr>
      </w:pPr>
    </w:p>
    <w:p w14:paraId="37091EB4">
      <w:pPr>
        <w:pStyle w:val="7"/>
        <w:pageBreakBefore w:val="0"/>
        <w:kinsoku/>
        <w:wordWrap/>
        <w:topLinePunct w:val="0"/>
        <w:bidi w:val="0"/>
        <w:spacing w:line="360" w:lineRule="auto"/>
        <w:textAlignment w:val="auto"/>
        <w:rPr>
          <w:rFonts w:hint="eastAsia" w:ascii="宋体" w:hAnsi="宋体" w:eastAsia="宋体" w:cs="宋体"/>
          <w:color w:val="auto"/>
          <w:szCs w:val="21"/>
          <w:highlight w:val="none"/>
        </w:rPr>
      </w:pPr>
    </w:p>
    <w:p w14:paraId="794EB82C">
      <w:pPr>
        <w:pStyle w:val="7"/>
        <w:pageBreakBefore w:val="0"/>
        <w:kinsoku/>
        <w:wordWrap/>
        <w:topLinePunct w:val="0"/>
        <w:bidi w:val="0"/>
        <w:spacing w:line="360" w:lineRule="auto"/>
        <w:textAlignment w:val="auto"/>
        <w:rPr>
          <w:rFonts w:hint="eastAsia" w:ascii="宋体" w:hAnsi="宋体" w:eastAsia="宋体" w:cs="宋体"/>
          <w:color w:val="auto"/>
          <w:szCs w:val="21"/>
          <w:highlight w:val="none"/>
        </w:rPr>
      </w:pPr>
    </w:p>
    <w:p w14:paraId="565068B7">
      <w:pPr>
        <w:pStyle w:val="7"/>
        <w:pageBreakBefore w:val="0"/>
        <w:kinsoku/>
        <w:wordWrap/>
        <w:topLinePunct w:val="0"/>
        <w:bidi w:val="0"/>
        <w:spacing w:line="360" w:lineRule="auto"/>
        <w:textAlignment w:val="auto"/>
        <w:rPr>
          <w:rFonts w:hint="eastAsia" w:ascii="宋体" w:hAnsi="宋体" w:eastAsia="宋体" w:cs="宋体"/>
          <w:color w:val="auto"/>
          <w:szCs w:val="21"/>
          <w:highlight w:val="none"/>
        </w:rPr>
      </w:pPr>
    </w:p>
    <w:p w14:paraId="198A3F37">
      <w:pPr>
        <w:pStyle w:val="7"/>
        <w:pageBreakBefore w:val="0"/>
        <w:kinsoku/>
        <w:wordWrap/>
        <w:topLinePunct w:val="0"/>
        <w:bidi w:val="0"/>
        <w:spacing w:line="360" w:lineRule="auto"/>
        <w:textAlignment w:val="auto"/>
        <w:rPr>
          <w:rFonts w:hint="eastAsia" w:ascii="宋体" w:hAnsi="宋体" w:eastAsia="宋体" w:cs="宋体"/>
          <w:color w:val="auto"/>
          <w:szCs w:val="21"/>
          <w:highlight w:val="none"/>
        </w:rPr>
      </w:pPr>
    </w:p>
    <w:p w14:paraId="3752082A">
      <w:pPr>
        <w:pStyle w:val="7"/>
        <w:pageBreakBefore w:val="0"/>
        <w:kinsoku/>
        <w:wordWrap/>
        <w:topLinePunct w:val="0"/>
        <w:bidi w:val="0"/>
        <w:spacing w:line="360" w:lineRule="auto"/>
        <w:textAlignment w:val="auto"/>
        <w:rPr>
          <w:rFonts w:hint="eastAsia" w:ascii="宋体" w:hAnsi="宋体" w:eastAsia="宋体" w:cs="宋体"/>
          <w:color w:val="auto"/>
          <w:szCs w:val="21"/>
          <w:highlight w:val="none"/>
        </w:rPr>
      </w:pPr>
    </w:p>
    <w:p w14:paraId="55D9799C">
      <w:pPr>
        <w:pStyle w:val="7"/>
        <w:pageBreakBefore w:val="0"/>
        <w:kinsoku/>
        <w:wordWrap/>
        <w:topLinePunct w:val="0"/>
        <w:bidi w:val="0"/>
        <w:spacing w:line="360" w:lineRule="auto"/>
        <w:textAlignment w:val="auto"/>
        <w:rPr>
          <w:rFonts w:hint="eastAsia" w:ascii="宋体" w:hAnsi="宋体" w:eastAsia="宋体" w:cs="宋体"/>
          <w:color w:val="auto"/>
          <w:szCs w:val="21"/>
          <w:highlight w:val="none"/>
        </w:rPr>
      </w:pPr>
    </w:p>
    <w:p w14:paraId="778B8198">
      <w:pPr>
        <w:pStyle w:val="7"/>
        <w:pageBreakBefore w:val="0"/>
        <w:kinsoku/>
        <w:wordWrap/>
        <w:topLinePunct w:val="0"/>
        <w:bidi w:val="0"/>
        <w:spacing w:line="360" w:lineRule="auto"/>
        <w:textAlignment w:val="auto"/>
        <w:rPr>
          <w:rFonts w:hint="eastAsia" w:ascii="宋体" w:hAnsi="宋体" w:eastAsia="宋体" w:cs="宋体"/>
          <w:color w:val="auto"/>
          <w:szCs w:val="21"/>
          <w:highlight w:val="none"/>
        </w:rPr>
      </w:pPr>
    </w:p>
    <w:p w14:paraId="552FD54D">
      <w:pPr>
        <w:pStyle w:val="7"/>
        <w:pageBreakBefore w:val="0"/>
        <w:kinsoku/>
        <w:wordWrap/>
        <w:topLinePunct w:val="0"/>
        <w:bidi w:val="0"/>
        <w:spacing w:line="360" w:lineRule="auto"/>
        <w:textAlignment w:val="auto"/>
        <w:rPr>
          <w:rFonts w:hint="eastAsia" w:ascii="宋体" w:hAnsi="宋体" w:eastAsia="宋体" w:cs="宋体"/>
          <w:color w:val="auto"/>
          <w:szCs w:val="21"/>
          <w:highlight w:val="none"/>
        </w:rPr>
      </w:pPr>
    </w:p>
    <w:p w14:paraId="6E27744B">
      <w:pPr>
        <w:pStyle w:val="7"/>
        <w:pageBreakBefore w:val="0"/>
        <w:kinsoku/>
        <w:wordWrap/>
        <w:topLinePunct w:val="0"/>
        <w:bidi w:val="0"/>
        <w:spacing w:line="360" w:lineRule="auto"/>
        <w:textAlignment w:val="auto"/>
        <w:rPr>
          <w:rFonts w:hint="eastAsia" w:ascii="宋体" w:hAnsi="宋体" w:eastAsia="宋体" w:cs="宋体"/>
          <w:color w:val="auto"/>
          <w:szCs w:val="21"/>
          <w:highlight w:val="none"/>
        </w:rPr>
      </w:pPr>
    </w:p>
    <w:p w14:paraId="0935E836">
      <w:pPr>
        <w:pStyle w:val="7"/>
        <w:pageBreakBefore w:val="0"/>
        <w:kinsoku/>
        <w:wordWrap/>
        <w:topLinePunct w:val="0"/>
        <w:bidi w:val="0"/>
        <w:spacing w:line="360" w:lineRule="auto"/>
        <w:textAlignment w:val="auto"/>
        <w:rPr>
          <w:rFonts w:hint="eastAsia" w:ascii="宋体" w:hAnsi="宋体" w:eastAsia="宋体" w:cs="宋体"/>
          <w:color w:val="auto"/>
          <w:szCs w:val="21"/>
          <w:highlight w:val="none"/>
        </w:rPr>
      </w:pPr>
    </w:p>
    <w:p w14:paraId="36A17D08">
      <w:pPr>
        <w:pStyle w:val="7"/>
        <w:pageBreakBefore w:val="0"/>
        <w:kinsoku/>
        <w:wordWrap/>
        <w:topLinePunct w:val="0"/>
        <w:bidi w:val="0"/>
        <w:spacing w:line="360" w:lineRule="auto"/>
        <w:textAlignment w:val="auto"/>
        <w:rPr>
          <w:rFonts w:hint="eastAsia" w:ascii="宋体" w:hAnsi="宋体" w:eastAsia="宋体" w:cs="宋体"/>
          <w:color w:val="auto"/>
          <w:szCs w:val="21"/>
          <w:highlight w:val="none"/>
        </w:rPr>
      </w:pPr>
    </w:p>
    <w:p w14:paraId="4AB05EE9">
      <w:pPr>
        <w:pStyle w:val="7"/>
        <w:pageBreakBefore w:val="0"/>
        <w:kinsoku/>
        <w:wordWrap/>
        <w:topLinePunct w:val="0"/>
        <w:bidi w:val="0"/>
        <w:spacing w:line="360" w:lineRule="auto"/>
        <w:textAlignment w:val="auto"/>
        <w:rPr>
          <w:rFonts w:hint="eastAsia" w:ascii="宋体" w:hAnsi="宋体" w:eastAsia="宋体" w:cs="宋体"/>
          <w:color w:val="auto"/>
          <w:szCs w:val="21"/>
          <w:highlight w:val="none"/>
        </w:rPr>
      </w:pPr>
    </w:p>
    <w:p w14:paraId="3453C196">
      <w:pPr>
        <w:pStyle w:val="7"/>
        <w:pageBreakBefore w:val="0"/>
        <w:kinsoku/>
        <w:wordWrap/>
        <w:topLinePunct w:val="0"/>
        <w:bidi w:val="0"/>
        <w:spacing w:line="360" w:lineRule="auto"/>
        <w:textAlignment w:val="auto"/>
        <w:rPr>
          <w:rFonts w:hint="eastAsia" w:ascii="宋体" w:hAnsi="宋体" w:eastAsia="宋体" w:cs="宋体"/>
          <w:color w:val="auto"/>
          <w:szCs w:val="21"/>
          <w:highlight w:val="none"/>
        </w:rPr>
      </w:pPr>
    </w:p>
    <w:p w14:paraId="4D35BA0E">
      <w:pPr>
        <w:pStyle w:val="7"/>
        <w:pageBreakBefore w:val="0"/>
        <w:kinsoku/>
        <w:wordWrap/>
        <w:topLinePunct w:val="0"/>
        <w:bidi w:val="0"/>
        <w:spacing w:line="360" w:lineRule="auto"/>
        <w:textAlignment w:val="auto"/>
        <w:rPr>
          <w:rFonts w:hint="eastAsia" w:ascii="宋体" w:hAnsi="宋体" w:eastAsia="宋体" w:cs="宋体"/>
          <w:color w:val="auto"/>
          <w:szCs w:val="21"/>
          <w:highlight w:val="none"/>
        </w:rPr>
      </w:pPr>
    </w:p>
    <w:p w14:paraId="23B8B765">
      <w:pPr>
        <w:pStyle w:val="7"/>
        <w:pageBreakBefore w:val="0"/>
        <w:kinsoku/>
        <w:wordWrap/>
        <w:topLinePunct w:val="0"/>
        <w:bidi w:val="0"/>
        <w:spacing w:line="360" w:lineRule="auto"/>
        <w:textAlignment w:val="auto"/>
        <w:rPr>
          <w:rFonts w:hint="eastAsia" w:ascii="宋体" w:hAnsi="宋体" w:eastAsia="宋体" w:cs="宋体"/>
          <w:color w:val="auto"/>
          <w:szCs w:val="21"/>
          <w:highlight w:val="none"/>
        </w:rPr>
      </w:pPr>
    </w:p>
    <w:p w14:paraId="004DE08E">
      <w:pPr>
        <w:pageBreakBefore w:val="0"/>
        <w:kinsoku/>
        <w:wordWrap/>
        <w:topLinePunct w:val="0"/>
        <w:bidi w:val="0"/>
        <w:spacing w:line="360" w:lineRule="auto"/>
        <w:contextualSpacing/>
        <w:jc w:val="center"/>
        <w:textAlignment w:val="auto"/>
        <w:rPr>
          <w:rFonts w:hint="eastAsia" w:ascii="宋体" w:hAnsi="宋体" w:eastAsia="宋体" w:cs="宋体"/>
          <w:b/>
          <w:color w:val="auto"/>
          <w:sz w:val="32"/>
          <w:szCs w:val="32"/>
          <w:highlight w:val="none"/>
        </w:rPr>
      </w:pPr>
    </w:p>
    <w:p w14:paraId="7F653048">
      <w:pPr>
        <w:pageBreakBefore w:val="0"/>
        <w:kinsoku/>
        <w:wordWrap/>
        <w:topLinePunct w:val="0"/>
        <w:bidi w:val="0"/>
        <w:spacing w:line="360" w:lineRule="auto"/>
        <w:contextualSpacing/>
        <w:jc w:val="center"/>
        <w:textAlignment w:val="auto"/>
        <w:rPr>
          <w:rFonts w:hint="eastAsia" w:ascii="宋体" w:hAnsi="宋体" w:eastAsia="宋体" w:cs="宋体"/>
          <w:b/>
          <w:color w:val="auto"/>
          <w:kern w:val="0"/>
          <w:sz w:val="30"/>
          <w:szCs w:val="30"/>
          <w:highlight w:val="none"/>
        </w:rPr>
      </w:pPr>
      <w:r>
        <w:rPr>
          <w:rFonts w:hint="eastAsia" w:ascii="宋体" w:hAnsi="宋体" w:eastAsia="宋体" w:cs="宋体"/>
          <w:b/>
          <w:color w:val="auto"/>
          <w:sz w:val="32"/>
          <w:szCs w:val="32"/>
          <w:highlight w:val="none"/>
        </w:rPr>
        <w:t>供应商直接控股、管理关系信息表</w:t>
      </w:r>
    </w:p>
    <w:p w14:paraId="243A64AE">
      <w:pPr>
        <w:pageBreakBefore w:val="0"/>
        <w:kinsoku/>
        <w:wordWrap/>
        <w:topLinePunct w:val="0"/>
        <w:bidi w:val="0"/>
        <w:spacing w:line="360" w:lineRule="auto"/>
        <w:contextualSpacing/>
        <w:jc w:val="center"/>
        <w:textAlignment w:val="auto"/>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供应商直接控股股东信息</w:t>
      </w:r>
    </w:p>
    <w:p w14:paraId="3D0433B8">
      <w:pPr>
        <w:pageBreakBefore w:val="0"/>
        <w:kinsoku/>
        <w:wordWrap/>
        <w:topLinePunct w:val="0"/>
        <w:bidi w:val="0"/>
        <w:spacing w:line="360" w:lineRule="auto"/>
        <w:contextualSpacing/>
        <w:jc w:val="center"/>
        <w:textAlignment w:val="auto"/>
        <w:rPr>
          <w:rFonts w:hint="eastAsia" w:ascii="宋体" w:hAnsi="宋体" w:eastAsia="宋体" w:cs="宋体"/>
          <w:b/>
          <w:color w:val="auto"/>
          <w:sz w:val="24"/>
          <w:highlight w:val="none"/>
        </w:rPr>
      </w:pPr>
    </w:p>
    <w:tbl>
      <w:tblPr>
        <w:tblStyle w:val="2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0C8D5C2">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2BC840">
            <w:pPr>
              <w:pageBreakBefore w:val="0"/>
              <w:widowControl/>
              <w:kinsoku/>
              <w:wordWrap/>
              <w:topLinePunct w:val="0"/>
              <w:bidi w:val="0"/>
              <w:spacing w:line="360" w:lineRule="auto"/>
              <w:contextualSpacing/>
              <w:jc w:val="center"/>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D263F7">
            <w:pPr>
              <w:pageBreakBefore w:val="0"/>
              <w:widowControl/>
              <w:kinsoku/>
              <w:wordWrap/>
              <w:topLinePunct w:val="0"/>
              <w:bidi w:val="0"/>
              <w:spacing w:line="360" w:lineRule="auto"/>
              <w:contextualSpacing/>
              <w:jc w:val="center"/>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5F2FC8">
            <w:pPr>
              <w:pageBreakBefore w:val="0"/>
              <w:widowControl/>
              <w:kinsoku/>
              <w:wordWrap/>
              <w:topLinePunct w:val="0"/>
              <w:bidi w:val="0"/>
              <w:spacing w:line="360" w:lineRule="auto"/>
              <w:contextualSpacing/>
              <w:jc w:val="center"/>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08E876">
            <w:pPr>
              <w:pageBreakBefore w:val="0"/>
              <w:widowControl/>
              <w:kinsoku/>
              <w:wordWrap/>
              <w:topLinePunct w:val="0"/>
              <w:bidi w:val="0"/>
              <w:spacing w:line="360" w:lineRule="auto"/>
              <w:contextualSpacing/>
              <w:jc w:val="center"/>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7784BF">
            <w:pPr>
              <w:pageBreakBefore w:val="0"/>
              <w:widowControl/>
              <w:kinsoku/>
              <w:wordWrap/>
              <w:topLinePunct w:val="0"/>
              <w:bidi w:val="0"/>
              <w:spacing w:line="360" w:lineRule="auto"/>
              <w:contextualSpacing/>
              <w:jc w:val="center"/>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A71C09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D97981">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1A93A2">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27F394">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BA82A2">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5002DE">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r>
      <w:tr w14:paraId="39DAA50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0A998B">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7F61E1">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C02C7D">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DF61F9">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0BBD67">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r>
      <w:tr w14:paraId="3966AD7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23AE25">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A152C5">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6EF083">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F2847C">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E86C04">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r>
      <w:tr w14:paraId="66A2F5F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046326">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BFA52A">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F8DBBB">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152DFD">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0DD8FF">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r>
    </w:tbl>
    <w:p w14:paraId="1026C253">
      <w:pPr>
        <w:pageBreakBefore w:val="0"/>
        <w:kinsoku/>
        <w:wordWrap/>
        <w:topLinePunct w:val="0"/>
        <w:bidi w:val="0"/>
        <w:spacing w:line="360" w:lineRule="auto"/>
        <w:contextualSpacing/>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0A31750">
      <w:pPr>
        <w:pageBreakBefore w:val="0"/>
        <w:kinsoku/>
        <w:wordWrap/>
        <w:topLinePunct w:val="0"/>
        <w:bidi w:val="0"/>
        <w:spacing w:line="360" w:lineRule="auto"/>
        <w:ind w:firstLine="480" w:firstLineChars="200"/>
        <w:contextualSpacing/>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273CA84">
      <w:pPr>
        <w:pageBreakBefore w:val="0"/>
        <w:kinsoku/>
        <w:wordWrap/>
        <w:topLinePunct w:val="0"/>
        <w:bidi w:val="0"/>
        <w:spacing w:line="360" w:lineRule="auto"/>
        <w:ind w:firstLine="480" w:firstLineChars="200"/>
        <w:contextualSpacing/>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24691545">
      <w:pPr>
        <w:pageBreakBefore w:val="0"/>
        <w:kinsoku/>
        <w:wordWrap/>
        <w:topLinePunct w:val="0"/>
        <w:bidi w:val="0"/>
        <w:spacing w:line="360" w:lineRule="auto"/>
        <w:ind w:firstLine="480" w:firstLineChars="200"/>
        <w:contextualSpacing/>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402A4984">
      <w:pPr>
        <w:pageBreakBefore w:val="0"/>
        <w:kinsoku/>
        <w:wordWrap/>
        <w:topLinePunct w:val="0"/>
        <w:bidi w:val="0"/>
        <w:snapToGrid w:val="0"/>
        <w:spacing w:line="360" w:lineRule="auto"/>
        <w:jc w:val="left"/>
        <w:textAlignment w:val="auto"/>
        <w:rPr>
          <w:rFonts w:hint="eastAsia" w:ascii="宋体" w:hAnsi="宋体" w:eastAsia="宋体" w:cs="宋体"/>
          <w:color w:val="auto"/>
          <w:sz w:val="24"/>
          <w:highlight w:val="none"/>
        </w:rPr>
      </w:pPr>
    </w:p>
    <w:p w14:paraId="1290D566">
      <w:pPr>
        <w:pageBreakBefore w:val="0"/>
        <w:kinsoku/>
        <w:wordWrap/>
        <w:topLinePunct w:val="0"/>
        <w:bidi w:val="0"/>
        <w:snapToGrid w:val="0"/>
        <w:spacing w:line="360" w:lineRule="auto"/>
        <w:jc w:val="left"/>
        <w:textAlignment w:val="auto"/>
        <w:rPr>
          <w:rFonts w:hint="eastAsia" w:ascii="宋体" w:hAnsi="宋体" w:eastAsia="宋体" w:cs="宋体"/>
          <w:color w:val="auto"/>
          <w:sz w:val="24"/>
          <w:highlight w:val="none"/>
        </w:rPr>
      </w:pPr>
    </w:p>
    <w:p w14:paraId="59AB3971">
      <w:pPr>
        <w:pageBreakBefore w:val="0"/>
        <w:kinsoku/>
        <w:wordWrap/>
        <w:topLinePunct w:val="0"/>
        <w:bidi w:val="0"/>
        <w:snapToGrid w:val="0"/>
        <w:spacing w:line="360" w:lineRule="auto"/>
        <w:jc w:val="left"/>
        <w:textAlignment w:val="auto"/>
        <w:rPr>
          <w:rFonts w:hint="eastAsia" w:ascii="宋体" w:hAnsi="宋体" w:eastAsia="宋体" w:cs="宋体"/>
          <w:color w:val="auto"/>
          <w:sz w:val="24"/>
          <w:highlight w:val="none"/>
        </w:rPr>
      </w:pPr>
    </w:p>
    <w:p w14:paraId="07538EC8">
      <w:pPr>
        <w:pageBreakBefore w:val="0"/>
        <w:kinsoku/>
        <w:wordWrap/>
        <w:topLinePunct w:val="0"/>
        <w:autoSpaceDE w:val="0"/>
        <w:autoSpaceDN w:val="0"/>
        <w:bidi w:val="0"/>
        <w:spacing w:line="360" w:lineRule="auto"/>
        <w:ind w:left="4365" w:leftChars="1850" w:hanging="480" w:hanging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B36A110">
      <w:pPr>
        <w:pageBreakBefore w:val="0"/>
        <w:kinsoku/>
        <w:wordWrap/>
        <w:topLinePunct w:val="0"/>
        <w:autoSpaceDE w:val="0"/>
        <w:autoSpaceDN w:val="0"/>
        <w:bidi w:val="0"/>
        <w:spacing w:line="360" w:lineRule="auto"/>
        <w:ind w:firstLine="6120" w:firstLineChars="2550"/>
        <w:textAlignment w:val="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4ED62CE">
      <w:pPr>
        <w:pageBreakBefore w:val="0"/>
        <w:kinsoku/>
        <w:wordWrap/>
        <w:topLinePunct w:val="0"/>
        <w:bidi w:val="0"/>
        <w:snapToGrid w:val="0"/>
        <w:spacing w:line="360" w:lineRule="auto"/>
        <w:textAlignment w:val="auto"/>
        <w:rPr>
          <w:rFonts w:hint="eastAsia" w:ascii="宋体" w:hAnsi="宋体" w:eastAsia="宋体" w:cs="宋体"/>
          <w:b/>
          <w:color w:val="auto"/>
          <w:kern w:val="0"/>
          <w:sz w:val="30"/>
          <w:szCs w:val="30"/>
          <w:highlight w:val="none"/>
        </w:rPr>
      </w:pPr>
    </w:p>
    <w:p w14:paraId="5FDB2A7F">
      <w:pPr>
        <w:pageBreakBefore w:val="0"/>
        <w:kinsoku/>
        <w:wordWrap/>
        <w:topLinePunct w:val="0"/>
        <w:bidi w:val="0"/>
        <w:snapToGrid w:val="0"/>
        <w:spacing w:line="360" w:lineRule="auto"/>
        <w:jc w:val="center"/>
        <w:textAlignment w:val="auto"/>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r>
        <w:rPr>
          <w:rFonts w:hint="eastAsia" w:ascii="宋体" w:hAnsi="宋体" w:eastAsia="宋体" w:cs="宋体"/>
          <w:b/>
          <w:color w:val="auto"/>
          <w:kern w:val="0"/>
          <w:sz w:val="30"/>
          <w:szCs w:val="30"/>
          <w:highlight w:val="none"/>
        </w:rPr>
        <w:t>供应商直接管理关系信息表</w:t>
      </w:r>
    </w:p>
    <w:p w14:paraId="74FCC0D5">
      <w:pPr>
        <w:pageBreakBefore w:val="0"/>
        <w:kinsoku/>
        <w:wordWrap/>
        <w:topLinePunct w:val="0"/>
        <w:bidi w:val="0"/>
        <w:snapToGrid w:val="0"/>
        <w:spacing w:line="360" w:lineRule="auto"/>
        <w:jc w:val="center"/>
        <w:textAlignment w:val="auto"/>
        <w:rPr>
          <w:rFonts w:hint="eastAsia" w:ascii="宋体" w:hAnsi="宋体" w:eastAsia="宋体" w:cs="宋体"/>
          <w:b/>
          <w:color w:val="auto"/>
          <w:sz w:val="24"/>
          <w:highlight w:val="none"/>
        </w:rPr>
      </w:pPr>
    </w:p>
    <w:tbl>
      <w:tblPr>
        <w:tblStyle w:val="2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7C17FC1">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2BB82E">
            <w:pPr>
              <w:pageBreakBefore w:val="0"/>
              <w:widowControl/>
              <w:kinsoku/>
              <w:wordWrap/>
              <w:topLinePunct w:val="0"/>
              <w:bidi w:val="0"/>
              <w:spacing w:line="360" w:lineRule="auto"/>
              <w:contextualSpacing/>
              <w:jc w:val="center"/>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468501">
            <w:pPr>
              <w:pageBreakBefore w:val="0"/>
              <w:widowControl/>
              <w:kinsoku/>
              <w:wordWrap/>
              <w:topLinePunct w:val="0"/>
              <w:bidi w:val="0"/>
              <w:spacing w:line="360" w:lineRule="auto"/>
              <w:contextualSpacing/>
              <w:jc w:val="center"/>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34D4F4">
            <w:pPr>
              <w:pageBreakBefore w:val="0"/>
              <w:widowControl/>
              <w:kinsoku/>
              <w:wordWrap/>
              <w:topLinePunct w:val="0"/>
              <w:bidi w:val="0"/>
              <w:spacing w:line="360" w:lineRule="auto"/>
              <w:contextualSpacing/>
              <w:jc w:val="center"/>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C5044C">
            <w:pPr>
              <w:pageBreakBefore w:val="0"/>
              <w:widowControl/>
              <w:kinsoku/>
              <w:wordWrap/>
              <w:topLinePunct w:val="0"/>
              <w:bidi w:val="0"/>
              <w:spacing w:line="360" w:lineRule="auto"/>
              <w:contextualSpacing/>
              <w:jc w:val="center"/>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0751A34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A36121">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D96CFA">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BD99BB">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4D7394">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r>
      <w:tr w14:paraId="770ECF7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E5C4ED">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D62FD8">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92A6D5">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D674B9">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r>
      <w:tr w14:paraId="4A71B3E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17AE9E">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7A6B62">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21AEAC">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2F6A65">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r>
      <w:tr w14:paraId="642FB1C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79474C">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BF28A8">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AEA92B">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93AD9C">
            <w:pPr>
              <w:pageBreakBefore w:val="0"/>
              <w:widowControl/>
              <w:kinsoku/>
              <w:wordWrap/>
              <w:topLinePunct w:val="0"/>
              <w:bidi w:val="0"/>
              <w:spacing w:line="360" w:lineRule="auto"/>
              <w:contextualSpacing/>
              <w:jc w:val="center"/>
              <w:textAlignment w:val="auto"/>
              <w:rPr>
                <w:rFonts w:hint="eastAsia" w:ascii="宋体" w:hAnsi="宋体" w:eastAsia="宋体" w:cs="宋体"/>
                <w:color w:val="auto"/>
                <w:kern w:val="0"/>
                <w:sz w:val="24"/>
                <w:highlight w:val="none"/>
              </w:rPr>
            </w:pPr>
          </w:p>
        </w:tc>
      </w:tr>
    </w:tbl>
    <w:p w14:paraId="7B755361">
      <w:pPr>
        <w:pageBreakBefore w:val="0"/>
        <w:kinsoku/>
        <w:wordWrap/>
        <w:topLinePunct w:val="0"/>
        <w:bidi w:val="0"/>
        <w:spacing w:line="360" w:lineRule="auto"/>
        <w:ind w:firstLine="480" w:firstLineChars="200"/>
        <w:contextualSpacing/>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31F023D7">
      <w:pPr>
        <w:pageBreakBefore w:val="0"/>
        <w:kinsoku/>
        <w:wordWrap/>
        <w:topLinePunct w:val="0"/>
        <w:bidi w:val="0"/>
        <w:spacing w:line="360" w:lineRule="auto"/>
        <w:ind w:firstLine="480" w:firstLineChars="200"/>
        <w:contextualSpacing/>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00F402AC">
      <w:pPr>
        <w:pageBreakBefore w:val="0"/>
        <w:kinsoku/>
        <w:wordWrap/>
        <w:topLinePunct w:val="0"/>
        <w:bidi w:val="0"/>
        <w:spacing w:line="360" w:lineRule="auto"/>
        <w:ind w:firstLine="480" w:firstLineChars="200"/>
        <w:contextualSpacing/>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00B15BB6">
      <w:pPr>
        <w:pageBreakBefore w:val="0"/>
        <w:kinsoku/>
        <w:wordWrap/>
        <w:topLinePunct w:val="0"/>
        <w:bidi w:val="0"/>
        <w:spacing w:line="360" w:lineRule="auto"/>
        <w:ind w:firstLine="480" w:firstLineChars="200"/>
        <w:contextualSpacing/>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75B7A35D">
      <w:pPr>
        <w:pageBreakBefore w:val="0"/>
        <w:kinsoku/>
        <w:wordWrap/>
        <w:topLinePunct w:val="0"/>
        <w:bidi w:val="0"/>
        <w:spacing w:line="360" w:lineRule="auto"/>
        <w:contextualSpacing/>
        <w:jc w:val="left"/>
        <w:textAlignment w:val="auto"/>
        <w:rPr>
          <w:rFonts w:hint="eastAsia" w:ascii="宋体" w:hAnsi="宋体" w:eastAsia="宋体" w:cs="宋体"/>
          <w:color w:val="auto"/>
          <w:sz w:val="24"/>
          <w:highlight w:val="none"/>
        </w:rPr>
      </w:pPr>
    </w:p>
    <w:p w14:paraId="1C10BE19">
      <w:pPr>
        <w:pageBreakBefore w:val="0"/>
        <w:kinsoku/>
        <w:wordWrap/>
        <w:topLinePunct w:val="0"/>
        <w:autoSpaceDE w:val="0"/>
        <w:autoSpaceDN w:val="0"/>
        <w:bidi w:val="0"/>
        <w:spacing w:line="360" w:lineRule="auto"/>
        <w:ind w:left="4365" w:leftChars="1850" w:hanging="480" w:hanging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0A95F7">
      <w:pPr>
        <w:pageBreakBefore w:val="0"/>
        <w:kinsoku/>
        <w:wordWrap/>
        <w:topLinePunct w:val="0"/>
        <w:autoSpaceDE w:val="0"/>
        <w:autoSpaceDN w:val="0"/>
        <w:bidi w:val="0"/>
        <w:spacing w:line="360" w:lineRule="auto"/>
        <w:ind w:firstLine="6120" w:firstLineChars="2550"/>
        <w:textAlignment w:val="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065EC5D">
      <w:pPr>
        <w:pStyle w:val="7"/>
        <w:rPr>
          <w:rFonts w:hint="eastAsia" w:ascii="宋体" w:hAnsi="宋体" w:eastAsia="宋体" w:cs="宋体"/>
          <w:color w:val="auto"/>
          <w:highlight w:val="none"/>
          <w:lang w:val="zh-CN"/>
        </w:rPr>
        <w:sectPr>
          <w:pgSz w:w="11911" w:h="16838"/>
          <w:pgMar w:top="1134" w:right="1134" w:bottom="1134" w:left="1134" w:header="720" w:footer="720" w:gutter="0"/>
          <w:pgBorders>
            <w:top w:val="none" w:sz="0" w:space="0"/>
            <w:left w:val="none" w:sz="0" w:space="0"/>
            <w:bottom w:val="none" w:sz="0" w:space="0"/>
            <w:right w:val="none" w:sz="0" w:space="0"/>
          </w:pgBorders>
          <w:cols w:space="720" w:num="1"/>
        </w:sectPr>
      </w:pPr>
    </w:p>
    <w:p w14:paraId="3F9B4ADB">
      <w:pPr>
        <w:pStyle w:val="7"/>
        <w:rPr>
          <w:rFonts w:hint="eastAsia" w:ascii="宋体" w:hAnsi="宋体" w:eastAsia="宋体" w:cs="宋体"/>
          <w:color w:val="auto"/>
          <w:highlight w:val="none"/>
          <w:lang w:val="zh-CN"/>
        </w:rPr>
      </w:pPr>
    </w:p>
    <w:p w14:paraId="7E2E21A2">
      <w:pPr>
        <w:spacing w:line="360" w:lineRule="auto"/>
        <w:rPr>
          <w:rFonts w:hint="eastAsia" w:ascii="宋体" w:hAnsi="宋体" w:eastAsia="宋体" w:cs="宋体"/>
          <w:color w:val="auto"/>
          <w:szCs w:val="21"/>
          <w:highlight w:val="none"/>
        </w:rPr>
      </w:pPr>
    </w:p>
    <w:p w14:paraId="04DB772E">
      <w:pPr>
        <w:jc w:val="center"/>
        <w:rPr>
          <w:rFonts w:hint="eastAsia" w:ascii="宋体" w:hAnsi="宋体" w:eastAsia="宋体" w:cs="宋体"/>
          <w:b/>
          <w:color w:val="auto"/>
          <w:sz w:val="32"/>
          <w:szCs w:val="32"/>
          <w:highlight w:val="none"/>
        </w:rPr>
      </w:pPr>
      <w:bookmarkStart w:id="49" w:name="_Toc71365926"/>
      <w:r>
        <w:rPr>
          <w:rFonts w:hint="eastAsia" w:ascii="宋体" w:hAnsi="宋体" w:eastAsia="宋体" w:cs="宋体"/>
          <w:b/>
          <w:color w:val="auto"/>
          <w:sz w:val="32"/>
          <w:szCs w:val="32"/>
          <w:highlight w:val="none"/>
        </w:rPr>
        <w:t>中小企业声明函（工程）</w:t>
      </w:r>
      <w:bookmarkEnd w:id="49"/>
    </w:p>
    <w:p w14:paraId="0B072DA5">
      <w:pPr>
        <w:pStyle w:val="13"/>
        <w:spacing w:line="500" w:lineRule="exact"/>
        <w:ind w:right="142" w:firstLine="705" w:firstLineChars="294"/>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采购活动，工程的施工单位全部为符合政策要求的中小企业。相关企业（含联合体中的中小企业、签订分包意向协议的中小企业）的具体情况如下：</w:t>
      </w:r>
    </w:p>
    <w:p w14:paraId="27129F0D">
      <w:pPr>
        <w:tabs>
          <w:tab w:val="left" w:pos="1384"/>
          <w:tab w:val="left" w:pos="4562"/>
          <w:tab w:val="left" w:pos="6803"/>
        </w:tabs>
        <w:spacing w:before="13" w:line="500" w:lineRule="exact"/>
        <w:ind w:right="142" w:firstLine="772" w:firstLineChars="322"/>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；承建企业为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6774E0CC">
      <w:pPr>
        <w:tabs>
          <w:tab w:val="left" w:pos="1065"/>
          <w:tab w:val="left" w:pos="4262"/>
          <w:tab w:val="left" w:pos="6477"/>
        </w:tabs>
        <w:spacing w:before="20" w:line="500" w:lineRule="exact"/>
        <w:ind w:right="84" w:firstLine="772" w:firstLineChars="32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；承建企业为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5467B0AD">
      <w:pPr>
        <w:pStyle w:val="13"/>
        <w:spacing w:before="34" w:line="500" w:lineRule="exact"/>
        <w:ind w:right="142" w:firstLine="705" w:firstLineChars="294"/>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9F1B4F3">
      <w:pPr>
        <w:pStyle w:val="13"/>
        <w:spacing w:before="34" w:line="500" w:lineRule="exact"/>
        <w:ind w:right="142" w:firstLine="705" w:firstLineChars="294"/>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37826618">
      <w:pPr>
        <w:pStyle w:val="13"/>
        <w:spacing w:before="25" w:line="500" w:lineRule="exact"/>
        <w:ind w:right="142" w:firstLine="705" w:firstLineChars="294"/>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30B064E">
      <w:pPr>
        <w:pStyle w:val="13"/>
        <w:spacing w:before="56" w:line="500" w:lineRule="exact"/>
        <w:ind w:right="650"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（盖</w:t>
      </w:r>
      <w:r>
        <w:rPr>
          <w:rFonts w:hint="eastAsia" w:ascii="宋体" w:hAnsi="宋体" w:eastAsia="宋体" w:cs="宋体"/>
          <w:color w:val="auto"/>
          <w:sz w:val="24"/>
          <w:highlight w:val="none"/>
          <w:lang w:val="en-US" w:eastAsia="zh-CN"/>
        </w:rPr>
        <w:t>电子公</w:t>
      </w:r>
      <w:r>
        <w:rPr>
          <w:rFonts w:hint="eastAsia" w:ascii="宋体" w:hAnsi="宋体" w:eastAsia="宋体" w:cs="宋体"/>
          <w:color w:val="auto"/>
          <w:sz w:val="24"/>
          <w:highlight w:val="none"/>
        </w:rPr>
        <w:t xml:space="preserve">章） </w:t>
      </w:r>
    </w:p>
    <w:p w14:paraId="27C09E18">
      <w:pPr>
        <w:pStyle w:val="13"/>
        <w:spacing w:before="56" w:line="500" w:lineRule="exact"/>
        <w:ind w:right="1808" w:firstLine="5625" w:firstLineChars="2344"/>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5F6E986F">
      <w:pPr>
        <w:spacing w:line="5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注：1.对于联合体中由中小企业承担的部分，或者分包给中小企业的部分，供应商应当在声明函“项目名称”部分标明联合体中中小企业承担的具体内容或者中小企业的具体分包内容。</w:t>
      </w:r>
    </w:p>
    <w:p w14:paraId="246ABB09">
      <w:pPr>
        <w:spacing w:line="5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000C874">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03A292D">
      <w:pPr>
        <w:spacing w:line="5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残疾人福利性单位声明函</w:t>
      </w:r>
    </w:p>
    <w:p w14:paraId="66B46D99">
      <w:pPr>
        <w:spacing w:line="360" w:lineRule="auto"/>
        <w:contextualSpacing/>
        <w:rPr>
          <w:rFonts w:hint="eastAsia" w:ascii="宋体" w:hAnsi="宋体" w:eastAsia="宋体" w:cs="宋体"/>
          <w:color w:val="auto"/>
          <w:sz w:val="32"/>
          <w:szCs w:val="32"/>
          <w:highlight w:val="none"/>
        </w:rPr>
      </w:pPr>
    </w:p>
    <w:p w14:paraId="1611DBF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7FF0B05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17F2EF5C">
      <w:pPr>
        <w:spacing w:line="360" w:lineRule="auto"/>
        <w:contextualSpacing/>
        <w:rPr>
          <w:rFonts w:hint="eastAsia" w:ascii="宋体" w:hAnsi="宋体" w:eastAsia="宋体" w:cs="宋体"/>
          <w:color w:val="auto"/>
          <w:sz w:val="24"/>
          <w:highlight w:val="none"/>
        </w:rPr>
      </w:pPr>
    </w:p>
    <w:p w14:paraId="380DB081">
      <w:pPr>
        <w:spacing w:line="360" w:lineRule="auto"/>
        <w:contextualSpacing/>
        <w:rPr>
          <w:rFonts w:hint="eastAsia" w:ascii="宋体" w:hAnsi="宋体" w:eastAsia="宋体" w:cs="宋体"/>
          <w:color w:val="auto"/>
          <w:sz w:val="24"/>
          <w:highlight w:val="none"/>
        </w:rPr>
      </w:pPr>
    </w:p>
    <w:p w14:paraId="12595FE8">
      <w:pPr>
        <w:spacing w:line="360" w:lineRule="auto"/>
        <w:contextualSpacing/>
        <w:rPr>
          <w:rFonts w:hint="eastAsia" w:ascii="宋体" w:hAnsi="宋体" w:eastAsia="宋体" w:cs="宋体"/>
          <w:color w:val="auto"/>
          <w:sz w:val="24"/>
          <w:highlight w:val="none"/>
        </w:rPr>
      </w:pPr>
    </w:p>
    <w:p w14:paraId="68114ED4">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（盖</w:t>
      </w:r>
      <w:r>
        <w:rPr>
          <w:rFonts w:hint="eastAsia" w:ascii="宋体" w:hAnsi="宋体" w:eastAsia="宋体" w:cs="宋体"/>
          <w:color w:val="auto"/>
          <w:sz w:val="24"/>
          <w:highlight w:val="none"/>
          <w:lang w:val="en-US" w:eastAsia="zh-CN"/>
        </w:rPr>
        <w:t>电子公</w:t>
      </w:r>
      <w:r>
        <w:rPr>
          <w:rFonts w:hint="eastAsia" w:ascii="宋体" w:hAnsi="宋体" w:eastAsia="宋体" w:cs="宋体"/>
          <w:color w:val="auto"/>
          <w:sz w:val="24"/>
          <w:highlight w:val="none"/>
        </w:rPr>
        <w:t>章）</w:t>
      </w:r>
    </w:p>
    <w:p w14:paraId="72E98EAF">
      <w:pPr>
        <w:spacing w:line="360" w:lineRule="auto"/>
        <w:ind w:firstLine="3600" w:firstLineChars="15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58EBC2BA">
      <w:pPr>
        <w:spacing w:line="360" w:lineRule="auto"/>
        <w:contextualSpacing/>
        <w:rPr>
          <w:rFonts w:hint="eastAsia" w:ascii="宋体" w:hAnsi="宋体" w:eastAsia="宋体" w:cs="宋体"/>
          <w:color w:val="auto"/>
          <w:sz w:val="24"/>
          <w:highlight w:val="none"/>
        </w:rPr>
      </w:pPr>
    </w:p>
    <w:p w14:paraId="4531DB8A">
      <w:pPr>
        <w:spacing w:line="360" w:lineRule="auto"/>
        <w:contextualSpacing/>
        <w:rPr>
          <w:rFonts w:hint="eastAsia" w:ascii="宋体" w:hAnsi="宋体" w:eastAsia="宋体" w:cs="宋体"/>
          <w:color w:val="auto"/>
          <w:sz w:val="24"/>
          <w:highlight w:val="none"/>
        </w:rPr>
      </w:pPr>
    </w:p>
    <w:p w14:paraId="084E8F63">
      <w:pPr>
        <w:spacing w:line="360" w:lineRule="auto"/>
        <w:contextualSpacing/>
        <w:rPr>
          <w:rFonts w:hint="eastAsia" w:ascii="宋体" w:hAnsi="宋体" w:eastAsia="宋体" w:cs="宋体"/>
          <w:color w:val="auto"/>
          <w:sz w:val="24"/>
          <w:highlight w:val="none"/>
        </w:rPr>
      </w:pPr>
    </w:p>
    <w:p w14:paraId="6C74A294">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533B95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DEE783D">
      <w:pPr>
        <w:jc w:val="both"/>
        <w:outlineLvl w:val="9"/>
        <w:rPr>
          <w:rFonts w:hint="eastAsia" w:ascii="宋体" w:hAnsi="宋体" w:eastAsia="宋体" w:cs="宋体"/>
          <w:b w:val="0"/>
          <w:bCs w:val="0"/>
          <w:color w:val="auto"/>
          <w:highlight w:val="none"/>
        </w:rPr>
      </w:pPr>
      <w:bookmarkStart w:id="50" w:name="_Toc20562"/>
      <w:bookmarkStart w:id="51" w:name="_Toc15951"/>
    </w:p>
    <w:p w14:paraId="51D48411">
      <w:pPr>
        <w:outlineLvl w:val="9"/>
        <w:rPr>
          <w:rFonts w:hint="eastAsia" w:ascii="宋体" w:hAnsi="宋体" w:eastAsia="宋体" w:cs="宋体"/>
          <w:b w:val="0"/>
          <w:bCs w:val="0"/>
          <w:color w:val="auto"/>
          <w:highlight w:val="none"/>
        </w:rPr>
      </w:pPr>
    </w:p>
    <w:p w14:paraId="0C9212D9">
      <w:pPr>
        <w:outlineLvl w:val="9"/>
        <w:rPr>
          <w:rFonts w:hint="eastAsia" w:ascii="宋体" w:hAnsi="宋体" w:eastAsia="宋体" w:cs="宋体"/>
          <w:b w:val="0"/>
          <w:bCs w:val="0"/>
          <w:color w:val="auto"/>
          <w:highlight w:val="none"/>
        </w:rPr>
      </w:pPr>
    </w:p>
    <w:p w14:paraId="4DE6BF67">
      <w:pPr>
        <w:outlineLvl w:val="9"/>
        <w:rPr>
          <w:rFonts w:hint="eastAsia" w:ascii="宋体" w:hAnsi="宋体" w:eastAsia="宋体" w:cs="宋体"/>
          <w:b w:val="0"/>
          <w:bCs w:val="0"/>
          <w:color w:val="auto"/>
          <w:highlight w:val="none"/>
        </w:rPr>
      </w:pPr>
    </w:p>
    <w:p w14:paraId="2380114C">
      <w:pPr>
        <w:outlineLvl w:val="9"/>
        <w:rPr>
          <w:rFonts w:hint="eastAsia" w:ascii="宋体" w:hAnsi="宋体" w:eastAsia="宋体" w:cs="宋体"/>
          <w:b w:val="0"/>
          <w:bCs w:val="0"/>
          <w:color w:val="auto"/>
          <w:highlight w:val="none"/>
        </w:rPr>
      </w:pPr>
    </w:p>
    <w:p w14:paraId="166A63F7">
      <w:pPr>
        <w:outlineLvl w:val="9"/>
        <w:rPr>
          <w:rFonts w:hint="eastAsia" w:ascii="宋体" w:hAnsi="宋体" w:eastAsia="宋体" w:cs="宋体"/>
          <w:b w:val="0"/>
          <w:bCs w:val="0"/>
          <w:color w:val="auto"/>
          <w:highlight w:val="none"/>
        </w:rPr>
      </w:pPr>
    </w:p>
    <w:p w14:paraId="2BAA6559">
      <w:pPr>
        <w:pageBreakBefore w:val="0"/>
        <w:kinsoku/>
        <w:wordWrap/>
        <w:overflowPunct/>
        <w:topLinePunct w:val="0"/>
        <w:bidi w:val="0"/>
        <w:adjustRightInd/>
        <w:spacing w:line="360" w:lineRule="auto"/>
        <w:textAlignment w:val="auto"/>
        <w:outlineLvl w:val="9"/>
        <w:rPr>
          <w:rFonts w:hint="eastAsia" w:ascii="宋体" w:hAnsi="宋体" w:eastAsia="宋体" w:cs="宋体"/>
          <w:color w:val="auto"/>
          <w:sz w:val="24"/>
          <w:highlight w:val="none"/>
          <w:lang w:val="zh-CN"/>
        </w:rPr>
        <w:sectPr>
          <w:pgSz w:w="11911" w:h="16838"/>
          <w:pgMar w:top="1134" w:right="1134" w:bottom="1134" w:left="1134" w:header="720" w:footer="720" w:gutter="0"/>
          <w:pgBorders>
            <w:top w:val="none" w:sz="0" w:space="0"/>
            <w:left w:val="none" w:sz="0" w:space="0"/>
            <w:bottom w:val="none" w:sz="0" w:space="0"/>
            <w:right w:val="none" w:sz="0" w:space="0"/>
          </w:pgBorders>
          <w:cols w:space="720" w:num="1"/>
        </w:sectPr>
      </w:pPr>
    </w:p>
    <w:bookmarkEnd w:id="50"/>
    <w:bookmarkEnd w:id="51"/>
    <w:p w14:paraId="5DB75745">
      <w:pPr>
        <w:pageBreakBefore w:val="0"/>
        <w:kinsoku/>
        <w:wordWrap/>
        <w:overflowPunct/>
        <w:topLinePunct w:val="0"/>
        <w:autoSpaceDE w:val="0"/>
        <w:autoSpaceDN w:val="0"/>
        <w:bidi w:val="0"/>
        <w:adjustRightInd/>
        <w:spacing w:line="360" w:lineRule="auto"/>
        <w:jc w:val="left"/>
        <w:textAlignment w:val="auto"/>
        <w:outlineLvl w:val="9"/>
        <w:rPr>
          <w:rFonts w:hint="eastAsia" w:ascii="宋体" w:hAnsi="宋体" w:eastAsia="宋体" w:cs="宋体"/>
          <w:b/>
          <w:bCs/>
          <w:color w:val="auto"/>
          <w:sz w:val="24"/>
          <w:highlight w:val="none"/>
        </w:rPr>
      </w:pPr>
    </w:p>
    <w:p w14:paraId="22C28B07">
      <w:pPr>
        <w:pStyle w:val="3"/>
        <w:pageBreakBefore w:val="0"/>
        <w:kinsoku/>
        <w:wordWrap/>
        <w:overflowPunct/>
        <w:topLinePunct w:val="0"/>
        <w:bidi w:val="0"/>
        <w:adjustRightInd/>
        <w:spacing w:line="360" w:lineRule="auto"/>
        <w:jc w:val="center"/>
        <w:textAlignment w:val="auto"/>
        <w:rPr>
          <w:rFonts w:hint="eastAsia" w:ascii="宋体" w:hAnsi="宋体" w:eastAsia="宋体" w:cs="宋体"/>
          <w:b/>
          <w:bCs/>
          <w:color w:val="auto"/>
          <w:highlight w:val="none"/>
        </w:rPr>
      </w:pPr>
      <w:bookmarkStart w:id="52" w:name="_Toc31035"/>
      <w:bookmarkStart w:id="53" w:name="_Toc12611"/>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二</w:t>
      </w:r>
      <w:r>
        <w:rPr>
          <w:rFonts w:hint="eastAsia" w:ascii="宋体" w:hAnsi="宋体" w:eastAsia="宋体" w:cs="宋体"/>
          <w:b/>
          <w:bCs/>
          <w:color w:val="auto"/>
          <w:highlight w:val="none"/>
        </w:rPr>
        <w:t xml:space="preserve">节 </w:t>
      </w:r>
      <w:bookmarkEnd w:id="52"/>
      <w:bookmarkEnd w:id="53"/>
      <w:r>
        <w:rPr>
          <w:rFonts w:hint="eastAsia" w:ascii="宋体" w:hAnsi="宋体" w:eastAsia="宋体" w:cs="宋体"/>
          <w:b/>
          <w:bCs/>
          <w:color w:val="auto"/>
          <w:highlight w:val="none"/>
        </w:rPr>
        <w:t>报价文件格式</w:t>
      </w:r>
    </w:p>
    <w:p w14:paraId="69C0F532">
      <w:pPr>
        <w:pStyle w:val="21"/>
        <w:pageBreakBefore w:val="0"/>
        <w:kinsoku/>
        <w:wordWrap/>
        <w:overflowPunct/>
        <w:topLinePunct w:val="0"/>
        <w:bidi w:val="0"/>
        <w:adjustRightInd/>
        <w:spacing w:line="360" w:lineRule="auto"/>
        <w:textAlignment w:val="auto"/>
        <w:rPr>
          <w:rFonts w:hint="eastAsia" w:ascii="宋体" w:hAnsi="宋体" w:eastAsia="宋体" w:cs="宋体"/>
          <w:color w:val="auto"/>
          <w:highlight w:val="none"/>
          <w:lang w:val="zh-CN"/>
        </w:rPr>
      </w:pPr>
      <w:r>
        <w:rPr>
          <w:rFonts w:hint="eastAsia" w:ascii="宋体" w:hAnsi="宋体" w:eastAsia="宋体" w:cs="宋体"/>
          <w:color w:val="auto"/>
          <w:sz w:val="24"/>
          <w:highlight w:val="none"/>
        </w:rPr>
        <w:t xml:space="preserve">  </w:t>
      </w:r>
      <w:r>
        <w:rPr>
          <w:rFonts w:hint="eastAsia" w:ascii="宋体" w:hAnsi="宋体" w:eastAsia="宋体" w:cs="宋体"/>
          <w:b/>
          <w:bCs/>
          <w:color w:val="auto"/>
          <w:sz w:val="28"/>
          <w:szCs w:val="28"/>
          <w:highlight w:val="none"/>
        </w:rPr>
        <w:t>报价文件封面的格式：</w:t>
      </w:r>
    </w:p>
    <w:p w14:paraId="12A469DE">
      <w:pPr>
        <w:pageBreakBefore w:val="0"/>
        <w:kinsoku/>
        <w:wordWrap/>
        <w:overflowPunct/>
        <w:topLinePunct w:val="0"/>
        <w:bidi w:val="0"/>
        <w:adjustRightInd/>
        <w:snapToGrid w:val="0"/>
        <w:spacing w:before="120" w:beforeLines="50" w:after="5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BD26419">
      <w:pPr>
        <w:pageBreakBefore w:val="0"/>
        <w:kinsoku/>
        <w:wordWrap/>
        <w:overflowPunct/>
        <w:topLinePunct w:val="0"/>
        <w:bidi w:val="0"/>
        <w:adjustRightInd/>
        <w:snapToGrid w:val="0"/>
        <w:spacing w:before="120" w:beforeLines="50" w:after="50" w:line="360" w:lineRule="auto"/>
        <w:ind w:firstLine="6720" w:firstLineChars="3200"/>
        <w:textAlignment w:val="auto"/>
        <w:rPr>
          <w:rFonts w:hint="eastAsia" w:ascii="宋体" w:hAnsi="宋体" w:eastAsia="宋体" w:cs="宋体"/>
          <w:bCs/>
          <w:color w:val="auto"/>
          <w:sz w:val="32"/>
          <w:szCs w:val="20"/>
          <w:highlight w:val="none"/>
        </w:rPr>
      </w:pPr>
      <w:r>
        <w:rPr>
          <w:rFonts w:hint="eastAsia" w:ascii="宋体" w:hAnsi="宋体" w:eastAsia="宋体" w:cs="宋体"/>
          <w:bCs/>
          <w:color w:val="auto"/>
          <w:highlight w:val="none"/>
        </w:rPr>
        <w:t>全流程电子文件</w:t>
      </w:r>
    </w:p>
    <w:p w14:paraId="68F64034">
      <w:pPr>
        <w:pageBreakBefore w:val="0"/>
        <w:kinsoku/>
        <w:wordWrap/>
        <w:overflowPunct/>
        <w:topLinePunct w:val="0"/>
        <w:bidi w:val="0"/>
        <w:adjustRightInd/>
        <w:snapToGrid w:val="0"/>
        <w:spacing w:before="120" w:beforeLines="50" w:after="50" w:line="360" w:lineRule="auto"/>
        <w:textAlignment w:val="auto"/>
        <w:rPr>
          <w:rFonts w:hint="eastAsia" w:ascii="宋体" w:hAnsi="宋体" w:eastAsia="宋体" w:cs="宋体"/>
          <w:color w:val="auto"/>
          <w:sz w:val="24"/>
          <w:szCs w:val="20"/>
          <w:highlight w:val="none"/>
        </w:rPr>
      </w:pPr>
    </w:p>
    <w:p w14:paraId="7D937636">
      <w:pPr>
        <w:pageBreakBefore w:val="0"/>
        <w:kinsoku/>
        <w:wordWrap/>
        <w:overflowPunct/>
        <w:topLinePunct w:val="0"/>
        <w:bidi w:val="0"/>
        <w:adjustRightInd/>
        <w:snapToGrid w:val="0"/>
        <w:spacing w:before="120" w:beforeLines="50" w:after="50" w:line="360" w:lineRule="auto"/>
        <w:textAlignment w:val="auto"/>
        <w:rPr>
          <w:rFonts w:hint="eastAsia" w:ascii="宋体" w:hAnsi="宋体" w:eastAsia="宋体" w:cs="宋体"/>
          <w:color w:val="auto"/>
          <w:sz w:val="24"/>
          <w:szCs w:val="20"/>
          <w:highlight w:val="none"/>
        </w:rPr>
      </w:pPr>
    </w:p>
    <w:p w14:paraId="146EB638">
      <w:pPr>
        <w:pageBreakBefore w:val="0"/>
        <w:kinsoku/>
        <w:wordWrap/>
        <w:overflowPunct/>
        <w:topLinePunct w:val="0"/>
        <w:bidi w:val="0"/>
        <w:adjustRightInd/>
        <w:snapToGrid w:val="0"/>
        <w:spacing w:before="120" w:beforeLines="50" w:after="50" w:line="360" w:lineRule="auto"/>
        <w:textAlignment w:val="auto"/>
        <w:rPr>
          <w:rFonts w:hint="eastAsia" w:ascii="宋体" w:hAnsi="宋体" w:eastAsia="宋体" w:cs="宋体"/>
          <w:color w:val="auto"/>
          <w:sz w:val="24"/>
          <w:szCs w:val="20"/>
          <w:highlight w:val="none"/>
        </w:rPr>
      </w:pPr>
    </w:p>
    <w:p w14:paraId="3539C71E">
      <w:pPr>
        <w:pageBreakBefore w:val="0"/>
        <w:kinsoku/>
        <w:wordWrap/>
        <w:overflowPunct/>
        <w:topLinePunct w:val="0"/>
        <w:bidi w:val="0"/>
        <w:adjustRightInd/>
        <w:snapToGrid w:val="0"/>
        <w:spacing w:before="120" w:beforeLines="50" w:after="50" w:line="360" w:lineRule="auto"/>
        <w:jc w:val="center"/>
        <w:textAlignment w:val="auto"/>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  价  文  件</w:t>
      </w:r>
    </w:p>
    <w:p w14:paraId="72EC1A6B">
      <w:pPr>
        <w:pageBreakBefore w:val="0"/>
        <w:kinsoku/>
        <w:wordWrap/>
        <w:overflowPunct/>
        <w:topLinePunct w:val="0"/>
        <w:bidi w:val="0"/>
        <w:adjustRightInd/>
        <w:snapToGrid w:val="0"/>
        <w:spacing w:before="120" w:beforeLines="50" w:after="50" w:line="360" w:lineRule="auto"/>
        <w:textAlignment w:val="auto"/>
        <w:rPr>
          <w:rFonts w:hint="eastAsia" w:ascii="宋体" w:hAnsi="宋体" w:eastAsia="宋体" w:cs="宋体"/>
          <w:bCs/>
          <w:color w:val="auto"/>
          <w:sz w:val="24"/>
          <w:szCs w:val="20"/>
          <w:highlight w:val="none"/>
        </w:rPr>
      </w:pPr>
    </w:p>
    <w:p w14:paraId="5EFB8227">
      <w:pPr>
        <w:pageBreakBefore w:val="0"/>
        <w:kinsoku/>
        <w:wordWrap/>
        <w:overflowPunct/>
        <w:topLinePunct w:val="0"/>
        <w:bidi w:val="0"/>
        <w:adjustRightInd/>
        <w:snapToGrid w:val="0"/>
        <w:spacing w:before="120" w:beforeLines="50" w:after="50" w:line="360" w:lineRule="auto"/>
        <w:textAlignment w:val="auto"/>
        <w:rPr>
          <w:rFonts w:hint="eastAsia" w:ascii="宋体" w:hAnsi="宋体" w:eastAsia="宋体" w:cs="宋体"/>
          <w:bCs/>
          <w:color w:val="auto"/>
          <w:sz w:val="24"/>
          <w:szCs w:val="20"/>
          <w:highlight w:val="none"/>
        </w:rPr>
      </w:pPr>
    </w:p>
    <w:p w14:paraId="5CD5AF0F">
      <w:pPr>
        <w:pageBreakBefore w:val="0"/>
        <w:kinsoku/>
        <w:wordWrap/>
        <w:overflowPunct/>
        <w:topLinePunct w:val="0"/>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101479B7">
      <w:pPr>
        <w:pageBreakBefore w:val="0"/>
        <w:kinsoku/>
        <w:wordWrap/>
        <w:overflowPunct/>
        <w:topLinePunct w:val="0"/>
        <w:bidi w:val="0"/>
        <w:adjustRightInd/>
        <w:snapToGrid w:val="0"/>
        <w:spacing w:before="120" w:beforeLines="50" w:after="50" w:line="360" w:lineRule="auto"/>
        <w:ind w:firstLine="720" w:firstLineChars="225"/>
        <w:textAlignment w:val="auto"/>
        <w:rPr>
          <w:rFonts w:hint="eastAsia" w:ascii="宋体" w:hAnsi="宋体" w:eastAsia="宋体" w:cs="宋体"/>
          <w:bCs/>
          <w:color w:val="auto"/>
          <w:sz w:val="32"/>
          <w:szCs w:val="32"/>
          <w:highlight w:val="none"/>
        </w:rPr>
      </w:pPr>
    </w:p>
    <w:p w14:paraId="0F5D7576">
      <w:pPr>
        <w:pageBreakBefore w:val="0"/>
        <w:kinsoku/>
        <w:wordWrap/>
        <w:overflowPunct/>
        <w:topLinePunct w:val="0"/>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FAF8934">
      <w:pPr>
        <w:pageBreakBefore w:val="0"/>
        <w:kinsoku/>
        <w:wordWrap/>
        <w:overflowPunct/>
        <w:topLinePunct w:val="0"/>
        <w:bidi w:val="0"/>
        <w:adjustRightInd/>
        <w:snapToGrid w:val="0"/>
        <w:spacing w:before="120" w:beforeLines="50" w:after="50" w:line="360" w:lineRule="auto"/>
        <w:ind w:firstLine="720" w:firstLineChars="225"/>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E137027">
      <w:pPr>
        <w:pageBreakBefore w:val="0"/>
        <w:kinsoku/>
        <w:wordWrap/>
        <w:overflowPunct/>
        <w:topLinePunct w:val="0"/>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566D1F3">
      <w:pPr>
        <w:pageBreakBefore w:val="0"/>
        <w:kinsoku/>
        <w:wordWrap/>
        <w:overflowPunct/>
        <w:topLinePunct w:val="0"/>
        <w:bidi w:val="0"/>
        <w:adjustRightInd/>
        <w:snapToGrid w:val="0"/>
        <w:spacing w:before="120" w:beforeLines="50" w:after="50" w:line="360" w:lineRule="auto"/>
        <w:ind w:firstLine="720" w:firstLineChars="225"/>
        <w:textAlignment w:val="auto"/>
        <w:rPr>
          <w:rFonts w:hint="eastAsia" w:ascii="宋体" w:hAnsi="宋体" w:eastAsia="宋体" w:cs="宋体"/>
          <w:bCs/>
          <w:color w:val="auto"/>
          <w:sz w:val="32"/>
          <w:szCs w:val="32"/>
          <w:highlight w:val="none"/>
        </w:rPr>
      </w:pPr>
    </w:p>
    <w:p w14:paraId="603671A0">
      <w:pPr>
        <w:pStyle w:val="7"/>
        <w:pageBreakBefore w:val="0"/>
        <w:kinsoku/>
        <w:wordWrap/>
        <w:overflowPunct/>
        <w:topLinePunct w:val="0"/>
        <w:bidi w:val="0"/>
        <w:adjustRightInd/>
        <w:snapToGrid w:val="0"/>
        <w:spacing w:before="50" w:after="50" w:line="360" w:lineRule="auto"/>
        <w:ind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AB4316E">
      <w:pPr>
        <w:pStyle w:val="7"/>
        <w:pageBreakBefore w:val="0"/>
        <w:kinsoku/>
        <w:wordWrap/>
        <w:overflowPunct/>
        <w:topLinePunct w:val="0"/>
        <w:bidi w:val="0"/>
        <w:adjustRightInd/>
        <w:snapToGrid w:val="0"/>
        <w:spacing w:before="50" w:after="50" w:line="360" w:lineRule="auto"/>
        <w:ind w:left="0" w:leftChars="0" w:firstLine="0" w:firstLineChars="0"/>
        <w:textAlignment w:val="auto"/>
        <w:rPr>
          <w:rFonts w:hint="eastAsia" w:ascii="宋体" w:hAnsi="宋体" w:eastAsia="宋体" w:cs="宋体"/>
          <w:bCs/>
          <w:color w:val="auto"/>
          <w:sz w:val="32"/>
          <w:szCs w:val="32"/>
          <w:highlight w:val="none"/>
        </w:rPr>
      </w:pPr>
    </w:p>
    <w:p w14:paraId="2F11F795">
      <w:pPr>
        <w:pageBreakBefore w:val="0"/>
        <w:kinsoku/>
        <w:wordWrap/>
        <w:overflowPunct/>
        <w:topLinePunct w:val="0"/>
        <w:bidi w:val="0"/>
        <w:adjustRightInd/>
        <w:snapToGrid w:val="0"/>
        <w:spacing w:before="120" w:beforeLines="50" w:after="50" w:line="360" w:lineRule="auto"/>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65CEFC9">
      <w:pPr>
        <w:pageBreakBefore w:val="0"/>
        <w:kinsoku/>
        <w:wordWrap/>
        <w:overflowPunct/>
        <w:topLinePunct w:val="0"/>
        <w:bidi w:val="0"/>
        <w:adjustRightInd/>
        <w:snapToGrid w:val="0"/>
        <w:spacing w:before="120" w:beforeLines="50" w:after="50"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28"/>
          <w:szCs w:val="28"/>
          <w:highlight w:val="none"/>
        </w:rPr>
        <w:t>报价文件目录</w:t>
      </w:r>
    </w:p>
    <w:p w14:paraId="3FDDE173">
      <w:pPr>
        <w:pageBreakBefore w:val="0"/>
        <w:kinsoku/>
        <w:wordWrap/>
        <w:overflowPunct/>
        <w:topLinePunct w:val="0"/>
        <w:bidi w:val="0"/>
        <w:adjustRightInd/>
        <w:snapToGrid w:val="0"/>
        <w:spacing w:before="50" w:after="120" w:afterLines="50" w:line="360" w:lineRule="auto"/>
        <w:jc w:val="left"/>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根据竞争性磋商文件规定及供应商提供的材料自行编写目录</w:t>
      </w:r>
      <w:r>
        <w:rPr>
          <w:rFonts w:hint="eastAsia" w:ascii="宋体" w:hAnsi="宋体" w:eastAsia="宋体" w:cs="宋体"/>
          <w:color w:val="auto"/>
          <w:kern w:val="0"/>
          <w:sz w:val="28"/>
          <w:szCs w:val="28"/>
          <w:highlight w:val="none"/>
        </w:rPr>
        <w:t>（部分格式后附）</w:t>
      </w:r>
      <w:r>
        <w:rPr>
          <w:rFonts w:hint="eastAsia" w:ascii="宋体" w:hAnsi="宋体" w:eastAsia="宋体" w:cs="宋体"/>
          <w:color w:val="auto"/>
          <w:sz w:val="28"/>
          <w:szCs w:val="28"/>
          <w:highlight w:val="none"/>
        </w:rPr>
        <w:t>。</w:t>
      </w:r>
    </w:p>
    <w:p w14:paraId="042D94BC">
      <w:pPr>
        <w:pageBreakBefore w:val="0"/>
        <w:kinsoku/>
        <w:wordWrap/>
        <w:overflowPunct/>
        <w:topLinePunct w:val="0"/>
        <w:bidi w:val="0"/>
        <w:adjustRightInd/>
        <w:spacing w:line="360" w:lineRule="auto"/>
        <w:textAlignment w:val="auto"/>
        <w:rPr>
          <w:rFonts w:hint="eastAsia" w:ascii="宋体" w:hAnsi="宋体" w:eastAsia="宋体" w:cs="宋体"/>
          <w:color w:val="auto"/>
          <w:sz w:val="24"/>
          <w:highlight w:val="none"/>
        </w:rPr>
      </w:pPr>
    </w:p>
    <w:p w14:paraId="3D34D7FB">
      <w:pPr>
        <w:pageBreakBefore w:val="0"/>
        <w:kinsoku/>
        <w:wordWrap/>
        <w:overflowPunct/>
        <w:topLinePunct w:val="0"/>
        <w:bidi w:val="0"/>
        <w:adjustRightInd/>
        <w:snapToGrid w:val="0"/>
        <w:spacing w:before="120" w:beforeLines="50" w:after="50" w:line="360" w:lineRule="auto"/>
        <w:ind w:left="142" w:firstLine="640" w:firstLineChars="200"/>
        <w:jc w:val="left"/>
        <w:textAlignment w:val="auto"/>
        <w:rPr>
          <w:rFonts w:hint="eastAsia" w:ascii="宋体" w:hAnsi="宋体" w:eastAsia="宋体" w:cs="宋体"/>
          <w:color w:val="auto"/>
          <w:sz w:val="32"/>
          <w:szCs w:val="32"/>
          <w:highlight w:val="none"/>
        </w:rPr>
      </w:pPr>
    </w:p>
    <w:p w14:paraId="108FCAB5">
      <w:pPr>
        <w:keepNext w:val="0"/>
        <w:keepLines w:val="0"/>
        <w:pageBreakBefore w:val="0"/>
        <w:widowControl w:val="0"/>
        <w:kinsoku/>
        <w:wordWrap/>
        <w:overflowPunct/>
        <w:topLinePunct w:val="0"/>
        <w:bidi w:val="0"/>
        <w:adjustRightInd/>
        <w:snapToGrid w:val="0"/>
        <w:spacing w:before="120" w:beforeLines="50" w:after="50" w:line="46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8"/>
          <w:szCs w:val="28"/>
          <w:highlight w:val="none"/>
          <w:lang w:val="en-US" w:eastAsia="zh-CN"/>
        </w:rPr>
        <w:t>响应函</w:t>
      </w:r>
      <w:r>
        <w:rPr>
          <w:rFonts w:hint="eastAsia" w:ascii="宋体" w:hAnsi="宋体" w:eastAsia="宋体" w:cs="宋体"/>
          <w:b/>
          <w:color w:val="auto"/>
          <w:sz w:val="28"/>
          <w:szCs w:val="28"/>
          <w:highlight w:val="none"/>
          <w:lang w:val="zh-CN"/>
        </w:rPr>
        <w:t>的格式：</w:t>
      </w:r>
    </w:p>
    <w:p w14:paraId="1211B197">
      <w:pPr>
        <w:keepNext w:val="0"/>
        <w:keepLines w:val="0"/>
        <w:pageBreakBefore w:val="0"/>
        <w:widowControl w:val="0"/>
        <w:kinsoku/>
        <w:wordWrap/>
        <w:overflowPunct/>
        <w:topLinePunct w:val="0"/>
        <w:bidi w:val="0"/>
        <w:adjustRightInd/>
        <w:snapToGrid/>
        <w:spacing w:line="460" w:lineRule="exact"/>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b/>
          <w:bCs/>
          <w:color w:val="auto"/>
          <w:kern w:val="0"/>
          <w:sz w:val="28"/>
          <w:szCs w:val="28"/>
          <w:highlight w:val="none"/>
          <w:lang w:val="en-US" w:eastAsia="zh-CN"/>
        </w:rPr>
        <w:t>响应函</w:t>
      </w:r>
    </w:p>
    <w:p w14:paraId="2142EE9A">
      <w:pPr>
        <w:pStyle w:val="105"/>
        <w:keepNext w:val="0"/>
        <w:keepLines w:val="0"/>
        <w:pageBreakBefore w:val="0"/>
        <w:widowControl w:val="0"/>
        <w:kinsoku/>
        <w:wordWrap/>
        <w:overflowPunct/>
        <w:topLinePunct/>
        <w:bidi w:val="0"/>
        <w:adjustRightInd/>
        <w:snapToGrid/>
        <w:spacing w:line="46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（采购人名称）：</w:t>
      </w:r>
    </w:p>
    <w:p w14:paraId="250DEB1B">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1、根据你方项目编号为</w:t>
      </w:r>
      <w:r>
        <w:rPr>
          <w:rFonts w:hint="eastAsia" w:ascii="宋体" w:hAnsi="宋体" w:eastAsia="宋体" w:cs="宋体"/>
          <w:color w:val="auto"/>
          <w:sz w:val="21"/>
          <w:szCs w:val="21"/>
          <w:highlight w:val="none"/>
          <w:u w:val="single"/>
        </w:rPr>
        <w:t xml:space="preserve"> （项目编号）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工程竞争性磋商文件（含补遗书），参照《政府采购竞争性磋商采购方式管理暂行办法》等有关规定，经踏勘项目现场和研究上述竞争性磋商文件的磋商须知、合同条款、图纸、工程建设标准和工程量清单及其他有关文件后，我方愿以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元）的磋商报价并按上述图纸、合同条款、工程建设标准和工程量清单（如有时）的条件要求承包上述工程的施工、竣工，并承担任何质量缺陷保修责任。</w:t>
      </w:r>
    </w:p>
    <w:p w14:paraId="2AFC0650">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2、我方承诺在竞争性磋商文件规定的竞标有效期内不撤销响应文件。</w:t>
      </w:r>
    </w:p>
    <w:p w14:paraId="0D09E2CE">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质量要求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，合同履行期限（计划工期）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w:t>
      </w:r>
    </w:p>
    <w:p w14:paraId="3202A316">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4、我方已详细审核全部竞争性磋商文件，包括修改文件（如有时）及有关附件。</w:t>
      </w:r>
    </w:p>
    <w:p w14:paraId="5AB6EF73">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5、我方承认</w:t>
      </w:r>
      <w:r>
        <w:rPr>
          <w:rFonts w:hint="eastAsia" w:ascii="宋体" w:hAnsi="宋体" w:eastAsia="宋体" w:cs="宋体"/>
          <w:color w:val="auto"/>
          <w:sz w:val="21"/>
          <w:szCs w:val="21"/>
          <w:highlight w:val="none"/>
          <w:lang w:eastAsia="zh-CN"/>
        </w:rPr>
        <w:t>响应函</w:t>
      </w:r>
      <w:r>
        <w:rPr>
          <w:rFonts w:hint="eastAsia" w:ascii="宋体" w:hAnsi="宋体" w:eastAsia="宋体" w:cs="宋体"/>
          <w:color w:val="auto"/>
          <w:sz w:val="21"/>
          <w:szCs w:val="21"/>
          <w:highlight w:val="none"/>
        </w:rPr>
        <w:t>附录是我方</w:t>
      </w:r>
      <w:r>
        <w:rPr>
          <w:rFonts w:hint="eastAsia" w:ascii="宋体" w:hAnsi="宋体" w:eastAsia="宋体" w:cs="宋体"/>
          <w:color w:val="auto"/>
          <w:sz w:val="21"/>
          <w:szCs w:val="21"/>
          <w:highlight w:val="none"/>
          <w:lang w:eastAsia="zh-CN"/>
        </w:rPr>
        <w:t>响应函</w:t>
      </w:r>
      <w:r>
        <w:rPr>
          <w:rFonts w:hint="eastAsia" w:ascii="宋体" w:hAnsi="宋体" w:eastAsia="宋体" w:cs="宋体"/>
          <w:color w:val="auto"/>
          <w:sz w:val="21"/>
          <w:szCs w:val="21"/>
          <w:highlight w:val="none"/>
        </w:rPr>
        <w:t>的组成部分。</w:t>
      </w:r>
    </w:p>
    <w:p w14:paraId="35FA031D">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6、如果我方成交，我方将按照文件规定提交履约保证金作为履约担保。</w:t>
      </w:r>
    </w:p>
    <w:p w14:paraId="5EEB32FF">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7、我方同意所提交的响应文件在竞争性磋商文件的“磋商须知”中第 16.2 条规定的响应文件有效期内有效，在此期间内如果成交，我方将受此约束。</w:t>
      </w:r>
    </w:p>
    <w:p w14:paraId="1E30A68B">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8、除非另外达成协议并生效，你方的成交通知书和本响应文件将成为约束双方的合同文件的组成部分。</w:t>
      </w:r>
    </w:p>
    <w:p w14:paraId="429DEF17">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9、其他补充说明：</w:t>
      </w:r>
      <w:r>
        <w:rPr>
          <w:rFonts w:hint="eastAsia" w:ascii="宋体" w:hAnsi="宋体" w:eastAsia="宋体" w:cs="宋体"/>
          <w:color w:val="auto"/>
          <w:sz w:val="21"/>
          <w:szCs w:val="21"/>
          <w:highlight w:val="none"/>
          <w:u w:val="single"/>
        </w:rPr>
        <w:t xml:space="preserve">                                </w:t>
      </w:r>
    </w:p>
    <w:p w14:paraId="0E5798DD">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10、与本磋商有关的一切正式往来信函请寄：</w:t>
      </w:r>
    </w:p>
    <w:p w14:paraId="3385A867">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9537972">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324692CB">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w:t>
      </w:r>
    </w:p>
    <w:p w14:paraId="68A3896C">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68072857">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7E1CE2D3">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440C5AFA">
      <w:pPr>
        <w:pStyle w:val="105"/>
        <w:keepNext w:val="0"/>
        <w:keepLines w:val="0"/>
        <w:pageBreakBefore w:val="0"/>
        <w:widowControl w:val="0"/>
        <w:kinsoku/>
        <w:wordWrap/>
        <w:overflowPunct/>
        <w:bidi w:val="0"/>
        <w:adjustRightInd/>
        <w:snapToGrid/>
        <w:spacing w:line="460" w:lineRule="exact"/>
        <w:ind w:firstLine="48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p>
    <w:p w14:paraId="30CD3110">
      <w:pPr>
        <w:keepNext w:val="0"/>
        <w:keepLines w:val="0"/>
        <w:pageBreakBefore w:val="0"/>
        <w:widowControl w:val="0"/>
        <w:tabs>
          <w:tab w:val="left" w:pos="939"/>
        </w:tabs>
        <w:kinsoku/>
        <w:wordWrap/>
        <w:overflowPunct/>
        <w:bidi w:val="0"/>
        <w:adjustRightInd/>
        <w:snapToGrid/>
        <w:spacing w:line="4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38D173B3">
      <w:pPr>
        <w:keepNext w:val="0"/>
        <w:keepLines w:val="0"/>
        <w:pageBreakBefore w:val="0"/>
        <w:widowControl w:val="0"/>
        <w:kinsoku/>
        <w:wordWrap/>
        <w:overflowPunct/>
        <w:bidi w:val="0"/>
        <w:adjustRightInd/>
        <w:snapToGrid/>
        <w:spacing w:line="460" w:lineRule="exact"/>
        <w:contextualSpacing/>
        <w:jc w:val="left"/>
        <w:textAlignment w:val="auto"/>
        <w:rPr>
          <w:rFonts w:hint="eastAsia" w:ascii="宋体" w:hAnsi="宋体" w:eastAsia="宋体" w:cs="宋体"/>
          <w:color w:val="auto"/>
          <w:sz w:val="21"/>
          <w:szCs w:val="21"/>
          <w:highlight w:val="none"/>
        </w:rPr>
      </w:pPr>
    </w:p>
    <w:p w14:paraId="1648E415">
      <w:pPr>
        <w:keepNext w:val="0"/>
        <w:keepLines w:val="0"/>
        <w:pageBreakBefore w:val="0"/>
        <w:widowControl w:val="0"/>
        <w:kinsoku/>
        <w:wordWrap/>
        <w:overflowPunct/>
        <w:autoSpaceDE w:val="0"/>
        <w:autoSpaceDN w:val="0"/>
        <w:bidi w:val="0"/>
        <w:adjustRightInd/>
        <w:snapToGrid/>
        <w:spacing w:line="460" w:lineRule="exact"/>
        <w:ind w:left="4305" w:leftChars="1950" w:hanging="210" w:hangingChars="1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w:t>
      </w:r>
      <w:r>
        <w:rPr>
          <w:rFonts w:hint="eastAsia" w:ascii="宋体" w:hAnsi="宋体" w:eastAsia="宋体" w:cs="宋体"/>
          <w:color w:val="auto"/>
          <w:kern w:val="0"/>
          <w:sz w:val="21"/>
          <w:szCs w:val="21"/>
          <w:highlight w:val="none"/>
          <w:lang w:val="en-US" w:eastAsia="zh-CN"/>
        </w:rPr>
        <w:t>盖</w:t>
      </w:r>
      <w:r>
        <w:rPr>
          <w:rFonts w:hint="eastAsia" w:ascii="宋体" w:hAnsi="宋体" w:eastAsia="宋体" w:cs="宋体"/>
          <w:color w:val="auto"/>
          <w:kern w:val="0"/>
          <w:sz w:val="21"/>
          <w:szCs w:val="21"/>
          <w:highlight w:val="none"/>
        </w:rPr>
        <w:t>电子公章）：</w:t>
      </w:r>
    </w:p>
    <w:p w14:paraId="3CDCA322">
      <w:pPr>
        <w:keepNext w:val="0"/>
        <w:keepLines w:val="0"/>
        <w:pageBreakBefore w:val="0"/>
        <w:widowControl w:val="0"/>
        <w:kinsoku/>
        <w:wordWrap/>
        <w:overflowPunct/>
        <w:autoSpaceDE w:val="0"/>
        <w:autoSpaceDN w:val="0"/>
        <w:bidi w:val="0"/>
        <w:adjustRightInd/>
        <w:snapToGrid/>
        <w:spacing w:line="460" w:lineRule="exact"/>
        <w:ind w:left="4305" w:leftChars="1950" w:hanging="210" w:hangingChars="1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法定代表人或其委托代理人（签字/电子签名）：</w:t>
      </w:r>
    </w:p>
    <w:p w14:paraId="0AD8AB51">
      <w:pPr>
        <w:keepNext w:val="0"/>
        <w:keepLines w:val="0"/>
        <w:pageBreakBefore w:val="0"/>
        <w:widowControl w:val="0"/>
        <w:kinsoku/>
        <w:wordWrap/>
        <w:overflowPunct/>
        <w:autoSpaceDE w:val="0"/>
        <w:autoSpaceDN w:val="0"/>
        <w:bidi w:val="0"/>
        <w:adjustRightInd/>
        <w:snapToGrid/>
        <w:spacing w:line="460" w:lineRule="exact"/>
        <w:ind w:firstLine="5670" w:firstLineChars="2700"/>
        <w:textAlignment w:val="auto"/>
        <w:rPr>
          <w:rFonts w:hint="eastAsia" w:ascii="宋体" w:hAnsi="宋体" w:eastAsia="宋体" w:cs="宋体"/>
          <w:b/>
          <w:color w:val="auto"/>
          <w:sz w:val="30"/>
          <w:szCs w:val="30"/>
          <w:highlight w:val="none"/>
        </w:rPr>
      </w:pPr>
      <w:r>
        <w:rPr>
          <w:rFonts w:hint="eastAsia" w:ascii="宋体" w:hAnsi="宋体" w:eastAsia="宋体" w:cs="宋体"/>
          <w:color w:val="auto"/>
          <w:kern w:val="0"/>
          <w:sz w:val="21"/>
          <w:szCs w:val="21"/>
          <w:highlight w:val="none"/>
          <w:lang w:val="zh-CN"/>
        </w:rPr>
        <w:t>日期：  年  月   日</w:t>
      </w:r>
    </w:p>
    <w:p w14:paraId="0381A266">
      <w:pPr>
        <w:pageBreakBefore w:val="0"/>
        <w:kinsoku/>
        <w:wordWrap/>
        <w:overflowPunct/>
        <w:topLinePunct w:val="0"/>
        <w:bidi w:val="0"/>
        <w:adjustRightInd/>
        <w:spacing w:line="360" w:lineRule="auto"/>
        <w:textAlignment w:val="auto"/>
        <w:rPr>
          <w:rFonts w:hint="eastAsia" w:ascii="宋体" w:hAnsi="宋体" w:eastAsia="宋体" w:cs="宋体"/>
          <w:b/>
          <w:color w:val="auto"/>
          <w:szCs w:val="21"/>
          <w:highlight w:val="none"/>
        </w:rPr>
      </w:pPr>
    </w:p>
    <w:p w14:paraId="311997E1">
      <w:pPr>
        <w:keepNext w:val="0"/>
        <w:keepLines w:val="0"/>
        <w:pageBreakBefore w:val="0"/>
        <w:widowControl w:val="0"/>
        <w:kinsoku/>
        <w:wordWrap/>
        <w:overflowPunct/>
        <w:topLinePunct w:val="0"/>
        <w:bidi w:val="0"/>
        <w:adjustRightInd/>
        <w:snapToGrid w:val="0"/>
        <w:spacing w:before="120" w:beforeLines="50" w:after="50" w:line="460" w:lineRule="exact"/>
        <w:jc w:val="left"/>
        <w:textAlignment w:val="auto"/>
        <w:rPr>
          <w:rFonts w:hint="eastAsia" w:ascii="宋体" w:hAnsi="宋体" w:eastAsia="宋体" w:cs="宋体"/>
          <w:b w:val="0"/>
          <w:bCs w:val="0"/>
          <w:color w:val="auto"/>
          <w:highlight w:val="none"/>
        </w:rPr>
      </w:pPr>
      <w:r>
        <w:rPr>
          <w:rFonts w:hint="eastAsia" w:ascii="宋体" w:hAnsi="宋体" w:eastAsia="宋体" w:cs="宋体"/>
          <w:b/>
          <w:bCs/>
          <w:color w:val="auto"/>
          <w:sz w:val="28"/>
          <w:highlight w:val="none"/>
          <w:lang w:eastAsia="zh-CN"/>
        </w:rPr>
        <w:t>响应函</w:t>
      </w:r>
      <w:r>
        <w:rPr>
          <w:rFonts w:hint="eastAsia" w:ascii="宋体" w:hAnsi="宋体" w:eastAsia="宋体" w:cs="宋体"/>
          <w:b/>
          <w:color w:val="auto"/>
          <w:sz w:val="28"/>
          <w:szCs w:val="28"/>
          <w:highlight w:val="none"/>
          <w:lang w:val="zh-CN"/>
        </w:rPr>
        <w:t>附录</w:t>
      </w:r>
    </w:p>
    <w:p w14:paraId="404A4F42">
      <w:pPr>
        <w:spacing w:line="520" w:lineRule="exact"/>
        <w:jc w:val="center"/>
        <w:rPr>
          <w:rFonts w:hint="eastAsia" w:ascii="宋体" w:hAnsi="宋体" w:eastAsia="宋体" w:cs="宋体"/>
          <w:b/>
          <w:bCs/>
          <w:color w:val="auto"/>
          <w:kern w:val="0"/>
          <w:sz w:val="30"/>
          <w:szCs w:val="30"/>
          <w:highlight w:val="none"/>
        </w:rPr>
      </w:pPr>
      <w:r>
        <w:rPr>
          <w:rFonts w:hint="eastAsia" w:ascii="宋体" w:hAnsi="宋体" w:eastAsia="宋体" w:cs="宋体"/>
          <w:b/>
          <w:color w:val="auto"/>
          <w:sz w:val="32"/>
          <w:szCs w:val="32"/>
          <w:highlight w:val="none"/>
          <w:lang w:eastAsia="zh-CN"/>
        </w:rPr>
        <w:t>响应函</w:t>
      </w:r>
      <w:r>
        <w:rPr>
          <w:rFonts w:hint="eastAsia" w:ascii="宋体" w:hAnsi="宋体" w:eastAsia="宋体" w:cs="宋体"/>
          <w:b/>
          <w:color w:val="auto"/>
          <w:sz w:val="32"/>
          <w:szCs w:val="32"/>
          <w:highlight w:val="none"/>
        </w:rPr>
        <w:t>附录</w:t>
      </w:r>
    </w:p>
    <w:p w14:paraId="77FBE5C5">
      <w:pPr>
        <w:snapToGrid w:val="0"/>
        <w:spacing w:before="50" w:after="50" w:line="360" w:lineRule="auto"/>
        <w:rPr>
          <w:rFonts w:hint="eastAsia" w:ascii="宋体" w:hAnsi="宋体" w:eastAsia="宋体" w:cs="宋体"/>
          <w:color w:val="auto"/>
          <w:sz w:val="24"/>
          <w:highlight w:val="none"/>
        </w:rPr>
      </w:pPr>
    </w:p>
    <w:p w14:paraId="2FDB6F69">
      <w:pPr>
        <w:snapToGrid w:val="0"/>
        <w:spacing w:before="50" w:after="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FAF67B1">
      <w:pPr>
        <w:snapToGrid w:val="0"/>
        <w:spacing w:before="50" w:after="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16E64CB">
      <w:pPr>
        <w:snapToGrid w:val="0"/>
        <w:spacing w:before="50" w:after="50"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所竞分标（如有则填写，无分标时填写“无”或者留空）：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 w:val="24"/>
          <w:highlight w:val="none"/>
        </w:rPr>
        <w:t xml:space="preserve">      </w:t>
      </w:r>
    </w:p>
    <w:p w14:paraId="57B4F845">
      <w:pPr>
        <w:snapToGrid w:val="0"/>
        <w:spacing w:before="50" w:after="50" w:line="360" w:lineRule="auto"/>
        <w:ind w:firstLine="480" w:firstLineChars="200"/>
        <w:rPr>
          <w:rFonts w:hint="eastAsia" w:ascii="宋体" w:hAnsi="宋体" w:eastAsia="宋体" w:cs="宋体"/>
          <w:color w:val="auto"/>
          <w:sz w:val="24"/>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49CA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B0154EE">
            <w:pPr>
              <w:wordWrap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 号</w:t>
            </w:r>
          </w:p>
        </w:tc>
        <w:tc>
          <w:tcPr>
            <w:tcW w:w="1985" w:type="dxa"/>
            <w:noWrap w:val="0"/>
            <w:vAlign w:val="center"/>
          </w:tcPr>
          <w:p w14:paraId="11384D6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条款内容</w:t>
            </w:r>
          </w:p>
        </w:tc>
        <w:tc>
          <w:tcPr>
            <w:tcW w:w="2126" w:type="dxa"/>
            <w:noWrap w:val="0"/>
            <w:vAlign w:val="center"/>
          </w:tcPr>
          <w:p w14:paraId="64402CCC">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合同条款号</w:t>
            </w:r>
          </w:p>
        </w:tc>
        <w:tc>
          <w:tcPr>
            <w:tcW w:w="1984" w:type="dxa"/>
            <w:noWrap w:val="0"/>
            <w:vAlign w:val="center"/>
          </w:tcPr>
          <w:p w14:paraId="2812BB11">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约定内容</w:t>
            </w:r>
          </w:p>
        </w:tc>
        <w:tc>
          <w:tcPr>
            <w:tcW w:w="1843" w:type="dxa"/>
            <w:noWrap w:val="0"/>
            <w:vAlign w:val="center"/>
          </w:tcPr>
          <w:p w14:paraId="6410339D">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6C1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64FEEB0">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85" w:type="dxa"/>
            <w:noWrap w:val="0"/>
            <w:vAlign w:val="center"/>
          </w:tcPr>
          <w:p w14:paraId="1B2E7078">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tc>
        <w:tc>
          <w:tcPr>
            <w:tcW w:w="2126" w:type="dxa"/>
            <w:noWrap w:val="0"/>
            <w:tcMar>
              <w:left w:w="170" w:type="dxa"/>
            </w:tcMar>
            <w:vAlign w:val="center"/>
          </w:tcPr>
          <w:p w14:paraId="6B18338C">
            <w:pPr>
              <w:wordWrap w:val="0"/>
              <w:jc w:val="center"/>
              <w:rPr>
                <w:rFonts w:hint="eastAsia" w:ascii="宋体" w:hAnsi="宋体" w:eastAsia="宋体" w:cs="宋体"/>
                <w:color w:val="auto"/>
                <w:sz w:val="21"/>
                <w:szCs w:val="21"/>
                <w:highlight w:val="none"/>
              </w:rPr>
            </w:pPr>
          </w:p>
        </w:tc>
        <w:tc>
          <w:tcPr>
            <w:tcW w:w="1984" w:type="dxa"/>
            <w:noWrap w:val="0"/>
            <w:vAlign w:val="center"/>
          </w:tcPr>
          <w:p w14:paraId="11C4DC80">
            <w:pPr>
              <w:wordWrap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xml:space="preserve">         </w:t>
            </w:r>
          </w:p>
        </w:tc>
        <w:tc>
          <w:tcPr>
            <w:tcW w:w="1843" w:type="dxa"/>
            <w:noWrap w:val="0"/>
            <w:vAlign w:val="center"/>
          </w:tcPr>
          <w:p w14:paraId="0B811B92">
            <w:pPr>
              <w:wordWrap w:val="0"/>
              <w:jc w:val="center"/>
              <w:rPr>
                <w:rFonts w:hint="eastAsia" w:ascii="宋体" w:hAnsi="宋体" w:eastAsia="宋体" w:cs="宋体"/>
                <w:color w:val="auto"/>
                <w:sz w:val="21"/>
                <w:szCs w:val="21"/>
                <w:highlight w:val="none"/>
              </w:rPr>
            </w:pPr>
          </w:p>
        </w:tc>
      </w:tr>
      <w:tr w14:paraId="1BE6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E52B04E">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85" w:type="dxa"/>
            <w:noWrap w:val="0"/>
            <w:vAlign w:val="center"/>
          </w:tcPr>
          <w:p w14:paraId="5DAD59A0">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竞标</w:t>
            </w:r>
            <w:r>
              <w:rPr>
                <w:rFonts w:hint="eastAsia" w:ascii="宋体" w:hAnsi="宋体" w:eastAsia="宋体" w:cs="宋体"/>
                <w:color w:val="auto"/>
                <w:sz w:val="21"/>
                <w:szCs w:val="21"/>
                <w:highlight w:val="none"/>
              </w:rPr>
              <w:t>有效期</w:t>
            </w:r>
          </w:p>
        </w:tc>
        <w:tc>
          <w:tcPr>
            <w:tcW w:w="2126" w:type="dxa"/>
            <w:noWrap w:val="0"/>
            <w:tcMar>
              <w:left w:w="170" w:type="dxa"/>
            </w:tcMar>
            <w:vAlign w:val="center"/>
          </w:tcPr>
          <w:p w14:paraId="040C6FD3">
            <w:pPr>
              <w:wordWrap w:val="0"/>
              <w:rPr>
                <w:rFonts w:hint="eastAsia" w:ascii="宋体" w:hAnsi="宋体" w:eastAsia="宋体" w:cs="宋体"/>
                <w:color w:val="auto"/>
                <w:sz w:val="21"/>
                <w:szCs w:val="21"/>
                <w:highlight w:val="none"/>
              </w:rPr>
            </w:pPr>
          </w:p>
        </w:tc>
        <w:tc>
          <w:tcPr>
            <w:tcW w:w="1984" w:type="dxa"/>
            <w:noWrap w:val="0"/>
            <w:vAlign w:val="center"/>
          </w:tcPr>
          <w:p w14:paraId="2A7F2303">
            <w:pPr>
              <w:wordWrap w:val="0"/>
              <w:jc w:val="center"/>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highlight w:val="none"/>
              </w:rPr>
              <w:t>自首次响应文件提交截止日起</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日历天</w:t>
            </w:r>
          </w:p>
        </w:tc>
        <w:tc>
          <w:tcPr>
            <w:tcW w:w="1843" w:type="dxa"/>
            <w:noWrap w:val="0"/>
            <w:vAlign w:val="center"/>
          </w:tcPr>
          <w:p w14:paraId="1663F47B">
            <w:pPr>
              <w:wordWrap w:val="0"/>
              <w:jc w:val="center"/>
              <w:rPr>
                <w:rFonts w:hint="eastAsia" w:ascii="宋体" w:hAnsi="宋体" w:eastAsia="宋体" w:cs="宋体"/>
                <w:color w:val="auto"/>
                <w:sz w:val="21"/>
                <w:szCs w:val="21"/>
                <w:highlight w:val="none"/>
              </w:rPr>
            </w:pPr>
          </w:p>
        </w:tc>
      </w:tr>
      <w:tr w14:paraId="2D4C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98628A1">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985" w:type="dxa"/>
            <w:noWrap w:val="0"/>
            <w:vAlign w:val="center"/>
          </w:tcPr>
          <w:p w14:paraId="76805DB3">
            <w:pPr>
              <w:wordWrap w:val="0"/>
              <w:jc w:val="center"/>
              <w:rPr>
                <w:rFonts w:hint="eastAsia" w:ascii="宋体" w:hAnsi="宋体" w:eastAsia="宋体" w:cs="宋体"/>
                <w:color w:val="auto"/>
                <w:kern w:val="56"/>
                <w:sz w:val="21"/>
                <w:szCs w:val="21"/>
                <w:highlight w:val="none"/>
              </w:rPr>
            </w:pPr>
            <w:r>
              <w:rPr>
                <w:rFonts w:hint="eastAsia" w:ascii="宋体" w:hAnsi="宋体" w:eastAsia="宋体" w:cs="宋体"/>
                <w:color w:val="auto"/>
                <w:kern w:val="56"/>
                <w:sz w:val="21"/>
                <w:szCs w:val="21"/>
                <w:highlight w:val="none"/>
              </w:rPr>
              <w:t>合同履行期限</w:t>
            </w:r>
          </w:p>
          <w:p w14:paraId="3760D539">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kern w:val="56"/>
                <w:sz w:val="21"/>
                <w:szCs w:val="21"/>
                <w:highlight w:val="none"/>
              </w:rPr>
              <w:t>（</w:t>
            </w:r>
            <w:r>
              <w:rPr>
                <w:rFonts w:hint="eastAsia" w:ascii="宋体" w:hAnsi="宋体" w:eastAsia="宋体" w:cs="宋体"/>
                <w:color w:val="auto"/>
                <w:kern w:val="56"/>
                <w:sz w:val="21"/>
                <w:szCs w:val="21"/>
                <w:highlight w:val="none"/>
                <w:lang w:val="en-US" w:eastAsia="zh-CN"/>
              </w:rPr>
              <w:t>计划</w:t>
            </w:r>
            <w:r>
              <w:rPr>
                <w:rFonts w:hint="eastAsia" w:ascii="宋体" w:hAnsi="宋体" w:eastAsia="宋体" w:cs="宋体"/>
                <w:color w:val="auto"/>
                <w:kern w:val="56"/>
                <w:sz w:val="21"/>
                <w:szCs w:val="21"/>
                <w:highlight w:val="none"/>
              </w:rPr>
              <w:t>工期）</w:t>
            </w:r>
          </w:p>
        </w:tc>
        <w:tc>
          <w:tcPr>
            <w:tcW w:w="2126" w:type="dxa"/>
            <w:noWrap w:val="0"/>
            <w:tcMar>
              <w:left w:w="170" w:type="dxa"/>
            </w:tcMar>
            <w:vAlign w:val="center"/>
          </w:tcPr>
          <w:p w14:paraId="400591E9">
            <w:pPr>
              <w:wordWrap w:val="0"/>
              <w:jc w:val="center"/>
              <w:rPr>
                <w:rFonts w:hint="eastAsia" w:ascii="宋体" w:hAnsi="宋体" w:eastAsia="宋体" w:cs="宋体"/>
                <w:color w:val="auto"/>
                <w:sz w:val="21"/>
                <w:szCs w:val="21"/>
                <w:highlight w:val="none"/>
              </w:rPr>
            </w:pPr>
          </w:p>
        </w:tc>
        <w:tc>
          <w:tcPr>
            <w:tcW w:w="1984" w:type="dxa"/>
            <w:noWrap w:val="0"/>
            <w:vAlign w:val="center"/>
          </w:tcPr>
          <w:p w14:paraId="7C1FB42D">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highlight w:val="none"/>
              </w:rPr>
              <w:t>自合同签订之日起</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个</w:t>
            </w:r>
            <w:r>
              <w:rPr>
                <w:rFonts w:hint="eastAsia" w:ascii="宋体" w:hAnsi="宋体" w:eastAsia="宋体" w:cs="宋体"/>
                <w:color w:val="auto"/>
                <w:highlight w:val="none"/>
                <w:lang w:eastAsia="zh-CN"/>
              </w:rPr>
              <w:t>日历天</w:t>
            </w:r>
            <w:r>
              <w:rPr>
                <w:rFonts w:hint="eastAsia" w:ascii="宋体" w:hAnsi="宋体" w:eastAsia="宋体" w:cs="宋体"/>
                <w:color w:val="auto"/>
                <w:highlight w:val="none"/>
              </w:rPr>
              <w:t>内完工</w:t>
            </w:r>
          </w:p>
        </w:tc>
        <w:tc>
          <w:tcPr>
            <w:tcW w:w="1843" w:type="dxa"/>
            <w:noWrap w:val="0"/>
            <w:vAlign w:val="center"/>
          </w:tcPr>
          <w:p w14:paraId="0A1E54E5">
            <w:pPr>
              <w:wordWrap w:val="0"/>
              <w:jc w:val="center"/>
              <w:rPr>
                <w:rFonts w:hint="eastAsia" w:ascii="宋体" w:hAnsi="宋体" w:eastAsia="宋体" w:cs="宋体"/>
                <w:color w:val="auto"/>
                <w:sz w:val="21"/>
                <w:szCs w:val="21"/>
                <w:highlight w:val="none"/>
              </w:rPr>
            </w:pPr>
          </w:p>
        </w:tc>
      </w:tr>
      <w:tr w14:paraId="6274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20EBB02">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985" w:type="dxa"/>
            <w:noWrap w:val="0"/>
            <w:vAlign w:val="center"/>
          </w:tcPr>
          <w:p w14:paraId="50242F63">
            <w:pPr>
              <w:wordWrap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质量</w:t>
            </w:r>
            <w:r>
              <w:rPr>
                <w:rFonts w:hint="eastAsia" w:ascii="宋体" w:hAnsi="宋体" w:eastAsia="宋体" w:cs="宋体"/>
                <w:color w:val="auto"/>
                <w:sz w:val="21"/>
                <w:szCs w:val="21"/>
                <w:highlight w:val="none"/>
                <w:lang w:val="en-US" w:eastAsia="zh-CN"/>
              </w:rPr>
              <w:t>要求</w:t>
            </w:r>
          </w:p>
        </w:tc>
        <w:tc>
          <w:tcPr>
            <w:tcW w:w="2126" w:type="dxa"/>
            <w:noWrap w:val="0"/>
            <w:tcMar>
              <w:left w:w="170" w:type="dxa"/>
            </w:tcMar>
            <w:vAlign w:val="center"/>
          </w:tcPr>
          <w:p w14:paraId="5FC42BB8">
            <w:pPr>
              <w:wordWrap w:val="0"/>
              <w:jc w:val="center"/>
              <w:rPr>
                <w:rFonts w:hint="eastAsia" w:ascii="宋体" w:hAnsi="宋体" w:eastAsia="宋体" w:cs="宋体"/>
                <w:color w:val="auto"/>
                <w:sz w:val="21"/>
                <w:szCs w:val="21"/>
                <w:highlight w:val="none"/>
              </w:rPr>
            </w:pPr>
          </w:p>
        </w:tc>
        <w:tc>
          <w:tcPr>
            <w:tcW w:w="1984" w:type="dxa"/>
            <w:noWrap w:val="0"/>
            <w:vAlign w:val="center"/>
          </w:tcPr>
          <w:p w14:paraId="5176A9F7">
            <w:pPr>
              <w:wordWrap w:val="0"/>
              <w:jc w:val="center"/>
              <w:rPr>
                <w:rFonts w:hint="eastAsia" w:ascii="宋体" w:hAnsi="宋体" w:eastAsia="宋体" w:cs="宋体"/>
                <w:color w:val="auto"/>
                <w:sz w:val="21"/>
                <w:szCs w:val="21"/>
                <w:highlight w:val="none"/>
              </w:rPr>
            </w:pPr>
          </w:p>
        </w:tc>
        <w:tc>
          <w:tcPr>
            <w:tcW w:w="1843" w:type="dxa"/>
            <w:noWrap w:val="0"/>
            <w:vAlign w:val="center"/>
          </w:tcPr>
          <w:p w14:paraId="4EB79613">
            <w:pPr>
              <w:wordWrap w:val="0"/>
              <w:jc w:val="center"/>
              <w:rPr>
                <w:rFonts w:hint="eastAsia" w:ascii="宋体" w:hAnsi="宋体" w:eastAsia="宋体" w:cs="宋体"/>
                <w:color w:val="auto"/>
                <w:sz w:val="21"/>
                <w:szCs w:val="21"/>
                <w:highlight w:val="none"/>
              </w:rPr>
            </w:pPr>
          </w:p>
        </w:tc>
      </w:tr>
      <w:tr w14:paraId="3ABC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A509C9B">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985" w:type="dxa"/>
            <w:noWrap w:val="0"/>
            <w:vAlign w:val="center"/>
          </w:tcPr>
          <w:p w14:paraId="63F87856">
            <w:pPr>
              <w:wordWrap w:val="0"/>
              <w:jc w:val="center"/>
              <w:rPr>
                <w:rFonts w:hint="eastAsia" w:ascii="宋体" w:hAnsi="宋体" w:eastAsia="宋体" w:cs="宋体"/>
                <w:color w:val="auto"/>
                <w:sz w:val="21"/>
                <w:szCs w:val="21"/>
                <w:highlight w:val="none"/>
              </w:rPr>
            </w:pPr>
          </w:p>
        </w:tc>
        <w:tc>
          <w:tcPr>
            <w:tcW w:w="2126" w:type="dxa"/>
            <w:noWrap w:val="0"/>
            <w:tcMar>
              <w:left w:w="170" w:type="dxa"/>
            </w:tcMar>
            <w:vAlign w:val="center"/>
          </w:tcPr>
          <w:p w14:paraId="2B3BFD16">
            <w:pPr>
              <w:wordWrap w:val="0"/>
              <w:jc w:val="center"/>
              <w:rPr>
                <w:rFonts w:hint="eastAsia" w:ascii="宋体" w:hAnsi="宋体" w:eastAsia="宋体" w:cs="宋体"/>
                <w:color w:val="auto"/>
                <w:sz w:val="21"/>
                <w:szCs w:val="21"/>
                <w:highlight w:val="none"/>
              </w:rPr>
            </w:pPr>
          </w:p>
        </w:tc>
        <w:tc>
          <w:tcPr>
            <w:tcW w:w="1984" w:type="dxa"/>
            <w:noWrap w:val="0"/>
            <w:vAlign w:val="center"/>
          </w:tcPr>
          <w:p w14:paraId="045214C3">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tc>
        <w:tc>
          <w:tcPr>
            <w:tcW w:w="1843" w:type="dxa"/>
            <w:noWrap w:val="0"/>
            <w:vAlign w:val="center"/>
          </w:tcPr>
          <w:p w14:paraId="46E007FB">
            <w:pPr>
              <w:wordWrap w:val="0"/>
              <w:jc w:val="center"/>
              <w:rPr>
                <w:rFonts w:hint="eastAsia" w:ascii="宋体" w:hAnsi="宋体" w:eastAsia="宋体" w:cs="宋体"/>
                <w:color w:val="auto"/>
                <w:sz w:val="21"/>
                <w:szCs w:val="21"/>
                <w:highlight w:val="none"/>
              </w:rPr>
            </w:pPr>
          </w:p>
        </w:tc>
      </w:tr>
      <w:tr w14:paraId="22A5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83BFD02">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85" w:type="dxa"/>
            <w:noWrap w:val="0"/>
            <w:vAlign w:val="center"/>
          </w:tcPr>
          <w:p w14:paraId="326F9667">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126" w:type="dxa"/>
            <w:noWrap w:val="0"/>
            <w:tcMar>
              <w:left w:w="170" w:type="dxa"/>
            </w:tcMar>
            <w:vAlign w:val="center"/>
          </w:tcPr>
          <w:p w14:paraId="3BE3D504">
            <w:pPr>
              <w:wordWrap w:val="0"/>
              <w:rPr>
                <w:rFonts w:hint="eastAsia" w:ascii="宋体" w:hAnsi="宋体" w:eastAsia="宋体" w:cs="宋体"/>
                <w:color w:val="auto"/>
                <w:sz w:val="21"/>
                <w:szCs w:val="21"/>
                <w:highlight w:val="none"/>
              </w:rPr>
            </w:pPr>
          </w:p>
        </w:tc>
        <w:tc>
          <w:tcPr>
            <w:tcW w:w="1984" w:type="dxa"/>
            <w:noWrap w:val="0"/>
            <w:vAlign w:val="center"/>
          </w:tcPr>
          <w:p w14:paraId="1F9110AC">
            <w:pPr>
              <w:wordWrap w:val="0"/>
              <w:jc w:val="center"/>
              <w:rPr>
                <w:rFonts w:hint="eastAsia" w:ascii="宋体" w:hAnsi="宋体" w:eastAsia="宋体" w:cs="宋体"/>
                <w:color w:val="auto"/>
                <w:sz w:val="21"/>
                <w:szCs w:val="21"/>
                <w:highlight w:val="none"/>
              </w:rPr>
            </w:pPr>
          </w:p>
        </w:tc>
        <w:tc>
          <w:tcPr>
            <w:tcW w:w="1843" w:type="dxa"/>
            <w:noWrap w:val="0"/>
            <w:vAlign w:val="center"/>
          </w:tcPr>
          <w:p w14:paraId="19C0BB33">
            <w:pPr>
              <w:wordWrap w:val="0"/>
              <w:jc w:val="center"/>
              <w:rPr>
                <w:rFonts w:hint="eastAsia" w:ascii="宋体" w:hAnsi="宋体" w:eastAsia="宋体" w:cs="宋体"/>
                <w:color w:val="auto"/>
                <w:sz w:val="21"/>
                <w:szCs w:val="21"/>
                <w:highlight w:val="none"/>
              </w:rPr>
            </w:pPr>
          </w:p>
        </w:tc>
      </w:tr>
      <w:tr w14:paraId="5CB3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noWrap w:val="0"/>
            <w:vAlign w:val="center"/>
          </w:tcPr>
          <w:p w14:paraId="064B8C8B">
            <w:pPr>
              <w:wordWrap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备注：供应商在响应竞争性磋商文件中规定的实质性要求和条件的基础上，可做出其他有利于采购单位的承诺。此类承诺可在本表中予以补充填写。</w:t>
            </w:r>
          </w:p>
        </w:tc>
      </w:tr>
    </w:tbl>
    <w:p w14:paraId="6A282D51">
      <w:pPr>
        <w:snapToGrid w:val="0"/>
        <w:spacing w:before="50" w:after="50" w:line="360" w:lineRule="auto"/>
        <w:rPr>
          <w:rFonts w:hint="eastAsia" w:ascii="宋体" w:hAnsi="宋体" w:eastAsia="宋体" w:cs="宋体"/>
          <w:color w:val="auto"/>
          <w:sz w:val="24"/>
          <w:highlight w:val="none"/>
        </w:rPr>
      </w:pPr>
    </w:p>
    <w:p w14:paraId="3D1681B9">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FE9CB12">
      <w:pPr>
        <w:snapToGrid w:val="0"/>
        <w:spacing w:before="50" w:after="50" w:line="360" w:lineRule="auto"/>
        <w:rPr>
          <w:rFonts w:hint="eastAsia" w:ascii="宋体" w:hAnsi="宋体" w:eastAsia="宋体" w:cs="宋体"/>
          <w:color w:val="auto"/>
          <w:sz w:val="24"/>
          <w:highlight w:val="none"/>
        </w:rPr>
      </w:pPr>
    </w:p>
    <w:p w14:paraId="00B6F70D">
      <w:pPr>
        <w:autoSpaceDE w:val="0"/>
        <w:autoSpaceDN w:val="0"/>
        <w:spacing w:line="360" w:lineRule="auto"/>
        <w:ind w:left="4305" w:leftChars="1950" w:hanging="210" w:hanging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w:t>
      </w:r>
      <w:r>
        <w:rPr>
          <w:rFonts w:hint="eastAsia" w:ascii="宋体" w:hAnsi="宋体" w:eastAsia="宋体" w:cs="宋体"/>
          <w:color w:val="auto"/>
          <w:sz w:val="21"/>
          <w:szCs w:val="21"/>
          <w:highlight w:val="none"/>
          <w:lang w:val="en-US" w:eastAsia="zh-CN"/>
        </w:rPr>
        <w:t>盖电子</w:t>
      </w:r>
      <w:r>
        <w:rPr>
          <w:rFonts w:hint="eastAsia" w:ascii="宋体" w:hAnsi="宋体" w:eastAsia="宋体" w:cs="宋体"/>
          <w:color w:val="auto"/>
          <w:sz w:val="21"/>
          <w:szCs w:val="21"/>
          <w:highlight w:val="none"/>
        </w:rPr>
        <w:t>公章</w:t>
      </w:r>
      <w:r>
        <w:rPr>
          <w:rFonts w:hint="eastAsia" w:ascii="宋体" w:hAnsi="宋体" w:eastAsia="宋体" w:cs="宋体"/>
          <w:color w:val="auto"/>
          <w:kern w:val="0"/>
          <w:sz w:val="21"/>
          <w:szCs w:val="21"/>
          <w:highlight w:val="none"/>
        </w:rPr>
        <w:t>）：</w:t>
      </w:r>
    </w:p>
    <w:p w14:paraId="1061121C">
      <w:pPr>
        <w:autoSpaceDE w:val="0"/>
        <w:autoSpaceDN w:val="0"/>
        <w:spacing w:line="360" w:lineRule="auto"/>
        <w:ind w:left="4334" w:leftChars="1964" w:hanging="210" w:hanging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法定代表人或委托代理人（签字/电子签名）：</w:t>
      </w:r>
    </w:p>
    <w:p w14:paraId="2BD3E149">
      <w:pPr>
        <w:pStyle w:val="105"/>
        <w:spacing w:line="500" w:lineRule="exact"/>
        <w:ind w:firstLine="5565" w:firstLineChars="265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日期：  年  月   日</w:t>
      </w:r>
    </w:p>
    <w:p w14:paraId="56166D42">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b/>
          <w:color w:val="auto"/>
          <w:sz w:val="28"/>
          <w:szCs w:val="28"/>
          <w:highlight w:val="none"/>
          <w:lang w:val="zh-CN"/>
        </w:rPr>
      </w:pPr>
    </w:p>
    <w:p w14:paraId="4C600735">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b/>
          <w:color w:val="auto"/>
          <w:sz w:val="28"/>
          <w:szCs w:val="28"/>
          <w:highlight w:val="none"/>
          <w:lang w:val="zh-CN"/>
        </w:rPr>
      </w:pPr>
    </w:p>
    <w:p w14:paraId="7283F04C">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b/>
          <w:color w:val="auto"/>
          <w:sz w:val="28"/>
          <w:szCs w:val="28"/>
          <w:highlight w:val="none"/>
          <w:lang w:val="zh-CN"/>
        </w:rPr>
      </w:pPr>
    </w:p>
    <w:p w14:paraId="444E71A4">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47E062C0">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color w:val="auto"/>
          <w:highlight w:val="none"/>
        </w:rPr>
      </w:pPr>
      <w:r>
        <w:rPr>
          <w:rFonts w:hint="eastAsia" w:ascii="宋体" w:hAnsi="宋体" w:eastAsia="宋体" w:cs="宋体"/>
          <w:b/>
          <w:color w:val="auto"/>
          <w:sz w:val="28"/>
          <w:szCs w:val="28"/>
          <w:highlight w:val="none"/>
          <w:lang w:val="en-US" w:eastAsia="zh-CN"/>
        </w:rPr>
        <w:t>响应报价表</w:t>
      </w:r>
      <w:r>
        <w:rPr>
          <w:rFonts w:hint="eastAsia" w:ascii="宋体" w:hAnsi="宋体" w:eastAsia="宋体" w:cs="宋体"/>
          <w:b/>
          <w:color w:val="auto"/>
          <w:sz w:val="28"/>
          <w:szCs w:val="28"/>
          <w:highlight w:val="none"/>
          <w:lang w:val="zh-CN"/>
        </w:rPr>
        <w:t>的格式：</w:t>
      </w:r>
      <w:r>
        <w:rPr>
          <w:rFonts w:hint="eastAsia" w:ascii="宋体" w:hAnsi="宋体" w:eastAsia="宋体" w:cs="宋体"/>
          <w:b/>
          <w:color w:val="auto"/>
          <w:sz w:val="30"/>
          <w:szCs w:val="30"/>
          <w:highlight w:val="none"/>
          <w:lang w:val="zh-CN"/>
        </w:rPr>
        <w:t xml:space="preserve"> </w:t>
      </w:r>
    </w:p>
    <w:p w14:paraId="0D4D2291">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32"/>
          <w:szCs w:val="32"/>
          <w:highlight w:val="none"/>
          <w:lang w:val="en-US" w:eastAsia="zh-CN"/>
        </w:rPr>
        <w:t>响应报价表</w:t>
      </w:r>
    </w:p>
    <w:p w14:paraId="2957F629">
      <w:pPr>
        <w:keepNext w:val="0"/>
        <w:keepLines w:val="0"/>
        <w:pageBreakBefore w:val="0"/>
        <w:kinsoku/>
        <w:wordWrap/>
        <w:overflowPunct/>
        <w:topLinePunct w:val="0"/>
        <w:bidi w:val="0"/>
        <w:adjustRightInd/>
        <w:snapToGrid w:val="0"/>
        <w:spacing w:before="50" w:after="50"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FF842EB">
      <w:pPr>
        <w:keepNext w:val="0"/>
        <w:keepLines w:val="0"/>
        <w:pageBreakBefore w:val="0"/>
        <w:kinsoku/>
        <w:wordWrap/>
        <w:overflowPunct/>
        <w:topLinePunct w:val="0"/>
        <w:bidi w:val="0"/>
        <w:adjustRightInd/>
        <w:snapToGrid w:val="0"/>
        <w:spacing w:before="50" w:after="50"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D3066FD">
      <w:pPr>
        <w:keepNext w:val="0"/>
        <w:keepLines w:val="0"/>
        <w:pageBreakBefore w:val="0"/>
        <w:kinsoku/>
        <w:wordWrap/>
        <w:overflowPunct/>
        <w:topLinePunct w:val="0"/>
        <w:bidi w:val="0"/>
        <w:adjustRightInd/>
        <w:spacing w:line="360" w:lineRule="auto"/>
        <w:contextualSpacing/>
        <w:textAlignment w:val="auto"/>
        <w:rPr>
          <w:rFonts w:hint="eastAsia" w:ascii="宋体" w:hAnsi="宋体" w:eastAsia="宋体" w:cs="宋体"/>
          <w:color w:val="auto"/>
          <w:sz w:val="24"/>
          <w:highlight w:val="none"/>
          <w:u w:val="single"/>
        </w:rPr>
      </w:pPr>
      <w:r>
        <w:rPr>
          <w:rFonts w:hint="eastAsia" w:ascii="宋体" w:hAnsi="宋体" w:eastAsia="宋体" w:cs="宋体"/>
          <w:color w:val="auto"/>
          <w:szCs w:val="21"/>
          <w:highlight w:val="none"/>
        </w:rPr>
        <w:t>所竞分标（如有则填写，无分标时填写“无”或者留空）：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 w:val="24"/>
          <w:highlight w:val="none"/>
        </w:rPr>
        <w:t xml:space="preserve">            </w:t>
      </w:r>
    </w:p>
    <w:p w14:paraId="3D3A21C7">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4"/>
          <w:highlight w:val="none"/>
        </w:rPr>
        <w:t xml:space="preserve">       </w:t>
      </w:r>
    </w:p>
    <w:tbl>
      <w:tblPr>
        <w:tblStyle w:val="29"/>
        <w:tblW w:w="0" w:type="auto"/>
        <w:jc w:val="center"/>
        <w:tblLayout w:type="fixed"/>
        <w:tblCellMar>
          <w:top w:w="0" w:type="dxa"/>
          <w:left w:w="0" w:type="dxa"/>
          <w:bottom w:w="0" w:type="dxa"/>
          <w:right w:w="0" w:type="dxa"/>
        </w:tblCellMar>
      </w:tblPr>
      <w:tblGrid>
        <w:gridCol w:w="1135"/>
        <w:gridCol w:w="4450"/>
        <w:gridCol w:w="3761"/>
      </w:tblGrid>
      <w:tr w14:paraId="7AE13F2F">
        <w:tblPrEx>
          <w:tblCellMar>
            <w:top w:w="0" w:type="dxa"/>
            <w:left w:w="0" w:type="dxa"/>
            <w:bottom w:w="0" w:type="dxa"/>
            <w:right w:w="0" w:type="dxa"/>
          </w:tblCellMar>
        </w:tblPrEx>
        <w:trPr>
          <w:trHeight w:val="1122" w:hRule="atLeast"/>
          <w:jc w:val="center"/>
        </w:trPr>
        <w:tc>
          <w:tcPr>
            <w:tcW w:w="1135" w:type="dxa"/>
            <w:tcBorders>
              <w:top w:val="single" w:color="000000" w:sz="4" w:space="0"/>
              <w:left w:val="single" w:color="000000" w:sz="4" w:space="0"/>
              <w:bottom w:val="single" w:color="000000" w:sz="4" w:space="0"/>
              <w:right w:val="single" w:color="000000" w:sz="4" w:space="0"/>
            </w:tcBorders>
            <w:noWrap w:val="0"/>
            <w:vAlign w:val="center"/>
          </w:tcPr>
          <w:p w14:paraId="64C61144">
            <w:pPr>
              <w:autoSpaceDE w:val="0"/>
              <w:spacing w:line="360" w:lineRule="auto"/>
              <w:rPr>
                <w:rFonts w:hint="eastAsia" w:ascii="宋体" w:hAnsi="宋体" w:eastAsia="宋体" w:cs="宋体"/>
                <w:color w:val="auto"/>
                <w:sz w:val="24"/>
                <w:highlight w:val="none"/>
              </w:rPr>
            </w:pPr>
          </w:p>
        </w:tc>
        <w:tc>
          <w:tcPr>
            <w:tcW w:w="4450" w:type="dxa"/>
            <w:tcBorders>
              <w:top w:val="single" w:color="000000" w:sz="4" w:space="0"/>
              <w:left w:val="nil"/>
              <w:bottom w:val="single" w:color="000000" w:sz="4" w:space="0"/>
              <w:right w:val="single" w:color="000000" w:sz="4" w:space="0"/>
            </w:tcBorders>
            <w:noWrap w:val="0"/>
            <w:vAlign w:val="center"/>
          </w:tcPr>
          <w:p w14:paraId="16EF597D">
            <w:pPr>
              <w:autoSpaceDE w:val="0"/>
              <w:spacing w:line="360" w:lineRule="auto"/>
              <w:rPr>
                <w:rFonts w:hint="eastAsia" w:ascii="宋体" w:hAnsi="宋体" w:eastAsia="宋体" w:cs="宋体"/>
                <w:b/>
                <w:color w:val="auto"/>
                <w:sz w:val="30"/>
                <w:szCs w:val="30"/>
                <w:highlight w:val="none"/>
              </w:rPr>
            </w:pPr>
            <w:r>
              <w:rPr>
                <w:rFonts w:hint="eastAsia" w:ascii="宋体" w:hAnsi="宋体" w:eastAsia="宋体" w:cs="宋体"/>
                <w:color w:val="auto"/>
                <w:sz w:val="24"/>
                <w:highlight w:val="none"/>
              </w:rPr>
              <w:t>总报价（一）＋（二）＋(三)+…</w:t>
            </w:r>
          </w:p>
        </w:tc>
        <w:tc>
          <w:tcPr>
            <w:tcW w:w="3761" w:type="dxa"/>
            <w:tcBorders>
              <w:top w:val="single" w:color="000000" w:sz="4" w:space="0"/>
              <w:left w:val="nil"/>
              <w:bottom w:val="single" w:color="000000" w:sz="4" w:space="0"/>
              <w:right w:val="single" w:color="000000" w:sz="4" w:space="0"/>
            </w:tcBorders>
            <w:noWrap w:val="0"/>
            <w:vAlign w:val="center"/>
          </w:tcPr>
          <w:p w14:paraId="4AED741A">
            <w:pPr>
              <w:autoSpaceDE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r>
      <w:tr w14:paraId="00C2FA81">
        <w:tblPrEx>
          <w:tblCellMar>
            <w:top w:w="0" w:type="dxa"/>
            <w:left w:w="0" w:type="dxa"/>
            <w:bottom w:w="0" w:type="dxa"/>
            <w:right w:w="0" w:type="dxa"/>
          </w:tblCellMar>
        </w:tblPrEx>
        <w:trPr>
          <w:trHeight w:val="701" w:hRule="atLeast"/>
          <w:jc w:val="center"/>
        </w:trPr>
        <w:tc>
          <w:tcPr>
            <w:tcW w:w="1135" w:type="dxa"/>
            <w:tcBorders>
              <w:top w:val="single" w:color="000000" w:sz="4" w:space="0"/>
              <w:left w:val="single" w:color="000000" w:sz="4" w:space="0"/>
              <w:bottom w:val="single" w:color="000000" w:sz="4" w:space="0"/>
              <w:right w:val="single" w:color="000000" w:sz="4" w:space="0"/>
            </w:tcBorders>
            <w:noWrap w:val="0"/>
            <w:vAlign w:val="center"/>
          </w:tcPr>
          <w:p w14:paraId="11CA9247">
            <w:pPr>
              <w:autoSpaceDE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p>
        </w:tc>
        <w:tc>
          <w:tcPr>
            <w:tcW w:w="4450" w:type="dxa"/>
            <w:tcBorders>
              <w:top w:val="single" w:color="000000" w:sz="4" w:space="0"/>
              <w:left w:val="nil"/>
              <w:bottom w:val="single" w:color="000000" w:sz="4" w:space="0"/>
              <w:right w:val="single" w:color="000000" w:sz="4" w:space="0"/>
            </w:tcBorders>
            <w:noWrap w:val="0"/>
            <w:vAlign w:val="center"/>
          </w:tcPr>
          <w:p w14:paraId="146F5CF9">
            <w:pPr>
              <w:autoSpaceDE w:val="0"/>
              <w:spacing w:line="360" w:lineRule="auto"/>
              <w:rPr>
                <w:rFonts w:hint="eastAsia" w:ascii="宋体" w:hAnsi="宋体" w:eastAsia="宋体" w:cs="宋体"/>
                <w:color w:val="auto"/>
                <w:sz w:val="24"/>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44867FCA">
            <w:pPr>
              <w:autoSpaceDE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r>
      <w:tr w14:paraId="2A95A3C6">
        <w:tblPrEx>
          <w:tblCellMar>
            <w:top w:w="0" w:type="dxa"/>
            <w:left w:w="0" w:type="dxa"/>
            <w:bottom w:w="0" w:type="dxa"/>
            <w:right w:w="0" w:type="dxa"/>
          </w:tblCellMar>
        </w:tblPrEx>
        <w:trPr>
          <w:trHeight w:val="625" w:hRule="atLeast"/>
          <w:jc w:val="center"/>
        </w:trPr>
        <w:tc>
          <w:tcPr>
            <w:tcW w:w="1135" w:type="dxa"/>
            <w:tcBorders>
              <w:top w:val="single" w:color="000000" w:sz="4" w:space="0"/>
              <w:left w:val="single" w:color="000000" w:sz="4" w:space="0"/>
              <w:bottom w:val="single" w:color="000000" w:sz="4" w:space="0"/>
              <w:right w:val="single" w:color="000000" w:sz="4" w:space="0"/>
            </w:tcBorders>
            <w:noWrap w:val="0"/>
            <w:vAlign w:val="center"/>
          </w:tcPr>
          <w:p w14:paraId="6B6F7CE9">
            <w:pPr>
              <w:autoSpaceDE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p>
        </w:tc>
        <w:tc>
          <w:tcPr>
            <w:tcW w:w="4450" w:type="dxa"/>
            <w:tcBorders>
              <w:top w:val="single" w:color="000000" w:sz="4" w:space="0"/>
              <w:left w:val="nil"/>
              <w:bottom w:val="single" w:color="000000" w:sz="4" w:space="0"/>
              <w:right w:val="single" w:color="000000" w:sz="4" w:space="0"/>
            </w:tcBorders>
            <w:noWrap w:val="0"/>
            <w:vAlign w:val="center"/>
          </w:tcPr>
          <w:p w14:paraId="168D92EB">
            <w:pPr>
              <w:autoSpaceDE w:val="0"/>
              <w:spacing w:line="360" w:lineRule="auto"/>
              <w:rPr>
                <w:rFonts w:hint="eastAsia" w:ascii="宋体" w:hAnsi="宋体" w:eastAsia="宋体" w:cs="宋体"/>
                <w:color w:val="auto"/>
                <w:sz w:val="24"/>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40F57A9C">
            <w:pPr>
              <w:autoSpaceDE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r>
      <w:tr w14:paraId="2E2961C5">
        <w:tblPrEx>
          <w:tblCellMar>
            <w:top w:w="0" w:type="dxa"/>
            <w:left w:w="0" w:type="dxa"/>
            <w:bottom w:w="0" w:type="dxa"/>
            <w:right w:w="0" w:type="dxa"/>
          </w:tblCellMar>
        </w:tblPrEx>
        <w:trPr>
          <w:trHeight w:val="625" w:hRule="atLeast"/>
          <w:jc w:val="center"/>
        </w:trPr>
        <w:tc>
          <w:tcPr>
            <w:tcW w:w="1135" w:type="dxa"/>
            <w:tcBorders>
              <w:top w:val="single" w:color="000000" w:sz="4" w:space="0"/>
              <w:left w:val="single" w:color="000000" w:sz="4" w:space="0"/>
              <w:bottom w:val="single" w:color="000000" w:sz="4" w:space="0"/>
              <w:right w:val="single" w:color="000000" w:sz="4" w:space="0"/>
            </w:tcBorders>
            <w:noWrap w:val="0"/>
            <w:vAlign w:val="center"/>
          </w:tcPr>
          <w:p w14:paraId="0EA3D6E7">
            <w:pPr>
              <w:autoSpaceDE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p>
        </w:tc>
        <w:tc>
          <w:tcPr>
            <w:tcW w:w="4450" w:type="dxa"/>
            <w:tcBorders>
              <w:top w:val="single" w:color="000000" w:sz="4" w:space="0"/>
              <w:left w:val="nil"/>
              <w:bottom w:val="single" w:color="000000" w:sz="4" w:space="0"/>
              <w:right w:val="single" w:color="000000" w:sz="4" w:space="0"/>
            </w:tcBorders>
            <w:noWrap w:val="0"/>
            <w:vAlign w:val="center"/>
          </w:tcPr>
          <w:p w14:paraId="248A75B4">
            <w:pPr>
              <w:autoSpaceDE w:val="0"/>
              <w:spacing w:line="360" w:lineRule="auto"/>
              <w:rPr>
                <w:rFonts w:hint="eastAsia" w:ascii="宋体" w:hAnsi="宋体" w:eastAsia="宋体" w:cs="宋体"/>
                <w:color w:val="auto"/>
                <w:sz w:val="24"/>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3ECF37B5">
            <w:pPr>
              <w:autoSpaceDE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r>
      <w:tr w14:paraId="70F83C9F">
        <w:tblPrEx>
          <w:tblCellMar>
            <w:top w:w="0" w:type="dxa"/>
            <w:left w:w="0" w:type="dxa"/>
            <w:bottom w:w="0" w:type="dxa"/>
            <w:right w:w="0" w:type="dxa"/>
          </w:tblCellMar>
        </w:tblPrEx>
        <w:trPr>
          <w:trHeight w:val="604" w:hRule="atLeast"/>
          <w:jc w:val="center"/>
        </w:trPr>
        <w:tc>
          <w:tcPr>
            <w:tcW w:w="1135" w:type="dxa"/>
            <w:tcBorders>
              <w:top w:val="single" w:color="000000" w:sz="4" w:space="0"/>
              <w:left w:val="single" w:color="000000" w:sz="4" w:space="0"/>
              <w:bottom w:val="single" w:color="000000" w:sz="4" w:space="0"/>
              <w:right w:val="single" w:color="000000" w:sz="4" w:space="0"/>
            </w:tcBorders>
            <w:noWrap w:val="0"/>
            <w:vAlign w:val="center"/>
          </w:tcPr>
          <w:p w14:paraId="7BEE27ED">
            <w:pPr>
              <w:autoSpaceDE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4450" w:type="dxa"/>
            <w:tcBorders>
              <w:top w:val="single" w:color="000000" w:sz="4" w:space="0"/>
              <w:left w:val="nil"/>
              <w:bottom w:val="single" w:color="000000" w:sz="4" w:space="0"/>
              <w:right w:val="single" w:color="000000" w:sz="4" w:space="0"/>
            </w:tcBorders>
            <w:noWrap w:val="0"/>
            <w:vAlign w:val="center"/>
          </w:tcPr>
          <w:p w14:paraId="15EBF221">
            <w:pPr>
              <w:autoSpaceDE w:val="0"/>
              <w:spacing w:line="360" w:lineRule="auto"/>
              <w:rPr>
                <w:rFonts w:hint="eastAsia" w:ascii="宋体" w:hAnsi="宋体" w:eastAsia="宋体" w:cs="宋体"/>
                <w:color w:val="auto"/>
                <w:sz w:val="24"/>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0BD4C1BB">
            <w:pPr>
              <w:autoSpaceDE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r>
      <w:tr w14:paraId="29855D91">
        <w:tblPrEx>
          <w:tblCellMar>
            <w:top w:w="0" w:type="dxa"/>
            <w:left w:w="0" w:type="dxa"/>
            <w:bottom w:w="0" w:type="dxa"/>
            <w:right w:w="0" w:type="dxa"/>
          </w:tblCellMar>
        </w:tblPrEx>
        <w:trPr>
          <w:trHeight w:val="821" w:hRule="atLeast"/>
          <w:jc w:val="center"/>
        </w:trPr>
        <w:tc>
          <w:tcPr>
            <w:tcW w:w="1135" w:type="dxa"/>
            <w:vMerge w:val="restart"/>
            <w:tcBorders>
              <w:top w:val="nil"/>
              <w:left w:val="single" w:color="000000" w:sz="4" w:space="0"/>
              <w:bottom w:val="single" w:color="000000" w:sz="4" w:space="0"/>
              <w:right w:val="single" w:color="000000" w:sz="4" w:space="0"/>
            </w:tcBorders>
            <w:noWrap w:val="0"/>
            <w:vAlign w:val="center"/>
          </w:tcPr>
          <w:p w14:paraId="3F5CB9F1">
            <w:pPr>
              <w:autoSpaceDE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其中：</w:t>
            </w:r>
          </w:p>
        </w:tc>
        <w:tc>
          <w:tcPr>
            <w:tcW w:w="4450" w:type="dxa"/>
            <w:tcBorders>
              <w:top w:val="single" w:color="000000" w:sz="4" w:space="0"/>
              <w:left w:val="nil"/>
              <w:bottom w:val="single" w:color="000000" w:sz="4" w:space="0"/>
              <w:right w:val="single" w:color="000000" w:sz="4" w:space="0"/>
            </w:tcBorders>
            <w:noWrap w:val="0"/>
            <w:vAlign w:val="center"/>
          </w:tcPr>
          <w:p w14:paraId="335B376C">
            <w:pPr>
              <w:autoSpaceDE w:val="0"/>
              <w:spacing w:line="360" w:lineRule="auto"/>
              <w:rPr>
                <w:rFonts w:hint="eastAsia" w:ascii="宋体" w:hAnsi="宋体" w:eastAsia="宋体" w:cs="宋体"/>
                <w:color w:val="auto"/>
                <w:sz w:val="24"/>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635D7098">
            <w:pPr>
              <w:autoSpaceDE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r>
      <w:tr w14:paraId="37D1A394">
        <w:tblPrEx>
          <w:tblCellMar>
            <w:top w:w="0" w:type="dxa"/>
            <w:left w:w="0" w:type="dxa"/>
            <w:bottom w:w="0" w:type="dxa"/>
            <w:right w:w="0" w:type="dxa"/>
          </w:tblCellMar>
        </w:tblPrEx>
        <w:trPr>
          <w:trHeight w:val="290" w:hRule="atLeast"/>
          <w:jc w:val="center"/>
        </w:trPr>
        <w:tc>
          <w:tcPr>
            <w:tcW w:w="1135" w:type="dxa"/>
            <w:vMerge w:val="continue"/>
            <w:tcBorders>
              <w:top w:val="nil"/>
              <w:left w:val="single" w:color="000000" w:sz="4" w:space="0"/>
              <w:bottom w:val="single" w:color="000000" w:sz="4" w:space="0"/>
              <w:right w:val="single" w:color="000000" w:sz="4" w:space="0"/>
            </w:tcBorders>
            <w:noWrap w:val="0"/>
            <w:vAlign w:val="center"/>
          </w:tcPr>
          <w:p w14:paraId="14E75B54">
            <w:pPr>
              <w:widowControl/>
              <w:autoSpaceDE w:val="0"/>
              <w:spacing w:line="360" w:lineRule="auto"/>
              <w:jc w:val="left"/>
              <w:rPr>
                <w:rFonts w:hint="eastAsia" w:ascii="宋体" w:hAnsi="宋体" w:eastAsia="宋体" w:cs="宋体"/>
                <w:color w:val="auto"/>
                <w:sz w:val="24"/>
                <w:highlight w:val="none"/>
              </w:rPr>
            </w:pPr>
          </w:p>
        </w:tc>
        <w:tc>
          <w:tcPr>
            <w:tcW w:w="4450" w:type="dxa"/>
            <w:tcBorders>
              <w:top w:val="single" w:color="000000" w:sz="4" w:space="0"/>
              <w:left w:val="nil"/>
              <w:bottom w:val="single" w:color="000000" w:sz="4" w:space="0"/>
              <w:right w:val="single" w:color="000000" w:sz="4" w:space="0"/>
            </w:tcBorders>
            <w:noWrap w:val="0"/>
            <w:vAlign w:val="center"/>
          </w:tcPr>
          <w:p w14:paraId="147362BB">
            <w:pPr>
              <w:autoSpaceDE w:val="0"/>
              <w:spacing w:line="360" w:lineRule="auto"/>
              <w:rPr>
                <w:rFonts w:hint="eastAsia" w:ascii="宋体" w:hAnsi="宋体" w:eastAsia="宋体" w:cs="宋体"/>
                <w:color w:val="auto"/>
                <w:sz w:val="24"/>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6E304E1B">
            <w:pPr>
              <w:autoSpaceDE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r>
      <w:tr w14:paraId="2BDDAF85">
        <w:tblPrEx>
          <w:tblCellMar>
            <w:top w:w="0" w:type="dxa"/>
            <w:left w:w="0" w:type="dxa"/>
            <w:bottom w:w="0" w:type="dxa"/>
            <w:right w:w="0" w:type="dxa"/>
          </w:tblCellMar>
        </w:tblPrEx>
        <w:trPr>
          <w:trHeight w:val="290" w:hRule="atLeast"/>
          <w:jc w:val="center"/>
        </w:trPr>
        <w:tc>
          <w:tcPr>
            <w:tcW w:w="1135" w:type="dxa"/>
            <w:vMerge w:val="continue"/>
            <w:tcBorders>
              <w:top w:val="nil"/>
              <w:left w:val="single" w:color="000000" w:sz="4" w:space="0"/>
              <w:bottom w:val="single" w:color="000000" w:sz="4" w:space="0"/>
              <w:right w:val="single" w:color="000000" w:sz="4" w:space="0"/>
            </w:tcBorders>
            <w:noWrap w:val="0"/>
            <w:vAlign w:val="center"/>
          </w:tcPr>
          <w:p w14:paraId="30432F68">
            <w:pPr>
              <w:widowControl/>
              <w:autoSpaceDE w:val="0"/>
              <w:spacing w:line="360" w:lineRule="auto"/>
              <w:jc w:val="left"/>
              <w:rPr>
                <w:rFonts w:hint="eastAsia" w:ascii="宋体" w:hAnsi="宋体" w:eastAsia="宋体" w:cs="宋体"/>
                <w:color w:val="auto"/>
                <w:sz w:val="24"/>
                <w:highlight w:val="none"/>
              </w:rPr>
            </w:pPr>
          </w:p>
        </w:tc>
        <w:tc>
          <w:tcPr>
            <w:tcW w:w="4450" w:type="dxa"/>
            <w:tcBorders>
              <w:top w:val="single" w:color="000000" w:sz="4" w:space="0"/>
              <w:left w:val="nil"/>
              <w:bottom w:val="single" w:color="000000" w:sz="4" w:space="0"/>
              <w:right w:val="single" w:color="000000" w:sz="4" w:space="0"/>
            </w:tcBorders>
            <w:noWrap w:val="0"/>
            <w:vAlign w:val="center"/>
          </w:tcPr>
          <w:p w14:paraId="64B42450">
            <w:pPr>
              <w:autoSpaceDE w:val="0"/>
              <w:spacing w:line="360" w:lineRule="auto"/>
              <w:rPr>
                <w:rFonts w:hint="eastAsia" w:ascii="宋体" w:hAnsi="宋体" w:eastAsia="宋体" w:cs="宋体"/>
                <w:color w:val="auto"/>
                <w:sz w:val="24"/>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53686681">
            <w:pPr>
              <w:autoSpaceDE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r>
      <w:tr w14:paraId="38419342">
        <w:tblPrEx>
          <w:tblCellMar>
            <w:top w:w="0" w:type="dxa"/>
            <w:left w:w="0" w:type="dxa"/>
            <w:bottom w:w="0" w:type="dxa"/>
            <w:right w:w="0" w:type="dxa"/>
          </w:tblCellMar>
        </w:tblPrEx>
        <w:trPr>
          <w:trHeight w:val="290" w:hRule="atLeast"/>
          <w:jc w:val="center"/>
        </w:trPr>
        <w:tc>
          <w:tcPr>
            <w:tcW w:w="1135" w:type="dxa"/>
            <w:vMerge w:val="continue"/>
            <w:tcBorders>
              <w:top w:val="nil"/>
              <w:left w:val="single" w:color="000000" w:sz="4" w:space="0"/>
              <w:bottom w:val="single" w:color="000000" w:sz="4" w:space="0"/>
              <w:right w:val="single" w:color="000000" w:sz="4" w:space="0"/>
            </w:tcBorders>
            <w:noWrap w:val="0"/>
            <w:vAlign w:val="center"/>
          </w:tcPr>
          <w:p w14:paraId="3DD42F56">
            <w:pPr>
              <w:widowControl/>
              <w:autoSpaceDE w:val="0"/>
              <w:spacing w:line="360" w:lineRule="auto"/>
              <w:jc w:val="left"/>
              <w:rPr>
                <w:rFonts w:hint="eastAsia" w:ascii="宋体" w:hAnsi="宋体" w:eastAsia="宋体" w:cs="宋体"/>
                <w:color w:val="auto"/>
                <w:sz w:val="24"/>
                <w:highlight w:val="none"/>
              </w:rPr>
            </w:pPr>
          </w:p>
        </w:tc>
        <w:tc>
          <w:tcPr>
            <w:tcW w:w="4450" w:type="dxa"/>
            <w:tcBorders>
              <w:top w:val="single" w:color="000000" w:sz="4" w:space="0"/>
              <w:left w:val="nil"/>
              <w:bottom w:val="single" w:color="000000" w:sz="4" w:space="0"/>
              <w:right w:val="single" w:color="000000" w:sz="4" w:space="0"/>
            </w:tcBorders>
            <w:noWrap w:val="0"/>
            <w:vAlign w:val="center"/>
          </w:tcPr>
          <w:p w14:paraId="730FDDD5">
            <w:pPr>
              <w:autoSpaceDE w:val="0"/>
              <w:spacing w:line="360" w:lineRule="auto"/>
              <w:rPr>
                <w:rFonts w:hint="eastAsia" w:ascii="宋体" w:hAnsi="宋体" w:eastAsia="宋体" w:cs="宋体"/>
                <w:color w:val="auto"/>
                <w:sz w:val="24"/>
                <w:highlight w:val="none"/>
              </w:rPr>
            </w:pPr>
          </w:p>
        </w:tc>
        <w:tc>
          <w:tcPr>
            <w:tcW w:w="3761" w:type="dxa"/>
            <w:tcBorders>
              <w:top w:val="single" w:color="000000" w:sz="4" w:space="0"/>
              <w:left w:val="nil"/>
              <w:bottom w:val="single" w:color="000000" w:sz="4" w:space="0"/>
              <w:right w:val="single" w:color="000000" w:sz="4" w:space="0"/>
            </w:tcBorders>
            <w:noWrap w:val="0"/>
            <w:vAlign w:val="center"/>
          </w:tcPr>
          <w:p w14:paraId="212EA672">
            <w:pPr>
              <w:autoSpaceDE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r>
    </w:tbl>
    <w:p w14:paraId="62E1A75E">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p w14:paraId="66BB636C">
      <w:pPr>
        <w:keepNext w:val="0"/>
        <w:keepLines w:val="0"/>
        <w:pageBreakBefore w:val="0"/>
        <w:kinsoku/>
        <w:wordWrap/>
        <w:overflowPunct/>
        <w:topLinePunct w:val="0"/>
        <w:bidi w:val="0"/>
        <w:adjustRightInd/>
        <w:snapToGrid w:val="0"/>
        <w:spacing w:before="50" w:after="50" w:line="360" w:lineRule="auto"/>
        <w:ind w:firstLine="420" w:firstLineChars="200"/>
        <w:jc w:val="lef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注： 1、供应商需按本表格式填写，不得自行更改，也不得留空（</w:t>
      </w:r>
      <w:r>
        <w:rPr>
          <w:rFonts w:hint="eastAsia" w:ascii="宋体" w:hAnsi="宋体" w:eastAsia="宋体" w:cs="宋体"/>
          <w:color w:val="auto"/>
          <w:szCs w:val="21"/>
          <w:highlight w:val="none"/>
        </w:rPr>
        <w:t>备注除外</w:t>
      </w:r>
      <w:r>
        <w:rPr>
          <w:rFonts w:hint="eastAsia" w:ascii="宋体" w:hAnsi="宋体" w:eastAsia="宋体" w:cs="宋体"/>
          <w:color w:val="auto"/>
          <w:kern w:val="0"/>
          <w:szCs w:val="21"/>
          <w:highlight w:val="none"/>
          <w:lang w:val="zh-CN"/>
        </w:rPr>
        <w:t>）, 如有多分标，按分标分别提供响应报价表，</w:t>
      </w:r>
      <w:r>
        <w:rPr>
          <w:rFonts w:hint="eastAsia" w:ascii="宋体" w:hAnsi="宋体" w:eastAsia="宋体" w:cs="宋体"/>
          <w:b/>
          <w:color w:val="auto"/>
          <w:kern w:val="0"/>
          <w:szCs w:val="21"/>
          <w:highlight w:val="none"/>
          <w:lang w:val="zh-CN"/>
        </w:rPr>
        <w:t>否则其响应按无效响应处理。</w:t>
      </w:r>
    </w:p>
    <w:p w14:paraId="717F4894">
      <w:pPr>
        <w:keepNext w:val="0"/>
        <w:keepLines w:val="0"/>
        <w:pageBreakBefore w:val="0"/>
        <w:kinsoku/>
        <w:wordWrap/>
        <w:overflowPunct/>
        <w:topLinePunct w:val="0"/>
        <w:bidi w:val="0"/>
        <w:adjustRightInd/>
        <w:snapToGrid w:val="0"/>
        <w:spacing w:before="50" w:after="50" w:line="360" w:lineRule="auto"/>
        <w:ind w:firstLine="420" w:firstLineChars="200"/>
        <w:jc w:val="left"/>
        <w:textAlignment w:val="auto"/>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2、如为联合体响应的，“供应商名称”处必须列明联合体各方名称，并标注联合体牵头人名称，且盖章处须加盖联合体各方公章，</w:t>
      </w:r>
      <w:r>
        <w:rPr>
          <w:rFonts w:hint="eastAsia" w:ascii="宋体" w:hAnsi="宋体" w:eastAsia="宋体" w:cs="宋体"/>
          <w:b/>
          <w:color w:val="auto"/>
          <w:kern w:val="0"/>
          <w:szCs w:val="21"/>
          <w:highlight w:val="none"/>
          <w:lang w:val="zh-CN"/>
        </w:rPr>
        <w:t>否则其响应按无效响应处理。</w:t>
      </w:r>
    </w:p>
    <w:p w14:paraId="1F6FF10E">
      <w:pPr>
        <w:keepNext w:val="0"/>
        <w:keepLines w:val="0"/>
        <w:pageBreakBefore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zh-CN"/>
        </w:rPr>
        <w:t>、特别提示：采购代理机构将对项目名称和项目编号，成交供应商名称、成交金额，</w:t>
      </w:r>
      <w:r>
        <w:rPr>
          <w:rFonts w:hint="eastAsia" w:ascii="宋体" w:hAnsi="宋体" w:eastAsia="宋体" w:cs="宋体"/>
          <w:color w:val="auto"/>
          <w:highlight w:val="none"/>
        </w:rPr>
        <w:t>工期</w:t>
      </w:r>
      <w:r>
        <w:rPr>
          <w:rFonts w:hint="eastAsia" w:ascii="宋体" w:hAnsi="宋体" w:eastAsia="宋体" w:cs="宋体"/>
          <w:color w:val="auto"/>
          <w:kern w:val="0"/>
          <w:szCs w:val="21"/>
          <w:highlight w:val="none"/>
          <w:lang w:val="zh-CN"/>
        </w:rPr>
        <w:t>、</w:t>
      </w:r>
      <w:r>
        <w:rPr>
          <w:rFonts w:hint="eastAsia" w:ascii="宋体" w:hAnsi="宋体" w:eastAsia="宋体" w:cs="宋体"/>
          <w:color w:val="auto"/>
          <w:highlight w:val="none"/>
        </w:rPr>
        <w:t>工程内容</w:t>
      </w:r>
      <w:r>
        <w:rPr>
          <w:rFonts w:hint="eastAsia" w:ascii="宋体" w:hAnsi="宋体" w:eastAsia="宋体" w:cs="宋体"/>
          <w:color w:val="auto"/>
          <w:kern w:val="0"/>
          <w:szCs w:val="21"/>
          <w:highlight w:val="none"/>
          <w:lang w:val="zh-CN"/>
        </w:rPr>
        <w:t>等予以公示。</w:t>
      </w:r>
    </w:p>
    <w:p w14:paraId="3C8BF03F">
      <w:pPr>
        <w:keepNext w:val="0"/>
        <w:keepLines w:val="0"/>
        <w:pageBreakBefore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zh-CN"/>
        </w:rPr>
        <w:t>、符合采购文件中列明的可享受中小企业扶持政策的供应商，请填写中小企业声明函。</w:t>
      </w:r>
    </w:p>
    <w:p w14:paraId="3113D7C5">
      <w:pPr>
        <w:keepNext w:val="0"/>
        <w:keepLines w:val="0"/>
        <w:pageBreakBefore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5、供应商提供的中小企业声明函内容不实的，属于提供虚假材料谋取中标、成交，依照《中华人民共和国政府采购法》等国家有关规定追究相应责任。</w:t>
      </w:r>
    </w:p>
    <w:p w14:paraId="4DC3FC5F">
      <w:pPr>
        <w:keepNext w:val="0"/>
        <w:keepLines w:val="0"/>
        <w:pageBreakBefore w:val="0"/>
        <w:kinsoku/>
        <w:wordWrap/>
        <w:overflowPunct/>
        <w:topLinePunct w:val="0"/>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val="zh-CN"/>
        </w:rPr>
        <w:t>总报价含建安劳保费</w:t>
      </w:r>
    </w:p>
    <w:p w14:paraId="4C0496CA">
      <w:pPr>
        <w:keepNext w:val="0"/>
        <w:keepLines w:val="0"/>
        <w:pageBreakBefore w:val="0"/>
        <w:kinsoku/>
        <w:wordWrap/>
        <w:overflowPunct/>
        <w:topLinePunct w:val="0"/>
        <w:bidi w:val="0"/>
        <w:adjustRightInd/>
        <w:spacing w:line="360" w:lineRule="auto"/>
        <w:ind w:firstLine="4410" w:firstLineChars="21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盖电子</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u w:val="single"/>
        </w:rPr>
        <w:t xml:space="preserve">                   </w:t>
      </w:r>
    </w:p>
    <w:p w14:paraId="29EAA9BA">
      <w:pPr>
        <w:keepNext w:val="0"/>
        <w:keepLines w:val="0"/>
        <w:pageBreakBefore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D9F0E9C">
      <w:pPr>
        <w:pageBreakBefore w:val="0"/>
        <w:numPr>
          <w:ilvl w:val="0"/>
          <w:numId w:val="0"/>
        </w:numPr>
        <w:kinsoku/>
        <w:wordWrap/>
        <w:overflowPunct/>
        <w:topLinePunct w:val="0"/>
        <w:bidi w:val="0"/>
        <w:adjustRightIn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已标价工程量清单</w:t>
      </w:r>
    </w:p>
    <w:p w14:paraId="611E1881">
      <w:pPr>
        <w:spacing w:line="360" w:lineRule="auto"/>
        <w:ind w:firstLine="420" w:firstLineChars="200"/>
        <w:contextualSpacing/>
        <w:jc w:val="left"/>
        <w:rPr>
          <w:rFonts w:hint="eastAsia" w:ascii="宋体" w:hAnsi="宋体" w:eastAsia="宋体" w:cs="宋体"/>
          <w:color w:val="auto"/>
          <w:highlight w:val="none"/>
        </w:rPr>
      </w:pPr>
      <w:r>
        <w:rPr>
          <w:rFonts w:hint="eastAsia" w:ascii="宋体" w:hAnsi="宋体" w:eastAsia="宋体" w:cs="宋体"/>
          <w:color w:val="auto"/>
          <w:highlight w:val="none"/>
        </w:rPr>
        <w:t>供应商应按照第</w:t>
      </w:r>
      <w:r>
        <w:rPr>
          <w:rFonts w:hint="eastAsia" w:ascii="宋体" w:hAnsi="宋体" w:eastAsia="宋体" w:cs="宋体"/>
          <w:color w:val="auto"/>
          <w:highlight w:val="none"/>
          <w:lang w:eastAsia="zh-CN"/>
        </w:rPr>
        <w:t>七</w:t>
      </w:r>
      <w:r>
        <w:rPr>
          <w:rFonts w:hint="eastAsia" w:ascii="宋体" w:hAnsi="宋体" w:eastAsia="宋体" w:cs="宋体"/>
          <w:color w:val="auto"/>
          <w:highlight w:val="none"/>
        </w:rPr>
        <w:t>章“工程量清单、图纸”的要求逐项填报工程量清单，包括工程量清单说明、投标报价说明、计日工说明、其他说明及工程量清单各项表格。</w:t>
      </w:r>
    </w:p>
    <w:p w14:paraId="095E0EC3">
      <w:pPr>
        <w:spacing w:line="360" w:lineRule="auto"/>
        <w:ind w:firstLine="420" w:firstLineChars="200"/>
        <w:contextualSpacing/>
        <w:jc w:val="left"/>
        <w:rPr>
          <w:rFonts w:hint="eastAsia" w:ascii="宋体" w:hAnsi="宋体" w:eastAsia="宋体" w:cs="宋体"/>
          <w:color w:val="auto"/>
          <w:highlight w:val="none"/>
        </w:rPr>
      </w:pPr>
    </w:p>
    <w:p w14:paraId="5752A297">
      <w:pPr>
        <w:spacing w:line="360" w:lineRule="auto"/>
        <w:ind w:firstLine="420" w:firstLineChars="200"/>
        <w:contextualSpacing/>
        <w:jc w:val="left"/>
        <w:rPr>
          <w:rFonts w:hint="eastAsia" w:ascii="宋体" w:hAnsi="宋体" w:eastAsia="宋体" w:cs="宋体"/>
          <w:color w:val="auto"/>
          <w:highlight w:val="none"/>
        </w:rPr>
      </w:pPr>
    </w:p>
    <w:p w14:paraId="7C56558E">
      <w:pPr>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color w:val="auto"/>
          <w:sz w:val="21"/>
          <w:szCs w:val="21"/>
          <w:highlight w:val="none"/>
        </w:rPr>
        <w:t>当本清单由多页构成时，需逐页加盖磋商供应商电子公章（CA签章）（属自然人的须逐页签字或个人CA签章）。</w:t>
      </w:r>
    </w:p>
    <w:p w14:paraId="55F8B349">
      <w:pPr>
        <w:spacing w:line="360" w:lineRule="auto"/>
        <w:ind w:firstLine="420" w:firstLineChars="200"/>
        <w:contextualSpacing/>
        <w:jc w:val="left"/>
        <w:rPr>
          <w:rFonts w:hint="eastAsia" w:ascii="宋体" w:hAnsi="宋体" w:eastAsia="宋体" w:cs="宋体"/>
          <w:color w:val="auto"/>
          <w:highlight w:val="none"/>
        </w:rPr>
      </w:pPr>
    </w:p>
    <w:p w14:paraId="15947EB3">
      <w:pPr>
        <w:pageBreakBefore w:val="0"/>
        <w:kinsoku/>
        <w:wordWrap/>
        <w:overflowPunct/>
        <w:topLinePunct w:val="0"/>
        <w:bidi w:val="0"/>
        <w:adjustRightInd/>
        <w:spacing w:line="360" w:lineRule="auto"/>
        <w:textAlignment w:val="auto"/>
        <w:rPr>
          <w:rFonts w:hint="eastAsia" w:ascii="宋体" w:hAnsi="宋体" w:eastAsia="宋体" w:cs="宋体"/>
          <w:b/>
          <w:color w:val="auto"/>
          <w:sz w:val="28"/>
          <w:szCs w:val="28"/>
          <w:highlight w:val="none"/>
          <w:lang w:val="zh-CN"/>
        </w:rPr>
      </w:pPr>
    </w:p>
    <w:p w14:paraId="45C51FDB">
      <w:pPr>
        <w:pageBreakBefore w:val="0"/>
        <w:kinsoku/>
        <w:wordWrap/>
        <w:overflowPunct/>
        <w:topLinePunct w:val="0"/>
        <w:bidi w:val="0"/>
        <w:adjustRightInd/>
        <w:spacing w:line="360" w:lineRule="auto"/>
        <w:textAlignment w:val="auto"/>
        <w:rPr>
          <w:rFonts w:hint="eastAsia" w:ascii="宋体" w:hAnsi="宋体" w:eastAsia="宋体" w:cs="宋体"/>
          <w:b/>
          <w:color w:val="auto"/>
          <w:sz w:val="28"/>
          <w:szCs w:val="28"/>
          <w:highlight w:val="none"/>
          <w:lang w:val="zh-CN"/>
        </w:rPr>
      </w:pPr>
    </w:p>
    <w:p w14:paraId="5F0EBE50">
      <w:pPr>
        <w:pageBreakBefore w:val="0"/>
        <w:kinsoku/>
        <w:wordWrap/>
        <w:overflowPunct/>
        <w:topLinePunct w:val="0"/>
        <w:bidi w:val="0"/>
        <w:adjustRightInd/>
        <w:spacing w:line="360" w:lineRule="auto"/>
        <w:textAlignment w:val="auto"/>
        <w:rPr>
          <w:rFonts w:hint="eastAsia" w:ascii="宋体" w:hAnsi="宋体" w:eastAsia="宋体" w:cs="宋体"/>
          <w:b/>
          <w:color w:val="auto"/>
          <w:sz w:val="28"/>
          <w:szCs w:val="28"/>
          <w:highlight w:val="none"/>
          <w:lang w:val="zh-CN"/>
        </w:rPr>
      </w:pPr>
    </w:p>
    <w:p w14:paraId="5D240DCC">
      <w:pPr>
        <w:pageBreakBefore w:val="0"/>
        <w:kinsoku/>
        <w:wordWrap/>
        <w:overflowPunct/>
        <w:topLinePunct w:val="0"/>
        <w:bidi w:val="0"/>
        <w:adjustRightInd/>
        <w:spacing w:line="360" w:lineRule="auto"/>
        <w:textAlignment w:val="auto"/>
        <w:rPr>
          <w:rFonts w:hint="eastAsia" w:ascii="宋体" w:hAnsi="宋体" w:eastAsia="宋体" w:cs="宋体"/>
          <w:b/>
          <w:color w:val="auto"/>
          <w:sz w:val="28"/>
          <w:szCs w:val="28"/>
          <w:highlight w:val="none"/>
          <w:lang w:val="zh-CN"/>
        </w:rPr>
      </w:pPr>
    </w:p>
    <w:p w14:paraId="64FC0974">
      <w:pPr>
        <w:pageBreakBefore w:val="0"/>
        <w:kinsoku/>
        <w:wordWrap/>
        <w:overflowPunct/>
        <w:topLinePunct w:val="0"/>
        <w:bidi w:val="0"/>
        <w:adjustRightInd/>
        <w:spacing w:line="360" w:lineRule="auto"/>
        <w:textAlignment w:val="auto"/>
        <w:rPr>
          <w:rFonts w:hint="eastAsia" w:ascii="宋体" w:hAnsi="宋体" w:eastAsia="宋体" w:cs="宋体"/>
          <w:b/>
          <w:color w:val="auto"/>
          <w:sz w:val="28"/>
          <w:szCs w:val="28"/>
          <w:highlight w:val="none"/>
          <w:lang w:val="zh-CN"/>
        </w:rPr>
      </w:pPr>
    </w:p>
    <w:p w14:paraId="337D87E9">
      <w:pPr>
        <w:pageBreakBefore w:val="0"/>
        <w:kinsoku/>
        <w:wordWrap/>
        <w:overflowPunct/>
        <w:topLinePunct w:val="0"/>
        <w:bidi w:val="0"/>
        <w:adjustRightInd/>
        <w:spacing w:line="360" w:lineRule="auto"/>
        <w:textAlignment w:val="auto"/>
        <w:rPr>
          <w:rFonts w:hint="eastAsia" w:ascii="宋体" w:hAnsi="宋体" w:eastAsia="宋体" w:cs="宋体"/>
          <w:b/>
          <w:color w:val="auto"/>
          <w:sz w:val="28"/>
          <w:szCs w:val="28"/>
          <w:highlight w:val="none"/>
          <w:lang w:val="zh-CN"/>
        </w:rPr>
      </w:pPr>
    </w:p>
    <w:p w14:paraId="31D70D1A">
      <w:pPr>
        <w:pageBreakBefore w:val="0"/>
        <w:kinsoku/>
        <w:wordWrap/>
        <w:overflowPunct/>
        <w:topLinePunct w:val="0"/>
        <w:bidi w:val="0"/>
        <w:adjustRightInd/>
        <w:spacing w:line="360" w:lineRule="auto"/>
        <w:textAlignment w:val="auto"/>
        <w:rPr>
          <w:rFonts w:hint="eastAsia" w:ascii="宋体" w:hAnsi="宋体" w:eastAsia="宋体" w:cs="宋体"/>
          <w:b/>
          <w:color w:val="auto"/>
          <w:sz w:val="28"/>
          <w:szCs w:val="28"/>
          <w:highlight w:val="none"/>
          <w:lang w:val="zh-CN"/>
        </w:rPr>
      </w:pPr>
    </w:p>
    <w:p w14:paraId="1EFE10F3">
      <w:pPr>
        <w:pageBreakBefore w:val="0"/>
        <w:kinsoku/>
        <w:wordWrap/>
        <w:overflowPunct/>
        <w:topLinePunct w:val="0"/>
        <w:bidi w:val="0"/>
        <w:adjustRightInd/>
        <w:spacing w:line="360" w:lineRule="auto"/>
        <w:textAlignment w:val="auto"/>
        <w:rPr>
          <w:rFonts w:hint="eastAsia" w:ascii="宋体" w:hAnsi="宋体" w:eastAsia="宋体" w:cs="宋体"/>
          <w:b/>
          <w:color w:val="auto"/>
          <w:sz w:val="28"/>
          <w:szCs w:val="28"/>
          <w:highlight w:val="none"/>
          <w:lang w:val="zh-CN"/>
        </w:rPr>
      </w:pPr>
    </w:p>
    <w:p w14:paraId="3081C5F4">
      <w:pPr>
        <w:pageBreakBefore w:val="0"/>
        <w:kinsoku/>
        <w:wordWrap/>
        <w:overflowPunct/>
        <w:topLinePunct w:val="0"/>
        <w:bidi w:val="0"/>
        <w:adjustRightInd/>
        <w:spacing w:line="360" w:lineRule="auto"/>
        <w:textAlignment w:val="auto"/>
        <w:rPr>
          <w:rFonts w:hint="eastAsia" w:ascii="宋体" w:hAnsi="宋体" w:eastAsia="宋体" w:cs="宋体"/>
          <w:b/>
          <w:color w:val="auto"/>
          <w:sz w:val="28"/>
          <w:szCs w:val="28"/>
          <w:highlight w:val="none"/>
          <w:lang w:val="zh-CN"/>
        </w:rPr>
      </w:pPr>
    </w:p>
    <w:p w14:paraId="1CB4F294">
      <w:pPr>
        <w:pageBreakBefore w:val="0"/>
        <w:kinsoku/>
        <w:wordWrap/>
        <w:overflowPunct/>
        <w:topLinePunct w:val="0"/>
        <w:bidi w:val="0"/>
        <w:adjustRightInd/>
        <w:spacing w:line="360" w:lineRule="auto"/>
        <w:textAlignment w:val="auto"/>
        <w:rPr>
          <w:rFonts w:hint="eastAsia" w:ascii="宋体" w:hAnsi="宋体" w:eastAsia="宋体" w:cs="宋体"/>
          <w:b/>
          <w:color w:val="auto"/>
          <w:sz w:val="28"/>
          <w:szCs w:val="28"/>
          <w:highlight w:val="none"/>
          <w:lang w:val="zh-CN"/>
        </w:rPr>
      </w:pPr>
    </w:p>
    <w:p w14:paraId="29A61647">
      <w:pPr>
        <w:pageBreakBefore w:val="0"/>
        <w:kinsoku/>
        <w:wordWrap/>
        <w:overflowPunct/>
        <w:topLinePunct w:val="0"/>
        <w:bidi w:val="0"/>
        <w:adjustRightInd/>
        <w:spacing w:line="360" w:lineRule="auto"/>
        <w:textAlignment w:val="auto"/>
        <w:rPr>
          <w:rFonts w:hint="eastAsia" w:ascii="宋体" w:hAnsi="宋体" w:eastAsia="宋体" w:cs="宋体"/>
          <w:b/>
          <w:color w:val="auto"/>
          <w:sz w:val="28"/>
          <w:szCs w:val="28"/>
          <w:highlight w:val="none"/>
          <w:lang w:val="zh-CN"/>
        </w:rPr>
      </w:pPr>
    </w:p>
    <w:p w14:paraId="6DD04EB7">
      <w:pPr>
        <w:pageBreakBefore w:val="0"/>
        <w:kinsoku/>
        <w:wordWrap/>
        <w:overflowPunct/>
        <w:topLinePunct w:val="0"/>
        <w:bidi w:val="0"/>
        <w:adjustRightInd/>
        <w:spacing w:line="360" w:lineRule="auto"/>
        <w:textAlignment w:val="auto"/>
        <w:rPr>
          <w:rFonts w:hint="eastAsia" w:ascii="宋体" w:hAnsi="宋体" w:eastAsia="宋体" w:cs="宋体"/>
          <w:b/>
          <w:color w:val="auto"/>
          <w:sz w:val="28"/>
          <w:szCs w:val="28"/>
          <w:highlight w:val="none"/>
          <w:lang w:val="zh-CN"/>
        </w:rPr>
      </w:pPr>
    </w:p>
    <w:p w14:paraId="149C0C6D">
      <w:pPr>
        <w:pageBreakBefore w:val="0"/>
        <w:kinsoku/>
        <w:wordWrap/>
        <w:overflowPunct/>
        <w:topLinePunct w:val="0"/>
        <w:bidi w:val="0"/>
        <w:adjustRightInd/>
        <w:spacing w:line="360" w:lineRule="auto"/>
        <w:textAlignment w:val="auto"/>
        <w:rPr>
          <w:rFonts w:hint="eastAsia" w:ascii="宋体" w:hAnsi="宋体" w:eastAsia="宋体" w:cs="宋体"/>
          <w:b/>
          <w:color w:val="auto"/>
          <w:sz w:val="28"/>
          <w:szCs w:val="28"/>
          <w:highlight w:val="none"/>
          <w:lang w:val="zh-CN"/>
        </w:rPr>
      </w:pPr>
    </w:p>
    <w:p w14:paraId="636545D2">
      <w:pPr>
        <w:pageBreakBefore w:val="0"/>
        <w:kinsoku/>
        <w:wordWrap/>
        <w:overflowPunct/>
        <w:topLinePunct w:val="0"/>
        <w:bidi w:val="0"/>
        <w:adjustRightInd/>
        <w:spacing w:line="360" w:lineRule="auto"/>
        <w:textAlignment w:val="auto"/>
        <w:rPr>
          <w:rFonts w:hint="eastAsia" w:ascii="宋体" w:hAnsi="宋体" w:eastAsia="宋体" w:cs="宋体"/>
          <w:b/>
          <w:color w:val="auto"/>
          <w:sz w:val="28"/>
          <w:szCs w:val="28"/>
          <w:highlight w:val="none"/>
          <w:lang w:val="zh-CN"/>
        </w:rPr>
      </w:pPr>
    </w:p>
    <w:p w14:paraId="3C09473F">
      <w:pPr>
        <w:pageBreakBefore w:val="0"/>
        <w:kinsoku/>
        <w:wordWrap/>
        <w:overflowPunct/>
        <w:topLinePunct w:val="0"/>
        <w:bidi w:val="0"/>
        <w:adjustRightInd/>
        <w:spacing w:line="360" w:lineRule="auto"/>
        <w:textAlignment w:val="auto"/>
        <w:rPr>
          <w:rFonts w:hint="eastAsia" w:ascii="宋体" w:hAnsi="宋体" w:eastAsia="宋体" w:cs="宋体"/>
          <w:b/>
          <w:color w:val="auto"/>
          <w:sz w:val="28"/>
          <w:szCs w:val="28"/>
          <w:highlight w:val="none"/>
          <w:lang w:val="zh-CN"/>
        </w:rPr>
      </w:pPr>
    </w:p>
    <w:p w14:paraId="573A09AA">
      <w:pPr>
        <w:pageBreakBefore w:val="0"/>
        <w:kinsoku/>
        <w:wordWrap/>
        <w:overflowPunct/>
        <w:topLinePunct w:val="0"/>
        <w:bidi w:val="0"/>
        <w:adjustRightInd/>
        <w:spacing w:line="360" w:lineRule="auto"/>
        <w:textAlignment w:val="auto"/>
        <w:rPr>
          <w:rFonts w:hint="eastAsia" w:ascii="宋体" w:hAnsi="宋体" w:eastAsia="宋体" w:cs="宋体"/>
          <w:b/>
          <w:color w:val="auto"/>
          <w:sz w:val="28"/>
          <w:szCs w:val="28"/>
          <w:highlight w:val="none"/>
          <w:lang w:val="zh-CN"/>
        </w:rPr>
      </w:pPr>
    </w:p>
    <w:p w14:paraId="10C6634B">
      <w:pPr>
        <w:pageBreakBefore w:val="0"/>
        <w:kinsoku/>
        <w:wordWrap/>
        <w:overflowPunct/>
        <w:topLinePunct w:val="0"/>
        <w:bidi w:val="0"/>
        <w:adjustRightInd/>
        <w:spacing w:line="360" w:lineRule="auto"/>
        <w:textAlignment w:val="auto"/>
        <w:rPr>
          <w:rFonts w:hint="eastAsia" w:ascii="宋体" w:hAnsi="宋体" w:eastAsia="宋体" w:cs="宋体"/>
          <w:b/>
          <w:color w:val="auto"/>
          <w:sz w:val="28"/>
          <w:szCs w:val="28"/>
          <w:highlight w:val="none"/>
          <w:lang w:val="zh-CN"/>
        </w:rPr>
      </w:pPr>
    </w:p>
    <w:p w14:paraId="1730250D">
      <w:pPr>
        <w:pageBreakBefore w:val="0"/>
        <w:kinsoku/>
        <w:wordWrap/>
        <w:overflowPunct/>
        <w:topLinePunct w:val="0"/>
        <w:bidi w:val="0"/>
        <w:adjustRightInd/>
        <w:spacing w:line="360" w:lineRule="auto"/>
        <w:textAlignment w:val="auto"/>
        <w:rPr>
          <w:rFonts w:hint="eastAsia" w:ascii="宋体" w:hAnsi="宋体" w:eastAsia="宋体" w:cs="宋体"/>
          <w:b/>
          <w:color w:val="auto"/>
          <w:sz w:val="28"/>
          <w:szCs w:val="28"/>
          <w:highlight w:val="none"/>
          <w:lang w:val="zh-CN"/>
        </w:rPr>
      </w:pPr>
    </w:p>
    <w:p w14:paraId="07FA23B2">
      <w:pPr>
        <w:pageBreakBefore w:val="0"/>
        <w:kinsoku/>
        <w:wordWrap/>
        <w:overflowPunct/>
        <w:topLinePunct w:val="0"/>
        <w:bidi w:val="0"/>
        <w:adjustRightInd/>
        <w:spacing w:line="360" w:lineRule="auto"/>
        <w:textAlignment w:val="auto"/>
        <w:rPr>
          <w:rFonts w:hint="eastAsia" w:ascii="宋体" w:hAnsi="宋体" w:eastAsia="宋体" w:cs="宋体"/>
          <w:b/>
          <w:color w:val="auto"/>
          <w:sz w:val="28"/>
          <w:szCs w:val="28"/>
          <w:highlight w:val="none"/>
          <w:lang w:val="zh-CN"/>
        </w:rPr>
      </w:pPr>
    </w:p>
    <w:p w14:paraId="5AE44658">
      <w:pPr>
        <w:pageBreakBefore w:val="0"/>
        <w:kinsoku/>
        <w:wordWrap/>
        <w:overflowPunct/>
        <w:topLinePunct w:val="0"/>
        <w:bidi w:val="0"/>
        <w:adjustRightInd/>
        <w:spacing w:line="360" w:lineRule="auto"/>
        <w:textAlignment w:val="auto"/>
        <w:rPr>
          <w:rFonts w:hint="eastAsia" w:ascii="宋体" w:hAnsi="宋体" w:eastAsia="宋体" w:cs="宋体"/>
          <w:b/>
          <w:color w:val="auto"/>
          <w:sz w:val="28"/>
          <w:szCs w:val="28"/>
          <w:highlight w:val="none"/>
          <w:lang w:val="zh-CN"/>
        </w:rPr>
      </w:pPr>
    </w:p>
    <w:p w14:paraId="0F9F6E07">
      <w:pPr>
        <w:pageBreakBefore w:val="0"/>
        <w:kinsoku/>
        <w:wordWrap/>
        <w:overflowPunct/>
        <w:topLinePunct w:val="0"/>
        <w:bidi w:val="0"/>
        <w:adjustRightInd/>
        <w:spacing w:line="360" w:lineRule="auto"/>
        <w:textAlignment w:val="auto"/>
        <w:rPr>
          <w:rFonts w:hint="eastAsia" w:ascii="宋体" w:hAnsi="宋体" w:eastAsia="宋体" w:cs="宋体"/>
          <w:b/>
          <w:color w:val="auto"/>
          <w:sz w:val="28"/>
          <w:szCs w:val="28"/>
          <w:highlight w:val="none"/>
          <w:lang w:val="zh-CN"/>
        </w:rPr>
      </w:pPr>
    </w:p>
    <w:p w14:paraId="0425B81C">
      <w:pPr>
        <w:pageBreakBefore w:val="0"/>
        <w:kinsoku/>
        <w:wordWrap/>
        <w:overflowPunct/>
        <w:topLinePunct w:val="0"/>
        <w:bidi w:val="0"/>
        <w:adjustRightInd/>
        <w:spacing w:line="360" w:lineRule="auto"/>
        <w:textAlignment w:val="auto"/>
        <w:rPr>
          <w:rFonts w:hint="eastAsia" w:ascii="宋体" w:hAnsi="宋体" w:eastAsia="宋体" w:cs="宋体"/>
          <w:b/>
          <w:color w:val="auto"/>
          <w:sz w:val="28"/>
          <w:szCs w:val="28"/>
          <w:highlight w:val="none"/>
          <w:lang w:val="zh-CN"/>
        </w:rPr>
      </w:pPr>
    </w:p>
    <w:p w14:paraId="1F072BE1">
      <w:pPr>
        <w:pageBreakBefore w:val="0"/>
        <w:kinsoku/>
        <w:wordWrap/>
        <w:topLinePunct w:val="0"/>
        <w:bidi w:val="0"/>
        <w:spacing w:line="360" w:lineRule="auto"/>
        <w:jc w:val="both"/>
        <w:textAlignment w:val="auto"/>
        <w:outlineLvl w:val="9"/>
        <w:rPr>
          <w:rFonts w:hint="eastAsia" w:ascii="宋体" w:hAnsi="宋体" w:eastAsia="宋体" w:cs="宋体"/>
          <w:b/>
          <w:bCs w:val="0"/>
          <w:color w:val="auto"/>
          <w:highlight w:val="none"/>
        </w:rPr>
      </w:pPr>
      <w:bookmarkStart w:id="54" w:name="_Toc13936"/>
      <w:bookmarkStart w:id="55" w:name="_Toc18482"/>
    </w:p>
    <w:p w14:paraId="5F48A36D">
      <w:pPr>
        <w:pStyle w:val="3"/>
        <w:pageBreakBefore w:val="0"/>
        <w:kinsoku/>
        <w:wordWrap/>
        <w:topLinePunct w:val="0"/>
        <w:bidi w:val="0"/>
        <w:spacing w:line="360" w:lineRule="auto"/>
        <w:jc w:val="center"/>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rPr>
        <w:t>第</w:t>
      </w:r>
      <w:r>
        <w:rPr>
          <w:rFonts w:hint="eastAsia" w:ascii="宋体" w:hAnsi="宋体" w:eastAsia="宋体" w:cs="宋体"/>
          <w:b/>
          <w:bCs w:val="0"/>
          <w:color w:val="auto"/>
          <w:highlight w:val="none"/>
          <w:lang w:eastAsia="zh-CN"/>
        </w:rPr>
        <w:t>三</w:t>
      </w:r>
      <w:r>
        <w:rPr>
          <w:rFonts w:hint="eastAsia" w:ascii="宋体" w:hAnsi="宋体" w:eastAsia="宋体" w:cs="宋体"/>
          <w:b/>
          <w:bCs w:val="0"/>
          <w:color w:val="auto"/>
          <w:highlight w:val="none"/>
        </w:rPr>
        <w:t xml:space="preserve">节 </w:t>
      </w:r>
      <w:r>
        <w:rPr>
          <w:rFonts w:hint="eastAsia" w:ascii="宋体" w:hAnsi="宋体" w:eastAsia="宋体" w:cs="宋体"/>
          <w:b/>
          <w:bCs w:val="0"/>
          <w:color w:val="auto"/>
          <w:highlight w:val="none"/>
          <w:lang w:eastAsia="zh-CN"/>
        </w:rPr>
        <w:t>商务技术</w:t>
      </w:r>
      <w:r>
        <w:rPr>
          <w:rFonts w:hint="eastAsia" w:ascii="宋体" w:hAnsi="宋体" w:eastAsia="宋体" w:cs="宋体"/>
          <w:b/>
          <w:bCs w:val="0"/>
          <w:color w:val="auto"/>
          <w:highlight w:val="none"/>
        </w:rPr>
        <w:t>文件格式</w:t>
      </w:r>
    </w:p>
    <w:p w14:paraId="14AFE07D">
      <w:pPr>
        <w:pageBreakBefore w:val="0"/>
        <w:kinsoku/>
        <w:wordWrap/>
        <w:topLinePunct w:val="0"/>
        <w:bidi w:val="0"/>
        <w:snapToGrid w:val="0"/>
        <w:spacing w:before="120" w:beforeLines="50" w:after="50"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8"/>
          <w:szCs w:val="28"/>
          <w:highlight w:val="none"/>
        </w:rPr>
        <w:t>商务技术文件封面的格式：</w:t>
      </w:r>
      <w:r>
        <w:rPr>
          <w:rFonts w:hint="eastAsia" w:ascii="宋体" w:hAnsi="宋体" w:eastAsia="宋体" w:cs="宋体"/>
          <w:color w:val="auto"/>
          <w:sz w:val="24"/>
          <w:highlight w:val="none"/>
        </w:rPr>
        <w:t xml:space="preserve">                                      </w:t>
      </w:r>
    </w:p>
    <w:p w14:paraId="7D94ACEC">
      <w:pPr>
        <w:pageBreakBefore w:val="0"/>
        <w:kinsoku/>
        <w:wordWrap/>
        <w:topLinePunct w:val="0"/>
        <w:bidi w:val="0"/>
        <w:snapToGrid w:val="0"/>
        <w:spacing w:before="120" w:beforeLines="50" w:after="50" w:line="360" w:lineRule="auto"/>
        <w:ind w:firstLine="6930" w:firstLineChars="3300"/>
        <w:textAlignment w:val="auto"/>
        <w:rPr>
          <w:rFonts w:hint="eastAsia" w:ascii="宋体" w:hAnsi="宋体" w:eastAsia="宋体" w:cs="宋体"/>
          <w:bCs/>
          <w:color w:val="auto"/>
          <w:sz w:val="32"/>
          <w:szCs w:val="20"/>
          <w:highlight w:val="none"/>
        </w:rPr>
      </w:pPr>
      <w:r>
        <w:rPr>
          <w:rFonts w:hint="eastAsia" w:ascii="宋体" w:hAnsi="宋体" w:eastAsia="宋体" w:cs="宋体"/>
          <w:bCs/>
          <w:color w:val="auto"/>
          <w:highlight w:val="none"/>
        </w:rPr>
        <w:t>全流程电子文件</w:t>
      </w:r>
    </w:p>
    <w:p w14:paraId="4A8C34F1">
      <w:pPr>
        <w:pageBreakBefore w:val="0"/>
        <w:kinsoku/>
        <w:wordWrap/>
        <w:topLinePunct w:val="0"/>
        <w:bidi w:val="0"/>
        <w:snapToGrid w:val="0"/>
        <w:spacing w:before="120" w:beforeLines="50" w:after="50" w:line="360" w:lineRule="auto"/>
        <w:textAlignment w:val="auto"/>
        <w:rPr>
          <w:rFonts w:hint="eastAsia" w:ascii="宋体" w:hAnsi="宋体" w:eastAsia="宋体" w:cs="宋体"/>
          <w:color w:val="auto"/>
          <w:sz w:val="24"/>
          <w:szCs w:val="20"/>
          <w:highlight w:val="none"/>
        </w:rPr>
      </w:pPr>
    </w:p>
    <w:p w14:paraId="4DA1AA7D">
      <w:pPr>
        <w:pageBreakBefore w:val="0"/>
        <w:kinsoku/>
        <w:wordWrap/>
        <w:topLinePunct w:val="0"/>
        <w:bidi w:val="0"/>
        <w:snapToGrid w:val="0"/>
        <w:spacing w:before="120" w:beforeLines="50" w:after="50" w:line="360" w:lineRule="auto"/>
        <w:textAlignment w:val="auto"/>
        <w:rPr>
          <w:rFonts w:hint="eastAsia" w:ascii="宋体" w:hAnsi="宋体" w:eastAsia="宋体" w:cs="宋体"/>
          <w:color w:val="auto"/>
          <w:sz w:val="24"/>
          <w:szCs w:val="20"/>
          <w:highlight w:val="none"/>
        </w:rPr>
      </w:pPr>
    </w:p>
    <w:p w14:paraId="608A05A9">
      <w:pPr>
        <w:pageBreakBefore w:val="0"/>
        <w:kinsoku/>
        <w:wordWrap/>
        <w:topLinePunct w:val="0"/>
        <w:bidi w:val="0"/>
        <w:snapToGrid w:val="0"/>
        <w:spacing w:before="120" w:beforeLines="50" w:after="50" w:line="360" w:lineRule="auto"/>
        <w:jc w:val="center"/>
        <w:textAlignment w:val="auto"/>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eastAsia="zh-CN"/>
        </w:rPr>
        <w:t>商</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lang w:eastAsia="zh-CN"/>
        </w:rPr>
        <w:t>务</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lang w:eastAsia="zh-CN"/>
        </w:rPr>
        <w:t>技</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lang w:eastAsia="zh-CN"/>
        </w:rPr>
        <w:t>术</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文</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件</w:t>
      </w:r>
    </w:p>
    <w:p w14:paraId="7A1723C1">
      <w:pPr>
        <w:pageBreakBefore w:val="0"/>
        <w:kinsoku/>
        <w:wordWrap/>
        <w:topLinePunct w:val="0"/>
        <w:bidi w:val="0"/>
        <w:snapToGrid w:val="0"/>
        <w:spacing w:before="120" w:beforeLines="50" w:after="50" w:line="360" w:lineRule="auto"/>
        <w:textAlignment w:val="auto"/>
        <w:rPr>
          <w:rFonts w:hint="eastAsia" w:ascii="宋体" w:hAnsi="宋体" w:eastAsia="宋体" w:cs="宋体"/>
          <w:bCs/>
          <w:color w:val="auto"/>
          <w:sz w:val="24"/>
          <w:szCs w:val="20"/>
          <w:highlight w:val="none"/>
        </w:rPr>
      </w:pPr>
    </w:p>
    <w:p w14:paraId="3CB616C4">
      <w:pPr>
        <w:pageBreakBefore w:val="0"/>
        <w:kinsoku/>
        <w:wordWrap/>
        <w:topLinePunct w:val="0"/>
        <w:bidi w:val="0"/>
        <w:snapToGrid w:val="0"/>
        <w:spacing w:before="120" w:beforeLines="50" w:after="50" w:line="360" w:lineRule="auto"/>
        <w:textAlignment w:val="auto"/>
        <w:rPr>
          <w:rFonts w:hint="eastAsia" w:ascii="宋体" w:hAnsi="宋体" w:eastAsia="宋体" w:cs="宋体"/>
          <w:bCs/>
          <w:color w:val="auto"/>
          <w:sz w:val="24"/>
          <w:szCs w:val="20"/>
          <w:highlight w:val="none"/>
        </w:rPr>
      </w:pPr>
    </w:p>
    <w:p w14:paraId="37A74C89">
      <w:pPr>
        <w:pageBreakBefore w:val="0"/>
        <w:kinsoku/>
        <w:wordWrap/>
        <w:topLinePunct w:val="0"/>
        <w:bidi w:val="0"/>
        <w:snapToGrid w:val="0"/>
        <w:spacing w:before="120" w:beforeLines="50" w:after="50" w:line="360" w:lineRule="auto"/>
        <w:textAlignment w:val="auto"/>
        <w:rPr>
          <w:rFonts w:hint="eastAsia" w:ascii="宋体" w:hAnsi="宋体" w:eastAsia="宋体" w:cs="宋体"/>
          <w:bCs/>
          <w:color w:val="auto"/>
          <w:sz w:val="24"/>
          <w:szCs w:val="20"/>
          <w:highlight w:val="none"/>
        </w:rPr>
      </w:pPr>
    </w:p>
    <w:p w14:paraId="3D13BD46">
      <w:pPr>
        <w:pageBreakBefore w:val="0"/>
        <w:kinsoku/>
        <w:wordWrap/>
        <w:topLinePunct w:val="0"/>
        <w:bidi w:val="0"/>
        <w:snapToGrid w:val="0"/>
        <w:spacing w:before="120" w:beforeLines="50" w:after="50" w:line="360" w:lineRule="auto"/>
        <w:textAlignment w:val="auto"/>
        <w:rPr>
          <w:rFonts w:hint="eastAsia" w:ascii="宋体" w:hAnsi="宋体" w:eastAsia="宋体" w:cs="宋体"/>
          <w:bCs/>
          <w:color w:val="auto"/>
          <w:sz w:val="24"/>
          <w:szCs w:val="20"/>
          <w:highlight w:val="none"/>
        </w:rPr>
      </w:pPr>
    </w:p>
    <w:p w14:paraId="5233C641">
      <w:pPr>
        <w:pageBreakBefore w:val="0"/>
        <w:kinsoku/>
        <w:wordWrap/>
        <w:topLinePunct w:val="0"/>
        <w:bidi w:val="0"/>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1D06053F">
      <w:pPr>
        <w:pageBreakBefore w:val="0"/>
        <w:kinsoku/>
        <w:wordWrap/>
        <w:topLinePunct w:val="0"/>
        <w:bidi w:val="0"/>
        <w:snapToGrid w:val="0"/>
        <w:spacing w:before="120" w:beforeLines="50" w:after="50" w:line="360" w:lineRule="auto"/>
        <w:ind w:firstLine="720" w:firstLineChars="225"/>
        <w:textAlignment w:val="auto"/>
        <w:rPr>
          <w:rFonts w:hint="eastAsia" w:ascii="宋体" w:hAnsi="宋体" w:eastAsia="宋体" w:cs="宋体"/>
          <w:bCs/>
          <w:color w:val="auto"/>
          <w:sz w:val="32"/>
          <w:szCs w:val="32"/>
          <w:highlight w:val="none"/>
        </w:rPr>
      </w:pPr>
    </w:p>
    <w:p w14:paraId="7E4CED9F">
      <w:pPr>
        <w:pageBreakBefore w:val="0"/>
        <w:kinsoku/>
        <w:wordWrap/>
        <w:topLinePunct w:val="0"/>
        <w:bidi w:val="0"/>
        <w:snapToGrid w:val="0"/>
        <w:spacing w:before="120" w:beforeLines="50" w:after="50" w:line="360" w:lineRule="auto"/>
        <w:ind w:firstLine="720" w:firstLineChars="225"/>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411AB57">
      <w:pPr>
        <w:pageBreakBefore w:val="0"/>
        <w:kinsoku/>
        <w:wordWrap/>
        <w:topLinePunct w:val="0"/>
        <w:bidi w:val="0"/>
        <w:snapToGrid w:val="0"/>
        <w:spacing w:before="120" w:beforeLines="50" w:after="50" w:line="360" w:lineRule="auto"/>
        <w:ind w:firstLine="720" w:firstLineChars="225"/>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F50C341">
      <w:pPr>
        <w:pageBreakBefore w:val="0"/>
        <w:kinsoku/>
        <w:wordWrap/>
        <w:topLinePunct w:val="0"/>
        <w:bidi w:val="0"/>
        <w:snapToGrid w:val="0"/>
        <w:spacing w:before="120" w:beforeLines="50" w:after="50" w:line="360" w:lineRule="auto"/>
        <w:ind w:firstLine="720" w:firstLineChars="225"/>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10C7F89">
      <w:pPr>
        <w:pageBreakBefore w:val="0"/>
        <w:kinsoku/>
        <w:wordWrap/>
        <w:topLinePunct w:val="0"/>
        <w:bidi w:val="0"/>
        <w:snapToGrid w:val="0"/>
        <w:spacing w:before="120" w:beforeLines="50" w:after="50" w:line="360" w:lineRule="auto"/>
        <w:ind w:firstLine="720" w:firstLineChars="225"/>
        <w:textAlignment w:val="auto"/>
        <w:rPr>
          <w:rFonts w:hint="eastAsia" w:ascii="宋体" w:hAnsi="宋体" w:eastAsia="宋体" w:cs="宋体"/>
          <w:bCs/>
          <w:color w:val="auto"/>
          <w:sz w:val="32"/>
          <w:szCs w:val="32"/>
          <w:highlight w:val="none"/>
        </w:rPr>
      </w:pPr>
    </w:p>
    <w:p w14:paraId="14092009">
      <w:pPr>
        <w:pStyle w:val="7"/>
        <w:pageBreakBefore w:val="0"/>
        <w:kinsoku/>
        <w:wordWrap/>
        <w:topLinePunct w:val="0"/>
        <w:bidi w:val="0"/>
        <w:snapToGrid w:val="0"/>
        <w:spacing w:before="50" w:after="50" w:line="360" w:lineRule="auto"/>
        <w:ind w:firstLine="720" w:firstLineChars="225"/>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95A2F5C">
      <w:pPr>
        <w:pStyle w:val="7"/>
        <w:pageBreakBefore w:val="0"/>
        <w:kinsoku/>
        <w:wordWrap/>
        <w:topLinePunct w:val="0"/>
        <w:bidi w:val="0"/>
        <w:snapToGrid w:val="0"/>
        <w:spacing w:before="50" w:after="50" w:line="360" w:lineRule="auto"/>
        <w:ind w:firstLine="720" w:firstLineChars="225"/>
        <w:textAlignment w:val="auto"/>
        <w:rPr>
          <w:rFonts w:hint="eastAsia" w:ascii="宋体" w:hAnsi="宋体" w:eastAsia="宋体" w:cs="宋体"/>
          <w:bCs/>
          <w:color w:val="auto"/>
          <w:sz w:val="32"/>
          <w:szCs w:val="32"/>
          <w:highlight w:val="none"/>
        </w:rPr>
      </w:pPr>
    </w:p>
    <w:p w14:paraId="24976A02">
      <w:pPr>
        <w:pStyle w:val="7"/>
        <w:pageBreakBefore w:val="0"/>
        <w:kinsoku/>
        <w:wordWrap/>
        <w:topLinePunct w:val="0"/>
        <w:bidi w:val="0"/>
        <w:snapToGrid w:val="0"/>
        <w:spacing w:before="50" w:after="50" w:line="360" w:lineRule="auto"/>
        <w:ind w:firstLine="1280" w:firstLineChars="400"/>
        <w:textAlignment w:val="auto"/>
        <w:rPr>
          <w:rFonts w:hint="eastAsia" w:ascii="宋体" w:hAnsi="宋体" w:eastAsia="宋体" w:cs="宋体"/>
          <w:bCs/>
          <w:color w:val="auto"/>
          <w:sz w:val="32"/>
          <w:szCs w:val="32"/>
          <w:highlight w:val="none"/>
        </w:rPr>
      </w:pPr>
    </w:p>
    <w:p w14:paraId="4E71F9CE">
      <w:pPr>
        <w:pageBreakBefore w:val="0"/>
        <w:kinsoku/>
        <w:wordWrap/>
        <w:topLinePunct w:val="0"/>
        <w:bidi w:val="0"/>
        <w:snapToGrid w:val="0"/>
        <w:spacing w:before="120" w:beforeLines="50" w:after="50" w:line="360" w:lineRule="auto"/>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1C8ED06">
      <w:pPr>
        <w:pageBreakBefore w:val="0"/>
        <w:kinsoku/>
        <w:wordWrap/>
        <w:topLinePunct w:val="0"/>
        <w:bidi w:val="0"/>
        <w:snapToGrid w:val="0"/>
        <w:spacing w:before="120" w:beforeLines="50" w:after="50" w:line="360" w:lineRule="auto"/>
        <w:jc w:val="center"/>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p>
    <w:p w14:paraId="2B60DB82">
      <w:pPr>
        <w:pageBreakBefore w:val="0"/>
        <w:kinsoku/>
        <w:wordWrap/>
        <w:topLinePunct w:val="0"/>
        <w:bidi w:val="0"/>
        <w:snapToGrid w:val="0"/>
        <w:spacing w:before="120" w:beforeLines="50" w:after="50"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商务技术</w:t>
      </w:r>
      <w:r>
        <w:rPr>
          <w:rFonts w:hint="eastAsia" w:ascii="宋体" w:hAnsi="宋体" w:eastAsia="宋体" w:cs="宋体"/>
          <w:b/>
          <w:bCs/>
          <w:color w:val="auto"/>
          <w:sz w:val="28"/>
          <w:szCs w:val="28"/>
          <w:highlight w:val="none"/>
        </w:rPr>
        <w:t>文件目录</w:t>
      </w:r>
    </w:p>
    <w:p w14:paraId="45CF94CD">
      <w:pPr>
        <w:pageBreakBefore w:val="0"/>
        <w:kinsoku/>
        <w:wordWrap/>
        <w:topLinePunct w:val="0"/>
        <w:bidi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4"/>
          <w:highlight w:val="none"/>
        </w:rPr>
        <w:t xml:space="preserve">  根据竞争性磋商文件规定及供应商提供的材料自行编写目录（部分格式后附）。</w:t>
      </w:r>
    </w:p>
    <w:p w14:paraId="3C2B185F">
      <w:pPr>
        <w:spacing w:line="400" w:lineRule="exact"/>
        <w:rPr>
          <w:rFonts w:hint="eastAsia" w:ascii="宋体" w:hAnsi="宋体" w:eastAsia="宋体" w:cs="宋体"/>
          <w:color w:val="auto"/>
          <w:sz w:val="32"/>
          <w:szCs w:val="32"/>
          <w:highlight w:val="none"/>
        </w:rPr>
      </w:pPr>
    </w:p>
    <w:p w14:paraId="36442852">
      <w:pPr>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bCs/>
          <w:color w:val="auto"/>
          <w:sz w:val="32"/>
          <w:szCs w:val="32"/>
          <w:highlight w:val="none"/>
        </w:rPr>
        <w:t>无串通竞标行为的承诺函</w:t>
      </w:r>
    </w:p>
    <w:p w14:paraId="7E3E732A">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宋体" w:hAnsi="宋体" w:eastAsia="宋体" w:cs="宋体"/>
          <w:color w:val="auto"/>
          <w:sz w:val="32"/>
          <w:szCs w:val="32"/>
          <w:highlight w:val="none"/>
        </w:rPr>
      </w:pPr>
    </w:p>
    <w:p w14:paraId="472CF1FD">
      <w:pPr>
        <w:keepNext w:val="0"/>
        <w:keepLines w:val="0"/>
        <w:pageBreakBefore w:val="0"/>
        <w:widowControl w:val="0"/>
        <w:kinsoku/>
        <w:wordWrap/>
        <w:overflowPunct/>
        <w:topLinePunct w:val="0"/>
        <w:autoSpaceDE/>
        <w:autoSpaceDN/>
        <w:bidi w:val="0"/>
        <w:adjustRightInd/>
        <w:spacing w:line="360" w:lineRule="auto"/>
        <w:ind w:firstLine="422" w:firstLineChars="200"/>
        <w:contextualSpacing/>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一、我方承诺无下列相互串通竞标的情形：</w:t>
      </w:r>
    </w:p>
    <w:p w14:paraId="741C45B9">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p>
    <w:p w14:paraId="549FAA29">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3E65AC32">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3.不同供应商的响应文件载明的项目管理员为同一个人；</w:t>
      </w:r>
    </w:p>
    <w:p w14:paraId="32E2E36E">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w:t>
      </w:r>
      <w:r>
        <w:rPr>
          <w:rFonts w:hint="eastAsia" w:ascii="宋体" w:hAnsi="宋体" w:eastAsia="宋体" w:cs="宋体"/>
          <w:color w:val="auto"/>
          <w:spacing w:val="-6"/>
          <w:szCs w:val="21"/>
          <w:highlight w:val="none"/>
        </w:rPr>
        <w:t>同供应商的响应文件异常一致或者响应报价呈规律性差异；</w:t>
      </w:r>
    </w:p>
    <w:p w14:paraId="74AC250B">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59F30DF8">
      <w:pPr>
        <w:pStyle w:val="13"/>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p>
    <w:p w14:paraId="769B12AD">
      <w:pPr>
        <w:keepNext w:val="0"/>
        <w:keepLines w:val="0"/>
        <w:pageBreakBefore w:val="0"/>
        <w:widowControl w:val="0"/>
        <w:kinsoku/>
        <w:wordWrap/>
        <w:overflowPunct/>
        <w:topLinePunct w:val="0"/>
        <w:autoSpaceDE/>
        <w:autoSpaceDN/>
        <w:bidi w:val="0"/>
        <w:adjustRightInd/>
        <w:spacing w:line="360" w:lineRule="auto"/>
        <w:ind w:firstLine="422" w:firstLineChars="200"/>
        <w:contextualSpacing/>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二、我方承诺无下列恶意串通的情形：</w:t>
      </w:r>
    </w:p>
    <w:p w14:paraId="7856E96E">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0BE80EC">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3B23E99E">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w:t>
      </w:r>
      <w:r>
        <w:rPr>
          <w:rFonts w:hint="eastAsia" w:ascii="宋体" w:hAnsi="宋体" w:eastAsia="宋体" w:cs="宋体"/>
          <w:color w:val="auto"/>
          <w:spacing w:val="-6"/>
          <w:szCs w:val="21"/>
          <w:highlight w:val="none"/>
        </w:rPr>
        <w:t>应商之间协商报价、技术方案等响应文件的实质性内容；</w:t>
      </w:r>
    </w:p>
    <w:p w14:paraId="1BC827DA">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523E738">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5.供应商之间事先约定一致抬高或者压低响应报价，或者在竞争性磋商项目中事先约定轮流以高价位或者低价位成交，或者事先约定由某一特定供应商成交，然后再参加竞标；</w:t>
      </w:r>
    </w:p>
    <w:p w14:paraId="3FD65A1B">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5106A7A6">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w:t>
      </w:r>
      <w:r>
        <w:rPr>
          <w:rFonts w:hint="eastAsia" w:ascii="宋体" w:hAnsi="宋体" w:eastAsia="宋体" w:cs="宋体"/>
          <w:color w:val="auto"/>
          <w:spacing w:val="-6"/>
          <w:szCs w:val="21"/>
          <w:highlight w:val="none"/>
        </w:rPr>
        <w:t>谋求特定供应商成交或者排斥其他供应商的其他串通行为。</w:t>
      </w:r>
    </w:p>
    <w:p w14:paraId="7E60287F">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hint="eastAsia" w:ascii="宋体" w:hAnsi="宋体" w:eastAsia="宋体" w:cs="宋体"/>
          <w:color w:val="auto"/>
          <w:szCs w:val="21"/>
          <w:highlight w:val="none"/>
        </w:rPr>
      </w:pPr>
    </w:p>
    <w:p w14:paraId="56909932">
      <w:pPr>
        <w:keepNext w:val="0"/>
        <w:keepLines w:val="0"/>
        <w:pageBreakBefore w:val="0"/>
        <w:widowControl w:val="0"/>
        <w:kinsoku/>
        <w:wordWrap/>
        <w:overflowPunct/>
        <w:topLinePunct w:val="0"/>
        <w:autoSpaceDE/>
        <w:autoSpaceDN/>
        <w:bidi w:val="0"/>
        <w:adjustRightInd/>
        <w:spacing w:line="360" w:lineRule="auto"/>
        <w:ind w:firstLine="422" w:firstLineChars="200"/>
        <w:contextualSpacing/>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以上情形一经核查属实，接受政府采购监管部门对我方认定存在围标串标行为，我方愿意承担一切后果，并不再寻求任何旨在减轻或者免除法律责任的辩解。</w:t>
      </w:r>
    </w:p>
    <w:p w14:paraId="79FF5480">
      <w:pPr>
        <w:pStyle w:val="21"/>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1"/>
          <w:szCs w:val="21"/>
          <w:highlight w:val="none"/>
        </w:rPr>
      </w:pPr>
    </w:p>
    <w:p w14:paraId="6E93AA99">
      <w:pPr>
        <w:pStyle w:val="21"/>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1"/>
          <w:szCs w:val="21"/>
          <w:highlight w:val="none"/>
        </w:rPr>
      </w:pPr>
    </w:p>
    <w:p w14:paraId="2FD87751">
      <w:pPr>
        <w:pStyle w:val="21"/>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1"/>
          <w:szCs w:val="21"/>
          <w:highlight w:val="none"/>
        </w:rPr>
      </w:pPr>
    </w:p>
    <w:p w14:paraId="1323C43C">
      <w:pPr>
        <w:pStyle w:val="21"/>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1"/>
          <w:szCs w:val="21"/>
          <w:highlight w:val="none"/>
        </w:rPr>
      </w:pPr>
    </w:p>
    <w:p w14:paraId="2F97F1E2">
      <w:pPr>
        <w:pStyle w:val="21"/>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1"/>
          <w:szCs w:val="21"/>
          <w:highlight w:val="none"/>
        </w:rPr>
      </w:pPr>
    </w:p>
    <w:p w14:paraId="78585728">
      <w:pPr>
        <w:keepNext w:val="0"/>
        <w:keepLines w:val="0"/>
        <w:pageBreakBefore w:val="0"/>
        <w:widowControl w:val="0"/>
        <w:kinsoku/>
        <w:wordWrap/>
        <w:overflowPunct/>
        <w:topLinePunct w:val="0"/>
        <w:autoSpaceDE/>
        <w:autoSpaceDN/>
        <w:bidi w:val="0"/>
        <w:adjustRightInd/>
        <w:spacing w:line="360" w:lineRule="auto"/>
        <w:ind w:firstLine="4410" w:firstLineChars="21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名称</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电子</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u w:val="single"/>
        </w:rPr>
        <w:t xml:space="preserve">                   </w:t>
      </w:r>
    </w:p>
    <w:p w14:paraId="6FC69D5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color w:val="auto"/>
          <w:sz w:val="30"/>
          <w:szCs w:val="30"/>
          <w:highlight w:val="none"/>
        </w:rPr>
      </w:pP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02A0330">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Cs w:val="21"/>
          <w:highlight w:val="none"/>
        </w:rPr>
        <w:br w:type="page"/>
      </w:r>
      <w:r>
        <w:rPr>
          <w:rFonts w:hint="eastAsia" w:ascii="宋体" w:hAnsi="宋体" w:eastAsia="宋体" w:cs="宋体"/>
          <w:b/>
          <w:bCs/>
          <w:color w:val="auto"/>
          <w:sz w:val="28"/>
          <w:szCs w:val="28"/>
          <w:highlight w:val="none"/>
        </w:rPr>
        <w:t>法定代表人身份证明的格式：</w:t>
      </w:r>
    </w:p>
    <w:p w14:paraId="6F3ECEB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w:t>
      </w:r>
    </w:p>
    <w:p w14:paraId="57AAE678">
      <w:pPr>
        <w:keepNext w:val="0"/>
        <w:keepLines w:val="0"/>
        <w:pageBreakBefore w:val="0"/>
        <w:widowControl w:val="0"/>
        <w:kinsoku/>
        <w:wordWrap/>
        <w:overflowPunct/>
        <w:topLinePunct w:val="0"/>
        <w:autoSpaceDE/>
        <w:autoSpaceDN/>
        <w:bidi w:val="0"/>
        <w:adjustRightInd/>
        <w:spacing w:line="360" w:lineRule="auto"/>
        <w:ind w:left="540"/>
        <w:contextualSpacing/>
        <w:textAlignment w:val="auto"/>
        <w:rPr>
          <w:rFonts w:hint="eastAsia" w:ascii="宋体" w:hAnsi="宋体" w:eastAsia="宋体" w:cs="宋体"/>
          <w:color w:val="auto"/>
          <w:sz w:val="32"/>
          <w:szCs w:val="32"/>
          <w:highlight w:val="none"/>
        </w:rPr>
      </w:pPr>
    </w:p>
    <w:p w14:paraId="03585E28">
      <w:pPr>
        <w:keepNext w:val="0"/>
        <w:keepLines w:val="0"/>
        <w:pageBreakBefore w:val="0"/>
        <w:widowControl w:val="0"/>
        <w:kinsoku/>
        <w:wordWrap/>
        <w:overflowPunct/>
        <w:topLinePunct w:val="0"/>
        <w:autoSpaceDE/>
        <w:autoSpaceDN/>
        <w:bidi w:val="0"/>
        <w:adjustRightInd/>
        <w:spacing w:line="360" w:lineRule="auto"/>
        <w:ind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 应 商：</w:t>
      </w:r>
      <w:r>
        <w:rPr>
          <w:rFonts w:hint="eastAsia" w:ascii="宋体" w:hAnsi="宋体" w:eastAsia="宋体" w:cs="宋体"/>
          <w:color w:val="auto"/>
          <w:szCs w:val="21"/>
          <w:highlight w:val="none"/>
          <w:u w:val="single"/>
        </w:rPr>
        <w:t xml:space="preserve">                                                        </w:t>
      </w:r>
    </w:p>
    <w:p w14:paraId="766C50BD">
      <w:pPr>
        <w:keepNext w:val="0"/>
        <w:keepLines w:val="0"/>
        <w:pageBreakBefore w:val="0"/>
        <w:widowControl w:val="0"/>
        <w:kinsoku/>
        <w:wordWrap/>
        <w:overflowPunct/>
        <w:topLinePunct w:val="0"/>
        <w:autoSpaceDE/>
        <w:autoSpaceDN/>
        <w:bidi w:val="0"/>
        <w:adjustRightInd/>
        <w:spacing w:line="360" w:lineRule="auto"/>
        <w:ind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7CCFBC5A">
      <w:pPr>
        <w:keepNext w:val="0"/>
        <w:keepLines w:val="0"/>
        <w:pageBreakBefore w:val="0"/>
        <w:widowControl w:val="0"/>
        <w:kinsoku/>
        <w:wordWrap/>
        <w:overflowPunct/>
        <w:topLinePunct w:val="0"/>
        <w:autoSpaceDE/>
        <w:autoSpaceDN/>
        <w:bidi w:val="0"/>
        <w:adjustRightInd/>
        <w:spacing w:line="360" w:lineRule="auto"/>
        <w:ind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14:paraId="00FBE0A6">
      <w:pPr>
        <w:keepNext w:val="0"/>
        <w:keepLines w:val="0"/>
        <w:pageBreakBefore w:val="0"/>
        <w:widowControl w:val="0"/>
        <w:kinsoku/>
        <w:wordWrap/>
        <w:overflowPunct/>
        <w:topLinePunct w:val="0"/>
        <w:autoSpaceDE/>
        <w:autoSpaceDN/>
        <w:bidi w:val="0"/>
        <w:adjustRightInd/>
        <w:spacing w:line="360" w:lineRule="auto"/>
        <w:ind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A4B21BE">
      <w:pPr>
        <w:keepNext w:val="0"/>
        <w:keepLines w:val="0"/>
        <w:pageBreakBefore w:val="0"/>
        <w:widowControl w:val="0"/>
        <w:kinsoku/>
        <w:wordWrap/>
        <w:overflowPunct/>
        <w:topLinePunct w:val="0"/>
        <w:autoSpaceDE/>
        <w:autoSpaceDN/>
        <w:bidi w:val="0"/>
        <w:adjustRightInd/>
        <w:spacing w:line="360" w:lineRule="auto"/>
        <w:ind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p>
    <w:p w14:paraId="4825E5A9">
      <w:pPr>
        <w:keepNext w:val="0"/>
        <w:keepLines w:val="0"/>
        <w:pageBreakBefore w:val="0"/>
        <w:widowControl w:val="0"/>
        <w:kinsoku/>
        <w:wordWrap/>
        <w:overflowPunct/>
        <w:topLinePunct w:val="0"/>
        <w:autoSpaceDE/>
        <w:autoSpaceDN/>
        <w:bidi w:val="0"/>
        <w:adjustRightInd/>
        <w:spacing w:line="360" w:lineRule="auto"/>
        <w:ind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     别：</w:t>
      </w:r>
      <w:r>
        <w:rPr>
          <w:rFonts w:hint="eastAsia" w:ascii="宋体" w:hAnsi="宋体" w:eastAsia="宋体" w:cs="宋体"/>
          <w:color w:val="auto"/>
          <w:szCs w:val="21"/>
          <w:highlight w:val="none"/>
          <w:u w:val="single"/>
        </w:rPr>
        <w:t xml:space="preserve">                   </w:t>
      </w:r>
    </w:p>
    <w:p w14:paraId="2275BA58">
      <w:pPr>
        <w:keepNext w:val="0"/>
        <w:keepLines w:val="0"/>
        <w:pageBreakBefore w:val="0"/>
        <w:widowControl w:val="0"/>
        <w:kinsoku/>
        <w:wordWrap/>
        <w:overflowPunct/>
        <w:topLinePunct w:val="0"/>
        <w:autoSpaceDE/>
        <w:autoSpaceDN/>
        <w:bidi w:val="0"/>
        <w:adjustRightInd/>
        <w:spacing w:line="360" w:lineRule="auto"/>
        <w:ind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xml:space="preserve">                   </w:t>
      </w:r>
    </w:p>
    <w:p w14:paraId="176CB78D">
      <w:pPr>
        <w:keepNext w:val="0"/>
        <w:keepLines w:val="0"/>
        <w:pageBreakBefore w:val="0"/>
        <w:widowControl w:val="0"/>
        <w:kinsoku/>
        <w:wordWrap/>
        <w:overflowPunct/>
        <w:topLinePunct w:val="0"/>
        <w:autoSpaceDE/>
        <w:autoSpaceDN/>
        <w:bidi w:val="0"/>
        <w:adjustRightInd/>
        <w:spacing w:line="360" w:lineRule="auto"/>
        <w:ind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（供应商名称）的法定代表人。</w:t>
      </w:r>
    </w:p>
    <w:p w14:paraId="46B4AFAB">
      <w:pPr>
        <w:keepNext w:val="0"/>
        <w:keepLines w:val="0"/>
        <w:pageBreakBefore w:val="0"/>
        <w:widowControl w:val="0"/>
        <w:kinsoku/>
        <w:wordWrap/>
        <w:overflowPunct/>
        <w:topLinePunct w:val="0"/>
        <w:autoSpaceDE/>
        <w:autoSpaceDN/>
        <w:bidi w:val="0"/>
        <w:adjustRightInd/>
        <w:spacing w:line="360" w:lineRule="auto"/>
        <w:ind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4227A3DC">
      <w:pPr>
        <w:keepNext w:val="0"/>
        <w:keepLines w:val="0"/>
        <w:pageBreakBefore w:val="0"/>
        <w:widowControl w:val="0"/>
        <w:kinsoku/>
        <w:wordWrap/>
        <w:overflowPunct/>
        <w:topLinePunct w:val="0"/>
        <w:autoSpaceDE/>
        <w:autoSpaceDN/>
        <w:bidi w:val="0"/>
        <w:adjustRightInd/>
        <w:spacing w:line="360" w:lineRule="auto"/>
        <w:ind w:left="540"/>
        <w:contextualSpacing/>
        <w:textAlignment w:val="auto"/>
        <w:rPr>
          <w:rFonts w:hint="eastAsia" w:ascii="宋体" w:hAnsi="宋体" w:eastAsia="宋体" w:cs="宋体"/>
          <w:color w:val="auto"/>
          <w:szCs w:val="21"/>
          <w:highlight w:val="none"/>
        </w:rPr>
      </w:pPr>
    </w:p>
    <w:p w14:paraId="77F058AE">
      <w:pPr>
        <w:keepNext w:val="0"/>
        <w:keepLines w:val="0"/>
        <w:pageBreakBefore w:val="0"/>
        <w:widowControl w:val="0"/>
        <w:kinsoku/>
        <w:wordWrap/>
        <w:overflowPunct/>
        <w:topLinePunct w:val="0"/>
        <w:autoSpaceDE/>
        <w:autoSpaceDN/>
        <w:bidi w:val="0"/>
        <w:adjustRightInd/>
        <w:spacing w:line="360" w:lineRule="auto"/>
        <w:ind w:left="540"/>
        <w:contextualSpacing/>
        <w:textAlignment w:val="auto"/>
        <w:rPr>
          <w:rFonts w:hint="eastAsia" w:ascii="宋体" w:hAnsi="宋体" w:eastAsia="宋体" w:cs="宋体"/>
          <w:color w:val="auto"/>
          <w:szCs w:val="21"/>
          <w:highlight w:val="none"/>
        </w:rPr>
      </w:pPr>
    </w:p>
    <w:p w14:paraId="671188DD">
      <w:pPr>
        <w:keepNext w:val="0"/>
        <w:keepLines w:val="0"/>
        <w:pageBreakBefore w:val="0"/>
        <w:widowControl w:val="0"/>
        <w:kinsoku/>
        <w:wordWrap/>
        <w:overflowPunct/>
        <w:topLinePunct w:val="0"/>
        <w:autoSpaceDE/>
        <w:autoSpaceDN/>
        <w:bidi w:val="0"/>
        <w:adjustRightInd/>
        <w:spacing w:line="360" w:lineRule="auto"/>
        <w:ind w:left="540"/>
        <w:contextualSpacing/>
        <w:textAlignment w:val="auto"/>
        <w:rPr>
          <w:rFonts w:hint="eastAsia" w:ascii="宋体" w:hAnsi="宋体" w:eastAsia="宋体" w:cs="宋体"/>
          <w:color w:val="auto"/>
          <w:szCs w:val="21"/>
          <w:highlight w:val="none"/>
        </w:rPr>
      </w:pPr>
    </w:p>
    <w:p w14:paraId="570176AC">
      <w:pPr>
        <w:keepNext w:val="0"/>
        <w:keepLines w:val="0"/>
        <w:pageBreakBefore w:val="0"/>
        <w:widowControl w:val="0"/>
        <w:kinsoku/>
        <w:wordWrap/>
        <w:overflowPunct/>
        <w:topLinePunct w:val="0"/>
        <w:autoSpaceDE/>
        <w:autoSpaceDN/>
        <w:bidi w:val="0"/>
        <w:adjustRightInd/>
        <w:spacing w:line="360" w:lineRule="auto"/>
        <w:ind w:left="54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附件：法定代表人有效身份证正反面复印件</w:t>
      </w:r>
    </w:p>
    <w:p w14:paraId="63C60BCA">
      <w:pPr>
        <w:keepNext w:val="0"/>
        <w:keepLines w:val="0"/>
        <w:pageBreakBefore w:val="0"/>
        <w:widowControl w:val="0"/>
        <w:kinsoku/>
        <w:wordWrap/>
        <w:overflowPunct/>
        <w:topLinePunct w:val="0"/>
        <w:autoSpaceDE/>
        <w:autoSpaceDN/>
        <w:bidi w:val="0"/>
        <w:adjustRightInd/>
        <w:spacing w:line="360" w:lineRule="auto"/>
        <w:ind w:left="540"/>
        <w:contextualSpacing/>
        <w:textAlignment w:val="auto"/>
        <w:rPr>
          <w:rFonts w:hint="eastAsia" w:ascii="宋体" w:hAnsi="宋体" w:eastAsia="宋体" w:cs="宋体"/>
          <w:color w:val="auto"/>
          <w:szCs w:val="21"/>
          <w:highlight w:val="none"/>
        </w:rPr>
      </w:pPr>
    </w:p>
    <w:p w14:paraId="15EF73C4">
      <w:pPr>
        <w:keepNext w:val="0"/>
        <w:keepLines w:val="0"/>
        <w:pageBreakBefore w:val="0"/>
        <w:widowControl w:val="0"/>
        <w:kinsoku/>
        <w:wordWrap/>
        <w:overflowPunct/>
        <w:topLinePunct w:val="0"/>
        <w:autoSpaceDE/>
        <w:autoSpaceDN/>
        <w:bidi w:val="0"/>
        <w:adjustRightInd/>
        <w:spacing w:line="360" w:lineRule="auto"/>
        <w:ind w:firstLine="4410" w:firstLineChars="21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名称</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电子</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u w:val="single"/>
        </w:rPr>
        <w:t xml:space="preserve">                   </w:t>
      </w:r>
    </w:p>
    <w:p w14:paraId="36140E0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color w:val="auto"/>
          <w:sz w:val="30"/>
          <w:szCs w:val="30"/>
          <w:highlight w:val="none"/>
        </w:rPr>
      </w:pP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5FC93B6">
      <w:pPr>
        <w:keepNext w:val="0"/>
        <w:keepLines w:val="0"/>
        <w:pageBreakBefore w:val="0"/>
        <w:widowControl w:val="0"/>
        <w:kinsoku/>
        <w:wordWrap/>
        <w:overflowPunct/>
        <w:topLinePunct w:val="0"/>
        <w:autoSpaceDE/>
        <w:autoSpaceDN/>
        <w:bidi w:val="0"/>
        <w:adjustRightInd/>
        <w:spacing w:line="360" w:lineRule="auto"/>
        <w:contextualSpacing/>
        <w:jc w:val="left"/>
        <w:textAlignment w:val="auto"/>
        <w:rPr>
          <w:rFonts w:hint="eastAsia" w:ascii="宋体" w:hAnsi="宋体" w:eastAsia="宋体" w:cs="宋体"/>
          <w:color w:val="auto"/>
          <w:sz w:val="24"/>
          <w:highlight w:val="none"/>
        </w:rPr>
      </w:pPr>
    </w:p>
    <w:p w14:paraId="4C2ABE8D">
      <w:pPr>
        <w:keepNext w:val="0"/>
        <w:keepLines w:val="0"/>
        <w:pageBreakBefore w:val="0"/>
        <w:widowControl w:val="0"/>
        <w:kinsoku/>
        <w:wordWrap/>
        <w:overflowPunct/>
        <w:topLinePunct w:val="0"/>
        <w:autoSpaceDE/>
        <w:autoSpaceDN/>
        <w:bidi w:val="0"/>
        <w:adjustRightInd/>
        <w:spacing w:line="360" w:lineRule="auto"/>
        <w:contextualSpacing/>
        <w:jc w:val="left"/>
        <w:textAlignment w:val="auto"/>
        <w:rPr>
          <w:rFonts w:hint="eastAsia" w:ascii="宋体" w:hAnsi="宋体" w:eastAsia="宋体" w:cs="宋体"/>
          <w:color w:val="auto"/>
          <w:sz w:val="24"/>
          <w:highlight w:val="none"/>
        </w:rPr>
      </w:pPr>
    </w:p>
    <w:p w14:paraId="1DA2CBFD">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06B74754">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1.自然人竞标的无需提供，联合体竞标的只需牵头人出具。</w:t>
      </w:r>
    </w:p>
    <w:p w14:paraId="691F7484">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jc w:val="left"/>
        <w:textAlignment w:val="auto"/>
        <w:rPr>
          <w:rFonts w:hint="eastAsia" w:ascii="宋体" w:hAnsi="宋体" w:eastAsia="宋体" w:cs="宋体"/>
          <w:color w:val="auto"/>
          <w:szCs w:val="21"/>
          <w:highlight w:val="none"/>
        </w:rPr>
        <w:sectPr>
          <w:pgSz w:w="11911" w:h="16838"/>
          <w:pgMar w:top="1134" w:right="1134" w:bottom="1134" w:left="1134" w:header="720" w:footer="720"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5640E46">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5F24BCEB">
      <w:pPr>
        <w:adjustRightInd w:val="0"/>
        <w:snapToGrid w:val="0"/>
        <w:spacing w:line="300" w:lineRule="auto"/>
        <w:jc w:val="left"/>
        <w:rPr>
          <w:rFonts w:hint="eastAsia" w:ascii="宋体" w:hAnsi="宋体" w:eastAsia="宋体" w:cs="宋体"/>
          <w:b/>
          <w:color w:val="auto"/>
          <w:szCs w:val="21"/>
          <w:highlight w:val="none"/>
        </w:rPr>
      </w:pPr>
    </w:p>
    <w:tbl>
      <w:tblPr>
        <w:tblStyle w:val="29"/>
        <w:tblpPr w:leftFromText="180" w:rightFromText="180" w:vertAnchor="text" w:horzAnchor="page" w:tblpX="1957" w:tblpY="3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35DA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3113DB0C">
            <w:pPr>
              <w:spacing w:line="360" w:lineRule="auto"/>
              <w:rPr>
                <w:rFonts w:hint="eastAsia" w:ascii="宋体" w:hAnsi="宋体" w:eastAsia="宋体" w:cs="宋体"/>
                <w:b/>
                <w:color w:val="auto"/>
                <w:sz w:val="24"/>
                <w:highlight w:val="none"/>
              </w:rPr>
            </w:pPr>
          </w:p>
          <w:p w14:paraId="0351D79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法定代表人身份证复印件粘贴处（正、反面）</w:t>
            </w:r>
          </w:p>
        </w:tc>
      </w:tr>
    </w:tbl>
    <w:p w14:paraId="590FD2DE">
      <w:pPr>
        <w:spacing w:line="520" w:lineRule="exact"/>
        <w:ind w:firstLine="880"/>
        <w:jc w:val="left"/>
        <w:rPr>
          <w:rFonts w:hint="eastAsia" w:ascii="宋体" w:hAnsi="宋体" w:eastAsia="宋体" w:cs="宋体"/>
          <w:color w:val="auto"/>
          <w:szCs w:val="21"/>
          <w:highlight w:val="none"/>
        </w:rPr>
      </w:pPr>
    </w:p>
    <w:p w14:paraId="170B02BC">
      <w:pPr>
        <w:spacing w:line="520" w:lineRule="exact"/>
        <w:ind w:firstLine="880"/>
        <w:jc w:val="left"/>
        <w:rPr>
          <w:rFonts w:hint="eastAsia" w:ascii="宋体" w:hAnsi="宋体" w:eastAsia="宋体" w:cs="宋体"/>
          <w:color w:val="auto"/>
          <w:szCs w:val="21"/>
          <w:highlight w:val="none"/>
        </w:rPr>
      </w:pPr>
    </w:p>
    <w:p w14:paraId="152683C6">
      <w:pPr>
        <w:spacing w:line="520" w:lineRule="exact"/>
        <w:ind w:firstLine="880"/>
        <w:jc w:val="left"/>
        <w:rPr>
          <w:rFonts w:hint="eastAsia" w:ascii="宋体" w:hAnsi="宋体" w:eastAsia="宋体" w:cs="宋体"/>
          <w:color w:val="auto"/>
          <w:szCs w:val="21"/>
          <w:highlight w:val="none"/>
        </w:rPr>
      </w:pPr>
    </w:p>
    <w:p w14:paraId="04CC8531">
      <w:pPr>
        <w:spacing w:line="520" w:lineRule="exact"/>
        <w:ind w:firstLine="880"/>
        <w:jc w:val="left"/>
        <w:rPr>
          <w:rFonts w:hint="eastAsia" w:ascii="宋体" w:hAnsi="宋体" w:eastAsia="宋体" w:cs="宋体"/>
          <w:color w:val="auto"/>
          <w:szCs w:val="21"/>
          <w:highlight w:val="none"/>
        </w:rPr>
      </w:pPr>
    </w:p>
    <w:p w14:paraId="7086D8A1">
      <w:pPr>
        <w:spacing w:line="520" w:lineRule="exact"/>
        <w:ind w:firstLine="880"/>
        <w:jc w:val="left"/>
        <w:rPr>
          <w:rFonts w:hint="eastAsia" w:ascii="宋体" w:hAnsi="宋体" w:eastAsia="宋体" w:cs="宋体"/>
          <w:color w:val="auto"/>
          <w:szCs w:val="21"/>
          <w:highlight w:val="none"/>
        </w:rPr>
      </w:pPr>
    </w:p>
    <w:p w14:paraId="4F4C41C8">
      <w:pPr>
        <w:spacing w:line="520" w:lineRule="exact"/>
        <w:ind w:firstLine="880"/>
        <w:jc w:val="left"/>
        <w:rPr>
          <w:rFonts w:hint="eastAsia" w:ascii="宋体" w:hAnsi="宋体" w:eastAsia="宋体" w:cs="宋体"/>
          <w:color w:val="auto"/>
          <w:szCs w:val="21"/>
          <w:highlight w:val="none"/>
        </w:rPr>
      </w:pPr>
    </w:p>
    <w:p w14:paraId="7668F705">
      <w:pPr>
        <w:spacing w:line="520" w:lineRule="exact"/>
        <w:ind w:firstLine="880"/>
        <w:jc w:val="left"/>
        <w:rPr>
          <w:rFonts w:hint="eastAsia" w:ascii="宋体" w:hAnsi="宋体" w:eastAsia="宋体" w:cs="宋体"/>
          <w:color w:val="auto"/>
          <w:szCs w:val="21"/>
          <w:highlight w:val="none"/>
        </w:rPr>
      </w:pPr>
    </w:p>
    <w:p w14:paraId="167A8ED9">
      <w:pPr>
        <w:spacing w:line="520" w:lineRule="exact"/>
        <w:ind w:firstLine="880"/>
        <w:jc w:val="left"/>
        <w:rPr>
          <w:rFonts w:hint="eastAsia" w:ascii="宋体" w:hAnsi="宋体" w:eastAsia="宋体" w:cs="宋体"/>
          <w:color w:val="auto"/>
          <w:szCs w:val="21"/>
          <w:highlight w:val="none"/>
        </w:rPr>
      </w:pPr>
    </w:p>
    <w:p w14:paraId="1BC27634">
      <w:pPr>
        <w:spacing w:line="520" w:lineRule="exact"/>
        <w:ind w:firstLine="880"/>
        <w:jc w:val="left"/>
        <w:rPr>
          <w:rFonts w:hint="eastAsia" w:ascii="宋体" w:hAnsi="宋体" w:eastAsia="宋体" w:cs="宋体"/>
          <w:color w:val="auto"/>
          <w:szCs w:val="21"/>
          <w:highlight w:val="none"/>
        </w:rPr>
      </w:pPr>
    </w:p>
    <w:p w14:paraId="45C9E9F3">
      <w:pPr>
        <w:spacing w:line="520" w:lineRule="exact"/>
        <w:ind w:firstLine="880"/>
        <w:jc w:val="left"/>
        <w:rPr>
          <w:rFonts w:hint="eastAsia" w:ascii="宋体" w:hAnsi="宋体" w:eastAsia="宋体" w:cs="宋体"/>
          <w:color w:val="auto"/>
          <w:szCs w:val="21"/>
          <w:highlight w:val="none"/>
        </w:rPr>
      </w:pPr>
    </w:p>
    <w:p w14:paraId="1AB21311">
      <w:pPr>
        <w:spacing w:line="520" w:lineRule="exact"/>
        <w:ind w:firstLine="880"/>
        <w:jc w:val="left"/>
        <w:rPr>
          <w:rFonts w:hint="eastAsia" w:ascii="宋体" w:hAnsi="宋体" w:eastAsia="宋体" w:cs="宋体"/>
          <w:color w:val="auto"/>
          <w:szCs w:val="21"/>
          <w:highlight w:val="none"/>
        </w:rPr>
      </w:pPr>
    </w:p>
    <w:p w14:paraId="207BC477">
      <w:pPr>
        <w:spacing w:line="520" w:lineRule="exact"/>
        <w:ind w:firstLine="880"/>
        <w:jc w:val="left"/>
        <w:rPr>
          <w:rFonts w:hint="eastAsia" w:ascii="宋体" w:hAnsi="宋体" w:eastAsia="宋体" w:cs="宋体"/>
          <w:color w:val="auto"/>
          <w:szCs w:val="21"/>
          <w:highlight w:val="none"/>
        </w:rPr>
      </w:pPr>
    </w:p>
    <w:p w14:paraId="49D58E7A">
      <w:pPr>
        <w:spacing w:line="520" w:lineRule="exact"/>
        <w:ind w:firstLine="880"/>
        <w:jc w:val="left"/>
        <w:rPr>
          <w:rFonts w:hint="eastAsia" w:ascii="宋体" w:hAnsi="宋体" w:eastAsia="宋体" w:cs="宋体"/>
          <w:color w:val="auto"/>
          <w:szCs w:val="21"/>
          <w:highlight w:val="none"/>
        </w:rPr>
      </w:pPr>
    </w:p>
    <w:p w14:paraId="1994EA9F">
      <w:pPr>
        <w:spacing w:line="520" w:lineRule="exact"/>
        <w:ind w:firstLine="880"/>
        <w:jc w:val="left"/>
        <w:rPr>
          <w:rFonts w:hint="eastAsia" w:ascii="宋体" w:hAnsi="宋体" w:eastAsia="宋体" w:cs="宋体"/>
          <w:color w:val="auto"/>
          <w:szCs w:val="21"/>
          <w:highlight w:val="none"/>
        </w:rPr>
      </w:pPr>
    </w:p>
    <w:p w14:paraId="6C184AEE">
      <w:pPr>
        <w:spacing w:line="520" w:lineRule="exact"/>
        <w:ind w:firstLine="880"/>
        <w:jc w:val="left"/>
        <w:rPr>
          <w:rFonts w:hint="eastAsia" w:ascii="宋体" w:hAnsi="宋体" w:eastAsia="宋体" w:cs="宋体"/>
          <w:color w:val="auto"/>
          <w:szCs w:val="21"/>
          <w:highlight w:val="none"/>
        </w:rPr>
      </w:pPr>
    </w:p>
    <w:p w14:paraId="520C5ED0">
      <w:pPr>
        <w:spacing w:line="520" w:lineRule="exact"/>
        <w:ind w:firstLine="880"/>
        <w:jc w:val="left"/>
        <w:rPr>
          <w:rFonts w:hint="eastAsia" w:ascii="宋体" w:hAnsi="宋体" w:eastAsia="宋体" w:cs="宋体"/>
          <w:color w:val="auto"/>
          <w:szCs w:val="21"/>
          <w:highlight w:val="none"/>
        </w:rPr>
      </w:pPr>
    </w:p>
    <w:p w14:paraId="553CF82F">
      <w:pPr>
        <w:spacing w:line="520" w:lineRule="exact"/>
        <w:ind w:firstLine="880"/>
        <w:jc w:val="left"/>
        <w:rPr>
          <w:rFonts w:hint="eastAsia" w:ascii="宋体" w:hAnsi="宋体" w:eastAsia="宋体" w:cs="宋体"/>
          <w:color w:val="auto"/>
          <w:szCs w:val="21"/>
          <w:highlight w:val="none"/>
        </w:rPr>
      </w:pPr>
    </w:p>
    <w:p w14:paraId="4739F2B1">
      <w:pPr>
        <w:spacing w:line="520" w:lineRule="exact"/>
        <w:ind w:firstLine="880"/>
        <w:jc w:val="left"/>
        <w:rPr>
          <w:rFonts w:hint="eastAsia" w:ascii="宋体" w:hAnsi="宋体" w:eastAsia="宋体" w:cs="宋体"/>
          <w:color w:val="auto"/>
          <w:szCs w:val="21"/>
          <w:highlight w:val="none"/>
        </w:rPr>
      </w:pPr>
    </w:p>
    <w:p w14:paraId="1F16A2A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i w:val="0"/>
          <w:iCs w:val="0"/>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bCs/>
          <w:i w:val="0"/>
          <w:iCs w:val="0"/>
          <w:color w:val="auto"/>
          <w:sz w:val="28"/>
          <w:szCs w:val="28"/>
          <w:highlight w:val="none"/>
        </w:rPr>
        <w:t>法定代表人授权委托书的格式：</w:t>
      </w:r>
    </w:p>
    <w:p w14:paraId="396233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auto"/>
          <w:sz w:val="44"/>
          <w:szCs w:val="44"/>
          <w:highlight w:val="none"/>
        </w:rPr>
      </w:pPr>
    </w:p>
    <w:p w14:paraId="3CC1E1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auto"/>
          <w:sz w:val="32"/>
          <w:szCs w:val="32"/>
          <w:highlight w:val="none"/>
        </w:rPr>
      </w:pPr>
      <w:r>
        <w:rPr>
          <w:rFonts w:hint="eastAsia" w:ascii="宋体" w:hAnsi="宋体" w:eastAsia="宋体" w:cs="宋体"/>
          <w:b/>
          <w:bCs/>
          <w:i w:val="0"/>
          <w:iCs w:val="0"/>
          <w:color w:val="auto"/>
          <w:sz w:val="32"/>
          <w:szCs w:val="32"/>
          <w:highlight w:val="none"/>
        </w:rPr>
        <w:t>授权委托书（非联合体竞标格式）</w:t>
      </w:r>
    </w:p>
    <w:p w14:paraId="5898B1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auto"/>
          <w:sz w:val="32"/>
          <w:szCs w:val="32"/>
          <w:highlight w:val="none"/>
        </w:rPr>
      </w:pPr>
      <w:r>
        <w:rPr>
          <w:rFonts w:hint="eastAsia" w:ascii="宋体" w:hAnsi="宋体" w:eastAsia="宋体" w:cs="宋体"/>
          <w:b/>
          <w:bCs/>
          <w:i w:val="0"/>
          <w:iCs w:val="0"/>
          <w:color w:val="auto"/>
          <w:sz w:val="32"/>
          <w:szCs w:val="32"/>
          <w:highlight w:val="none"/>
        </w:rPr>
        <w:t>（如有委托时）</w:t>
      </w:r>
    </w:p>
    <w:p w14:paraId="4F2BC8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 w:val="32"/>
          <w:szCs w:val="32"/>
          <w:highlight w:val="none"/>
        </w:rPr>
      </w:pPr>
    </w:p>
    <w:p w14:paraId="0F05CF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致：</w:t>
      </w:r>
      <w:r>
        <w:rPr>
          <w:rFonts w:hint="eastAsia" w:ascii="宋体" w:hAnsi="宋体" w:eastAsia="宋体" w:cs="宋体"/>
          <w:i w:val="0"/>
          <w:iCs w:val="0"/>
          <w:color w:val="auto"/>
          <w:szCs w:val="21"/>
          <w:highlight w:val="none"/>
          <w:u w:val="single"/>
        </w:rPr>
        <w:t>（采购人名称）</w:t>
      </w:r>
      <w:r>
        <w:rPr>
          <w:rFonts w:hint="eastAsia" w:ascii="宋体" w:hAnsi="宋体" w:eastAsia="宋体" w:cs="宋体"/>
          <w:i w:val="0"/>
          <w:iCs w:val="0"/>
          <w:color w:val="auto"/>
          <w:szCs w:val="21"/>
          <w:highlight w:val="none"/>
        </w:rPr>
        <w:t>：</w:t>
      </w:r>
    </w:p>
    <w:p w14:paraId="247189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我</w:t>
      </w:r>
      <w:r>
        <w:rPr>
          <w:rFonts w:hint="eastAsia" w:ascii="宋体" w:hAnsi="宋体" w:eastAsia="宋体" w:cs="宋体"/>
          <w:i w:val="0"/>
          <w:iCs w:val="0"/>
          <w:color w:val="auto"/>
          <w:szCs w:val="21"/>
          <w:highlight w:val="none"/>
          <w:u w:val="single"/>
        </w:rPr>
        <w:t xml:space="preserve">  （姓名）  </w:t>
      </w:r>
      <w:r>
        <w:rPr>
          <w:rFonts w:hint="eastAsia" w:ascii="宋体" w:hAnsi="宋体" w:eastAsia="宋体" w:cs="宋体"/>
          <w:i w:val="0"/>
          <w:iCs w:val="0"/>
          <w:color w:val="auto"/>
          <w:szCs w:val="21"/>
          <w:highlight w:val="none"/>
        </w:rPr>
        <w:t>系</w:t>
      </w:r>
      <w:r>
        <w:rPr>
          <w:rFonts w:hint="eastAsia" w:ascii="宋体" w:hAnsi="宋体" w:eastAsia="宋体" w:cs="宋体"/>
          <w:i w:val="0"/>
          <w:iCs w:val="0"/>
          <w:color w:val="auto"/>
          <w:szCs w:val="21"/>
          <w:highlight w:val="none"/>
          <w:u w:val="single"/>
        </w:rPr>
        <w:t xml:space="preserve">  （供应商名称）  </w:t>
      </w:r>
      <w:r>
        <w:rPr>
          <w:rFonts w:hint="eastAsia" w:ascii="宋体" w:hAnsi="宋体" w:eastAsia="宋体" w:cs="宋体"/>
          <w:i w:val="0"/>
          <w:iCs w:val="0"/>
          <w:color w:val="auto"/>
          <w:szCs w:val="21"/>
          <w:highlight w:val="none"/>
        </w:rPr>
        <w:t>的（</w:t>
      </w:r>
      <w:r>
        <w:rPr>
          <w:rFonts w:hint="eastAsia" w:ascii="宋体" w:hAnsi="宋体" w:eastAsia="宋体" w:cs="宋体"/>
          <w:i w:val="0"/>
          <w:iCs w:val="0"/>
          <w:color w:val="auto"/>
          <w:szCs w:val="21"/>
          <w:highlight w:val="none"/>
          <w:u w:val="single"/>
        </w:rPr>
        <w:t>□法定代表人/□负责人/</w:t>
      </w:r>
      <w:r>
        <w:rPr>
          <w:rFonts w:hint="eastAsia" w:ascii="宋体" w:hAnsi="宋体" w:eastAsia="宋体" w:cs="宋体"/>
          <w:i w:val="0"/>
          <w:iCs w:val="0"/>
          <w:color w:val="auto"/>
          <w:szCs w:val="21"/>
          <w:highlight w:val="none"/>
          <w:u w:val="single"/>
          <w:lang w:eastAsia="zh-CN"/>
        </w:rPr>
        <w:t>□</w:t>
      </w:r>
      <w:r>
        <w:rPr>
          <w:rFonts w:hint="eastAsia" w:ascii="宋体" w:hAnsi="宋体" w:eastAsia="宋体" w:cs="宋体"/>
          <w:i w:val="0"/>
          <w:iCs w:val="0"/>
          <w:color w:val="auto"/>
          <w:szCs w:val="21"/>
          <w:highlight w:val="none"/>
          <w:u w:val="single"/>
        </w:rPr>
        <w:t>自然人本人</w:t>
      </w:r>
      <w:r>
        <w:rPr>
          <w:rFonts w:hint="eastAsia" w:ascii="宋体" w:hAnsi="宋体" w:eastAsia="宋体" w:cs="宋体"/>
          <w:i w:val="0"/>
          <w:iCs w:val="0"/>
          <w:color w:val="auto"/>
          <w:szCs w:val="21"/>
          <w:highlight w:val="none"/>
        </w:rPr>
        <w:t>），现授权</w:t>
      </w:r>
      <w:r>
        <w:rPr>
          <w:rFonts w:hint="eastAsia" w:ascii="宋体" w:hAnsi="宋体" w:eastAsia="宋体" w:cs="宋体"/>
          <w:i w:val="0"/>
          <w:iCs w:val="0"/>
          <w:color w:val="auto"/>
          <w:szCs w:val="21"/>
          <w:highlight w:val="none"/>
          <w:u w:val="single"/>
        </w:rPr>
        <w:t xml:space="preserve"> （姓名） </w:t>
      </w:r>
      <w:r>
        <w:rPr>
          <w:rFonts w:hint="eastAsia" w:ascii="宋体" w:hAnsi="宋体" w:eastAsia="宋体" w:cs="宋体"/>
          <w:i w:val="0"/>
          <w:iCs w:val="0"/>
          <w:color w:val="auto"/>
          <w:szCs w:val="21"/>
          <w:highlight w:val="none"/>
        </w:rPr>
        <w:t>以我方的名义参加</w:t>
      </w:r>
      <w:r>
        <w:rPr>
          <w:rFonts w:hint="eastAsia" w:ascii="宋体" w:hAnsi="宋体" w:eastAsia="宋体" w:cs="宋体"/>
          <w:i w:val="0"/>
          <w:iCs w:val="0"/>
          <w:color w:val="auto"/>
          <w:szCs w:val="21"/>
          <w:highlight w:val="none"/>
          <w:u w:val="single"/>
        </w:rPr>
        <w:t xml:space="preserve">      （项目名称）        </w:t>
      </w:r>
      <w:r>
        <w:rPr>
          <w:rFonts w:hint="eastAsia" w:ascii="宋体" w:hAnsi="宋体" w:eastAsia="宋体" w:cs="宋体"/>
          <w:i w:val="0"/>
          <w:iCs w:val="0"/>
          <w:color w:val="auto"/>
          <w:szCs w:val="21"/>
          <w:highlight w:val="none"/>
        </w:rPr>
        <w:t>项目的竞标活动，并代表我方全权办理针对上述项目的所有采购程序和环节的具体事务和签署相关文件。</w:t>
      </w:r>
    </w:p>
    <w:p w14:paraId="64A5E1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 xml:space="preserve">    我方对委托代理人的签字事项负全部责任。</w:t>
      </w:r>
    </w:p>
    <w:p w14:paraId="55FED7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本授权书自签署之日起生效，在撤销授权的书面通知以前，本授权书一直有效。委托代理人在授权书有效期内签署的所有文件不因授权的撤销而失效。</w:t>
      </w:r>
    </w:p>
    <w:p w14:paraId="4AF656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委托代理人无转委托权，特此委托。</w:t>
      </w:r>
    </w:p>
    <w:p w14:paraId="64FBB8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附：委托代理人有效身份证正反面复印件</w:t>
      </w:r>
    </w:p>
    <w:p w14:paraId="35A26A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Cs w:val="21"/>
          <w:highlight w:val="none"/>
        </w:rPr>
      </w:pPr>
    </w:p>
    <w:p w14:paraId="30B1C8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 xml:space="preserve">委托代理人（签字）：         法定代表人（签字）：                    </w:t>
      </w:r>
    </w:p>
    <w:p w14:paraId="065040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 xml:space="preserve">委托代理人身份证号码：                              </w:t>
      </w:r>
    </w:p>
    <w:p w14:paraId="4DFF47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 xml:space="preserve">                                </w:t>
      </w:r>
    </w:p>
    <w:p w14:paraId="02923B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 xml:space="preserve">                         </w:t>
      </w:r>
      <w:r>
        <w:rPr>
          <w:rFonts w:hint="eastAsia" w:ascii="宋体" w:hAnsi="宋体" w:eastAsia="宋体" w:cs="宋体"/>
          <w:i w:val="0"/>
          <w:iCs w:val="0"/>
          <w:color w:val="auto"/>
          <w:kern w:val="0"/>
          <w:szCs w:val="21"/>
          <w:highlight w:val="none"/>
        </w:rPr>
        <w:t>供应商名称</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电子</w:t>
      </w:r>
      <w:r>
        <w:rPr>
          <w:rFonts w:hint="eastAsia" w:ascii="宋体" w:hAnsi="宋体" w:eastAsia="宋体" w:cs="宋体"/>
          <w:color w:val="auto"/>
          <w:szCs w:val="21"/>
          <w:highlight w:val="none"/>
        </w:rPr>
        <w:t>公章）</w:t>
      </w:r>
      <w:r>
        <w:rPr>
          <w:rFonts w:hint="eastAsia" w:ascii="宋体" w:hAnsi="宋体" w:eastAsia="宋体" w:cs="宋体"/>
          <w:i w:val="0"/>
          <w:iCs w:val="0"/>
          <w:color w:val="auto"/>
          <w:kern w:val="0"/>
          <w:szCs w:val="21"/>
          <w:highlight w:val="none"/>
        </w:rPr>
        <w:t>：</w:t>
      </w:r>
    </w:p>
    <w:p w14:paraId="2BC6C772">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
          <w:i w:val="0"/>
          <w:iCs w:val="0"/>
          <w:color w:val="auto"/>
          <w:szCs w:val="21"/>
          <w:highlight w:val="none"/>
        </w:rPr>
      </w:pPr>
      <w:r>
        <w:rPr>
          <w:rFonts w:hint="eastAsia" w:ascii="宋体" w:hAnsi="宋体" w:eastAsia="宋体" w:cs="宋体"/>
          <w:i w:val="0"/>
          <w:iCs w:val="0"/>
          <w:color w:val="auto"/>
          <w:kern w:val="0"/>
          <w:szCs w:val="21"/>
          <w:highlight w:val="none"/>
          <w:lang w:val="zh-CN"/>
        </w:rPr>
        <w:t xml:space="preserve">                                                   日期：  年  月   日</w:t>
      </w:r>
    </w:p>
    <w:p w14:paraId="5D8D27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Cs w:val="21"/>
          <w:highlight w:val="none"/>
        </w:rPr>
      </w:pPr>
    </w:p>
    <w:p w14:paraId="272B2A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注：</w:t>
      </w:r>
    </w:p>
    <w:p w14:paraId="6E4279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 法定代表人和委托代理人必须在授权委托书上签字，</w:t>
      </w:r>
      <w:r>
        <w:rPr>
          <w:rFonts w:hint="eastAsia" w:ascii="宋体" w:hAnsi="宋体" w:eastAsia="宋体" w:cs="宋体"/>
          <w:b/>
          <w:i w:val="0"/>
          <w:iCs w:val="0"/>
          <w:color w:val="auto"/>
          <w:szCs w:val="21"/>
          <w:highlight w:val="none"/>
        </w:rPr>
        <w:t>否则其响应文件按无效响应处理。</w:t>
      </w:r>
    </w:p>
    <w:p w14:paraId="3BB84C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928E09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3. 法人、其他组织竞标时“我方”是指“我单位”，自然人竞标时“我方”是指“本人”。</w:t>
      </w:r>
    </w:p>
    <w:p w14:paraId="497A14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auto"/>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b/>
          <w:bCs/>
          <w:i w:val="0"/>
          <w:iCs w:val="0"/>
          <w:color w:val="auto"/>
          <w:sz w:val="32"/>
          <w:szCs w:val="32"/>
          <w:highlight w:val="none"/>
        </w:rPr>
        <w:t>授权委托书（联合体竞标格式）</w:t>
      </w:r>
    </w:p>
    <w:p w14:paraId="0FFB07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auto"/>
          <w:sz w:val="32"/>
          <w:szCs w:val="32"/>
          <w:highlight w:val="none"/>
        </w:rPr>
      </w:pPr>
      <w:r>
        <w:rPr>
          <w:rFonts w:hint="eastAsia" w:ascii="宋体" w:hAnsi="宋体" w:eastAsia="宋体" w:cs="宋体"/>
          <w:b/>
          <w:bCs/>
          <w:i w:val="0"/>
          <w:iCs w:val="0"/>
          <w:color w:val="auto"/>
          <w:sz w:val="32"/>
          <w:szCs w:val="32"/>
          <w:highlight w:val="none"/>
        </w:rPr>
        <w:t>（如有委托时）</w:t>
      </w:r>
    </w:p>
    <w:p w14:paraId="22E9A7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auto"/>
          <w:sz w:val="44"/>
          <w:szCs w:val="44"/>
          <w:highlight w:val="none"/>
        </w:rPr>
      </w:pPr>
    </w:p>
    <w:p w14:paraId="0D9E86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auto"/>
          <w:sz w:val="32"/>
          <w:szCs w:val="32"/>
          <w:highlight w:val="none"/>
        </w:rPr>
      </w:pPr>
    </w:p>
    <w:p w14:paraId="5B6C797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本授权委托书声明：根据</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（牵头人名称）与</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（联合体其他成员名称）签订的《联合体竞标协议书》的内容，</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（牵头人名称）的法定代表人</w:t>
      </w:r>
      <w:r>
        <w:rPr>
          <w:rFonts w:hint="eastAsia" w:ascii="宋体" w:hAnsi="宋体" w:eastAsia="宋体" w:cs="宋体"/>
          <w:i w:val="0"/>
          <w:iCs w:val="0"/>
          <w:color w:val="auto"/>
          <w:szCs w:val="21"/>
          <w:highlight w:val="none"/>
          <w:u w:val="single"/>
        </w:rPr>
        <w:t xml:space="preserve">      （姓名）</w:t>
      </w:r>
      <w:r>
        <w:rPr>
          <w:rFonts w:hint="eastAsia" w:ascii="宋体" w:hAnsi="宋体" w:eastAsia="宋体" w:cs="宋体"/>
          <w:i w:val="0"/>
          <w:iCs w:val="0"/>
          <w:color w:val="auto"/>
          <w:szCs w:val="21"/>
          <w:highlight w:val="none"/>
        </w:rPr>
        <w:t>现授权</w:t>
      </w:r>
      <w:r>
        <w:rPr>
          <w:rFonts w:hint="eastAsia" w:ascii="宋体" w:hAnsi="宋体" w:eastAsia="宋体" w:cs="宋体"/>
          <w:i w:val="0"/>
          <w:iCs w:val="0"/>
          <w:color w:val="auto"/>
          <w:szCs w:val="21"/>
          <w:highlight w:val="none"/>
          <w:u w:val="single"/>
        </w:rPr>
        <w:t xml:space="preserve">      （姓名）</w:t>
      </w:r>
      <w:r>
        <w:rPr>
          <w:rFonts w:hint="eastAsia" w:ascii="宋体" w:hAnsi="宋体" w:eastAsia="宋体" w:cs="宋体"/>
          <w:i w:val="0"/>
          <w:iCs w:val="0"/>
          <w:color w:val="auto"/>
          <w:szCs w:val="21"/>
          <w:highlight w:val="none"/>
        </w:rPr>
        <w:t>为联合委托代理人，并代表我方全权办理针对上述项目的所有采购程序和环节的具体事务和签署相关文件。</w:t>
      </w:r>
    </w:p>
    <w:p w14:paraId="316D2E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我方对委托代理人的签字事项负全部责任。</w:t>
      </w:r>
    </w:p>
    <w:p w14:paraId="7B5172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本授权书自签署之日起生效，在撤销授权的书面通知以前，本授权书一直有效。委托代理人在授权书有效期内签署的所有文件不因授权的撤销而失效。</w:t>
      </w:r>
    </w:p>
    <w:p w14:paraId="5D13BF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委托代理人无转委托权，特此委托。</w:t>
      </w:r>
    </w:p>
    <w:p w14:paraId="5041B2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 xml:space="preserve">    </w:t>
      </w:r>
    </w:p>
    <w:p w14:paraId="6B8916C6">
      <w:pPr>
        <w:keepNext w:val="0"/>
        <w:keepLines w:val="0"/>
        <w:pageBreakBefore w:val="0"/>
        <w:widowControl w:val="0"/>
        <w:kinsoku/>
        <w:wordWrap/>
        <w:overflowPunct/>
        <w:topLinePunct w:val="0"/>
        <w:autoSpaceDE/>
        <w:autoSpaceDN/>
        <w:bidi w:val="0"/>
        <w:adjustRightInd/>
        <w:snapToGrid/>
        <w:spacing w:line="360" w:lineRule="auto"/>
        <w:ind w:firstLine="1365" w:firstLineChars="650"/>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牵头人法定代表人（签字）：</w:t>
      </w:r>
    </w:p>
    <w:p w14:paraId="5A3EFCE2">
      <w:pPr>
        <w:keepNext w:val="0"/>
        <w:keepLines w:val="0"/>
        <w:pageBreakBefore w:val="0"/>
        <w:widowControl w:val="0"/>
        <w:kinsoku/>
        <w:wordWrap/>
        <w:overflowPunct/>
        <w:topLinePunct w:val="0"/>
        <w:autoSpaceDE/>
        <w:autoSpaceDN/>
        <w:bidi w:val="0"/>
        <w:adjustRightInd/>
        <w:snapToGrid/>
        <w:spacing w:line="360" w:lineRule="auto"/>
        <w:ind w:firstLine="2730" w:firstLineChars="1300"/>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牵头人名称</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电子</w:t>
      </w:r>
      <w:r>
        <w:rPr>
          <w:rFonts w:hint="eastAsia" w:ascii="宋体" w:hAnsi="宋体" w:eastAsia="宋体" w:cs="宋体"/>
          <w:color w:val="auto"/>
          <w:szCs w:val="21"/>
          <w:highlight w:val="none"/>
        </w:rPr>
        <w:t>公章）</w:t>
      </w:r>
      <w:r>
        <w:rPr>
          <w:rFonts w:hint="eastAsia" w:ascii="宋体" w:hAnsi="宋体" w:eastAsia="宋体" w:cs="宋体"/>
          <w:i w:val="0"/>
          <w:iCs w:val="0"/>
          <w:color w:val="auto"/>
          <w:szCs w:val="21"/>
          <w:highlight w:val="none"/>
        </w:rPr>
        <w:t>：</w:t>
      </w:r>
    </w:p>
    <w:p w14:paraId="27C25548">
      <w:pPr>
        <w:keepNext w:val="0"/>
        <w:keepLines w:val="0"/>
        <w:pageBreakBefore w:val="0"/>
        <w:widowControl w:val="0"/>
        <w:kinsoku/>
        <w:wordWrap/>
        <w:overflowPunct/>
        <w:topLinePunct w:val="0"/>
        <w:autoSpaceDE/>
        <w:autoSpaceDN/>
        <w:bidi w:val="0"/>
        <w:adjustRightInd/>
        <w:snapToGrid/>
        <w:spacing w:line="360" w:lineRule="auto"/>
        <w:ind w:firstLine="3360" w:firstLineChars="1600"/>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日期：    年   月   日</w:t>
      </w:r>
    </w:p>
    <w:p w14:paraId="382C45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Cs w:val="21"/>
          <w:highlight w:val="none"/>
        </w:rPr>
      </w:pPr>
    </w:p>
    <w:p w14:paraId="4B1209A5">
      <w:pPr>
        <w:keepNext w:val="0"/>
        <w:keepLines w:val="0"/>
        <w:pageBreakBefore w:val="0"/>
        <w:widowControl w:val="0"/>
        <w:kinsoku/>
        <w:wordWrap/>
        <w:overflowPunct/>
        <w:topLinePunct w:val="0"/>
        <w:autoSpaceDE/>
        <w:autoSpaceDN/>
        <w:bidi w:val="0"/>
        <w:adjustRightInd/>
        <w:snapToGrid/>
        <w:spacing w:line="360" w:lineRule="auto"/>
        <w:ind w:firstLine="2730" w:firstLineChars="1300"/>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委托代理人（签字）：</w:t>
      </w:r>
    </w:p>
    <w:p w14:paraId="2EAF00CD">
      <w:pPr>
        <w:keepNext w:val="0"/>
        <w:keepLines w:val="0"/>
        <w:pageBreakBefore w:val="0"/>
        <w:widowControl w:val="0"/>
        <w:kinsoku/>
        <w:wordWrap/>
        <w:overflowPunct/>
        <w:topLinePunct w:val="0"/>
        <w:autoSpaceDE/>
        <w:autoSpaceDN/>
        <w:bidi w:val="0"/>
        <w:adjustRightInd/>
        <w:snapToGrid/>
        <w:spacing w:line="360" w:lineRule="auto"/>
        <w:ind w:firstLine="3360" w:firstLineChars="1600"/>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日期：    年   月   日</w:t>
      </w:r>
    </w:p>
    <w:p w14:paraId="692910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Cs w:val="21"/>
          <w:highlight w:val="none"/>
        </w:rPr>
      </w:pPr>
    </w:p>
    <w:p w14:paraId="0B46D8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注：</w:t>
      </w:r>
    </w:p>
    <w:p w14:paraId="220BA9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 法定代表人和委托代理人必须在授权委托书上签字，</w:t>
      </w:r>
      <w:r>
        <w:rPr>
          <w:rFonts w:hint="eastAsia" w:ascii="宋体" w:hAnsi="宋体" w:eastAsia="宋体" w:cs="宋体"/>
          <w:b/>
          <w:i w:val="0"/>
          <w:iCs w:val="0"/>
          <w:color w:val="auto"/>
          <w:szCs w:val="21"/>
          <w:highlight w:val="none"/>
        </w:rPr>
        <w:t>否则其响应文件按无效响应处理。</w:t>
      </w:r>
    </w:p>
    <w:p w14:paraId="49F0471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2.本授权委托书应由联合体牵头人的法定代表人按上述规定签署。</w:t>
      </w:r>
    </w:p>
    <w:p w14:paraId="0FD172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6F6199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4.法人、其他组织竞标时“我方”是指“我单位”，自然人竞标时“我方”是指“本人”。</w:t>
      </w:r>
    </w:p>
    <w:p w14:paraId="6A45FF89">
      <w:pPr>
        <w:spacing w:line="360" w:lineRule="auto"/>
        <w:ind w:firstLine="420" w:firstLineChars="200"/>
        <w:jc w:val="left"/>
        <w:rPr>
          <w:rFonts w:hint="eastAsia" w:ascii="宋体" w:hAnsi="宋体" w:eastAsia="宋体" w:cs="宋体"/>
          <w:color w:val="auto"/>
          <w:szCs w:val="21"/>
          <w:highlight w:val="none"/>
        </w:rPr>
      </w:pPr>
    </w:p>
    <w:p w14:paraId="2DCE759C">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b/>
          <w:color w:val="auto"/>
          <w:sz w:val="30"/>
          <w:szCs w:val="30"/>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28"/>
          <w:szCs w:val="28"/>
          <w:highlight w:val="none"/>
        </w:rPr>
        <w:t>商务条款偏离表的格式：</w:t>
      </w:r>
    </w:p>
    <w:p w14:paraId="70D91404">
      <w:pPr>
        <w:pStyle w:val="21"/>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rPr>
      </w:pPr>
    </w:p>
    <w:p w14:paraId="3170D5A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商务条款偏离表</w:t>
      </w:r>
    </w:p>
    <w:p w14:paraId="29202C42">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32"/>
          <w:szCs w:val="32"/>
          <w:highlight w:val="none"/>
        </w:rPr>
      </w:pPr>
    </w:p>
    <w:p w14:paraId="7B397232">
      <w:pPr>
        <w:keepNext w:val="0"/>
        <w:keepLines w:val="0"/>
        <w:pageBreakBefore w:val="0"/>
        <w:widowControl w:val="0"/>
        <w:kinsoku/>
        <w:wordWrap/>
        <w:overflowPunct/>
        <w:topLinePunct w:val="0"/>
        <w:autoSpaceDE/>
        <w:autoSpaceDN/>
        <w:bidi w:val="0"/>
        <w:adjustRightInd/>
        <w:spacing w:line="360" w:lineRule="auto"/>
        <w:contextualSpacing/>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14:paraId="58966CF6">
      <w:pPr>
        <w:keepNext w:val="0"/>
        <w:keepLines w:val="0"/>
        <w:pageBreakBefore w:val="0"/>
        <w:widowControl w:val="0"/>
        <w:kinsoku/>
        <w:wordWrap/>
        <w:overflowPunct/>
        <w:topLinePunct w:val="0"/>
        <w:autoSpaceDE/>
        <w:autoSpaceDN/>
        <w:bidi w:val="0"/>
        <w:adjustRightInd/>
        <w:spacing w:line="360" w:lineRule="auto"/>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p>
    <w:p w14:paraId="61059D3C">
      <w:pPr>
        <w:keepNext w:val="0"/>
        <w:keepLines w:val="0"/>
        <w:pageBreakBefore w:val="0"/>
        <w:widowControl w:val="0"/>
        <w:kinsoku/>
        <w:wordWrap/>
        <w:overflowPunct/>
        <w:topLinePunct w:val="0"/>
        <w:autoSpaceDE/>
        <w:autoSpaceDN/>
        <w:bidi w:val="0"/>
        <w:adjustRightInd/>
        <w:spacing w:line="360" w:lineRule="auto"/>
        <w:contextualSpacing/>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所竞分标（如有则填写，无分标时填写“无”或者留空）：</w:t>
      </w:r>
      <w:r>
        <w:rPr>
          <w:rFonts w:hint="eastAsia" w:ascii="宋体" w:hAnsi="宋体" w:eastAsia="宋体" w:cs="宋体"/>
          <w:color w:val="auto"/>
          <w:szCs w:val="21"/>
          <w:highlight w:val="none"/>
          <w:u w:val="single"/>
        </w:rPr>
        <w:t xml:space="preserve">                </w:t>
      </w:r>
    </w:p>
    <w:tbl>
      <w:tblPr>
        <w:tblStyle w:val="29"/>
        <w:tblpPr w:leftFromText="180" w:rightFromText="180" w:vertAnchor="text" w:horzAnchor="page" w:tblpX="1230" w:tblpY="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0271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6557E5E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765C55B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23073C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6DDDC8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4EAE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4582441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47B811C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52E482C">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4FE8F5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rPr>
            </w:pPr>
          </w:p>
        </w:tc>
      </w:tr>
      <w:tr w14:paraId="1F2E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736A831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121590A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center"/>
          </w:tcPr>
          <w:p w14:paraId="754F5E7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B9F5FA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rPr>
            </w:pPr>
          </w:p>
        </w:tc>
      </w:tr>
      <w:tr w14:paraId="153A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3F124DB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5182C1D0">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4B8E397">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36B4354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rPr>
            </w:pPr>
          </w:p>
        </w:tc>
      </w:tr>
      <w:tr w14:paraId="1F50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114820E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6D7232E7">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center"/>
          </w:tcPr>
          <w:p w14:paraId="6F94C64C">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AA938C1">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rPr>
            </w:pPr>
          </w:p>
        </w:tc>
      </w:tr>
      <w:tr w14:paraId="1B66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4E792A7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2C6AF7C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564F0F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83DE14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rPr>
            </w:pPr>
          </w:p>
        </w:tc>
      </w:tr>
      <w:tr w14:paraId="4F8C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3A248BE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Cs w:val="21"/>
                <w:highlight w:val="none"/>
              </w:rPr>
            </w:pPr>
          </w:p>
        </w:tc>
        <w:tc>
          <w:tcPr>
            <w:tcW w:w="3926" w:type="dxa"/>
            <w:tcBorders>
              <w:top w:val="single" w:color="auto" w:sz="4" w:space="0"/>
              <w:left w:val="single" w:color="auto" w:sz="4" w:space="0"/>
              <w:bottom w:val="single" w:color="auto" w:sz="4" w:space="0"/>
              <w:right w:val="single" w:color="auto" w:sz="4" w:space="0"/>
            </w:tcBorders>
            <w:noWrap w:val="0"/>
            <w:vAlign w:val="center"/>
          </w:tcPr>
          <w:p w14:paraId="7D42509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7BC31FB2">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926C692">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rPr>
            </w:pPr>
          </w:p>
        </w:tc>
      </w:tr>
    </w:tbl>
    <w:p w14:paraId="42CE764A">
      <w:pPr>
        <w:pStyle w:val="14"/>
        <w:keepNext w:val="0"/>
        <w:keepLines w:val="0"/>
        <w:pageBreakBefore w:val="0"/>
        <w:widowControl w:val="0"/>
        <w:kinsoku/>
        <w:wordWrap/>
        <w:overflowPunct/>
        <w:topLinePunct w:val="0"/>
        <w:autoSpaceDE/>
        <w:autoSpaceDN/>
        <w:bidi w:val="0"/>
        <w:adjustRightInd/>
        <w:spacing w:line="360" w:lineRule="auto"/>
        <w:ind w:firstLine="0" w:firstLineChars="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4E7074B0">
      <w:pPr>
        <w:pStyle w:val="14"/>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1.应对照磋商文件“第二章 采购需求”中的商务条款逐条作出明确响应，并作出偏离说明。</w:t>
      </w:r>
    </w:p>
    <w:p w14:paraId="20E5D21C">
      <w:pPr>
        <w:pStyle w:val="14"/>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2.供应商应根据自身的承诺，对照磋商文件要求，在“偏离说明”中注明“正偏离”或者“负偏离”或者“无偏离”。既不属于“正偏离”也不属于“负偏离”即为“无偏离”。 当响应文件的商务内容低于竞争性磋商文件要求时，供应商应当如实写明“负偏离”，否则视为虚假应标</w:t>
      </w:r>
      <w:r>
        <w:rPr>
          <w:rFonts w:hint="eastAsia" w:ascii="宋体" w:hAnsi="宋体" w:eastAsia="宋体" w:cs="宋体"/>
          <w:color w:val="auto"/>
          <w:sz w:val="21"/>
          <w:szCs w:val="21"/>
          <w:highlight w:val="none"/>
          <w:lang w:eastAsia="zh-CN"/>
        </w:rPr>
        <w:t>。</w:t>
      </w:r>
    </w:p>
    <w:p w14:paraId="26E3E67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3.表格内容均需按要求填写，不得留空，</w:t>
      </w:r>
      <w:r>
        <w:rPr>
          <w:rFonts w:hint="eastAsia" w:ascii="宋体" w:hAnsi="宋体" w:eastAsia="宋体" w:cs="宋体"/>
          <w:b/>
          <w:bCs/>
          <w:color w:val="auto"/>
          <w:kern w:val="0"/>
          <w:szCs w:val="21"/>
          <w:highlight w:val="none"/>
        </w:rPr>
        <w:t>否则按竞标无效处理。</w:t>
      </w:r>
    </w:p>
    <w:p w14:paraId="24020071">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textAlignment w:val="auto"/>
        <w:rPr>
          <w:rFonts w:hint="eastAsia" w:ascii="宋体" w:hAnsi="宋体" w:eastAsia="宋体" w:cs="宋体"/>
          <w:color w:val="auto"/>
          <w:kern w:val="0"/>
          <w:szCs w:val="21"/>
          <w:highlight w:val="none"/>
        </w:rPr>
      </w:pPr>
    </w:p>
    <w:p w14:paraId="547F0ED7">
      <w:pPr>
        <w:keepNext w:val="0"/>
        <w:keepLines w:val="0"/>
        <w:pageBreakBefore w:val="0"/>
        <w:widowControl w:val="0"/>
        <w:kinsoku/>
        <w:wordWrap/>
        <w:overflowPunct/>
        <w:topLinePunct w:val="0"/>
        <w:autoSpaceDE/>
        <w:autoSpaceDN/>
        <w:bidi w:val="0"/>
        <w:adjustRightInd/>
        <w:spacing w:line="360" w:lineRule="auto"/>
        <w:ind w:firstLine="4410" w:firstLineChars="21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名称</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电子</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u w:val="single"/>
        </w:rPr>
        <w:t xml:space="preserve">                   </w:t>
      </w:r>
    </w:p>
    <w:p w14:paraId="3D25495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color w:val="auto"/>
          <w:sz w:val="30"/>
          <w:szCs w:val="30"/>
          <w:highlight w:val="none"/>
        </w:rPr>
      </w:pP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7C36437">
      <w:pPr>
        <w:snapToGrid w:val="0"/>
        <w:spacing w:line="360" w:lineRule="auto"/>
        <w:ind w:firstLine="602" w:firstLineChars="200"/>
        <w:rPr>
          <w:rFonts w:hint="eastAsia" w:ascii="宋体" w:hAnsi="宋体" w:eastAsia="宋体" w:cs="宋体"/>
          <w:b/>
          <w:color w:val="auto"/>
          <w:sz w:val="30"/>
          <w:szCs w:val="30"/>
          <w:highlight w:val="none"/>
        </w:rPr>
      </w:pPr>
    </w:p>
    <w:p w14:paraId="144D9927">
      <w:pPr>
        <w:snapToGrid w:val="0"/>
        <w:spacing w:line="360" w:lineRule="auto"/>
        <w:ind w:firstLine="602" w:firstLineChars="200"/>
        <w:rPr>
          <w:rFonts w:hint="eastAsia" w:ascii="宋体" w:hAnsi="宋体" w:eastAsia="宋体" w:cs="宋体"/>
          <w:b/>
          <w:color w:val="auto"/>
          <w:sz w:val="30"/>
          <w:szCs w:val="30"/>
          <w:highlight w:val="none"/>
        </w:rPr>
      </w:pPr>
    </w:p>
    <w:p w14:paraId="19F50133">
      <w:pPr>
        <w:pStyle w:val="7"/>
        <w:rPr>
          <w:rFonts w:hint="eastAsia" w:ascii="宋体" w:hAnsi="宋体" w:eastAsia="宋体" w:cs="宋体"/>
          <w:b/>
          <w:color w:val="auto"/>
          <w:sz w:val="30"/>
          <w:szCs w:val="30"/>
          <w:highlight w:val="none"/>
        </w:rPr>
      </w:pPr>
    </w:p>
    <w:p w14:paraId="2F9B251A">
      <w:pPr>
        <w:pStyle w:val="7"/>
        <w:rPr>
          <w:rFonts w:hint="eastAsia" w:ascii="宋体" w:hAnsi="宋体" w:eastAsia="宋体" w:cs="宋体"/>
          <w:b/>
          <w:color w:val="auto"/>
          <w:sz w:val="30"/>
          <w:szCs w:val="30"/>
          <w:highlight w:val="none"/>
        </w:rPr>
      </w:pPr>
    </w:p>
    <w:p w14:paraId="3085FD62">
      <w:pPr>
        <w:snapToGrid w:val="0"/>
        <w:spacing w:before="120" w:beforeLines="50" w:after="50"/>
        <w:rPr>
          <w:rFonts w:hint="eastAsia" w:ascii="宋体" w:hAnsi="宋体" w:eastAsia="宋体" w:cs="宋体"/>
          <w:b/>
          <w:color w:val="auto"/>
          <w:sz w:val="28"/>
          <w:szCs w:val="28"/>
          <w:highlight w:val="none"/>
        </w:rPr>
        <w:sectPr>
          <w:pgSz w:w="11911" w:h="16838"/>
          <w:pgMar w:top="1134" w:right="1134" w:bottom="1134" w:left="1134" w:header="720" w:footer="720" w:gutter="0"/>
          <w:pgBorders>
            <w:top w:val="none" w:sz="0" w:space="0"/>
            <w:left w:val="none" w:sz="0" w:space="0"/>
            <w:bottom w:val="none" w:sz="0" w:space="0"/>
            <w:right w:val="none" w:sz="0" w:space="0"/>
          </w:pgBorders>
          <w:cols w:space="720" w:num="1"/>
        </w:sectPr>
      </w:pPr>
    </w:p>
    <w:p w14:paraId="0924ABF2">
      <w:pPr>
        <w:keepNext w:val="0"/>
        <w:keepLines w:val="0"/>
        <w:pageBreakBefore w:val="0"/>
        <w:widowControl w:val="0"/>
        <w:kinsoku/>
        <w:wordWrap/>
        <w:overflowPunct/>
        <w:topLinePunct w:val="0"/>
        <w:autoSpaceDE/>
        <w:autoSpaceDN/>
        <w:bidi w:val="0"/>
        <w:adjustRightInd/>
        <w:snapToGrid w:val="0"/>
        <w:spacing w:before="120" w:beforeLines="50" w:after="50" w:line="360" w:lineRule="auto"/>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建设工程项目管理承诺书的格式：</w:t>
      </w:r>
    </w:p>
    <w:p w14:paraId="2F37335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8"/>
          <w:szCs w:val="28"/>
          <w:highlight w:val="none"/>
        </w:rPr>
      </w:pPr>
    </w:p>
    <w:p w14:paraId="20F028F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建设工程项目管理承诺书</w:t>
      </w:r>
    </w:p>
    <w:p w14:paraId="237CC7F1">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highlight w:val="none"/>
        </w:rPr>
      </w:pPr>
    </w:p>
    <w:p w14:paraId="2BD4447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（采购人名称）：</w:t>
      </w:r>
    </w:p>
    <w:p w14:paraId="67E65AB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作为参与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（项目名称）项目的供应商，根据国家、自治区相关文件规定，我方在此向采购人承诺：</w:t>
      </w:r>
    </w:p>
    <w:p w14:paraId="0DC0863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旦成交，我方保证按照政府相关部门的规定，在成交后7个工作日内，按照《保障农民工工资支付条例》规定及广西壮族自治区有关规定开设农民工工资专用账户，专项用于支付本工程提供劳动的农民工被拖欠的工资。按照与农民工依法约定的工资支付周期和具体支付日期支付工资，保证每月至少向农民工足额支付一次工资。</w:t>
      </w:r>
    </w:p>
    <w:p w14:paraId="3156C9C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0B7D89A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54FC5CE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66EA3C4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6AD3FE6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p>
    <w:p w14:paraId="7252111F">
      <w:pPr>
        <w:keepNext w:val="0"/>
        <w:keepLines w:val="0"/>
        <w:pageBreakBefore w:val="0"/>
        <w:widowControl w:val="0"/>
        <w:kinsoku/>
        <w:wordWrap/>
        <w:overflowPunct/>
        <w:topLinePunct w:val="0"/>
        <w:autoSpaceDE/>
        <w:autoSpaceDN/>
        <w:bidi w:val="0"/>
        <w:adjustRightInd/>
        <w:spacing w:line="360" w:lineRule="auto"/>
        <w:ind w:firstLine="4410" w:firstLineChars="21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名称</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电子</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u w:val="single"/>
        </w:rPr>
        <w:t xml:space="preserve">                   </w:t>
      </w:r>
    </w:p>
    <w:p w14:paraId="1940E407">
      <w:pPr>
        <w:keepNext w:val="0"/>
        <w:keepLines w:val="0"/>
        <w:pageBreakBefore w:val="0"/>
        <w:widowControl w:val="0"/>
        <w:kinsoku/>
        <w:wordWrap/>
        <w:overflowPunct/>
        <w:topLinePunct w:val="0"/>
        <w:autoSpaceDE/>
        <w:autoSpaceDN/>
        <w:bidi w:val="0"/>
        <w:adjustRightInd/>
        <w:spacing w:line="360" w:lineRule="auto"/>
        <w:ind w:firstLine="420" w:firstLineChars="2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rPr>
        <w:br w:type="page"/>
      </w:r>
      <w:r>
        <w:rPr>
          <w:rFonts w:hint="eastAsia" w:ascii="宋体" w:hAnsi="宋体" w:eastAsia="宋体" w:cs="宋体"/>
          <w:b/>
          <w:bCs/>
          <w:color w:val="auto"/>
          <w:szCs w:val="21"/>
          <w:highlight w:val="none"/>
        </w:rPr>
        <w:t>广西壮族自治区建筑工程安全文明施工措施项目清单内容</w:t>
      </w:r>
    </w:p>
    <w:p w14:paraId="63B1C51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（桂建质〔2015〕16号文附件一）</w:t>
      </w:r>
    </w:p>
    <w:p w14:paraId="335D9E80">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广西壮族自治区</w:t>
      </w:r>
    </w:p>
    <w:p w14:paraId="0141C384">
      <w:pPr>
        <w:jc w:val="center"/>
        <w:rPr>
          <w:rFonts w:hint="eastAsia" w:ascii="宋体" w:hAnsi="宋体" w:eastAsia="宋体" w:cs="宋体"/>
          <w:b/>
          <w:bCs/>
          <w:color w:val="auto"/>
          <w:w w:val="90"/>
          <w:szCs w:val="21"/>
          <w:highlight w:val="none"/>
        </w:rPr>
      </w:pPr>
      <w:r>
        <w:rPr>
          <w:rFonts w:hint="eastAsia" w:ascii="宋体" w:hAnsi="宋体" w:eastAsia="宋体" w:cs="宋体"/>
          <w:b/>
          <w:bCs/>
          <w:color w:val="auto"/>
          <w:w w:val="90"/>
          <w:szCs w:val="21"/>
          <w:highlight w:val="none"/>
        </w:rPr>
        <w:t>建设工程安全文明施工措施项目清单内容</w:t>
      </w:r>
    </w:p>
    <w:p w14:paraId="369C633F">
      <w:pPr>
        <w:rPr>
          <w:rFonts w:hint="eastAsia" w:ascii="宋体" w:hAnsi="宋体" w:eastAsia="宋体" w:cs="宋体"/>
          <w:b/>
          <w:bCs/>
          <w:color w:val="auto"/>
          <w:w w:val="90"/>
          <w:szCs w:val="21"/>
          <w:highlight w:val="none"/>
        </w:rPr>
      </w:pPr>
    </w:p>
    <w:tbl>
      <w:tblPr>
        <w:tblStyle w:val="29"/>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2CB7EA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tcBorders>
              <w:top w:val="single" w:color="auto" w:sz="12" w:space="0"/>
            </w:tcBorders>
            <w:noWrap w:val="0"/>
            <w:vAlign w:val="center"/>
          </w:tcPr>
          <w:p w14:paraId="799F4FF0">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类别</w:t>
            </w:r>
          </w:p>
        </w:tc>
        <w:tc>
          <w:tcPr>
            <w:tcW w:w="2070" w:type="dxa"/>
            <w:gridSpan w:val="2"/>
            <w:tcBorders>
              <w:top w:val="single" w:color="auto" w:sz="12" w:space="0"/>
            </w:tcBorders>
            <w:noWrap w:val="0"/>
            <w:vAlign w:val="center"/>
          </w:tcPr>
          <w:p w14:paraId="1A4248FA">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项目名称</w:t>
            </w:r>
          </w:p>
        </w:tc>
        <w:tc>
          <w:tcPr>
            <w:tcW w:w="6645" w:type="dxa"/>
            <w:tcBorders>
              <w:top w:val="single" w:color="auto" w:sz="12" w:space="0"/>
            </w:tcBorders>
            <w:noWrap w:val="0"/>
            <w:vAlign w:val="center"/>
          </w:tcPr>
          <w:p w14:paraId="01869C37">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主要内容和要求</w:t>
            </w:r>
          </w:p>
        </w:tc>
      </w:tr>
      <w:tr w14:paraId="44E69E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65D5B1B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文明</w:t>
            </w:r>
          </w:p>
          <w:p w14:paraId="777E16E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w:t>
            </w:r>
          </w:p>
          <w:p w14:paraId="2BD95F5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w:t>
            </w:r>
          </w:p>
          <w:p w14:paraId="3ECCED6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环境</w:t>
            </w:r>
          </w:p>
          <w:p w14:paraId="78C17E2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保护</w:t>
            </w:r>
          </w:p>
        </w:tc>
        <w:tc>
          <w:tcPr>
            <w:tcW w:w="2070" w:type="dxa"/>
            <w:gridSpan w:val="2"/>
            <w:noWrap w:val="0"/>
            <w:vAlign w:val="center"/>
          </w:tcPr>
          <w:p w14:paraId="7C3A25E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安全警示</w:t>
            </w:r>
          </w:p>
          <w:p w14:paraId="653D5A5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标志牌</w:t>
            </w:r>
          </w:p>
        </w:tc>
        <w:tc>
          <w:tcPr>
            <w:tcW w:w="6645" w:type="dxa"/>
            <w:noWrap w:val="0"/>
            <w:vAlign w:val="center"/>
          </w:tcPr>
          <w:p w14:paraId="733C226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在易发伤亡事故（或危险）处设置明显的、符合国家标准要求的安全警示标志牌。</w:t>
            </w:r>
          </w:p>
        </w:tc>
      </w:tr>
      <w:tr w14:paraId="611DB7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8FBCF36">
            <w:pPr>
              <w:rPr>
                <w:rFonts w:hint="eastAsia" w:ascii="宋体" w:hAnsi="宋体" w:eastAsia="宋体" w:cs="宋体"/>
                <w:color w:val="auto"/>
                <w:szCs w:val="21"/>
                <w:highlight w:val="none"/>
              </w:rPr>
            </w:pPr>
          </w:p>
        </w:tc>
        <w:tc>
          <w:tcPr>
            <w:tcW w:w="2070" w:type="dxa"/>
            <w:gridSpan w:val="2"/>
            <w:noWrap w:val="0"/>
            <w:vAlign w:val="center"/>
          </w:tcPr>
          <w:p w14:paraId="2BFCF51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现场围挡</w:t>
            </w:r>
          </w:p>
        </w:tc>
        <w:tc>
          <w:tcPr>
            <w:tcW w:w="6645" w:type="dxa"/>
            <w:noWrap w:val="0"/>
            <w:vAlign w:val="center"/>
          </w:tcPr>
          <w:p w14:paraId="2633F0E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现场采用封闭围挡，高度不小于1.8m。</w:t>
            </w:r>
          </w:p>
          <w:p w14:paraId="12BA145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围挡材料可用彩色、定型钢板，砌块等墙体。</w:t>
            </w:r>
          </w:p>
        </w:tc>
      </w:tr>
      <w:tr w14:paraId="0D3B7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821C1D3">
            <w:pPr>
              <w:rPr>
                <w:rFonts w:hint="eastAsia" w:ascii="宋体" w:hAnsi="宋体" w:eastAsia="宋体" w:cs="宋体"/>
                <w:color w:val="auto"/>
                <w:szCs w:val="21"/>
                <w:highlight w:val="none"/>
              </w:rPr>
            </w:pPr>
          </w:p>
        </w:tc>
        <w:tc>
          <w:tcPr>
            <w:tcW w:w="2070" w:type="dxa"/>
            <w:gridSpan w:val="2"/>
            <w:noWrap w:val="0"/>
            <w:vAlign w:val="center"/>
          </w:tcPr>
          <w:p w14:paraId="5BA09D7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七牌二图</w:t>
            </w:r>
          </w:p>
        </w:tc>
        <w:tc>
          <w:tcPr>
            <w:tcW w:w="6645" w:type="dxa"/>
            <w:noWrap w:val="0"/>
            <w:vAlign w:val="center"/>
          </w:tcPr>
          <w:p w14:paraId="680FF71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在进门处悬挂工程概况、现场出入制度、管理人员名单及监督电话、安全生产规定、文明施工、消防保卫、节能公示等七牌以及施工现场总平面图、工程效果图。</w:t>
            </w:r>
          </w:p>
        </w:tc>
      </w:tr>
      <w:tr w14:paraId="526047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noWrap w:val="0"/>
            <w:vAlign w:val="center"/>
          </w:tcPr>
          <w:p w14:paraId="6CB1193D">
            <w:pPr>
              <w:rPr>
                <w:rFonts w:hint="eastAsia" w:ascii="宋体" w:hAnsi="宋体" w:eastAsia="宋体" w:cs="宋体"/>
                <w:color w:val="auto"/>
                <w:szCs w:val="21"/>
                <w:highlight w:val="none"/>
              </w:rPr>
            </w:pPr>
          </w:p>
        </w:tc>
        <w:tc>
          <w:tcPr>
            <w:tcW w:w="2070" w:type="dxa"/>
            <w:gridSpan w:val="2"/>
            <w:noWrap w:val="0"/>
            <w:vAlign w:val="center"/>
          </w:tcPr>
          <w:p w14:paraId="65EC52B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企业标志</w:t>
            </w:r>
          </w:p>
        </w:tc>
        <w:tc>
          <w:tcPr>
            <w:tcW w:w="6645" w:type="dxa"/>
            <w:noWrap w:val="0"/>
            <w:vAlign w:val="center"/>
          </w:tcPr>
          <w:p w14:paraId="53EC802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现场出入的大门应设有本企业标志或企业标识。</w:t>
            </w:r>
          </w:p>
        </w:tc>
      </w:tr>
      <w:tr w14:paraId="42A955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002D2D3">
            <w:pPr>
              <w:rPr>
                <w:rFonts w:hint="eastAsia" w:ascii="宋体" w:hAnsi="宋体" w:eastAsia="宋体" w:cs="宋体"/>
                <w:color w:val="auto"/>
                <w:szCs w:val="21"/>
                <w:highlight w:val="none"/>
              </w:rPr>
            </w:pPr>
          </w:p>
        </w:tc>
        <w:tc>
          <w:tcPr>
            <w:tcW w:w="2070" w:type="dxa"/>
            <w:gridSpan w:val="2"/>
            <w:noWrap w:val="0"/>
            <w:vAlign w:val="center"/>
          </w:tcPr>
          <w:p w14:paraId="2C4413F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场容场貌</w:t>
            </w:r>
          </w:p>
        </w:tc>
        <w:tc>
          <w:tcPr>
            <w:tcW w:w="6645" w:type="dxa"/>
            <w:noWrap w:val="0"/>
            <w:vAlign w:val="center"/>
          </w:tcPr>
          <w:p w14:paraId="728A473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道路畅通。</w:t>
            </w:r>
          </w:p>
          <w:p w14:paraId="3B64A02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排水设施齐全畅通。</w:t>
            </w:r>
          </w:p>
          <w:p w14:paraId="5096EE6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工地地面硬化处理（办公区、生活区、现场道路、材料堆放、混凝土搅拌、砂浆搅拌、钢筋加工等场地和外脚手架基础等）。</w:t>
            </w:r>
          </w:p>
        </w:tc>
      </w:tr>
      <w:tr w14:paraId="69C7A4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5556882">
            <w:pPr>
              <w:rPr>
                <w:rFonts w:hint="eastAsia" w:ascii="宋体" w:hAnsi="宋体" w:eastAsia="宋体" w:cs="宋体"/>
                <w:color w:val="auto"/>
                <w:szCs w:val="21"/>
                <w:highlight w:val="none"/>
              </w:rPr>
            </w:pPr>
          </w:p>
        </w:tc>
        <w:tc>
          <w:tcPr>
            <w:tcW w:w="2070" w:type="dxa"/>
            <w:gridSpan w:val="2"/>
            <w:noWrap w:val="0"/>
            <w:vAlign w:val="center"/>
          </w:tcPr>
          <w:p w14:paraId="430BE67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材料堆放</w:t>
            </w:r>
          </w:p>
        </w:tc>
        <w:tc>
          <w:tcPr>
            <w:tcW w:w="6645" w:type="dxa"/>
            <w:noWrap w:val="0"/>
            <w:vAlign w:val="center"/>
          </w:tcPr>
          <w:p w14:paraId="1690F99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材料、构件、料具等堆放时，应有名称、品种、规格等标牌。</w:t>
            </w:r>
          </w:p>
          <w:p w14:paraId="38C3ECA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水泥和其它易飞扬细颗粒建筑材料应封闭存放或采取覆盖等措施。</w:t>
            </w:r>
          </w:p>
          <w:p w14:paraId="4B0AC77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易燃、易爆和有毒有害物品分类存放。</w:t>
            </w:r>
          </w:p>
        </w:tc>
      </w:tr>
      <w:tr w14:paraId="714BA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53B9E491">
            <w:pPr>
              <w:rPr>
                <w:rFonts w:hint="eastAsia" w:ascii="宋体" w:hAnsi="宋体" w:eastAsia="宋体" w:cs="宋体"/>
                <w:color w:val="auto"/>
                <w:szCs w:val="21"/>
                <w:highlight w:val="none"/>
              </w:rPr>
            </w:pPr>
          </w:p>
        </w:tc>
        <w:tc>
          <w:tcPr>
            <w:tcW w:w="2070" w:type="dxa"/>
            <w:gridSpan w:val="2"/>
            <w:noWrap w:val="0"/>
            <w:vAlign w:val="center"/>
          </w:tcPr>
          <w:p w14:paraId="55953E7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现场防火</w:t>
            </w:r>
          </w:p>
        </w:tc>
        <w:tc>
          <w:tcPr>
            <w:tcW w:w="6645" w:type="dxa"/>
            <w:noWrap w:val="0"/>
            <w:vAlign w:val="center"/>
          </w:tcPr>
          <w:p w14:paraId="38D65F6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消防器材配置合理，符合消防要求。</w:t>
            </w:r>
          </w:p>
        </w:tc>
      </w:tr>
      <w:tr w14:paraId="04D406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52B78DE">
            <w:pPr>
              <w:rPr>
                <w:rFonts w:hint="eastAsia" w:ascii="宋体" w:hAnsi="宋体" w:eastAsia="宋体" w:cs="宋体"/>
                <w:color w:val="auto"/>
                <w:szCs w:val="21"/>
                <w:highlight w:val="none"/>
              </w:rPr>
            </w:pPr>
          </w:p>
        </w:tc>
        <w:tc>
          <w:tcPr>
            <w:tcW w:w="2070" w:type="dxa"/>
            <w:gridSpan w:val="2"/>
            <w:noWrap w:val="0"/>
            <w:vAlign w:val="center"/>
          </w:tcPr>
          <w:p w14:paraId="77AFE13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垃圾清运</w:t>
            </w:r>
          </w:p>
        </w:tc>
        <w:tc>
          <w:tcPr>
            <w:tcW w:w="6645" w:type="dxa"/>
            <w:noWrap w:val="0"/>
            <w:vAlign w:val="center"/>
          </w:tcPr>
          <w:p w14:paraId="69A99D6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施工现场应设置密闭式垃圾站，施工垃圾、生活垃圾应分类存放。</w:t>
            </w:r>
          </w:p>
          <w:p w14:paraId="67F4148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施工垃圾必须采用相应容器或管道运输。</w:t>
            </w:r>
          </w:p>
        </w:tc>
      </w:tr>
      <w:tr w14:paraId="262ED8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1054CC6">
            <w:pPr>
              <w:rPr>
                <w:rFonts w:hint="eastAsia" w:ascii="宋体" w:hAnsi="宋体" w:eastAsia="宋体" w:cs="宋体"/>
                <w:color w:val="auto"/>
                <w:szCs w:val="21"/>
                <w:highlight w:val="none"/>
              </w:rPr>
            </w:pPr>
          </w:p>
        </w:tc>
        <w:tc>
          <w:tcPr>
            <w:tcW w:w="2070" w:type="dxa"/>
            <w:gridSpan w:val="2"/>
            <w:noWrap w:val="0"/>
            <w:vAlign w:val="center"/>
          </w:tcPr>
          <w:p w14:paraId="70295CA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宣传栏、环保及不扰民措施</w:t>
            </w:r>
          </w:p>
        </w:tc>
        <w:tc>
          <w:tcPr>
            <w:tcW w:w="6645" w:type="dxa"/>
            <w:noWrap w:val="0"/>
            <w:vAlign w:val="center"/>
          </w:tcPr>
          <w:p w14:paraId="78F03F4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宣传栏、安全宣传标语等，洗车（防止污染市区道路）、粉尘、噪声控制和排污（污水、废气）措施等。</w:t>
            </w:r>
          </w:p>
        </w:tc>
      </w:tr>
      <w:tr w14:paraId="4FD30D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15DFABC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临时设施</w:t>
            </w:r>
          </w:p>
        </w:tc>
        <w:tc>
          <w:tcPr>
            <w:tcW w:w="2070" w:type="dxa"/>
            <w:gridSpan w:val="2"/>
            <w:noWrap w:val="0"/>
            <w:vAlign w:val="center"/>
          </w:tcPr>
          <w:p w14:paraId="46B477A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现场办公</w:t>
            </w:r>
          </w:p>
          <w:p w14:paraId="0C65147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生活设施</w:t>
            </w:r>
          </w:p>
        </w:tc>
        <w:tc>
          <w:tcPr>
            <w:tcW w:w="6645" w:type="dxa"/>
            <w:noWrap w:val="0"/>
            <w:vAlign w:val="center"/>
          </w:tcPr>
          <w:p w14:paraId="37012F9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施工现场办公、生活区与作业区分开设置，保持安全距离。</w:t>
            </w:r>
          </w:p>
          <w:p w14:paraId="7874F72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工地办公室、现场宿舍、食堂、厕所、饮水、沐浴、休息场所等符合卫生、消防安全要求。</w:t>
            </w:r>
          </w:p>
        </w:tc>
      </w:tr>
      <w:tr w14:paraId="06529C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0FEFF7E8">
            <w:pPr>
              <w:rPr>
                <w:rFonts w:hint="eastAsia" w:ascii="宋体" w:hAnsi="宋体" w:eastAsia="宋体" w:cs="宋体"/>
                <w:color w:val="auto"/>
                <w:szCs w:val="21"/>
                <w:highlight w:val="none"/>
              </w:rPr>
            </w:pPr>
          </w:p>
        </w:tc>
        <w:tc>
          <w:tcPr>
            <w:tcW w:w="525" w:type="dxa"/>
            <w:vMerge w:val="restart"/>
            <w:noWrap w:val="0"/>
            <w:vAlign w:val="center"/>
          </w:tcPr>
          <w:p w14:paraId="5C12BA5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施工现场</w:t>
            </w:r>
          </w:p>
          <w:p w14:paraId="319E552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临时用电</w:t>
            </w:r>
          </w:p>
        </w:tc>
        <w:tc>
          <w:tcPr>
            <w:tcW w:w="1545" w:type="dxa"/>
            <w:noWrap w:val="0"/>
            <w:vAlign w:val="center"/>
          </w:tcPr>
          <w:p w14:paraId="134266A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配电线路</w:t>
            </w:r>
          </w:p>
        </w:tc>
        <w:tc>
          <w:tcPr>
            <w:tcW w:w="6645" w:type="dxa"/>
            <w:noWrap w:val="0"/>
            <w:vAlign w:val="center"/>
          </w:tcPr>
          <w:p w14:paraId="23D3C3A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按照TN-S系统要求配备五芯电缆、四芯电缆和三芯电缆。</w:t>
            </w:r>
          </w:p>
          <w:p w14:paraId="4343C78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按要求架设临时用电线路的电杆、横担、瓷夹、瓷瓶等，或电缆埋地的地沟。</w:t>
            </w:r>
          </w:p>
          <w:p w14:paraId="3156F18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对靠近施工现场的外电线路，设置木质、塑料等绝缘体的防护设施。</w:t>
            </w:r>
          </w:p>
        </w:tc>
      </w:tr>
      <w:tr w14:paraId="0BD385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64F7616">
            <w:pPr>
              <w:rPr>
                <w:rFonts w:hint="eastAsia" w:ascii="宋体" w:hAnsi="宋体" w:eastAsia="宋体" w:cs="宋体"/>
                <w:color w:val="auto"/>
                <w:szCs w:val="21"/>
                <w:highlight w:val="none"/>
              </w:rPr>
            </w:pPr>
          </w:p>
        </w:tc>
        <w:tc>
          <w:tcPr>
            <w:tcW w:w="525" w:type="dxa"/>
            <w:vMerge w:val="continue"/>
            <w:noWrap w:val="0"/>
            <w:vAlign w:val="center"/>
          </w:tcPr>
          <w:p w14:paraId="2F4B132C">
            <w:pPr>
              <w:rPr>
                <w:rFonts w:hint="eastAsia" w:ascii="宋体" w:hAnsi="宋体" w:eastAsia="宋体" w:cs="宋体"/>
                <w:color w:val="auto"/>
                <w:szCs w:val="21"/>
                <w:highlight w:val="none"/>
              </w:rPr>
            </w:pPr>
          </w:p>
        </w:tc>
        <w:tc>
          <w:tcPr>
            <w:tcW w:w="1545" w:type="dxa"/>
            <w:noWrap w:val="0"/>
            <w:vAlign w:val="center"/>
          </w:tcPr>
          <w:p w14:paraId="0AE4619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配电箱</w:t>
            </w:r>
          </w:p>
          <w:p w14:paraId="682FA11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开关箱</w:t>
            </w:r>
          </w:p>
        </w:tc>
        <w:tc>
          <w:tcPr>
            <w:tcW w:w="6645" w:type="dxa"/>
            <w:noWrap w:val="0"/>
            <w:vAlign w:val="center"/>
          </w:tcPr>
          <w:p w14:paraId="684F983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按三级配电要求，配备总配电箱、分配电箱、开关箱三类（铁质）标准电箱，开关箱应符合“一机、一箱、一闸、一漏”，三类电箱中的各类电器应是合格品。</w:t>
            </w:r>
          </w:p>
          <w:p w14:paraId="7AEB75E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按两级保护的要求，选取符合容量要求和质量合格的总配电箱和开关箱中的漏电保护器。</w:t>
            </w:r>
          </w:p>
          <w:p w14:paraId="3138623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对大型、落地式分配电箱、开关箱设置防护棚和通透式围挡。</w:t>
            </w:r>
          </w:p>
        </w:tc>
      </w:tr>
      <w:tr w14:paraId="10D6E5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noWrap w:val="0"/>
            <w:vAlign w:val="center"/>
          </w:tcPr>
          <w:p w14:paraId="585875E1">
            <w:pPr>
              <w:rPr>
                <w:rFonts w:hint="eastAsia" w:ascii="宋体" w:hAnsi="宋体" w:eastAsia="宋体" w:cs="宋体"/>
                <w:color w:val="auto"/>
                <w:szCs w:val="21"/>
                <w:highlight w:val="none"/>
              </w:rPr>
            </w:pPr>
          </w:p>
        </w:tc>
        <w:tc>
          <w:tcPr>
            <w:tcW w:w="525" w:type="dxa"/>
            <w:vMerge w:val="continue"/>
            <w:noWrap w:val="0"/>
            <w:vAlign w:val="center"/>
          </w:tcPr>
          <w:p w14:paraId="24EB9CE4">
            <w:pPr>
              <w:rPr>
                <w:rFonts w:hint="eastAsia" w:ascii="宋体" w:hAnsi="宋体" w:eastAsia="宋体" w:cs="宋体"/>
                <w:color w:val="auto"/>
                <w:szCs w:val="21"/>
                <w:highlight w:val="none"/>
              </w:rPr>
            </w:pPr>
          </w:p>
        </w:tc>
        <w:tc>
          <w:tcPr>
            <w:tcW w:w="1545" w:type="dxa"/>
            <w:noWrap w:val="0"/>
            <w:vAlign w:val="center"/>
          </w:tcPr>
          <w:p w14:paraId="0D9657C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接地装置</w:t>
            </w:r>
          </w:p>
        </w:tc>
        <w:tc>
          <w:tcPr>
            <w:tcW w:w="6645" w:type="dxa"/>
            <w:noWrap w:val="0"/>
            <w:vAlign w:val="center"/>
          </w:tcPr>
          <w:p w14:paraId="53A2692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施工现场应设置不少于三处的重复接地装置。</w:t>
            </w:r>
          </w:p>
        </w:tc>
      </w:tr>
      <w:tr w14:paraId="2027F6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noWrap w:val="0"/>
            <w:vAlign w:val="center"/>
          </w:tcPr>
          <w:p w14:paraId="021C48F7">
            <w:pPr>
              <w:rPr>
                <w:rFonts w:hint="eastAsia" w:ascii="宋体" w:hAnsi="宋体" w:eastAsia="宋体" w:cs="宋体"/>
                <w:color w:val="auto"/>
                <w:szCs w:val="21"/>
                <w:highlight w:val="none"/>
              </w:rPr>
            </w:pPr>
          </w:p>
        </w:tc>
        <w:tc>
          <w:tcPr>
            <w:tcW w:w="525" w:type="dxa"/>
            <w:vMerge w:val="continue"/>
            <w:noWrap w:val="0"/>
            <w:vAlign w:val="center"/>
          </w:tcPr>
          <w:p w14:paraId="21D2C7FD">
            <w:pPr>
              <w:rPr>
                <w:rFonts w:hint="eastAsia" w:ascii="宋体" w:hAnsi="宋体" w:eastAsia="宋体" w:cs="宋体"/>
                <w:color w:val="auto"/>
                <w:szCs w:val="21"/>
                <w:highlight w:val="none"/>
              </w:rPr>
            </w:pPr>
          </w:p>
        </w:tc>
        <w:tc>
          <w:tcPr>
            <w:tcW w:w="1545" w:type="dxa"/>
            <w:noWrap w:val="0"/>
            <w:vAlign w:val="center"/>
          </w:tcPr>
          <w:p w14:paraId="2253B54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现场变配电装置</w:t>
            </w:r>
          </w:p>
        </w:tc>
        <w:tc>
          <w:tcPr>
            <w:tcW w:w="6645" w:type="dxa"/>
            <w:noWrap w:val="0"/>
            <w:vAlign w:val="center"/>
          </w:tcPr>
          <w:p w14:paraId="7F85957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总配电房建筑材料必须达到消防防火要求，室内做硬地坪、电缆沟。</w:t>
            </w:r>
          </w:p>
        </w:tc>
      </w:tr>
      <w:tr w14:paraId="7E1015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38" w:type="dxa"/>
            <w:noWrap w:val="0"/>
            <w:vAlign w:val="center"/>
          </w:tcPr>
          <w:p w14:paraId="217E45AF">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类别</w:t>
            </w:r>
          </w:p>
        </w:tc>
        <w:tc>
          <w:tcPr>
            <w:tcW w:w="2070" w:type="dxa"/>
            <w:gridSpan w:val="2"/>
            <w:noWrap w:val="0"/>
            <w:vAlign w:val="center"/>
          </w:tcPr>
          <w:p w14:paraId="799DE6EE">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项目名称</w:t>
            </w:r>
          </w:p>
        </w:tc>
        <w:tc>
          <w:tcPr>
            <w:tcW w:w="6645" w:type="dxa"/>
            <w:noWrap w:val="0"/>
            <w:vAlign w:val="center"/>
          </w:tcPr>
          <w:p w14:paraId="55F6D51B">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主要内容和要求</w:t>
            </w:r>
          </w:p>
        </w:tc>
      </w:tr>
      <w:tr w14:paraId="6253CD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30F4BB6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安全施工</w:t>
            </w:r>
          </w:p>
        </w:tc>
        <w:tc>
          <w:tcPr>
            <w:tcW w:w="525" w:type="dxa"/>
            <w:vMerge w:val="restart"/>
            <w:noWrap w:val="0"/>
            <w:vAlign w:val="center"/>
          </w:tcPr>
          <w:p w14:paraId="6389D30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高处作业防护</w:t>
            </w:r>
          </w:p>
        </w:tc>
        <w:tc>
          <w:tcPr>
            <w:tcW w:w="1545" w:type="dxa"/>
            <w:noWrap w:val="0"/>
            <w:vAlign w:val="center"/>
          </w:tcPr>
          <w:p w14:paraId="27C33E5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楼层、屋面、阳台等临边</w:t>
            </w:r>
          </w:p>
        </w:tc>
        <w:tc>
          <w:tcPr>
            <w:tcW w:w="6645" w:type="dxa"/>
            <w:noWrap w:val="0"/>
            <w:vAlign w:val="center"/>
          </w:tcPr>
          <w:p w14:paraId="00F0899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设两道防护栏杆和18cm高的踢脚板，用密目式安全立网全封闭。</w:t>
            </w:r>
          </w:p>
        </w:tc>
      </w:tr>
      <w:tr w14:paraId="5EDB48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9296E93">
            <w:pPr>
              <w:rPr>
                <w:rFonts w:hint="eastAsia" w:ascii="宋体" w:hAnsi="宋体" w:eastAsia="宋体" w:cs="宋体"/>
                <w:color w:val="auto"/>
                <w:szCs w:val="21"/>
                <w:highlight w:val="none"/>
              </w:rPr>
            </w:pPr>
          </w:p>
        </w:tc>
        <w:tc>
          <w:tcPr>
            <w:tcW w:w="525" w:type="dxa"/>
            <w:vMerge w:val="continue"/>
            <w:noWrap w:val="0"/>
            <w:vAlign w:val="center"/>
          </w:tcPr>
          <w:p w14:paraId="6678D8D3">
            <w:pPr>
              <w:rPr>
                <w:rFonts w:hint="eastAsia" w:ascii="宋体" w:hAnsi="宋体" w:eastAsia="宋体" w:cs="宋体"/>
                <w:color w:val="auto"/>
                <w:szCs w:val="21"/>
                <w:highlight w:val="none"/>
              </w:rPr>
            </w:pPr>
          </w:p>
        </w:tc>
        <w:tc>
          <w:tcPr>
            <w:tcW w:w="1545" w:type="dxa"/>
            <w:noWrap w:val="0"/>
            <w:vAlign w:val="center"/>
          </w:tcPr>
          <w:p w14:paraId="4F89197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通道口</w:t>
            </w:r>
          </w:p>
        </w:tc>
        <w:tc>
          <w:tcPr>
            <w:tcW w:w="6645" w:type="dxa"/>
            <w:noWrap w:val="0"/>
            <w:vAlign w:val="center"/>
          </w:tcPr>
          <w:p w14:paraId="107D157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设防护棚，防护棚应为不小于5cm厚的木板或两道相距50cm的竹笆。两侧应沿栏杆架用密目式安全网封闭。</w:t>
            </w:r>
          </w:p>
        </w:tc>
      </w:tr>
      <w:tr w14:paraId="04F2C5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2076AF9">
            <w:pPr>
              <w:rPr>
                <w:rFonts w:hint="eastAsia" w:ascii="宋体" w:hAnsi="宋体" w:eastAsia="宋体" w:cs="宋体"/>
                <w:color w:val="auto"/>
                <w:szCs w:val="21"/>
                <w:highlight w:val="none"/>
              </w:rPr>
            </w:pPr>
          </w:p>
        </w:tc>
        <w:tc>
          <w:tcPr>
            <w:tcW w:w="525" w:type="dxa"/>
            <w:vMerge w:val="continue"/>
            <w:noWrap w:val="0"/>
            <w:vAlign w:val="center"/>
          </w:tcPr>
          <w:p w14:paraId="058ADBB2">
            <w:pPr>
              <w:rPr>
                <w:rFonts w:hint="eastAsia" w:ascii="宋体" w:hAnsi="宋体" w:eastAsia="宋体" w:cs="宋体"/>
                <w:color w:val="auto"/>
                <w:szCs w:val="21"/>
                <w:highlight w:val="none"/>
              </w:rPr>
            </w:pPr>
          </w:p>
        </w:tc>
        <w:tc>
          <w:tcPr>
            <w:tcW w:w="1545" w:type="dxa"/>
            <w:noWrap w:val="0"/>
            <w:vAlign w:val="center"/>
          </w:tcPr>
          <w:p w14:paraId="3403F88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预留洞口</w:t>
            </w:r>
          </w:p>
        </w:tc>
        <w:tc>
          <w:tcPr>
            <w:tcW w:w="6645" w:type="dxa"/>
            <w:noWrap w:val="0"/>
            <w:vAlign w:val="center"/>
          </w:tcPr>
          <w:p w14:paraId="1E60F53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用硬质材料全封闭，短边超过1.5m长的洞口，除封闭外四周还应设有防护栏杆。</w:t>
            </w:r>
          </w:p>
        </w:tc>
      </w:tr>
      <w:tr w14:paraId="34E586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noWrap w:val="0"/>
            <w:vAlign w:val="center"/>
          </w:tcPr>
          <w:p w14:paraId="53CC23EC">
            <w:pPr>
              <w:rPr>
                <w:rFonts w:hint="eastAsia" w:ascii="宋体" w:hAnsi="宋体" w:eastAsia="宋体" w:cs="宋体"/>
                <w:color w:val="auto"/>
                <w:szCs w:val="21"/>
                <w:highlight w:val="none"/>
              </w:rPr>
            </w:pPr>
          </w:p>
        </w:tc>
        <w:tc>
          <w:tcPr>
            <w:tcW w:w="525" w:type="dxa"/>
            <w:vMerge w:val="continue"/>
            <w:noWrap w:val="0"/>
            <w:vAlign w:val="center"/>
          </w:tcPr>
          <w:p w14:paraId="4481C3CB">
            <w:pPr>
              <w:rPr>
                <w:rFonts w:hint="eastAsia" w:ascii="宋体" w:hAnsi="宋体" w:eastAsia="宋体" w:cs="宋体"/>
                <w:color w:val="auto"/>
                <w:szCs w:val="21"/>
                <w:highlight w:val="none"/>
              </w:rPr>
            </w:pPr>
          </w:p>
        </w:tc>
        <w:tc>
          <w:tcPr>
            <w:tcW w:w="1545" w:type="dxa"/>
            <w:noWrap w:val="0"/>
            <w:vAlign w:val="center"/>
          </w:tcPr>
          <w:p w14:paraId="087287D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电梯井口</w:t>
            </w:r>
          </w:p>
        </w:tc>
        <w:tc>
          <w:tcPr>
            <w:tcW w:w="6645" w:type="dxa"/>
            <w:noWrap w:val="0"/>
            <w:vAlign w:val="center"/>
          </w:tcPr>
          <w:p w14:paraId="2406216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设置定型化、工具化的防护门，在电梯井内每隔2层（不大于10m）设置一道水平防护。</w:t>
            </w:r>
          </w:p>
        </w:tc>
      </w:tr>
      <w:tr w14:paraId="25460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716BE47">
            <w:pPr>
              <w:rPr>
                <w:rFonts w:hint="eastAsia" w:ascii="宋体" w:hAnsi="宋体" w:eastAsia="宋体" w:cs="宋体"/>
                <w:color w:val="auto"/>
                <w:szCs w:val="21"/>
                <w:highlight w:val="none"/>
              </w:rPr>
            </w:pPr>
          </w:p>
        </w:tc>
        <w:tc>
          <w:tcPr>
            <w:tcW w:w="525" w:type="dxa"/>
            <w:vMerge w:val="continue"/>
            <w:noWrap w:val="0"/>
            <w:vAlign w:val="center"/>
          </w:tcPr>
          <w:p w14:paraId="48A2120D">
            <w:pPr>
              <w:rPr>
                <w:rFonts w:hint="eastAsia" w:ascii="宋体" w:hAnsi="宋体" w:eastAsia="宋体" w:cs="宋体"/>
                <w:color w:val="auto"/>
                <w:szCs w:val="21"/>
                <w:highlight w:val="none"/>
              </w:rPr>
            </w:pPr>
          </w:p>
        </w:tc>
        <w:tc>
          <w:tcPr>
            <w:tcW w:w="1545" w:type="dxa"/>
            <w:noWrap w:val="0"/>
            <w:vAlign w:val="center"/>
          </w:tcPr>
          <w:p w14:paraId="5325DD6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楼梯边</w:t>
            </w:r>
          </w:p>
        </w:tc>
        <w:tc>
          <w:tcPr>
            <w:tcW w:w="6645" w:type="dxa"/>
            <w:noWrap w:val="0"/>
            <w:vAlign w:val="center"/>
          </w:tcPr>
          <w:p w14:paraId="3C96D2C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设1.2m高的定型化、工具化的防护栏，18cm高的踢脚板。</w:t>
            </w:r>
          </w:p>
        </w:tc>
      </w:tr>
      <w:tr w14:paraId="06D3E3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27451A3">
            <w:pPr>
              <w:rPr>
                <w:rFonts w:hint="eastAsia" w:ascii="宋体" w:hAnsi="宋体" w:eastAsia="宋体" w:cs="宋体"/>
                <w:color w:val="auto"/>
                <w:szCs w:val="21"/>
                <w:highlight w:val="none"/>
              </w:rPr>
            </w:pPr>
          </w:p>
        </w:tc>
        <w:tc>
          <w:tcPr>
            <w:tcW w:w="525" w:type="dxa"/>
            <w:vMerge w:val="continue"/>
            <w:noWrap w:val="0"/>
            <w:vAlign w:val="center"/>
          </w:tcPr>
          <w:p w14:paraId="6456D1B6">
            <w:pPr>
              <w:rPr>
                <w:rFonts w:hint="eastAsia" w:ascii="宋体" w:hAnsi="宋体" w:eastAsia="宋体" w:cs="宋体"/>
                <w:color w:val="auto"/>
                <w:szCs w:val="21"/>
                <w:highlight w:val="none"/>
              </w:rPr>
            </w:pPr>
          </w:p>
        </w:tc>
        <w:tc>
          <w:tcPr>
            <w:tcW w:w="1545" w:type="dxa"/>
            <w:noWrap w:val="0"/>
            <w:vAlign w:val="center"/>
          </w:tcPr>
          <w:p w14:paraId="2C57883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垂直方向交叉作业</w:t>
            </w:r>
          </w:p>
        </w:tc>
        <w:tc>
          <w:tcPr>
            <w:tcW w:w="6645" w:type="dxa"/>
            <w:noWrap w:val="0"/>
            <w:vAlign w:val="center"/>
          </w:tcPr>
          <w:p w14:paraId="2545753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设置防护隔离棚或其它设施。</w:t>
            </w:r>
          </w:p>
        </w:tc>
      </w:tr>
      <w:tr w14:paraId="221C6F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037D3C9">
            <w:pPr>
              <w:rPr>
                <w:rFonts w:hint="eastAsia" w:ascii="宋体" w:hAnsi="宋体" w:eastAsia="宋体" w:cs="宋体"/>
                <w:color w:val="auto"/>
                <w:szCs w:val="21"/>
                <w:highlight w:val="none"/>
              </w:rPr>
            </w:pPr>
          </w:p>
        </w:tc>
        <w:tc>
          <w:tcPr>
            <w:tcW w:w="525" w:type="dxa"/>
            <w:vMerge w:val="continue"/>
            <w:noWrap w:val="0"/>
            <w:vAlign w:val="center"/>
          </w:tcPr>
          <w:p w14:paraId="14006947">
            <w:pPr>
              <w:rPr>
                <w:rFonts w:hint="eastAsia" w:ascii="宋体" w:hAnsi="宋体" w:eastAsia="宋体" w:cs="宋体"/>
                <w:color w:val="auto"/>
                <w:szCs w:val="21"/>
                <w:highlight w:val="none"/>
              </w:rPr>
            </w:pPr>
          </w:p>
        </w:tc>
        <w:tc>
          <w:tcPr>
            <w:tcW w:w="1545" w:type="dxa"/>
            <w:noWrap w:val="0"/>
            <w:vAlign w:val="center"/>
          </w:tcPr>
          <w:p w14:paraId="573F38A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高处作业</w:t>
            </w:r>
          </w:p>
        </w:tc>
        <w:tc>
          <w:tcPr>
            <w:tcW w:w="6645" w:type="dxa"/>
            <w:noWrap w:val="0"/>
            <w:vAlign w:val="center"/>
          </w:tcPr>
          <w:p w14:paraId="26A5CFF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有悬挂安全带的悬索或其它设施，有操作平台，有上下的梯子或其它形式的通道。</w:t>
            </w:r>
          </w:p>
        </w:tc>
      </w:tr>
      <w:tr w14:paraId="31C9C8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50321DA">
            <w:pPr>
              <w:rPr>
                <w:rFonts w:hint="eastAsia" w:ascii="宋体" w:hAnsi="宋体" w:eastAsia="宋体" w:cs="宋体"/>
                <w:color w:val="auto"/>
                <w:szCs w:val="21"/>
                <w:highlight w:val="none"/>
              </w:rPr>
            </w:pPr>
          </w:p>
        </w:tc>
        <w:tc>
          <w:tcPr>
            <w:tcW w:w="525" w:type="dxa"/>
            <w:vMerge w:val="continue"/>
            <w:noWrap w:val="0"/>
            <w:vAlign w:val="center"/>
          </w:tcPr>
          <w:p w14:paraId="76BDB0F5">
            <w:pPr>
              <w:rPr>
                <w:rFonts w:hint="eastAsia" w:ascii="宋体" w:hAnsi="宋体" w:eastAsia="宋体" w:cs="宋体"/>
                <w:color w:val="auto"/>
                <w:szCs w:val="21"/>
                <w:highlight w:val="none"/>
              </w:rPr>
            </w:pPr>
          </w:p>
        </w:tc>
        <w:tc>
          <w:tcPr>
            <w:tcW w:w="1545" w:type="dxa"/>
            <w:noWrap w:val="0"/>
            <w:vAlign w:val="center"/>
          </w:tcPr>
          <w:p w14:paraId="54AD277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基坑、物料平台</w:t>
            </w:r>
          </w:p>
        </w:tc>
        <w:tc>
          <w:tcPr>
            <w:tcW w:w="6645" w:type="dxa"/>
            <w:noWrap w:val="0"/>
            <w:vAlign w:val="center"/>
          </w:tcPr>
          <w:p w14:paraId="665072E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设1.2m高标准化的防护栏，用密目式安全立网封闭，悬挂标识。</w:t>
            </w:r>
          </w:p>
        </w:tc>
      </w:tr>
      <w:tr w14:paraId="0BD36E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0A260DD5">
            <w:pPr>
              <w:rPr>
                <w:rFonts w:hint="eastAsia" w:ascii="宋体" w:hAnsi="宋体" w:eastAsia="宋体" w:cs="宋体"/>
                <w:color w:val="auto"/>
                <w:szCs w:val="21"/>
                <w:highlight w:val="none"/>
              </w:rPr>
            </w:pPr>
          </w:p>
        </w:tc>
        <w:tc>
          <w:tcPr>
            <w:tcW w:w="2070" w:type="dxa"/>
            <w:gridSpan w:val="2"/>
            <w:noWrap w:val="0"/>
            <w:vAlign w:val="center"/>
          </w:tcPr>
          <w:p w14:paraId="24CF9AD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安全防护用品</w:t>
            </w:r>
          </w:p>
        </w:tc>
        <w:tc>
          <w:tcPr>
            <w:tcW w:w="6645" w:type="dxa"/>
            <w:noWrap w:val="0"/>
            <w:vAlign w:val="center"/>
          </w:tcPr>
          <w:p w14:paraId="663B13F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安全帽、安全带、特种作业人员（电工、焊工、架子工等）防护服装、用品等。</w:t>
            </w:r>
          </w:p>
        </w:tc>
      </w:tr>
      <w:tr w14:paraId="29CFA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noWrap w:val="0"/>
            <w:vAlign w:val="center"/>
          </w:tcPr>
          <w:p w14:paraId="436DA06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其它</w:t>
            </w:r>
          </w:p>
        </w:tc>
        <w:tc>
          <w:tcPr>
            <w:tcW w:w="525" w:type="dxa"/>
            <w:vMerge w:val="restart"/>
            <w:noWrap w:val="0"/>
            <w:vAlign w:val="center"/>
          </w:tcPr>
          <w:p w14:paraId="545CE98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机械设备防护</w:t>
            </w:r>
          </w:p>
        </w:tc>
        <w:tc>
          <w:tcPr>
            <w:tcW w:w="1545" w:type="dxa"/>
            <w:noWrap w:val="0"/>
            <w:vAlign w:val="center"/>
          </w:tcPr>
          <w:p w14:paraId="3E77503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中小型机械</w:t>
            </w:r>
          </w:p>
        </w:tc>
        <w:tc>
          <w:tcPr>
            <w:tcW w:w="6645" w:type="dxa"/>
            <w:noWrap w:val="0"/>
            <w:vAlign w:val="center"/>
          </w:tcPr>
          <w:p w14:paraId="56C0B45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设防护棚（同通道口防护并有防雨措施）。</w:t>
            </w:r>
          </w:p>
        </w:tc>
      </w:tr>
      <w:tr w14:paraId="24FE4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F01ED01">
            <w:pPr>
              <w:rPr>
                <w:rFonts w:hint="eastAsia" w:ascii="宋体" w:hAnsi="宋体" w:eastAsia="宋体" w:cs="宋体"/>
                <w:color w:val="auto"/>
                <w:szCs w:val="21"/>
                <w:highlight w:val="none"/>
              </w:rPr>
            </w:pPr>
          </w:p>
        </w:tc>
        <w:tc>
          <w:tcPr>
            <w:tcW w:w="525" w:type="dxa"/>
            <w:vMerge w:val="continue"/>
            <w:noWrap w:val="0"/>
            <w:vAlign w:val="center"/>
          </w:tcPr>
          <w:p w14:paraId="136674FC">
            <w:pPr>
              <w:rPr>
                <w:rFonts w:hint="eastAsia" w:ascii="宋体" w:hAnsi="宋体" w:eastAsia="宋体" w:cs="宋体"/>
                <w:color w:val="auto"/>
                <w:szCs w:val="21"/>
                <w:highlight w:val="none"/>
              </w:rPr>
            </w:pPr>
          </w:p>
        </w:tc>
        <w:tc>
          <w:tcPr>
            <w:tcW w:w="1545" w:type="dxa"/>
            <w:noWrap w:val="0"/>
            <w:vAlign w:val="center"/>
          </w:tcPr>
          <w:p w14:paraId="2D3F9CA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垂直运输设备</w:t>
            </w:r>
          </w:p>
        </w:tc>
        <w:tc>
          <w:tcPr>
            <w:tcW w:w="6645" w:type="dxa"/>
            <w:noWrap w:val="0"/>
            <w:vAlign w:val="center"/>
          </w:tcPr>
          <w:p w14:paraId="07FFF43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垂直运输设备检测、检验、日常维护、保养等。</w:t>
            </w:r>
          </w:p>
          <w:p w14:paraId="257B0E6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物料提升机、施工电梯等物料平台搭设、外侧用密目式安全立网全封闭，有安全通道、安全防护门、防护棚等。</w:t>
            </w:r>
          </w:p>
        </w:tc>
      </w:tr>
      <w:tr w14:paraId="0B4D55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69B0BC74">
            <w:pPr>
              <w:rPr>
                <w:rFonts w:hint="eastAsia" w:ascii="宋体" w:hAnsi="宋体" w:eastAsia="宋体" w:cs="宋体"/>
                <w:color w:val="auto"/>
                <w:szCs w:val="21"/>
                <w:highlight w:val="none"/>
              </w:rPr>
            </w:pPr>
          </w:p>
        </w:tc>
        <w:tc>
          <w:tcPr>
            <w:tcW w:w="2070" w:type="dxa"/>
            <w:gridSpan w:val="2"/>
            <w:noWrap w:val="0"/>
            <w:vAlign w:val="center"/>
          </w:tcPr>
          <w:p w14:paraId="0509F90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专家论证审查</w:t>
            </w:r>
          </w:p>
        </w:tc>
        <w:tc>
          <w:tcPr>
            <w:tcW w:w="6645" w:type="dxa"/>
            <w:noWrap w:val="0"/>
            <w:vAlign w:val="center"/>
          </w:tcPr>
          <w:p w14:paraId="6CC2FBB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超过一定规模的危险性较大分部分项工程专家论证审查。</w:t>
            </w:r>
          </w:p>
        </w:tc>
      </w:tr>
      <w:tr w14:paraId="71B1E2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583B921A">
            <w:pPr>
              <w:rPr>
                <w:rFonts w:hint="eastAsia" w:ascii="宋体" w:hAnsi="宋体" w:eastAsia="宋体" w:cs="宋体"/>
                <w:color w:val="auto"/>
                <w:szCs w:val="21"/>
                <w:highlight w:val="none"/>
              </w:rPr>
            </w:pPr>
          </w:p>
        </w:tc>
        <w:tc>
          <w:tcPr>
            <w:tcW w:w="2070" w:type="dxa"/>
            <w:gridSpan w:val="2"/>
            <w:noWrap w:val="0"/>
            <w:vAlign w:val="center"/>
          </w:tcPr>
          <w:p w14:paraId="3ADB4D6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应急救援预案</w:t>
            </w:r>
          </w:p>
        </w:tc>
        <w:tc>
          <w:tcPr>
            <w:tcW w:w="6645" w:type="dxa"/>
            <w:noWrap w:val="0"/>
            <w:vAlign w:val="center"/>
          </w:tcPr>
          <w:p w14:paraId="7A08FDE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救援器材准备及演练等。</w:t>
            </w:r>
          </w:p>
        </w:tc>
      </w:tr>
      <w:tr w14:paraId="360C4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bottom w:val="single" w:color="auto" w:sz="12" w:space="0"/>
            </w:tcBorders>
            <w:noWrap w:val="0"/>
            <w:vAlign w:val="center"/>
          </w:tcPr>
          <w:p w14:paraId="7F7CCD3D">
            <w:pPr>
              <w:rPr>
                <w:rFonts w:hint="eastAsia" w:ascii="宋体" w:hAnsi="宋体" w:eastAsia="宋体" w:cs="宋体"/>
                <w:color w:val="auto"/>
                <w:szCs w:val="21"/>
                <w:highlight w:val="none"/>
              </w:rPr>
            </w:pPr>
          </w:p>
        </w:tc>
        <w:tc>
          <w:tcPr>
            <w:tcW w:w="2070" w:type="dxa"/>
            <w:gridSpan w:val="2"/>
            <w:tcBorders>
              <w:bottom w:val="single" w:color="auto" w:sz="12" w:space="0"/>
            </w:tcBorders>
            <w:noWrap w:val="0"/>
            <w:vAlign w:val="center"/>
          </w:tcPr>
          <w:p w14:paraId="54FB60B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非正常情况施工</w:t>
            </w:r>
          </w:p>
        </w:tc>
        <w:tc>
          <w:tcPr>
            <w:tcW w:w="6645" w:type="dxa"/>
            <w:tcBorders>
              <w:bottom w:val="single" w:color="auto" w:sz="12" w:space="0"/>
            </w:tcBorders>
            <w:noWrap w:val="0"/>
            <w:vAlign w:val="center"/>
          </w:tcPr>
          <w:p w14:paraId="6FDB390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其它特殊情况下的防护费用，如：城市主干道、人流密集、河边等处施工及文物、古建筑、古树保护等。</w:t>
            </w:r>
          </w:p>
        </w:tc>
      </w:tr>
    </w:tbl>
    <w:p w14:paraId="6ECA4B88">
      <w:pPr>
        <w:rPr>
          <w:rFonts w:hint="eastAsia" w:ascii="宋体" w:hAnsi="宋体" w:eastAsia="宋体" w:cs="宋体"/>
          <w:b/>
          <w:bCs/>
          <w:color w:val="auto"/>
          <w:w w:val="90"/>
          <w:szCs w:val="21"/>
          <w:highlight w:val="none"/>
        </w:rPr>
      </w:pPr>
    </w:p>
    <w:p w14:paraId="4564E50A">
      <w:pPr>
        <w:rPr>
          <w:rFonts w:hint="eastAsia" w:ascii="宋体" w:hAnsi="宋体" w:eastAsia="宋体" w:cs="宋体"/>
          <w:color w:val="auto"/>
          <w:szCs w:val="21"/>
          <w:highlight w:val="none"/>
        </w:rPr>
        <w:sectPr>
          <w:pgSz w:w="11911" w:h="16838"/>
          <w:pgMar w:top="1134" w:right="1134" w:bottom="1134" w:left="1134" w:header="720" w:footer="720"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szCs w:val="21"/>
          <w:highlight w:val="none"/>
        </w:rPr>
        <w:t>注：本表所列建筑工程安全文明施工费，是依据现行法律法规及标准规范确定的。如法律法规和标准规范修订，本表所列项目应按照修订后的法律法规和标准规范进行调整。</w:t>
      </w:r>
    </w:p>
    <w:p w14:paraId="0707F382">
      <w:pPr>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技术需求偏离表的格式：</w:t>
      </w:r>
    </w:p>
    <w:p w14:paraId="583A9B24">
      <w:pPr>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技术需求偏离表</w:t>
      </w:r>
    </w:p>
    <w:p w14:paraId="734C97B9">
      <w:pPr>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(注：按采购需求具体条款修改)</w:t>
      </w:r>
    </w:p>
    <w:p w14:paraId="13DDB34D">
      <w:pPr>
        <w:spacing w:line="360" w:lineRule="auto"/>
        <w:contextualSpacing/>
        <w:jc w:val="left"/>
        <w:rPr>
          <w:rFonts w:hint="eastAsia" w:ascii="宋体" w:hAnsi="宋体" w:eastAsia="宋体" w:cs="宋体"/>
          <w:color w:val="auto"/>
          <w:sz w:val="24"/>
          <w:highlight w:val="none"/>
        </w:rPr>
      </w:pPr>
    </w:p>
    <w:p w14:paraId="171DF64F">
      <w:pPr>
        <w:spacing w:line="360" w:lineRule="auto"/>
        <w:ind w:firstLine="720" w:firstLineChars="3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2F581493">
      <w:pPr>
        <w:spacing w:line="360" w:lineRule="auto"/>
        <w:ind w:firstLine="720" w:firstLineChars="3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7CFAA3C6">
      <w:pPr>
        <w:spacing w:line="360" w:lineRule="auto"/>
        <w:ind w:firstLine="720" w:firstLineChars="3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29"/>
        <w:tblpPr w:leftFromText="180" w:rightFromText="180" w:vertAnchor="text" w:horzAnchor="page" w:tblpX="1586" w:tblpY="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7EE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3CC40D75">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4A1ACE2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竞争性磋商文件的</w:t>
            </w:r>
            <w:bookmarkStart w:id="56" w:name="OLE_LINK44"/>
            <w:r>
              <w:rPr>
                <w:rFonts w:hint="eastAsia" w:ascii="宋体" w:hAnsi="宋体" w:eastAsia="宋体" w:cs="宋体"/>
                <w:color w:val="auto"/>
                <w:szCs w:val="21"/>
                <w:highlight w:val="none"/>
              </w:rPr>
              <w:t>技术要求</w:t>
            </w:r>
            <w:bookmarkEnd w:id="56"/>
          </w:p>
        </w:tc>
        <w:tc>
          <w:tcPr>
            <w:tcW w:w="3589" w:type="dxa"/>
            <w:tcBorders>
              <w:top w:val="single" w:color="auto" w:sz="4" w:space="0"/>
              <w:left w:val="single" w:color="auto" w:sz="4" w:space="0"/>
              <w:bottom w:val="single" w:color="auto" w:sz="4" w:space="0"/>
              <w:right w:val="single" w:color="auto" w:sz="4" w:space="0"/>
            </w:tcBorders>
            <w:noWrap w:val="0"/>
            <w:vAlign w:val="center"/>
          </w:tcPr>
          <w:p w14:paraId="76A88A83">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响应文件承诺的技术要求</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238F377">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3430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72381251">
            <w:pPr>
              <w:spacing w:line="340" w:lineRule="exact"/>
              <w:jc w:val="center"/>
              <w:rPr>
                <w:rFonts w:hint="eastAsia" w:ascii="宋体" w:hAnsi="宋体" w:eastAsia="宋体" w:cs="宋体"/>
                <w:color w:val="auto"/>
                <w:szCs w:val="21"/>
                <w:highlight w:val="none"/>
              </w:rPr>
            </w:pPr>
          </w:p>
        </w:tc>
        <w:tc>
          <w:tcPr>
            <w:tcW w:w="3926" w:type="dxa"/>
            <w:tcBorders>
              <w:top w:val="single" w:color="auto" w:sz="4" w:space="0"/>
              <w:left w:val="single" w:color="auto" w:sz="4" w:space="0"/>
              <w:bottom w:val="single" w:color="auto" w:sz="4" w:space="0"/>
              <w:right w:val="single" w:color="auto" w:sz="4" w:space="0"/>
            </w:tcBorders>
            <w:noWrap w:val="0"/>
            <w:vAlign w:val="center"/>
          </w:tcPr>
          <w:p w14:paraId="5AB2D8E6">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center"/>
          </w:tcPr>
          <w:p w14:paraId="7B702043">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2DA18C4">
            <w:pPr>
              <w:spacing w:line="300" w:lineRule="exact"/>
              <w:rPr>
                <w:rFonts w:hint="eastAsia" w:ascii="宋体" w:hAnsi="宋体" w:eastAsia="宋体" w:cs="宋体"/>
                <w:color w:val="auto"/>
                <w:szCs w:val="21"/>
                <w:highlight w:val="none"/>
              </w:rPr>
            </w:pPr>
          </w:p>
        </w:tc>
      </w:tr>
      <w:tr w14:paraId="6976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3C6CBFEC">
            <w:pPr>
              <w:spacing w:line="340" w:lineRule="exact"/>
              <w:jc w:val="center"/>
              <w:rPr>
                <w:rFonts w:hint="eastAsia" w:ascii="宋体" w:hAnsi="宋体" w:eastAsia="宋体" w:cs="宋体"/>
                <w:color w:val="auto"/>
                <w:szCs w:val="21"/>
                <w:highlight w:val="none"/>
              </w:rPr>
            </w:pPr>
          </w:p>
        </w:tc>
        <w:tc>
          <w:tcPr>
            <w:tcW w:w="3926" w:type="dxa"/>
            <w:tcBorders>
              <w:top w:val="single" w:color="auto" w:sz="4" w:space="0"/>
              <w:left w:val="single" w:color="auto" w:sz="4" w:space="0"/>
              <w:bottom w:val="single" w:color="auto" w:sz="4" w:space="0"/>
              <w:right w:val="single" w:color="auto" w:sz="4" w:space="0"/>
            </w:tcBorders>
            <w:noWrap w:val="0"/>
            <w:vAlign w:val="center"/>
          </w:tcPr>
          <w:p w14:paraId="48E65DAD">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center"/>
          </w:tcPr>
          <w:p w14:paraId="18C96A6D">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30739AD4">
            <w:pPr>
              <w:spacing w:line="300" w:lineRule="exact"/>
              <w:rPr>
                <w:rFonts w:hint="eastAsia" w:ascii="宋体" w:hAnsi="宋体" w:eastAsia="宋体" w:cs="宋体"/>
                <w:color w:val="auto"/>
                <w:szCs w:val="21"/>
                <w:highlight w:val="none"/>
              </w:rPr>
            </w:pPr>
          </w:p>
        </w:tc>
      </w:tr>
      <w:tr w14:paraId="4C7E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0C557C87">
            <w:pPr>
              <w:spacing w:line="340" w:lineRule="exact"/>
              <w:jc w:val="center"/>
              <w:rPr>
                <w:rFonts w:hint="eastAsia" w:ascii="宋体" w:hAnsi="宋体" w:eastAsia="宋体" w:cs="宋体"/>
                <w:color w:val="auto"/>
                <w:szCs w:val="21"/>
                <w:highlight w:val="none"/>
              </w:rPr>
            </w:pPr>
          </w:p>
        </w:tc>
        <w:tc>
          <w:tcPr>
            <w:tcW w:w="3926" w:type="dxa"/>
            <w:tcBorders>
              <w:top w:val="single" w:color="auto" w:sz="4" w:space="0"/>
              <w:left w:val="single" w:color="auto" w:sz="4" w:space="0"/>
              <w:bottom w:val="single" w:color="auto" w:sz="4" w:space="0"/>
              <w:right w:val="single" w:color="auto" w:sz="4" w:space="0"/>
            </w:tcBorders>
            <w:noWrap w:val="0"/>
            <w:vAlign w:val="center"/>
          </w:tcPr>
          <w:p w14:paraId="3EEA58BD">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4DD0C8B">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15F2322">
            <w:pPr>
              <w:spacing w:line="300" w:lineRule="exact"/>
              <w:rPr>
                <w:rFonts w:hint="eastAsia" w:ascii="宋体" w:hAnsi="宋体" w:eastAsia="宋体" w:cs="宋体"/>
                <w:color w:val="auto"/>
                <w:szCs w:val="21"/>
                <w:highlight w:val="none"/>
              </w:rPr>
            </w:pPr>
          </w:p>
        </w:tc>
      </w:tr>
      <w:tr w14:paraId="3C99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6118D6CA">
            <w:pPr>
              <w:spacing w:line="340" w:lineRule="exact"/>
              <w:jc w:val="center"/>
              <w:rPr>
                <w:rFonts w:hint="eastAsia" w:ascii="宋体" w:hAnsi="宋体" w:eastAsia="宋体" w:cs="宋体"/>
                <w:color w:val="auto"/>
                <w:szCs w:val="21"/>
                <w:highlight w:val="none"/>
              </w:rPr>
            </w:pP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D4B406D">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9E19767">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36474B5">
            <w:pPr>
              <w:spacing w:line="300" w:lineRule="exact"/>
              <w:rPr>
                <w:rFonts w:hint="eastAsia" w:ascii="宋体" w:hAnsi="宋体" w:eastAsia="宋体" w:cs="宋体"/>
                <w:color w:val="auto"/>
                <w:szCs w:val="21"/>
                <w:highlight w:val="none"/>
              </w:rPr>
            </w:pPr>
          </w:p>
        </w:tc>
      </w:tr>
      <w:tr w14:paraId="2DA3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6BE4F9F8">
            <w:pPr>
              <w:spacing w:line="340" w:lineRule="exact"/>
              <w:jc w:val="center"/>
              <w:rPr>
                <w:rFonts w:hint="eastAsia" w:ascii="宋体" w:hAnsi="宋体" w:eastAsia="宋体" w:cs="宋体"/>
                <w:color w:val="auto"/>
                <w:szCs w:val="21"/>
                <w:highlight w:val="none"/>
              </w:rPr>
            </w:pP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A715294">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5C6F856">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A88A5BB">
            <w:pPr>
              <w:spacing w:line="300" w:lineRule="exact"/>
              <w:rPr>
                <w:rFonts w:hint="eastAsia" w:ascii="宋体" w:hAnsi="宋体" w:eastAsia="宋体" w:cs="宋体"/>
                <w:color w:val="auto"/>
                <w:szCs w:val="21"/>
                <w:highlight w:val="none"/>
              </w:rPr>
            </w:pPr>
          </w:p>
        </w:tc>
      </w:tr>
      <w:tr w14:paraId="21E0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62C9E588">
            <w:pPr>
              <w:spacing w:line="340" w:lineRule="exact"/>
              <w:jc w:val="center"/>
              <w:rPr>
                <w:rFonts w:hint="eastAsia" w:ascii="宋体" w:hAnsi="宋体" w:eastAsia="宋体" w:cs="宋体"/>
                <w:color w:val="auto"/>
                <w:szCs w:val="21"/>
                <w:highlight w:val="none"/>
              </w:rPr>
            </w:pPr>
          </w:p>
        </w:tc>
        <w:tc>
          <w:tcPr>
            <w:tcW w:w="3926" w:type="dxa"/>
            <w:tcBorders>
              <w:top w:val="single" w:color="auto" w:sz="4" w:space="0"/>
              <w:left w:val="single" w:color="auto" w:sz="4" w:space="0"/>
              <w:bottom w:val="single" w:color="auto" w:sz="4" w:space="0"/>
              <w:right w:val="single" w:color="auto" w:sz="4" w:space="0"/>
            </w:tcBorders>
            <w:noWrap w:val="0"/>
            <w:vAlign w:val="center"/>
          </w:tcPr>
          <w:p w14:paraId="62C1587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791198E0">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9493B3E">
            <w:pPr>
              <w:spacing w:line="300" w:lineRule="exact"/>
              <w:rPr>
                <w:rFonts w:hint="eastAsia" w:ascii="宋体" w:hAnsi="宋体" w:eastAsia="宋体" w:cs="宋体"/>
                <w:color w:val="auto"/>
                <w:szCs w:val="21"/>
                <w:highlight w:val="none"/>
              </w:rPr>
            </w:pPr>
          </w:p>
        </w:tc>
      </w:tr>
    </w:tbl>
    <w:p w14:paraId="7F66EDA8">
      <w:pPr>
        <w:pStyle w:val="12"/>
        <w:spacing w:after="0" w:line="360" w:lineRule="auto"/>
        <w:contextualSpacing/>
        <w:rPr>
          <w:rFonts w:hint="eastAsia" w:ascii="宋体" w:hAnsi="宋体" w:eastAsia="宋体" w:cs="宋体"/>
          <w:color w:val="auto"/>
          <w:kern w:val="0"/>
          <w:sz w:val="24"/>
          <w:szCs w:val="24"/>
          <w:highlight w:val="none"/>
        </w:rPr>
      </w:pPr>
    </w:p>
    <w:p w14:paraId="65A7F18F">
      <w:pPr>
        <w:pStyle w:val="12"/>
        <w:spacing w:after="0" w:line="480" w:lineRule="auto"/>
        <w:ind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537AF972">
      <w:pPr>
        <w:pStyle w:val="12"/>
        <w:spacing w:after="0" w:line="480" w:lineRule="auto"/>
        <w:ind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1.说明：应对照磋商文件“第二章”中“需求一览表”的技术要求逐条作出明确响应，并作出偏离说明。</w:t>
      </w:r>
    </w:p>
    <w:p w14:paraId="3F773298">
      <w:pPr>
        <w:pStyle w:val="14"/>
        <w:spacing w:line="48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2.供应商应根据自身的承诺，对照磋商文件要求，在“偏离说明”中注明“正偏离”或者“负偏离”或者“无偏离”。既不属于“正偏离”也不属于“负偏离”即为“无偏离”。 当响应文件的技术内容低于竞争性磋商文件要求时，供应商应当如实写明“负偏离”，否则视为虚假应标。</w:t>
      </w:r>
    </w:p>
    <w:p w14:paraId="4EA19D4E">
      <w:pPr>
        <w:spacing w:line="48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w:t>
      </w:r>
      <w:r>
        <w:rPr>
          <w:rFonts w:hint="eastAsia" w:ascii="宋体" w:hAnsi="宋体" w:eastAsia="宋体" w:cs="宋体"/>
          <w:b/>
          <w:bCs/>
          <w:color w:val="auto"/>
          <w:kern w:val="0"/>
          <w:szCs w:val="21"/>
          <w:highlight w:val="none"/>
        </w:rPr>
        <w:t>否则按竞标无效处理。</w:t>
      </w:r>
    </w:p>
    <w:p w14:paraId="2E16412C">
      <w:pPr>
        <w:pStyle w:val="14"/>
        <w:spacing w:line="480" w:lineRule="auto"/>
        <w:ind w:firstLine="42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4. 如技术偏离表中的竞标响应与佐证材料不一致的，以佐证材料为准。</w:t>
      </w:r>
    </w:p>
    <w:p w14:paraId="37D755FB">
      <w:pPr>
        <w:snapToGrid w:val="0"/>
        <w:spacing w:line="360" w:lineRule="auto"/>
        <w:ind w:firstLine="602" w:firstLineChars="200"/>
        <w:rPr>
          <w:rFonts w:hint="eastAsia" w:ascii="宋体" w:hAnsi="宋体" w:eastAsia="宋体" w:cs="宋体"/>
          <w:b/>
          <w:color w:val="auto"/>
          <w:sz w:val="30"/>
          <w:szCs w:val="30"/>
          <w:highlight w:val="none"/>
        </w:rPr>
      </w:pPr>
    </w:p>
    <w:p w14:paraId="0ECA5306">
      <w:pPr>
        <w:spacing w:line="400" w:lineRule="exact"/>
        <w:ind w:firstLine="4410" w:firstLineChars="21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名称</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电子</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u w:val="single"/>
        </w:rPr>
        <w:t xml:space="preserve">                   </w:t>
      </w:r>
    </w:p>
    <w:p w14:paraId="5F707E76">
      <w:pPr>
        <w:snapToGrid w:val="0"/>
        <w:spacing w:line="360" w:lineRule="auto"/>
        <w:ind w:firstLine="420" w:firstLineChars="200"/>
        <w:rPr>
          <w:rFonts w:hint="eastAsia" w:ascii="宋体" w:hAnsi="宋体" w:eastAsia="宋体" w:cs="宋体"/>
          <w:b/>
          <w:color w:val="auto"/>
          <w:sz w:val="30"/>
          <w:szCs w:val="30"/>
          <w:highlight w:val="none"/>
        </w:rPr>
      </w:pP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A43F544">
      <w:pPr>
        <w:adjustRightInd w:val="0"/>
        <w:snapToGrid w:val="0"/>
        <w:spacing w:line="520" w:lineRule="exact"/>
        <w:jc w:val="center"/>
        <w:rPr>
          <w:rFonts w:hint="eastAsia" w:ascii="宋体" w:hAnsi="宋体" w:eastAsia="宋体" w:cs="宋体"/>
          <w:bCs/>
          <w:color w:val="auto"/>
          <w:sz w:val="44"/>
          <w:szCs w:val="44"/>
          <w:highlight w:val="none"/>
        </w:rPr>
      </w:pPr>
    </w:p>
    <w:p w14:paraId="1F718B4D">
      <w:pPr>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施工组织设计（格式自拟）</w:t>
      </w:r>
    </w:p>
    <w:p w14:paraId="2D51ECE5">
      <w:pPr>
        <w:keepLines w:val="0"/>
        <w:pageBreakBefore w:val="0"/>
        <w:widowControl w:val="0"/>
        <w:kinsoku/>
        <w:wordWrap/>
        <w:overflowPunct/>
        <w:topLinePunct w:val="0"/>
        <w:bidi w:val="0"/>
        <w:adjustRightInd/>
        <w:spacing w:line="360" w:lineRule="auto"/>
        <w:ind w:firstLine="4410" w:firstLineChars="2100"/>
        <w:textAlignment w:val="auto"/>
        <w:rPr>
          <w:rFonts w:hint="eastAsia" w:ascii="宋体" w:hAnsi="宋体" w:eastAsia="宋体" w:cs="宋体"/>
          <w:color w:val="auto"/>
          <w:szCs w:val="21"/>
          <w:highlight w:val="none"/>
        </w:rPr>
      </w:pPr>
    </w:p>
    <w:p w14:paraId="6C3EC526">
      <w:pPr>
        <w:keepLines w:val="0"/>
        <w:pageBreakBefore w:val="0"/>
        <w:widowControl w:val="0"/>
        <w:kinsoku/>
        <w:wordWrap/>
        <w:overflowPunct/>
        <w:topLinePunct w:val="0"/>
        <w:bidi w:val="0"/>
        <w:adjustRightInd/>
        <w:spacing w:line="360" w:lineRule="auto"/>
        <w:ind w:firstLine="4410" w:firstLineChars="2100"/>
        <w:textAlignment w:val="auto"/>
        <w:rPr>
          <w:rFonts w:hint="eastAsia" w:ascii="宋体" w:hAnsi="宋体" w:eastAsia="宋体" w:cs="宋体"/>
          <w:color w:val="auto"/>
          <w:szCs w:val="21"/>
          <w:highlight w:val="none"/>
        </w:rPr>
      </w:pPr>
    </w:p>
    <w:p w14:paraId="0C9F004B">
      <w:pPr>
        <w:keepLines w:val="0"/>
        <w:pageBreakBefore w:val="0"/>
        <w:widowControl w:val="0"/>
        <w:kinsoku/>
        <w:wordWrap/>
        <w:overflowPunct/>
        <w:topLinePunct w:val="0"/>
        <w:bidi w:val="0"/>
        <w:adjustRightInd/>
        <w:spacing w:line="360" w:lineRule="auto"/>
        <w:ind w:firstLine="4410" w:firstLineChars="2100"/>
        <w:textAlignment w:val="auto"/>
        <w:rPr>
          <w:rFonts w:hint="eastAsia" w:ascii="宋体" w:hAnsi="宋体" w:eastAsia="宋体" w:cs="宋体"/>
          <w:color w:val="auto"/>
          <w:szCs w:val="21"/>
          <w:highlight w:val="none"/>
        </w:rPr>
      </w:pPr>
    </w:p>
    <w:p w14:paraId="08C1E85F">
      <w:pPr>
        <w:keepLines w:val="0"/>
        <w:pageBreakBefore w:val="0"/>
        <w:widowControl w:val="0"/>
        <w:kinsoku/>
        <w:wordWrap/>
        <w:overflowPunct/>
        <w:topLinePunct w:val="0"/>
        <w:bidi w:val="0"/>
        <w:adjustRightInd/>
        <w:spacing w:line="360" w:lineRule="auto"/>
        <w:ind w:firstLine="4410" w:firstLineChars="21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名称</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电子</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u w:val="single"/>
        </w:rPr>
        <w:t xml:space="preserve">                   </w:t>
      </w:r>
    </w:p>
    <w:p w14:paraId="338A98E8">
      <w:pPr>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b/>
          <w:color w:val="auto"/>
          <w:sz w:val="30"/>
          <w:szCs w:val="30"/>
          <w:highlight w:val="none"/>
        </w:rPr>
      </w:pP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00284EE">
      <w:pPr>
        <w:keepLines w:val="0"/>
        <w:pageBreakBefore w:val="0"/>
        <w:widowControl w:val="0"/>
        <w:kinsoku/>
        <w:wordWrap/>
        <w:overflowPunct/>
        <w:topLinePunct w:val="0"/>
        <w:bidi w:val="0"/>
        <w:adjustRightInd/>
        <w:snapToGrid w:val="0"/>
        <w:spacing w:line="360" w:lineRule="auto"/>
        <w:textAlignment w:val="auto"/>
        <w:rPr>
          <w:rFonts w:hint="eastAsia" w:ascii="宋体" w:hAnsi="宋体" w:eastAsia="宋体" w:cs="宋体"/>
          <w:b/>
          <w:color w:val="auto"/>
          <w:sz w:val="30"/>
          <w:szCs w:val="30"/>
          <w:highlight w:val="none"/>
        </w:rPr>
      </w:pPr>
    </w:p>
    <w:p w14:paraId="737E3BB0">
      <w:pPr>
        <w:keepLines w:val="0"/>
        <w:pageBreakBefore w:val="0"/>
        <w:widowControl w:val="0"/>
        <w:kinsoku/>
        <w:wordWrap/>
        <w:overflowPunct/>
        <w:topLinePunct w:val="0"/>
        <w:bidi w:val="0"/>
        <w:adjustRightInd/>
        <w:snapToGrid w:val="0"/>
        <w:spacing w:line="360" w:lineRule="auto"/>
        <w:textAlignment w:val="auto"/>
        <w:rPr>
          <w:rFonts w:hint="eastAsia" w:ascii="宋体" w:hAnsi="宋体" w:eastAsia="宋体" w:cs="宋体"/>
          <w:b/>
          <w:color w:val="auto"/>
          <w:sz w:val="28"/>
          <w:szCs w:val="28"/>
          <w:highlight w:val="none"/>
        </w:rPr>
      </w:pPr>
    </w:p>
    <w:p w14:paraId="5B86A222">
      <w:pPr>
        <w:keepLines w:val="0"/>
        <w:pageBreakBefore w:val="0"/>
        <w:widowControl w:val="0"/>
        <w:kinsoku/>
        <w:wordWrap/>
        <w:overflowPunct/>
        <w:topLinePunct w:val="0"/>
        <w:bidi w:val="0"/>
        <w:adjustRightInd/>
        <w:snapToGrid w:val="0"/>
        <w:spacing w:line="360" w:lineRule="auto"/>
        <w:textAlignment w:val="auto"/>
        <w:rPr>
          <w:rFonts w:hint="eastAsia" w:ascii="宋体" w:hAnsi="宋体" w:eastAsia="宋体" w:cs="宋体"/>
          <w:b/>
          <w:color w:val="auto"/>
          <w:sz w:val="28"/>
          <w:szCs w:val="28"/>
          <w:highlight w:val="none"/>
        </w:rPr>
      </w:pPr>
    </w:p>
    <w:p w14:paraId="1E796412">
      <w:pPr>
        <w:keepLines w:val="0"/>
        <w:pageBreakBefore w:val="0"/>
        <w:widowControl w:val="0"/>
        <w:kinsoku/>
        <w:wordWrap/>
        <w:overflowPunct/>
        <w:topLinePunct w:val="0"/>
        <w:bidi w:val="0"/>
        <w:adjustRightInd/>
        <w:snapToGrid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项目管理机构配备情况表及主要人员简历表（格式自拟）</w:t>
      </w:r>
    </w:p>
    <w:p w14:paraId="0D885768">
      <w:pPr>
        <w:keepLines w:val="0"/>
        <w:pageBreakBefore w:val="0"/>
        <w:widowControl w:val="0"/>
        <w:kinsoku/>
        <w:wordWrap/>
        <w:overflowPunct/>
        <w:topLinePunct w:val="0"/>
        <w:bidi w:val="0"/>
        <w:adjustRightInd/>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（由供应商根据采购需求及采购文件要求编制）</w:t>
      </w:r>
    </w:p>
    <w:p w14:paraId="4BAAC084">
      <w:pPr>
        <w:pStyle w:val="21"/>
        <w:keepLines w:val="0"/>
        <w:pageBreakBefore w:val="0"/>
        <w:widowControl w:val="0"/>
        <w:kinsoku/>
        <w:wordWrap/>
        <w:overflowPunct/>
        <w:topLinePunct w:val="0"/>
        <w:bidi w:val="0"/>
        <w:adjustRightInd/>
        <w:spacing w:line="360" w:lineRule="auto"/>
        <w:textAlignment w:val="auto"/>
        <w:rPr>
          <w:rFonts w:hint="eastAsia" w:ascii="宋体" w:hAnsi="宋体" w:eastAsia="宋体" w:cs="宋体"/>
          <w:color w:val="auto"/>
          <w:highlight w:val="none"/>
        </w:rPr>
      </w:pPr>
    </w:p>
    <w:p w14:paraId="6BC16E7E">
      <w:pPr>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p>
    <w:p w14:paraId="4FAE46E3">
      <w:pPr>
        <w:keepLines w:val="0"/>
        <w:pageBreakBefore w:val="0"/>
        <w:widowControl w:val="0"/>
        <w:kinsoku/>
        <w:wordWrap/>
        <w:overflowPunct/>
        <w:topLinePunct w:val="0"/>
        <w:bidi w:val="0"/>
        <w:adjustRightInd/>
        <w:spacing w:line="360" w:lineRule="auto"/>
        <w:ind w:firstLine="4410" w:firstLineChars="21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名称</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电子</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u w:val="single"/>
        </w:rPr>
        <w:t xml:space="preserve">                   </w:t>
      </w:r>
    </w:p>
    <w:p w14:paraId="0C369D40">
      <w:pPr>
        <w:keepLines w:val="0"/>
        <w:pageBreakBefore w:val="0"/>
        <w:widowControl w:val="0"/>
        <w:kinsoku/>
        <w:wordWrap/>
        <w:overflowPunct/>
        <w:topLinePunct w:val="0"/>
        <w:bidi w:val="0"/>
        <w:adjustRightInd/>
        <w:snapToGrid w:val="0"/>
        <w:spacing w:line="360" w:lineRule="auto"/>
        <w:ind w:firstLine="420" w:firstLineChars="200"/>
        <w:textAlignment w:val="auto"/>
        <w:rPr>
          <w:rFonts w:hint="eastAsia" w:ascii="宋体" w:hAnsi="宋体" w:eastAsia="宋体" w:cs="宋体"/>
          <w:b/>
          <w:color w:val="auto"/>
          <w:sz w:val="30"/>
          <w:szCs w:val="30"/>
          <w:highlight w:val="none"/>
        </w:rPr>
      </w:pP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9A5DED2">
      <w:pPr>
        <w:jc w:val="both"/>
        <w:outlineLvl w:val="9"/>
        <w:rPr>
          <w:rFonts w:hint="eastAsia" w:ascii="宋体" w:hAnsi="宋体" w:eastAsia="宋体" w:cs="宋体"/>
          <w:b/>
          <w:bCs/>
          <w:color w:val="auto"/>
          <w:highlight w:val="none"/>
        </w:rPr>
      </w:pPr>
    </w:p>
    <w:p w14:paraId="73248728">
      <w:pPr>
        <w:outlineLvl w:val="9"/>
        <w:rPr>
          <w:rFonts w:hint="eastAsia" w:ascii="宋体" w:hAnsi="宋体" w:eastAsia="宋体" w:cs="宋体"/>
          <w:b/>
          <w:bCs/>
          <w:color w:val="auto"/>
          <w:highlight w:val="none"/>
        </w:rPr>
      </w:pPr>
    </w:p>
    <w:p w14:paraId="43A9EA94">
      <w:pPr>
        <w:outlineLvl w:val="9"/>
        <w:rPr>
          <w:rFonts w:hint="eastAsia" w:ascii="宋体" w:hAnsi="宋体" w:eastAsia="宋体" w:cs="宋体"/>
          <w:b/>
          <w:bCs/>
          <w:color w:val="auto"/>
          <w:highlight w:val="none"/>
        </w:rPr>
      </w:pPr>
    </w:p>
    <w:p w14:paraId="1E5DC1EA">
      <w:pPr>
        <w:outlineLvl w:val="9"/>
        <w:rPr>
          <w:rFonts w:hint="eastAsia" w:ascii="宋体" w:hAnsi="宋体" w:eastAsia="宋体" w:cs="宋体"/>
          <w:b/>
          <w:bCs/>
          <w:color w:val="auto"/>
          <w:highlight w:val="none"/>
        </w:rPr>
      </w:pPr>
    </w:p>
    <w:p w14:paraId="0ED1DF4D">
      <w:pPr>
        <w:jc w:val="center"/>
        <w:outlineLvl w:val="9"/>
        <w:rPr>
          <w:rFonts w:hint="eastAsia" w:ascii="宋体" w:hAnsi="宋体" w:eastAsia="宋体" w:cs="宋体"/>
          <w:b/>
          <w:bCs/>
          <w:color w:val="auto"/>
          <w:highlight w:val="none"/>
        </w:rPr>
      </w:pPr>
    </w:p>
    <w:p w14:paraId="17676597">
      <w:pPr>
        <w:outlineLvl w:val="9"/>
        <w:rPr>
          <w:rFonts w:hint="eastAsia" w:ascii="宋体" w:hAnsi="宋体" w:eastAsia="宋体" w:cs="宋体"/>
          <w:b/>
          <w:bCs/>
          <w:color w:val="auto"/>
          <w:highlight w:val="none"/>
        </w:rPr>
      </w:pPr>
    </w:p>
    <w:p w14:paraId="44AF8D24">
      <w:pPr>
        <w:outlineLvl w:val="9"/>
        <w:rPr>
          <w:rFonts w:hint="eastAsia" w:ascii="宋体" w:hAnsi="宋体" w:eastAsia="宋体" w:cs="宋体"/>
          <w:b/>
          <w:bCs/>
          <w:color w:val="auto"/>
          <w:highlight w:val="none"/>
        </w:rPr>
      </w:pPr>
    </w:p>
    <w:p w14:paraId="0FD5E2C2">
      <w:pPr>
        <w:outlineLvl w:val="9"/>
        <w:rPr>
          <w:rFonts w:hint="eastAsia" w:ascii="宋体" w:hAnsi="宋体" w:eastAsia="宋体" w:cs="宋体"/>
          <w:b/>
          <w:bCs/>
          <w:color w:val="auto"/>
          <w:highlight w:val="none"/>
        </w:rPr>
      </w:pPr>
    </w:p>
    <w:p w14:paraId="0B5BEF92">
      <w:pPr>
        <w:outlineLvl w:val="9"/>
        <w:rPr>
          <w:rFonts w:hint="eastAsia" w:ascii="宋体" w:hAnsi="宋体" w:eastAsia="宋体" w:cs="宋体"/>
          <w:b/>
          <w:bCs/>
          <w:color w:val="auto"/>
          <w:highlight w:val="none"/>
        </w:rPr>
      </w:pPr>
    </w:p>
    <w:p w14:paraId="0425671A">
      <w:pPr>
        <w:outlineLvl w:val="9"/>
        <w:rPr>
          <w:rFonts w:hint="eastAsia" w:ascii="宋体" w:hAnsi="宋体" w:eastAsia="宋体" w:cs="宋体"/>
          <w:b/>
          <w:bCs/>
          <w:color w:val="auto"/>
          <w:highlight w:val="none"/>
        </w:rPr>
      </w:pPr>
    </w:p>
    <w:p w14:paraId="2686A9F0">
      <w:pPr>
        <w:outlineLvl w:val="9"/>
        <w:rPr>
          <w:rFonts w:hint="eastAsia" w:ascii="宋体" w:hAnsi="宋体" w:eastAsia="宋体" w:cs="宋体"/>
          <w:b/>
          <w:bCs/>
          <w:color w:val="auto"/>
          <w:highlight w:val="none"/>
        </w:rPr>
      </w:pPr>
    </w:p>
    <w:p w14:paraId="367B2124">
      <w:pPr>
        <w:jc w:val="both"/>
        <w:outlineLvl w:val="9"/>
        <w:rPr>
          <w:rFonts w:hint="eastAsia" w:ascii="宋体" w:hAnsi="宋体" w:eastAsia="宋体" w:cs="宋体"/>
          <w:b/>
          <w:bCs/>
          <w:color w:val="auto"/>
          <w:highlight w:val="none"/>
        </w:rPr>
      </w:pPr>
    </w:p>
    <w:p w14:paraId="70735897">
      <w:pPr>
        <w:outlineLvl w:val="9"/>
        <w:rPr>
          <w:rFonts w:hint="eastAsia" w:ascii="宋体" w:hAnsi="宋体" w:eastAsia="宋体" w:cs="宋体"/>
          <w:b/>
          <w:bCs/>
          <w:color w:val="auto"/>
          <w:highlight w:val="none"/>
        </w:rPr>
      </w:pPr>
    </w:p>
    <w:p w14:paraId="685B38CB">
      <w:pPr>
        <w:outlineLvl w:val="9"/>
        <w:rPr>
          <w:rFonts w:hint="eastAsia" w:ascii="宋体" w:hAnsi="宋体" w:eastAsia="宋体" w:cs="宋体"/>
          <w:b/>
          <w:bCs/>
          <w:color w:val="auto"/>
          <w:highlight w:val="none"/>
        </w:rPr>
      </w:pPr>
    </w:p>
    <w:p w14:paraId="472E07F1">
      <w:pPr>
        <w:outlineLvl w:val="9"/>
        <w:rPr>
          <w:rFonts w:hint="eastAsia" w:ascii="宋体" w:hAnsi="宋体" w:eastAsia="宋体" w:cs="宋体"/>
          <w:b/>
          <w:bCs/>
          <w:color w:val="auto"/>
          <w:highlight w:val="none"/>
        </w:rPr>
      </w:pPr>
    </w:p>
    <w:p w14:paraId="260BF5FA">
      <w:pPr>
        <w:pStyle w:val="3"/>
        <w:jc w:val="center"/>
        <w:rPr>
          <w:rFonts w:hint="eastAsia" w:ascii="宋体" w:hAnsi="宋体" w:eastAsia="宋体" w:cs="宋体"/>
          <w:b w:val="0"/>
          <w:bCs/>
          <w:color w:val="auto"/>
          <w:highlight w:val="none"/>
        </w:rPr>
      </w:pPr>
      <w:r>
        <w:rPr>
          <w:rFonts w:hint="eastAsia" w:ascii="宋体" w:hAnsi="宋体" w:eastAsia="宋体" w:cs="宋体"/>
          <w:b/>
          <w:bCs/>
          <w:color w:val="auto"/>
          <w:highlight w:val="none"/>
        </w:rPr>
        <w:br w:type="page"/>
      </w:r>
      <w:r>
        <w:rPr>
          <w:rFonts w:hint="eastAsia" w:ascii="宋体" w:hAnsi="宋体" w:eastAsia="宋体" w:cs="宋体"/>
          <w:b/>
          <w:bCs/>
          <w:color w:val="auto"/>
          <w:highlight w:val="none"/>
        </w:rPr>
        <w:t>其他文书、文件格式</w:t>
      </w:r>
      <w:bookmarkEnd w:id="54"/>
      <w:bookmarkEnd w:id="55"/>
    </w:p>
    <w:p w14:paraId="33029A1E">
      <w:pPr>
        <w:jc w:val="center"/>
        <w:rPr>
          <w:rFonts w:hint="eastAsia" w:ascii="宋体" w:hAnsi="宋体" w:eastAsia="宋体" w:cs="宋体"/>
          <w:b/>
          <w:bCs/>
          <w:color w:val="auto"/>
          <w:sz w:val="32"/>
          <w:szCs w:val="32"/>
          <w:highlight w:val="none"/>
          <w:lang w:val="en"/>
        </w:rPr>
      </w:pPr>
      <w:r>
        <w:rPr>
          <w:rFonts w:hint="eastAsia" w:ascii="宋体" w:hAnsi="宋体" w:eastAsia="宋体" w:cs="宋体"/>
          <w:b/>
          <w:bCs/>
          <w:color w:val="auto"/>
          <w:sz w:val="32"/>
          <w:szCs w:val="32"/>
          <w:highlight w:val="none"/>
          <w:lang w:val="en"/>
        </w:rPr>
        <w:t>知识产权合规性声明</w:t>
      </w:r>
    </w:p>
    <w:p w14:paraId="6DE6B215">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17542A7C">
      <w:pPr>
        <w:rPr>
          <w:rFonts w:hint="eastAsia" w:ascii="宋体" w:hAnsi="宋体" w:eastAsia="宋体" w:cs="宋体"/>
          <w:color w:val="auto"/>
          <w:sz w:val="30"/>
          <w:szCs w:val="30"/>
          <w:highlight w:val="none"/>
          <w:lang w:val="en"/>
        </w:rPr>
      </w:pPr>
      <w:r>
        <w:rPr>
          <w:rFonts w:hint="eastAsia" w:ascii="宋体" w:hAnsi="宋体" w:eastAsia="宋体" w:cs="宋体"/>
          <w:color w:val="auto"/>
          <w:sz w:val="30"/>
          <w:szCs w:val="30"/>
          <w:highlight w:val="none"/>
        </w:rPr>
        <w:t xml:space="preserve">    本</w:t>
      </w:r>
      <w:r>
        <w:rPr>
          <w:rFonts w:hint="eastAsia" w:ascii="宋体" w:hAnsi="宋体" w:eastAsia="宋体" w:cs="宋体"/>
          <w:color w:val="auto"/>
          <w:sz w:val="30"/>
          <w:szCs w:val="30"/>
          <w:highlight w:val="none"/>
          <w:lang w:val="en"/>
        </w:rPr>
        <w:t>企业（单位）自愿参与政府投资政府采购的</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lang w:val="en"/>
        </w:rPr>
        <w:t>项目，</w:t>
      </w:r>
      <w:r>
        <w:rPr>
          <w:rFonts w:hint="eastAsia" w:ascii="宋体" w:hAnsi="宋体" w:eastAsia="宋体" w:cs="宋体"/>
          <w:b/>
          <w:bCs/>
          <w:color w:val="auto"/>
          <w:sz w:val="30"/>
          <w:szCs w:val="30"/>
          <w:highlight w:val="none"/>
          <w:lang w:val="en"/>
        </w:rPr>
        <w:t>在此郑重承诺：</w:t>
      </w:r>
      <w:r>
        <w:rPr>
          <w:rFonts w:hint="eastAsia" w:ascii="宋体" w:hAnsi="宋体" w:eastAsia="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hint="eastAsia" w:ascii="宋体" w:hAnsi="宋体" w:eastAsia="宋体" w:cs="宋体"/>
          <w:color w:val="auto"/>
          <w:sz w:val="30"/>
          <w:szCs w:val="30"/>
          <w:highlight w:val="none"/>
        </w:rPr>
        <w:t>单位</w:t>
      </w:r>
      <w:r>
        <w:rPr>
          <w:rFonts w:hint="eastAsia" w:ascii="宋体" w:hAnsi="宋体" w:eastAsia="宋体" w:cs="宋体"/>
          <w:color w:val="auto"/>
          <w:sz w:val="30"/>
          <w:szCs w:val="30"/>
          <w:highlight w:val="none"/>
          <w:lang w:val="en"/>
        </w:rPr>
        <w:t>）将承担由此产生的全部责任。</w:t>
      </w:r>
    </w:p>
    <w:p w14:paraId="515A26CE">
      <w:pPr>
        <w:snapToGrid w:val="0"/>
        <w:spacing w:line="360" w:lineRule="auto"/>
        <w:ind w:left="5137" w:leftChars="1736" w:hanging="1491" w:hangingChars="825"/>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 xml:space="preserve">           </w:t>
      </w:r>
    </w:p>
    <w:p w14:paraId="3B810D11">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18376701">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0F68295F">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506F9998">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竞标人名称(电子签章)：</w:t>
      </w:r>
    </w:p>
    <w:p w14:paraId="0C641EB7">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AB3AB03">
      <w:pPr>
        <w:widowControl/>
        <w:jc w:val="left"/>
        <w:rPr>
          <w:rFonts w:hint="eastAsia" w:ascii="宋体" w:hAnsi="宋体" w:eastAsia="宋体" w:cs="宋体"/>
          <w:color w:val="auto"/>
          <w:sz w:val="24"/>
          <w:highlight w:val="none"/>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14:paraId="5E977E1D">
      <w:pPr>
        <w:spacing w:line="520" w:lineRule="exact"/>
        <w:rPr>
          <w:rFonts w:hint="eastAsia" w:ascii="宋体" w:hAnsi="宋体" w:eastAsia="宋体" w:cs="宋体"/>
          <w:color w:val="auto"/>
          <w:sz w:val="24"/>
          <w:highlight w:val="none"/>
        </w:rPr>
      </w:pPr>
    </w:p>
    <w:p w14:paraId="18600805">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w:t>
      </w:r>
    </w:p>
    <w:p w14:paraId="653D77A1">
      <w:pPr>
        <w:spacing w:line="520" w:lineRule="exact"/>
        <w:rPr>
          <w:rFonts w:hint="eastAsia" w:ascii="宋体" w:hAnsi="宋体" w:eastAsia="宋体" w:cs="宋体"/>
          <w:color w:val="auto"/>
          <w:sz w:val="32"/>
          <w:szCs w:val="32"/>
          <w:highlight w:val="none"/>
        </w:rPr>
      </w:pPr>
    </w:p>
    <w:p w14:paraId="2307619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项目采购活动由本单位提供服务。</w:t>
      </w:r>
    </w:p>
    <w:p w14:paraId="4F4D92D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5A7434CD">
      <w:pPr>
        <w:spacing w:line="360" w:lineRule="auto"/>
        <w:rPr>
          <w:rFonts w:hint="eastAsia" w:ascii="宋体" w:hAnsi="宋体" w:eastAsia="宋体" w:cs="宋体"/>
          <w:color w:val="auto"/>
          <w:sz w:val="24"/>
          <w:highlight w:val="none"/>
        </w:rPr>
      </w:pPr>
    </w:p>
    <w:p w14:paraId="5B91634E">
      <w:pPr>
        <w:spacing w:line="360" w:lineRule="auto"/>
        <w:rPr>
          <w:rFonts w:hint="eastAsia" w:ascii="宋体" w:hAnsi="宋体" w:eastAsia="宋体" w:cs="宋体"/>
          <w:color w:val="auto"/>
          <w:sz w:val="24"/>
          <w:highlight w:val="none"/>
        </w:rPr>
      </w:pPr>
    </w:p>
    <w:p w14:paraId="68535763">
      <w:pPr>
        <w:spacing w:line="360" w:lineRule="auto"/>
        <w:rPr>
          <w:rFonts w:hint="eastAsia" w:ascii="宋体" w:hAnsi="宋体" w:eastAsia="宋体" w:cs="宋体"/>
          <w:color w:val="auto"/>
          <w:sz w:val="24"/>
          <w:highlight w:val="none"/>
        </w:rPr>
      </w:pPr>
    </w:p>
    <w:p w14:paraId="16B4B5B4">
      <w:pPr>
        <w:spacing w:line="360" w:lineRule="auto"/>
        <w:ind w:firstLine="2400" w:firstLineChars="10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0EA96D6F">
      <w:pPr>
        <w:spacing w:line="360" w:lineRule="auto"/>
        <w:ind w:firstLine="4320" w:firstLineChars="18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8D400DF">
      <w:pPr>
        <w:spacing w:line="360" w:lineRule="auto"/>
        <w:rPr>
          <w:rFonts w:hint="eastAsia" w:ascii="宋体" w:hAnsi="宋体" w:eastAsia="宋体" w:cs="宋体"/>
          <w:color w:val="auto"/>
          <w:sz w:val="24"/>
          <w:highlight w:val="none"/>
        </w:rPr>
      </w:pPr>
    </w:p>
    <w:p w14:paraId="71A819AE">
      <w:pPr>
        <w:spacing w:line="360" w:lineRule="auto"/>
        <w:rPr>
          <w:rFonts w:hint="eastAsia" w:ascii="宋体" w:hAnsi="宋体" w:eastAsia="宋体" w:cs="宋体"/>
          <w:color w:val="auto"/>
          <w:sz w:val="24"/>
          <w:highlight w:val="none"/>
        </w:rPr>
      </w:pPr>
    </w:p>
    <w:p w14:paraId="18159345">
      <w:pPr>
        <w:spacing w:line="360" w:lineRule="auto"/>
        <w:rPr>
          <w:rFonts w:hint="eastAsia" w:ascii="宋体" w:hAnsi="宋体" w:eastAsia="宋体" w:cs="宋体"/>
          <w:color w:val="auto"/>
          <w:sz w:val="24"/>
          <w:highlight w:val="none"/>
        </w:rPr>
      </w:pPr>
    </w:p>
    <w:p w14:paraId="4E29E60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w:t>
      </w:r>
      <w:r>
        <w:rPr>
          <w:rFonts w:hint="eastAsia" w:ascii="宋体" w:hAnsi="宋体" w:eastAsia="宋体" w:cs="宋体"/>
          <w:color w:val="auto"/>
          <w:sz w:val="24"/>
          <w:highlight w:val="none"/>
          <w:lang w:eastAsia="zh-CN"/>
        </w:rPr>
        <w:t>竞标人</w:t>
      </w:r>
      <w:r>
        <w:rPr>
          <w:rFonts w:hint="eastAsia" w:ascii="宋体" w:hAnsi="宋体" w:eastAsia="宋体" w:cs="宋体"/>
          <w:color w:val="auto"/>
          <w:sz w:val="24"/>
          <w:highlight w:val="none"/>
        </w:rPr>
        <w:t>提供由省级以上监狱管理局、戒毒管理局（含新疆生产建设兵团）出具的属于监狱企业证明文件的，视同为小型和微型企业。</w:t>
      </w:r>
    </w:p>
    <w:p w14:paraId="1BA78127">
      <w:pPr>
        <w:spacing w:line="520" w:lineRule="exact"/>
        <w:jc w:val="center"/>
        <w:rPr>
          <w:rFonts w:hint="eastAsia" w:ascii="宋体" w:hAnsi="宋体" w:eastAsia="宋体" w:cs="宋体"/>
          <w:color w:val="auto"/>
          <w:sz w:val="24"/>
          <w:highlight w:val="none"/>
        </w:rPr>
      </w:pPr>
    </w:p>
    <w:p w14:paraId="17410532">
      <w:pPr>
        <w:rPr>
          <w:rFonts w:hint="eastAsia" w:ascii="宋体" w:hAnsi="宋体" w:eastAsia="宋体" w:cs="宋体"/>
          <w:color w:val="auto"/>
          <w:szCs w:val="21"/>
          <w:highlight w:val="none"/>
        </w:rPr>
      </w:pPr>
      <w:r>
        <w:rPr>
          <w:rFonts w:hint="eastAsia" w:ascii="宋体" w:hAnsi="宋体" w:eastAsia="宋体" w:cs="宋体"/>
          <w:b/>
          <w:bCs/>
          <w:color w:val="auto"/>
          <w:kern w:val="0"/>
          <w:sz w:val="28"/>
          <w:szCs w:val="28"/>
          <w:highlight w:val="none"/>
        </w:rPr>
        <w:br w:type="page"/>
      </w:r>
    </w:p>
    <w:p w14:paraId="61666F6F">
      <w:pPr>
        <w:pStyle w:val="2"/>
        <w:numPr>
          <w:ilvl w:val="0"/>
          <w:numId w:val="3"/>
        </w:numPr>
        <w:jc w:val="center"/>
        <w:rPr>
          <w:rFonts w:hint="eastAsia" w:ascii="宋体" w:hAnsi="宋体" w:eastAsia="宋体" w:cs="宋体"/>
          <w:b w:val="0"/>
          <w:bCs w:val="0"/>
          <w:color w:val="auto"/>
          <w:highlight w:val="none"/>
        </w:rPr>
      </w:pPr>
      <w:bookmarkStart w:id="57" w:name="_Toc9343"/>
      <w:bookmarkStart w:id="58" w:name="_Toc15154"/>
      <w:bookmarkStart w:id="59" w:name="_Toc24786"/>
      <w:bookmarkStart w:id="60" w:name="_Toc4005"/>
      <w:bookmarkStart w:id="61" w:name="_Toc12748"/>
      <w:r>
        <w:rPr>
          <w:rFonts w:hint="eastAsia" w:ascii="宋体" w:hAnsi="宋体" w:eastAsia="宋体" w:cs="宋体"/>
          <w:b w:val="0"/>
          <w:bCs w:val="0"/>
          <w:color w:val="auto"/>
          <w:highlight w:val="none"/>
        </w:rPr>
        <w:t xml:space="preserve"> </w:t>
      </w:r>
      <w:bookmarkStart w:id="62" w:name="_Toc13046"/>
      <w:r>
        <w:rPr>
          <w:rFonts w:hint="eastAsia" w:ascii="宋体" w:hAnsi="宋体" w:eastAsia="宋体" w:cs="宋体"/>
          <w:b w:val="0"/>
          <w:bCs w:val="0"/>
          <w:color w:val="auto"/>
          <w:highlight w:val="none"/>
        </w:rPr>
        <w:t>合同文本</w:t>
      </w:r>
      <w:bookmarkEnd w:id="57"/>
      <w:bookmarkEnd w:id="58"/>
      <w:bookmarkEnd w:id="59"/>
      <w:bookmarkEnd w:id="60"/>
      <w:bookmarkEnd w:id="62"/>
    </w:p>
    <w:bookmarkEnd w:id="61"/>
    <w:p w14:paraId="388555B7">
      <w:pPr>
        <w:widowControl/>
        <w:shd w:val="clear" w:color="auto" w:fill="FFFFFF"/>
        <w:spacing w:before="100" w:beforeAutospacing="1" w:after="100" w:afterAutospacing="1"/>
        <w:ind w:firstLine="360"/>
        <w:jc w:val="left"/>
        <w:rPr>
          <w:rFonts w:hint="eastAsia" w:ascii="宋体" w:hAnsi="宋体" w:eastAsia="宋体" w:cs="宋体"/>
          <w:b/>
          <w:bCs/>
          <w:color w:val="auto"/>
          <w:sz w:val="28"/>
          <w:szCs w:val="28"/>
          <w:highlight w:val="none"/>
          <w:u w:val="none"/>
          <w:lang w:val="en-US" w:eastAsia="zh-CN"/>
        </w:rPr>
      </w:pPr>
      <w:bookmarkStart w:id="63" w:name="_Toc19149"/>
      <w:bookmarkStart w:id="64" w:name="_Toc122424236"/>
      <w:bookmarkStart w:id="65" w:name="_Toc20394"/>
      <w:bookmarkStart w:id="66" w:name="_Toc122424485"/>
      <w:r>
        <w:rPr>
          <w:rFonts w:hint="eastAsia" w:ascii="宋体" w:hAnsi="宋体" w:eastAsia="宋体" w:cs="宋体"/>
          <w:b/>
          <w:bCs/>
          <w:color w:val="auto"/>
          <w:sz w:val="28"/>
          <w:szCs w:val="28"/>
          <w:highlight w:val="none"/>
          <w:u w:val="none"/>
          <w:lang w:eastAsia="zh-CN"/>
        </w:rPr>
        <w:t>“</w:t>
      </w:r>
      <w:r>
        <w:rPr>
          <w:rFonts w:hint="eastAsia" w:ascii="宋体" w:hAnsi="宋体" w:eastAsia="宋体" w:cs="宋体"/>
          <w:b/>
          <w:bCs/>
          <w:color w:val="auto"/>
          <w:sz w:val="28"/>
          <w:szCs w:val="28"/>
          <w:highlight w:val="none"/>
          <w:u w:val="none"/>
          <w:lang w:val="en-US" w:eastAsia="zh-CN"/>
        </w:rPr>
        <w:t>广西政府采购云平台”平台合同编号：</w:t>
      </w:r>
    </w:p>
    <w:p w14:paraId="4890D624">
      <w:pPr>
        <w:widowControl/>
        <w:shd w:val="clear" w:color="auto" w:fill="FFFFFF"/>
        <w:spacing w:before="100" w:beforeAutospacing="1" w:after="100" w:afterAutospacing="1"/>
        <w:ind w:firstLine="360"/>
        <w:jc w:val="center"/>
        <w:rPr>
          <w:rFonts w:hint="eastAsia" w:ascii="宋体" w:hAnsi="宋体" w:eastAsia="宋体" w:cs="宋体"/>
          <w:b/>
          <w:bCs/>
          <w:color w:val="auto"/>
          <w:sz w:val="52"/>
          <w:szCs w:val="52"/>
          <w:highlight w:val="none"/>
        </w:rPr>
      </w:pPr>
    </w:p>
    <w:p w14:paraId="38535E55">
      <w:pPr>
        <w:widowControl/>
        <w:shd w:val="clear" w:color="auto" w:fill="FFFFFF"/>
        <w:spacing w:before="100" w:beforeAutospacing="1" w:after="100" w:afterAutospacing="1"/>
        <w:ind w:firstLine="360"/>
        <w:jc w:val="center"/>
        <w:rPr>
          <w:rFonts w:hint="eastAsia" w:ascii="宋体" w:hAnsi="宋体" w:eastAsia="宋体" w:cs="宋体"/>
          <w:b/>
          <w:bCs/>
          <w:color w:val="auto"/>
          <w:sz w:val="52"/>
          <w:szCs w:val="52"/>
          <w:highlight w:val="none"/>
          <w:lang w:val="en-US"/>
        </w:rPr>
      </w:pPr>
      <w:r>
        <w:rPr>
          <w:rFonts w:hint="eastAsia" w:ascii="宋体" w:hAnsi="宋体" w:eastAsia="宋体" w:cs="宋体"/>
          <w:b/>
          <w:bCs/>
          <w:color w:val="auto"/>
          <w:sz w:val="52"/>
          <w:szCs w:val="52"/>
          <w:highlight w:val="none"/>
        </w:rPr>
        <w:t>南</w:t>
      </w:r>
      <w:r>
        <w:rPr>
          <w:rFonts w:hint="eastAsia" w:ascii="宋体" w:hAnsi="宋体" w:eastAsia="宋体" w:cs="宋体"/>
          <w:b/>
          <w:bCs/>
          <w:color w:val="auto"/>
          <w:sz w:val="52"/>
          <w:szCs w:val="52"/>
          <w:highlight w:val="none"/>
          <w:lang w:val="en-US" w:eastAsia="zh-CN"/>
        </w:rPr>
        <w:t xml:space="preserve"> </w:t>
      </w:r>
      <w:r>
        <w:rPr>
          <w:rFonts w:hint="eastAsia" w:ascii="宋体" w:hAnsi="宋体" w:eastAsia="宋体" w:cs="宋体"/>
          <w:b/>
          <w:bCs/>
          <w:color w:val="auto"/>
          <w:sz w:val="52"/>
          <w:szCs w:val="52"/>
          <w:highlight w:val="none"/>
        </w:rPr>
        <w:t>宁</w:t>
      </w:r>
      <w:r>
        <w:rPr>
          <w:rFonts w:hint="eastAsia" w:ascii="宋体" w:hAnsi="宋体" w:eastAsia="宋体" w:cs="宋体"/>
          <w:b/>
          <w:bCs/>
          <w:color w:val="auto"/>
          <w:sz w:val="52"/>
          <w:szCs w:val="52"/>
          <w:highlight w:val="none"/>
          <w:lang w:val="en-US" w:eastAsia="zh-CN"/>
        </w:rPr>
        <w:t xml:space="preserve"> </w:t>
      </w:r>
      <w:r>
        <w:rPr>
          <w:rFonts w:hint="eastAsia" w:ascii="宋体" w:hAnsi="宋体" w:eastAsia="宋体" w:cs="宋体"/>
          <w:b/>
          <w:bCs/>
          <w:color w:val="auto"/>
          <w:sz w:val="52"/>
          <w:szCs w:val="52"/>
          <w:highlight w:val="none"/>
        </w:rPr>
        <w:t>市</w:t>
      </w:r>
      <w:r>
        <w:rPr>
          <w:rFonts w:hint="eastAsia" w:ascii="宋体" w:hAnsi="宋体" w:eastAsia="宋体" w:cs="宋体"/>
          <w:b/>
          <w:bCs/>
          <w:color w:val="auto"/>
          <w:sz w:val="52"/>
          <w:szCs w:val="52"/>
          <w:highlight w:val="none"/>
          <w:lang w:val="en-US" w:eastAsia="zh-CN"/>
        </w:rPr>
        <w:t xml:space="preserve"> 政 府 采 购</w:t>
      </w:r>
    </w:p>
    <w:p w14:paraId="38666D38">
      <w:pPr>
        <w:spacing w:line="360" w:lineRule="auto"/>
        <w:jc w:val="center"/>
        <w:rPr>
          <w:rFonts w:hint="eastAsia" w:ascii="宋体" w:hAnsi="宋体" w:eastAsia="宋体" w:cs="宋体"/>
          <w:b/>
          <w:bCs/>
          <w:color w:val="auto"/>
          <w:sz w:val="44"/>
          <w:szCs w:val="44"/>
          <w:highlight w:val="none"/>
          <w:lang w:val="en-US" w:eastAsia="zh-CN"/>
        </w:rPr>
      </w:pPr>
    </w:p>
    <w:p w14:paraId="23EAD39C">
      <w:pPr>
        <w:spacing w:line="360" w:lineRule="auto"/>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u w:val="single"/>
          <w:lang w:val="en-US" w:eastAsia="zh-CN"/>
        </w:rPr>
        <w:t xml:space="preserve">                </w:t>
      </w:r>
      <w:r>
        <w:rPr>
          <w:rFonts w:hint="eastAsia" w:ascii="宋体" w:hAnsi="宋体" w:eastAsia="宋体" w:cs="宋体"/>
          <w:b/>
          <w:bCs/>
          <w:color w:val="auto"/>
          <w:sz w:val="44"/>
          <w:szCs w:val="44"/>
          <w:highlight w:val="none"/>
          <w:lang w:val="en-US" w:eastAsia="zh-CN"/>
        </w:rPr>
        <w:t>施工合同</w:t>
      </w:r>
    </w:p>
    <w:p w14:paraId="483DF03E">
      <w:pPr>
        <w:widowControl/>
        <w:shd w:val="clear" w:color="auto" w:fill="FFFFFF"/>
        <w:spacing w:before="100" w:beforeAutospacing="1" w:after="100" w:afterAutospacing="1"/>
        <w:ind w:firstLine="360"/>
        <w:jc w:val="center"/>
        <w:rPr>
          <w:rFonts w:hint="eastAsia" w:ascii="宋体" w:hAnsi="宋体" w:eastAsia="宋体" w:cs="宋体"/>
          <w:b/>
          <w:bCs/>
          <w:color w:val="auto"/>
          <w:sz w:val="32"/>
          <w:szCs w:val="32"/>
          <w:highlight w:val="none"/>
          <w:lang w:val="en-US" w:eastAsia="zh-CN"/>
        </w:rPr>
      </w:pPr>
    </w:p>
    <w:p w14:paraId="2D11112E">
      <w:pPr>
        <w:widowControl/>
        <w:shd w:val="clear" w:color="auto" w:fill="FFFFFF"/>
        <w:spacing w:before="100" w:beforeAutospacing="1" w:after="100" w:afterAutospacing="1"/>
        <w:ind w:firstLine="360"/>
        <w:jc w:val="center"/>
        <w:rPr>
          <w:rFonts w:hint="eastAsia" w:ascii="宋体" w:hAnsi="宋体" w:eastAsia="宋体" w:cs="宋体"/>
          <w:b/>
          <w:bCs/>
          <w:color w:val="auto"/>
          <w:sz w:val="32"/>
          <w:szCs w:val="32"/>
          <w:highlight w:val="none"/>
          <w:lang w:val="en-US" w:eastAsia="zh-CN"/>
        </w:rPr>
      </w:pPr>
    </w:p>
    <w:p w14:paraId="3F93343B">
      <w:pPr>
        <w:widowControl/>
        <w:shd w:val="clear" w:color="auto" w:fill="FFFFFF"/>
        <w:spacing w:before="100" w:beforeAutospacing="1" w:after="100" w:afterAutospacing="1"/>
        <w:ind w:firstLine="1690" w:firstLineChars="526"/>
        <w:jc w:val="both"/>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采购项目编号：</w:t>
      </w:r>
      <w:r>
        <w:rPr>
          <w:rFonts w:hint="eastAsia" w:ascii="宋体" w:hAnsi="宋体" w:cs="宋体"/>
          <w:b/>
          <w:bCs/>
          <w:color w:val="auto"/>
          <w:sz w:val="32"/>
          <w:szCs w:val="32"/>
          <w:highlight w:val="none"/>
          <w:u w:val="single"/>
          <w:lang w:val="en-US" w:eastAsia="zh-CN"/>
        </w:rPr>
        <w:t>NNZC2026-C2-070017-GQZX</w:t>
      </w:r>
    </w:p>
    <w:p w14:paraId="63A51B4E">
      <w:pPr>
        <w:widowControl/>
        <w:shd w:val="clear" w:color="auto" w:fill="FFFFFF"/>
        <w:spacing w:before="100" w:beforeAutospacing="1" w:after="100" w:afterAutospacing="1"/>
        <w:ind w:firstLine="1606" w:firstLineChars="500"/>
        <w:jc w:val="left"/>
        <w:rPr>
          <w:rFonts w:hint="default" w:ascii="宋体" w:hAnsi="宋体" w:eastAsia="宋体" w:cs="宋体"/>
          <w:color w:val="auto"/>
          <w:sz w:val="32"/>
          <w:szCs w:val="32"/>
          <w:highlight w:val="none"/>
          <w:lang w:val="en-US"/>
        </w:rPr>
      </w:pPr>
      <w:r>
        <w:rPr>
          <w:rFonts w:hint="eastAsia" w:ascii="宋体" w:hAnsi="宋体" w:eastAsia="宋体" w:cs="宋体"/>
          <w:b/>
          <w:bCs/>
          <w:color w:val="auto"/>
          <w:sz w:val="32"/>
          <w:szCs w:val="32"/>
          <w:highlight w:val="none"/>
          <w:lang w:val="en-US" w:eastAsia="zh-CN"/>
        </w:rPr>
        <w:t>采购计划编号：</w:t>
      </w:r>
      <w:r>
        <w:rPr>
          <w:rFonts w:hint="eastAsia" w:ascii="宋体" w:hAnsi="宋体" w:cs="宋体"/>
          <w:b/>
          <w:bCs/>
          <w:color w:val="auto"/>
          <w:sz w:val="32"/>
          <w:szCs w:val="32"/>
          <w:highlight w:val="none"/>
          <w:u w:val="single"/>
          <w:lang w:val="en-US" w:eastAsia="zh-CN"/>
        </w:rPr>
        <w:t xml:space="preserve"> XXTZC[2026]799号</w:t>
      </w:r>
    </w:p>
    <w:p w14:paraId="4E42FE70">
      <w:pPr>
        <w:widowControl/>
        <w:shd w:val="clear" w:color="auto" w:fill="FFFFFF"/>
        <w:spacing w:before="100" w:beforeAutospacing="1" w:after="100" w:afterAutospacing="1"/>
        <w:ind w:firstLine="140"/>
        <w:rPr>
          <w:rFonts w:hint="eastAsia" w:ascii="宋体" w:hAnsi="宋体" w:eastAsia="宋体" w:cs="宋体"/>
          <w:color w:val="auto"/>
          <w:sz w:val="32"/>
          <w:szCs w:val="32"/>
          <w:highlight w:val="none"/>
        </w:rPr>
      </w:pPr>
    </w:p>
    <w:p w14:paraId="3EAA30CC">
      <w:pPr>
        <w:widowControl/>
        <w:shd w:val="clear" w:color="auto" w:fill="FFFFFF"/>
        <w:spacing w:before="100" w:beforeAutospacing="1" w:after="100" w:afterAutospacing="1"/>
        <w:ind w:firstLine="140"/>
        <w:rPr>
          <w:rFonts w:hint="eastAsia" w:ascii="宋体" w:hAnsi="宋体" w:eastAsia="宋体" w:cs="宋体"/>
          <w:color w:val="auto"/>
          <w:sz w:val="32"/>
          <w:szCs w:val="32"/>
          <w:highlight w:val="none"/>
        </w:rPr>
      </w:pPr>
    </w:p>
    <w:p w14:paraId="04F533BD">
      <w:pPr>
        <w:widowControl/>
        <w:shd w:val="clear" w:color="auto" w:fill="FFFFFF"/>
        <w:spacing w:before="100" w:beforeAutospacing="1" w:after="100" w:afterAutospacing="1"/>
        <w:ind w:firstLine="14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w:t>
      </w:r>
    </w:p>
    <w:p w14:paraId="3AA653E5">
      <w:pPr>
        <w:widowControl/>
        <w:shd w:val="clear" w:color="auto" w:fill="FFFFFF"/>
        <w:spacing w:before="100" w:beforeAutospacing="1" w:after="100" w:afterAutospacing="1"/>
        <w:ind w:left="745" w:leftChars="50" w:hanging="640" w:hangingChars="200"/>
        <w:rPr>
          <w:rFonts w:hint="eastAsia" w:ascii="宋体" w:hAnsi="宋体" w:eastAsia="宋体" w:cs="宋体"/>
          <w:b w:val="0"/>
          <w:bCs w:val="0"/>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 xml:space="preserve"> </w:t>
      </w:r>
      <w:r>
        <w:rPr>
          <w:rFonts w:hint="eastAsia" w:ascii="宋体" w:hAnsi="宋体" w:eastAsia="宋体" w:cs="宋体"/>
          <w:b w:val="0"/>
          <w:bCs w:val="0"/>
          <w:color w:val="auto"/>
          <w:sz w:val="32"/>
          <w:szCs w:val="32"/>
          <w:highlight w:val="none"/>
          <w:lang w:val="en-US" w:eastAsia="zh-CN"/>
        </w:rPr>
        <w:t>采  购  人</w:t>
      </w:r>
      <w:r>
        <w:rPr>
          <w:rFonts w:hint="eastAsia" w:ascii="宋体" w:hAnsi="宋体" w:eastAsia="宋体" w:cs="宋体"/>
          <w:b w:val="0"/>
          <w:bCs w:val="0"/>
          <w:color w:val="auto"/>
          <w:sz w:val="32"/>
          <w:szCs w:val="32"/>
          <w:highlight w:val="none"/>
        </w:rPr>
        <w:t>：</w:t>
      </w:r>
      <w:r>
        <w:rPr>
          <w:rFonts w:hint="eastAsia" w:ascii="宋体" w:hAnsi="宋体" w:eastAsia="宋体" w:cs="宋体"/>
          <w:b w:val="0"/>
          <w:bCs w:val="0"/>
          <w:color w:val="auto"/>
          <w:sz w:val="32"/>
          <w:szCs w:val="32"/>
          <w:highlight w:val="none"/>
          <w:u w:val="single"/>
        </w:rPr>
        <w:t xml:space="preserve"> </w:t>
      </w:r>
      <w:r>
        <w:rPr>
          <w:rFonts w:hint="eastAsia" w:ascii="宋体" w:hAnsi="宋体" w:cs="宋体"/>
          <w:b w:val="0"/>
          <w:bCs w:val="0"/>
          <w:color w:val="auto"/>
          <w:sz w:val="32"/>
          <w:szCs w:val="32"/>
          <w:highlight w:val="none"/>
          <w:u w:val="single"/>
          <w:lang w:val="en-US" w:eastAsia="zh-CN"/>
        </w:rPr>
        <w:t>南宁市明天学校</w:t>
      </w:r>
      <w:r>
        <w:rPr>
          <w:rFonts w:hint="eastAsia" w:ascii="宋体" w:hAnsi="宋体" w:eastAsia="宋体" w:cs="宋体"/>
          <w:b w:val="0"/>
          <w:bCs w:val="0"/>
          <w:color w:val="auto"/>
          <w:sz w:val="32"/>
          <w:szCs w:val="32"/>
          <w:highlight w:val="none"/>
          <w:u w:val="single"/>
        </w:rPr>
        <w:t xml:space="preserve"> </w:t>
      </w:r>
      <w:r>
        <w:rPr>
          <w:rFonts w:hint="eastAsia" w:ascii="宋体" w:hAnsi="宋体" w:eastAsia="宋体" w:cs="宋体"/>
          <w:b w:val="0"/>
          <w:bCs w:val="0"/>
          <w:color w:val="auto"/>
          <w:sz w:val="32"/>
          <w:szCs w:val="32"/>
          <w:highlight w:val="none"/>
        </w:rPr>
        <w:t xml:space="preserve"> </w:t>
      </w:r>
    </w:p>
    <w:p w14:paraId="3552C78B">
      <w:pPr>
        <w:widowControl/>
        <w:shd w:val="clear" w:color="auto" w:fill="FFFFFF"/>
        <w:spacing w:before="100" w:beforeAutospacing="1" w:after="100" w:afterAutospacing="1"/>
        <w:ind w:firstLine="1747" w:firstLineChars="546"/>
        <w:rPr>
          <w:rFonts w:hint="eastAsia" w:ascii="宋体" w:hAnsi="宋体" w:eastAsia="宋体" w:cs="宋体"/>
          <w:color w:val="auto"/>
          <w:sz w:val="32"/>
          <w:szCs w:val="32"/>
          <w:highlight w:val="none"/>
          <w:u w:val="single"/>
        </w:rPr>
      </w:pPr>
      <w:r>
        <w:rPr>
          <w:rFonts w:hint="eastAsia" w:ascii="宋体" w:hAnsi="宋体" w:eastAsia="宋体" w:cs="宋体"/>
          <w:b w:val="0"/>
          <w:bCs w:val="0"/>
          <w:color w:val="auto"/>
          <w:sz w:val="32"/>
          <w:szCs w:val="32"/>
          <w:highlight w:val="none"/>
          <w:lang w:val="en-US" w:eastAsia="zh-CN"/>
        </w:rPr>
        <w:t>成交供应商</w:t>
      </w:r>
      <w:r>
        <w:rPr>
          <w:rFonts w:hint="eastAsia" w:ascii="宋体" w:hAnsi="宋体" w:eastAsia="宋体" w:cs="宋体"/>
          <w:b w:val="0"/>
          <w:bCs w:val="0"/>
          <w:color w:val="auto"/>
          <w:sz w:val="32"/>
          <w:szCs w:val="32"/>
          <w:highlight w:val="none"/>
        </w:rPr>
        <w:t>：</w:t>
      </w:r>
      <w:r>
        <w:rPr>
          <w:rFonts w:hint="eastAsia" w:ascii="宋体" w:hAnsi="宋体" w:eastAsia="宋体" w:cs="宋体"/>
          <w:b w:val="0"/>
          <w:bCs w:val="0"/>
          <w:color w:val="auto"/>
          <w:sz w:val="32"/>
          <w:szCs w:val="32"/>
          <w:highlight w:val="none"/>
          <w:u w:val="single"/>
        </w:rPr>
        <w:t xml:space="preserve">   </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u w:val="single"/>
        </w:rPr>
        <w:t xml:space="preserve">   </w:t>
      </w:r>
    </w:p>
    <w:p w14:paraId="39EDCF42">
      <w:pPr>
        <w:widowControl/>
        <w:shd w:val="clear" w:color="auto" w:fill="FFFFFF"/>
        <w:spacing w:before="100" w:beforeAutospacing="1" w:after="100" w:afterAutospacing="1"/>
        <w:ind w:firstLine="694"/>
        <w:rPr>
          <w:rFonts w:hint="eastAsia" w:ascii="宋体" w:hAnsi="宋体" w:eastAsia="宋体" w:cs="宋体"/>
          <w:color w:val="auto"/>
          <w:highlight w:val="none"/>
        </w:rPr>
      </w:pPr>
      <w:r>
        <w:rPr>
          <w:rFonts w:hint="eastAsia" w:ascii="宋体" w:hAnsi="宋体" w:eastAsia="宋体" w:cs="宋体"/>
          <w:color w:val="auto"/>
          <w:sz w:val="27"/>
          <w:szCs w:val="27"/>
          <w:highlight w:val="none"/>
        </w:rPr>
        <w:br w:type="page"/>
      </w:r>
    </w:p>
    <w:p w14:paraId="6D12CBE2">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依照《</w:t>
      </w:r>
      <w:r>
        <w:rPr>
          <w:rFonts w:hint="eastAsia" w:ascii="宋体" w:hAnsi="宋体" w:eastAsia="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》及有关建筑工程的法律规定条款，遵循平等、自愿、公平和诚信的原则，经双方协商一致，就本工程施工事项签订本合同。</w:t>
      </w:r>
    </w:p>
    <w:p w14:paraId="440C8BC1">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一、工程概况</w:t>
      </w:r>
    </w:p>
    <w:p w14:paraId="107D9261">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工程名称：</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lang w:eastAsia="zh-CN"/>
        </w:rPr>
        <w:t>南宁市明天学校足球场改造工程</w:t>
      </w:r>
      <w:r>
        <w:rPr>
          <w:rFonts w:hint="eastAsia" w:ascii="宋体" w:hAnsi="宋体" w:eastAsia="宋体" w:cs="宋体"/>
          <w:b w:val="0"/>
          <w:bCs w:val="0"/>
          <w:color w:val="auto"/>
          <w:sz w:val="24"/>
          <w:szCs w:val="24"/>
          <w:highlight w:val="none"/>
          <w:u w:val="single"/>
          <w:lang w:val="en-US" w:eastAsia="zh-CN"/>
        </w:rPr>
        <w:t xml:space="preserve"> </w:t>
      </w:r>
    </w:p>
    <w:p w14:paraId="28531246">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5A85190">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C60E4E6">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二、承包范围及承包方式</w:t>
      </w:r>
    </w:p>
    <w:p w14:paraId="71FD019E">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1．承包范围：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39928C38">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2．承包方式：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包工包料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3C175FEC">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三、合同期限：</w:t>
      </w:r>
    </w:p>
    <w:p w14:paraId="041559C1">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开工日期：        年     月      日（确切开工日期以双方商定日为准）</w:t>
      </w:r>
    </w:p>
    <w:p w14:paraId="4C9B5015">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竣工日期：        年     月      日</w:t>
      </w:r>
    </w:p>
    <w:p w14:paraId="00D2F810">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合同工期：        日历天数。</w:t>
      </w:r>
    </w:p>
    <w:p w14:paraId="5A72027B">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四、质量标准</w:t>
      </w:r>
    </w:p>
    <w:p w14:paraId="364E8449">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符合国家现行建设工程施工质量评定标准和施工技术规范验收标准。承包方施工质量达不到合格时应无条件返工，由此产生的一切费用由承包人承担。</w:t>
      </w:r>
    </w:p>
    <w:p w14:paraId="31AEA339">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五、安全施工</w:t>
      </w:r>
    </w:p>
    <w:p w14:paraId="089AF492">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1．承包方应遵守工程建设安全生产有关管理规定，严格按安全标准组织施工，采用必要的安全防护措施，消除事故隐患。</w:t>
      </w:r>
    </w:p>
    <w:p w14:paraId="0806B234">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2．承包人应设立安全员对工作人员进行安全教育，对施工现场和过程进行监督检查，确保施工安全。如果在施工过程中发生安全或意外事故，一切责任由承包人承担，与发包人无关。</w:t>
      </w:r>
    </w:p>
    <w:p w14:paraId="5FA12EE3">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六、合同价款与支付</w:t>
      </w:r>
    </w:p>
    <w:p w14:paraId="0E0FBED2">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（一）合同价款</w:t>
      </w:r>
    </w:p>
    <w:p w14:paraId="048D12CB">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.签约合同价为：</w:t>
      </w:r>
    </w:p>
    <w:p w14:paraId="52EF8A93">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大写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元）</w:t>
      </w:r>
    </w:p>
    <w:p w14:paraId="2B306C4C">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val="en-US" w:eastAsia="zh-CN"/>
        </w:rPr>
        <w:t>合同价格形式：</w:t>
      </w:r>
      <w:r>
        <w:rPr>
          <w:rFonts w:hint="eastAsia" w:ascii="宋体" w:hAnsi="宋体" w:eastAsia="宋体" w:cs="宋体"/>
          <w:color w:val="auto"/>
          <w:sz w:val="24"/>
          <w:szCs w:val="24"/>
          <w:highlight w:val="none"/>
          <w:u w:val="single"/>
          <w:lang w:val="en-US" w:eastAsia="zh-CN"/>
        </w:rPr>
        <w:t xml:space="preserve"> 固定综合单价 </w:t>
      </w:r>
      <w:r>
        <w:rPr>
          <w:rFonts w:hint="eastAsia" w:ascii="宋体" w:hAnsi="宋体" w:eastAsia="宋体" w:cs="宋体"/>
          <w:color w:val="auto"/>
          <w:sz w:val="24"/>
          <w:szCs w:val="24"/>
          <w:highlight w:val="none"/>
        </w:rPr>
        <w:t>。</w:t>
      </w:r>
    </w:p>
    <w:p w14:paraId="1F49B43E">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结算工程量以双方验收的实际完成工程量为准，该工程有施工内容或工程量变化的，必须事先经发包人同意，由发包人和承包人、监理方按《南宁市西乡塘区人民政府办公室关于加强政府投资项目工程变更管理的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西府办〔2024〕2号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执行，未批复前不能擅自变更。</w:t>
      </w:r>
    </w:p>
    <w:p w14:paraId="020FE16E">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工程竣工结算文件经发承包双方签字确认，工程竣工结算由承包人编制，由发包人委托西乡塘区</w:t>
      </w:r>
      <w:r>
        <w:rPr>
          <w:rFonts w:hint="eastAsia" w:ascii="宋体" w:hAnsi="宋体" w:cs="宋体"/>
          <w:color w:val="auto"/>
          <w:sz w:val="24"/>
          <w:szCs w:val="24"/>
          <w:highlight w:val="none"/>
          <w:lang w:eastAsia="zh-CN"/>
        </w:rPr>
        <w:t>财政</w:t>
      </w:r>
      <w:r>
        <w:rPr>
          <w:rFonts w:hint="eastAsia" w:ascii="宋体" w:hAnsi="宋体" w:eastAsia="宋体" w:cs="宋体"/>
          <w:color w:val="auto"/>
          <w:sz w:val="24"/>
          <w:szCs w:val="24"/>
          <w:highlight w:val="none"/>
        </w:rPr>
        <w:t>局定点的具有相应资质的工程造价咨询机构审核，审核结论与承包人竣工结算文件不一致的，应该提交给承包人复核，承包人应在规定期限内将同意审核结论或不同意见的说明提交工程造价咨询机构，复核后仍有异议的，一个月内，可以向有关工程造价管理机构申请调解。</w:t>
      </w:r>
    </w:p>
    <w:p w14:paraId="6E6C1850">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．如承包人报送的工程结算总价过高，造成该结算审减率（审减率=(送审造价-审定造价)/送审造价×100%）超过8%以上的，则全额的审核费由承包人支付；审减率小于或等于8%时，全额的审核费由发包人支付。</w:t>
      </w:r>
    </w:p>
    <w:p w14:paraId="71A528AC">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（二）工程款支付方式：</w:t>
      </w:r>
    </w:p>
    <w:p w14:paraId="66154686">
      <w:pPr>
        <w:keepNext w:val="0"/>
        <w:keepLines w:val="0"/>
        <w:pageBreakBefore w:val="0"/>
        <w:kinsoku/>
        <w:wordWrap/>
        <w:overflowPunct/>
        <w:topLinePunct w:val="0"/>
        <w:autoSpaceDE w:val="0"/>
        <w:autoSpaceDN w:val="0"/>
        <w:bidi w:val="0"/>
        <w:adjustRightInd w:val="0"/>
        <w:snapToGrid w:val="0"/>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双方约定的工程款（进度款）的支付方式：工程进度款按</w:t>
      </w:r>
      <w:r>
        <w:rPr>
          <w:rFonts w:hint="eastAsia" w:ascii="宋体" w:hAnsi="宋体" w:eastAsia="宋体" w:cs="宋体"/>
          <w:color w:val="auto"/>
          <w:sz w:val="24"/>
          <w:szCs w:val="24"/>
          <w:highlight w:val="none"/>
          <w:lang w:val="en-US" w:eastAsia="zh-CN"/>
        </w:rPr>
        <w:t>进度申请</w:t>
      </w:r>
      <w:r>
        <w:rPr>
          <w:rFonts w:hint="eastAsia" w:ascii="宋体" w:hAnsi="宋体" w:eastAsia="宋体" w:cs="宋体"/>
          <w:color w:val="auto"/>
          <w:sz w:val="24"/>
          <w:szCs w:val="24"/>
          <w:highlight w:val="none"/>
        </w:rPr>
        <w:t>支付，合同价款内的进度款支付额为当</w:t>
      </w:r>
      <w:r>
        <w:rPr>
          <w:rFonts w:hint="eastAsia" w:ascii="宋体" w:hAnsi="宋体" w:eastAsia="宋体" w:cs="宋体"/>
          <w:color w:val="auto"/>
          <w:sz w:val="24"/>
          <w:szCs w:val="24"/>
          <w:highlight w:val="none"/>
          <w:lang w:val="en-US" w:eastAsia="zh-CN"/>
        </w:rPr>
        <w:t>期</w:t>
      </w:r>
      <w:r>
        <w:rPr>
          <w:rFonts w:hint="eastAsia" w:ascii="宋体" w:hAnsi="宋体" w:eastAsia="宋体" w:cs="宋体"/>
          <w:color w:val="auto"/>
          <w:sz w:val="24"/>
          <w:szCs w:val="24"/>
          <w:highlight w:val="none"/>
        </w:rPr>
        <w:t>实际完成工程量价款的80%，发包人在每</w:t>
      </w:r>
      <w:r>
        <w:rPr>
          <w:rFonts w:hint="eastAsia" w:ascii="宋体" w:hAnsi="宋体" w:eastAsia="宋体" w:cs="宋体"/>
          <w:color w:val="auto"/>
          <w:sz w:val="24"/>
          <w:szCs w:val="24"/>
          <w:highlight w:val="none"/>
          <w:lang w:val="en-US" w:eastAsia="zh-CN"/>
        </w:rPr>
        <w:t>期</w:t>
      </w:r>
      <w:r>
        <w:rPr>
          <w:rFonts w:hint="eastAsia" w:ascii="宋体" w:hAnsi="宋体" w:eastAsia="宋体" w:cs="宋体"/>
          <w:color w:val="auto"/>
          <w:sz w:val="24"/>
          <w:szCs w:val="24"/>
          <w:highlight w:val="none"/>
        </w:rPr>
        <w:t>已完成的工程价款中扣留20%作为保留金，保留金限额为合同价款的20%。合同价款外的进度款支付额为当</w:t>
      </w:r>
      <w:r>
        <w:rPr>
          <w:rFonts w:hint="eastAsia" w:ascii="宋体" w:hAnsi="宋体" w:eastAsia="宋体" w:cs="宋体"/>
          <w:color w:val="auto"/>
          <w:sz w:val="24"/>
          <w:szCs w:val="24"/>
          <w:highlight w:val="none"/>
          <w:lang w:val="en-US" w:eastAsia="zh-CN"/>
        </w:rPr>
        <w:t>期</w:t>
      </w:r>
      <w:r>
        <w:rPr>
          <w:rFonts w:hint="eastAsia" w:ascii="宋体" w:hAnsi="宋体" w:eastAsia="宋体" w:cs="宋体"/>
          <w:color w:val="auto"/>
          <w:sz w:val="24"/>
          <w:szCs w:val="24"/>
          <w:highlight w:val="none"/>
        </w:rPr>
        <w:t>实际完成工程量价款的60%。工程竣工结算经审核后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工程款支付至97%。</w:t>
      </w:r>
    </w:p>
    <w:p w14:paraId="7CD1B4A4">
      <w:pPr>
        <w:keepNext w:val="0"/>
        <w:keepLines w:val="0"/>
        <w:pageBreakBefore w:val="0"/>
        <w:kinsoku/>
        <w:wordWrap/>
        <w:overflowPunct/>
        <w:topLinePunct w:val="0"/>
        <w:autoSpaceDE w:val="0"/>
        <w:autoSpaceDN w:val="0"/>
        <w:bidi w:val="0"/>
        <w:adjustRightInd w:val="0"/>
        <w:snapToGrid w:val="0"/>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建设单位按工程价款的3%作为工程质量保修金，待工程质量保修期满后无息返还给施工单位。</w:t>
      </w:r>
    </w:p>
    <w:p w14:paraId="541FAF4B">
      <w:pPr>
        <w:pStyle w:val="116"/>
        <w:keepNext w:val="0"/>
        <w:keepLines w:val="0"/>
        <w:pageBreakBefore w:val="0"/>
        <w:kinsoku/>
        <w:wordWrap/>
        <w:overflowPunct/>
        <w:topLinePunct w:val="0"/>
        <w:bidi w:val="0"/>
        <w:spacing w:beforeAutospacing="0" w:afterAutospacing="0" w:line="4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工程竣工验收合格，结算金额经城区</w:t>
      </w:r>
      <w:r>
        <w:rPr>
          <w:rFonts w:hint="eastAsia" w:ascii="宋体" w:hAnsi="宋体" w:cs="宋体"/>
          <w:color w:val="auto"/>
          <w:sz w:val="24"/>
          <w:szCs w:val="24"/>
          <w:highlight w:val="none"/>
          <w:lang w:eastAsia="zh-CN"/>
        </w:rPr>
        <w:t>财政</w:t>
      </w:r>
      <w:r>
        <w:rPr>
          <w:rFonts w:hint="eastAsia" w:ascii="宋体" w:hAnsi="宋体" w:eastAsia="宋体" w:cs="宋体"/>
          <w:color w:val="auto"/>
          <w:sz w:val="24"/>
          <w:szCs w:val="24"/>
          <w:highlight w:val="none"/>
        </w:rPr>
        <w:t>部门对审核结论提出审核意见后，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15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个工作日内，付97%的工程款，余下3%的工程款的在质保期满后（具体已按照签订的工程质量保修书）后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15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个工作日内付清给承包人。</w:t>
      </w:r>
    </w:p>
    <w:p w14:paraId="74D2F9EC">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七、双方责任</w:t>
      </w:r>
    </w:p>
    <w:p w14:paraId="09871B13">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1．发包人工作</w:t>
      </w:r>
    </w:p>
    <w:p w14:paraId="149F303B">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（1）负责办理施工所需的证件、批文。</w:t>
      </w:r>
    </w:p>
    <w:p w14:paraId="12B4CA03">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（2）提供施工用水、用电的连接点及场地。</w:t>
      </w:r>
    </w:p>
    <w:p w14:paraId="151D82A9">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2．承包人工作</w:t>
      </w:r>
    </w:p>
    <w:p w14:paraId="7FB41C30">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（1）按施工图纸所列的内容。</w:t>
      </w:r>
    </w:p>
    <w:p w14:paraId="5926137F">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（2）按国家现行标准施工规范要求，再约定时间内完成所约定的工作内容。</w:t>
      </w:r>
    </w:p>
    <w:p w14:paraId="23D312E3">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八、违约责任</w:t>
      </w:r>
    </w:p>
    <w:p w14:paraId="6A72C96E">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1．本合同第三条、第四条约定承包人违约应承担的违约责任，每延误一天，按合同价款的万分之四支付违约金（由于发包人的原因引起的除外）。</w:t>
      </w:r>
    </w:p>
    <w:p w14:paraId="4D1CC988">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九、本合同条款未尽事宜，双方参照《</w:t>
      </w:r>
      <w:r>
        <w:rPr>
          <w:rFonts w:hint="eastAsia" w:ascii="宋体" w:hAnsi="宋体" w:eastAsia="宋体" w:cs="宋体"/>
          <w:b w:val="0"/>
          <w:bCs/>
          <w:color w:val="auto"/>
          <w:sz w:val="24"/>
          <w:szCs w:val="24"/>
          <w:highlight w:val="none"/>
          <w:lang w:eastAsia="zh-CN"/>
        </w:rPr>
        <w:t>中华人民共和国民法典</w:t>
      </w:r>
      <w:r>
        <w:rPr>
          <w:rFonts w:hint="eastAsia" w:ascii="宋体" w:hAnsi="宋体" w:eastAsia="宋体" w:cs="宋体"/>
          <w:b w:val="0"/>
          <w:bCs/>
          <w:color w:val="auto"/>
          <w:sz w:val="24"/>
          <w:szCs w:val="24"/>
          <w:highlight w:val="none"/>
        </w:rPr>
        <w:t>》协商解决。</w:t>
      </w:r>
    </w:p>
    <w:p w14:paraId="13AE83C5">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十、履行本合同过程中，如发生争议，由双方协商不成，由合同订立地有管辖权的人民法院裁决。</w:t>
      </w:r>
    </w:p>
    <w:p w14:paraId="3450FAA2">
      <w:pPr>
        <w:keepNext w:val="0"/>
        <w:keepLines w:val="0"/>
        <w:pageBreakBefore w:val="0"/>
        <w:widowControl/>
        <w:shd w:val="clear" w:color="auto" w:fill="FFFFFF"/>
        <w:kinsoku/>
        <w:wordWrap/>
        <w:overflowPunct/>
        <w:topLinePunct w:val="0"/>
        <w:bidi w:val="0"/>
        <w:spacing w:beforeAutospacing="0" w:afterAutospacing="0" w:line="400" w:lineRule="exact"/>
        <w:ind w:firstLine="57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十一、本合同一式肆份，双方各执壹份，自双方法定代表或委托代理人签字并加盖法人章后生效。</w:t>
      </w:r>
    </w:p>
    <w:p w14:paraId="43FC65C9">
      <w:pPr>
        <w:keepNext w:val="0"/>
        <w:keepLines w:val="0"/>
        <w:pageBreakBefore w:val="0"/>
        <w:widowControl/>
        <w:shd w:val="clear" w:color="auto" w:fill="FFFFFF"/>
        <w:kinsoku/>
        <w:wordWrap/>
        <w:overflowPunct/>
        <w:topLinePunct w:val="0"/>
        <w:bidi w:val="0"/>
        <w:spacing w:beforeAutospacing="0" w:afterAutospacing="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0E3B0C29">
      <w:pPr>
        <w:keepNext w:val="0"/>
        <w:keepLines w:val="0"/>
        <w:pageBreakBefore w:val="0"/>
        <w:widowControl/>
        <w:shd w:val="clear" w:color="auto" w:fill="FFFFFF"/>
        <w:kinsoku/>
        <w:wordWrap/>
        <w:overflowPunct/>
        <w:topLinePunct w:val="0"/>
        <w:bidi w:val="0"/>
        <w:spacing w:beforeAutospacing="0" w:afterAutospacing="0" w:line="400" w:lineRule="exact"/>
        <w:ind w:left="7741" w:hanging="7741"/>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发包人：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南宁市明天学校</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承包人：</w:t>
      </w:r>
      <w:r>
        <w:rPr>
          <w:rFonts w:hint="eastAsia" w:ascii="宋体" w:hAnsi="宋体" w:eastAsia="宋体" w:cs="宋体"/>
          <w:color w:val="auto"/>
          <w:sz w:val="24"/>
          <w:szCs w:val="24"/>
          <w:highlight w:val="none"/>
          <w:u w:val="single"/>
          <w:lang w:val="en-US" w:eastAsia="zh-CN"/>
        </w:rPr>
        <w:t xml:space="preserve">                        </w:t>
      </w:r>
    </w:p>
    <w:p w14:paraId="495332D3">
      <w:pPr>
        <w:keepNext w:val="0"/>
        <w:keepLines w:val="0"/>
        <w:pageBreakBefore w:val="0"/>
        <w:widowControl/>
        <w:shd w:val="clear" w:color="auto" w:fill="FFFFFF"/>
        <w:kinsoku/>
        <w:wordWrap/>
        <w:overflowPunct/>
        <w:topLinePunct w:val="0"/>
        <w:bidi w:val="0"/>
        <w:spacing w:beforeAutospacing="0" w:afterAutospacing="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490DA1EC">
      <w:pPr>
        <w:keepNext w:val="0"/>
        <w:keepLines w:val="0"/>
        <w:pageBreakBefore w:val="0"/>
        <w:widowControl/>
        <w:shd w:val="clear" w:color="auto" w:fill="FFFFFF"/>
        <w:kinsoku/>
        <w:wordWrap/>
        <w:overflowPunct/>
        <w:topLinePunct w:val="0"/>
        <w:bidi w:val="0"/>
        <w:spacing w:beforeAutospacing="0" w:afterAutospacing="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法人代表（委托代理人）：        法定代表（委托代理人）：</w:t>
      </w:r>
    </w:p>
    <w:p w14:paraId="4BE29FE4">
      <w:pPr>
        <w:keepNext w:val="0"/>
        <w:keepLines w:val="0"/>
        <w:pageBreakBefore w:val="0"/>
        <w:widowControl/>
        <w:shd w:val="clear" w:color="auto" w:fill="FFFFFF"/>
        <w:kinsoku/>
        <w:wordWrap/>
        <w:overflowPunct/>
        <w:topLinePunct w:val="0"/>
        <w:bidi w:val="0"/>
        <w:spacing w:beforeAutospacing="0" w:afterAutospacing="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    年  月   日</w:t>
      </w:r>
    </w:p>
    <w:p w14:paraId="741ACB51">
      <w:pPr>
        <w:pStyle w:val="116"/>
        <w:keepNext w:val="0"/>
        <w:keepLines w:val="0"/>
        <w:pageBreakBefore w:val="0"/>
        <w:kinsoku/>
        <w:wordWrap/>
        <w:overflowPunct/>
        <w:topLinePunct w:val="0"/>
        <w:bidi w:val="0"/>
        <w:spacing w:beforeAutospacing="0" w:afterAutospacing="0" w:line="400" w:lineRule="exact"/>
        <w:jc w:val="left"/>
        <w:textAlignment w:val="auto"/>
        <w:rPr>
          <w:rFonts w:hint="eastAsia" w:ascii="宋体" w:hAnsi="宋体" w:eastAsia="宋体" w:cs="宋体"/>
          <w:color w:val="auto"/>
          <w:sz w:val="24"/>
          <w:szCs w:val="24"/>
          <w:highlight w:val="none"/>
        </w:rPr>
      </w:pPr>
    </w:p>
    <w:p w14:paraId="3A7370A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D86DDC2">
      <w:pPr>
        <w:pStyle w:val="116"/>
        <w:keepNext w:val="0"/>
        <w:keepLines w:val="0"/>
        <w:pageBreakBefore w:val="0"/>
        <w:kinsoku/>
        <w:wordWrap/>
        <w:overflowPunct/>
        <w:topLinePunct w:val="0"/>
        <w:bidi w:val="0"/>
        <w:spacing w:beforeAutospacing="0" w:afterAutospacing="0"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w:t>
      </w:r>
    </w:p>
    <w:p w14:paraId="57690635">
      <w:pPr>
        <w:pStyle w:val="116"/>
        <w:keepNext w:val="0"/>
        <w:keepLines w:val="0"/>
        <w:pageBreakBefore w:val="0"/>
        <w:kinsoku/>
        <w:wordWrap/>
        <w:overflowPunct/>
        <w:topLinePunct w:val="0"/>
        <w:bidi w:val="0"/>
        <w:spacing w:beforeAutospacing="0" w:afterAutospacing="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工程质量保修书（房屋建筑工程）</w:t>
      </w:r>
    </w:p>
    <w:p w14:paraId="19EA339A">
      <w:pPr>
        <w:pStyle w:val="116"/>
        <w:keepNext w:val="0"/>
        <w:keepLines w:val="0"/>
        <w:pageBreakBefore w:val="0"/>
        <w:kinsoku/>
        <w:wordWrap/>
        <w:overflowPunct/>
        <w:topLinePunct w:val="0"/>
        <w:bidi w:val="0"/>
        <w:spacing w:beforeAutospacing="0" w:afterAutospacing="0" w:line="400" w:lineRule="exact"/>
        <w:ind w:firstLine="420"/>
        <w:jc w:val="center"/>
        <w:textAlignment w:val="auto"/>
        <w:rPr>
          <w:rFonts w:hint="eastAsia" w:ascii="宋体" w:hAnsi="宋体" w:eastAsia="宋体" w:cs="宋体"/>
          <w:color w:val="auto"/>
          <w:sz w:val="24"/>
          <w:szCs w:val="24"/>
          <w:highlight w:val="none"/>
        </w:rPr>
      </w:pPr>
    </w:p>
    <w:p w14:paraId="38AFF9EF">
      <w:pPr>
        <w:pStyle w:val="116"/>
        <w:keepNext w:val="0"/>
        <w:keepLines w:val="0"/>
        <w:pageBreakBefore w:val="0"/>
        <w:kinsoku/>
        <w:wordWrap/>
        <w:overflowPunct/>
        <w:topLinePunct w:val="0"/>
        <w:bidi w:val="0"/>
        <w:spacing w:beforeAutospacing="0" w:afterAutospacing="0"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发包人（全称）：</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lang w:eastAsia="zh-CN"/>
        </w:rPr>
        <w:t>南宁市明天学校</w:t>
      </w:r>
      <w:r>
        <w:rPr>
          <w:rFonts w:hint="eastAsia" w:ascii="宋体" w:hAnsi="宋体" w:eastAsia="宋体" w:cs="宋体"/>
          <w:b w:val="0"/>
          <w:bCs w:val="0"/>
          <w:color w:val="auto"/>
          <w:sz w:val="24"/>
          <w:szCs w:val="24"/>
          <w:highlight w:val="none"/>
          <w:u w:val="single"/>
          <w:lang w:val="en-US" w:eastAsia="zh-CN"/>
        </w:rPr>
        <w:t xml:space="preserve"> </w:t>
      </w:r>
    </w:p>
    <w:p w14:paraId="3E0CD77F">
      <w:pPr>
        <w:pStyle w:val="116"/>
        <w:keepNext w:val="0"/>
        <w:keepLines w:val="0"/>
        <w:pageBreakBefore w:val="0"/>
        <w:kinsoku/>
        <w:wordWrap/>
        <w:overflowPunct/>
        <w:topLinePunct w:val="0"/>
        <w:bidi w:val="0"/>
        <w:spacing w:beforeAutospacing="0" w:afterAutospacing="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承包人（全称）：</w:t>
      </w:r>
      <w:r>
        <w:rPr>
          <w:rFonts w:hint="eastAsia" w:ascii="宋体" w:hAnsi="宋体" w:eastAsia="宋体" w:cs="宋体"/>
          <w:color w:val="auto"/>
          <w:sz w:val="24"/>
          <w:szCs w:val="24"/>
          <w:highlight w:val="none"/>
          <w:u w:val="single"/>
        </w:rPr>
        <w:t xml:space="preserve">                    </w:t>
      </w:r>
    </w:p>
    <w:p w14:paraId="0DC20A18">
      <w:pPr>
        <w:pStyle w:val="116"/>
        <w:keepNext w:val="0"/>
        <w:keepLines w:val="0"/>
        <w:pageBreakBefore w:val="0"/>
        <w:kinsoku/>
        <w:wordWrap/>
        <w:overflowPunct/>
        <w:topLinePunct w:val="0"/>
        <w:bidi w:val="0"/>
        <w:spacing w:beforeAutospacing="0" w:afterAutospacing="0" w:line="400" w:lineRule="exact"/>
        <w:ind w:firstLine="420"/>
        <w:textAlignment w:val="auto"/>
        <w:rPr>
          <w:rFonts w:hint="eastAsia" w:ascii="宋体" w:hAnsi="宋体" w:eastAsia="宋体" w:cs="宋体"/>
          <w:color w:val="auto"/>
          <w:sz w:val="24"/>
          <w:szCs w:val="24"/>
          <w:highlight w:val="none"/>
        </w:rPr>
      </w:pPr>
    </w:p>
    <w:p w14:paraId="4A3BEE33">
      <w:pPr>
        <w:pStyle w:val="116"/>
        <w:keepNext w:val="0"/>
        <w:keepLines w:val="0"/>
        <w:pageBreakBefore w:val="0"/>
        <w:kinsoku/>
        <w:wordWrap/>
        <w:overflowPunct/>
        <w:topLinePunct w:val="0"/>
        <w:bidi w:val="0"/>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发包人和承包人根据《中华人民共和国建筑法》和《建设工程质量管理条例》，经协商一致就</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lang w:eastAsia="zh-CN"/>
        </w:rPr>
        <w:t>南宁市明天学校足球场改造工程</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（工程全称）签订工程质量保修书。</w:t>
      </w:r>
    </w:p>
    <w:p w14:paraId="3FC902CE">
      <w:pPr>
        <w:pStyle w:val="116"/>
        <w:keepNext w:val="0"/>
        <w:keepLines w:val="0"/>
        <w:pageBreakBefore w:val="0"/>
        <w:kinsoku/>
        <w:wordWrap/>
        <w:overflowPunct/>
        <w:topLinePunct w:val="0"/>
        <w:bidi w:val="0"/>
        <w:spacing w:beforeAutospacing="0" w:afterAutospacing="0" w:line="4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一、工程质量保修范围和内容</w:t>
      </w:r>
    </w:p>
    <w:p w14:paraId="1B885C74">
      <w:pPr>
        <w:pStyle w:val="116"/>
        <w:keepNext w:val="0"/>
        <w:keepLines w:val="0"/>
        <w:pageBreakBefore w:val="0"/>
        <w:kinsoku/>
        <w:wordWrap/>
        <w:overflowPunct/>
        <w:topLinePunct w:val="0"/>
        <w:bidi w:val="0"/>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承包人在质量保修期内，按照有关法律规定和合同约定，承担工程质量保修责任。</w:t>
      </w:r>
    </w:p>
    <w:p w14:paraId="653E32E3">
      <w:pPr>
        <w:pStyle w:val="116"/>
        <w:keepNext w:val="0"/>
        <w:keepLines w:val="0"/>
        <w:pageBreakBefore w:val="0"/>
        <w:kinsoku/>
        <w:wordWrap/>
        <w:overflowPunct/>
        <w:topLinePunct w:val="0"/>
        <w:bidi w:val="0"/>
        <w:spacing w:beforeAutospacing="0" w:afterAutospacing="0"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　</w:t>
      </w:r>
      <w:r>
        <w:rPr>
          <w:rFonts w:hint="eastAsia" w:ascii="宋体" w:hAnsi="宋体" w:eastAsia="宋体" w:cs="宋体"/>
          <w:color w:val="auto"/>
          <w:sz w:val="24"/>
          <w:szCs w:val="24"/>
          <w:highlight w:val="none"/>
          <w:u w:val="single"/>
        </w:rPr>
        <w:t>按《建设工程质量管理条例》有关规定进行质量保修。保修范围：竣工图图示范围内（含变更部分）及招标文件要求纳入投标报价的全部工作内容。</w:t>
      </w:r>
    </w:p>
    <w:p w14:paraId="44F281BD">
      <w:pPr>
        <w:pStyle w:val="116"/>
        <w:keepNext w:val="0"/>
        <w:keepLines w:val="0"/>
        <w:pageBreakBefore w:val="0"/>
        <w:kinsoku/>
        <w:wordWrap/>
        <w:overflowPunct/>
        <w:topLinePunct w:val="0"/>
        <w:bidi w:val="0"/>
        <w:spacing w:beforeAutospacing="0" w:afterAutospacing="0" w:line="400" w:lineRule="exact"/>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二、质量保修期</w:t>
      </w:r>
    </w:p>
    <w:p w14:paraId="75527826">
      <w:pPr>
        <w:pStyle w:val="116"/>
        <w:keepNext w:val="0"/>
        <w:keepLines w:val="0"/>
        <w:pageBreakBefore w:val="0"/>
        <w:kinsoku/>
        <w:wordWrap/>
        <w:overflowPunct/>
        <w:topLinePunct w:val="0"/>
        <w:bidi w:val="0"/>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根据《建设工程质量管理条例》及有关规定，工程的质量保修期如下：</w:t>
      </w:r>
    </w:p>
    <w:p w14:paraId="5CAA8F1A">
      <w:pPr>
        <w:pStyle w:val="116"/>
        <w:keepNext w:val="0"/>
        <w:keepLines w:val="0"/>
        <w:pageBreakBefore w:val="0"/>
        <w:kinsoku/>
        <w:wordWrap/>
        <w:overflowPunct/>
        <w:topLinePunct w:val="0"/>
        <w:bidi w:val="0"/>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1．地基基础工程和主体结构工程为设计文件规定的工程合理使用年限；</w:t>
      </w:r>
    </w:p>
    <w:p w14:paraId="0E92761D">
      <w:pPr>
        <w:pStyle w:val="116"/>
        <w:keepNext w:val="0"/>
        <w:keepLines w:val="0"/>
        <w:pageBreakBefore w:val="0"/>
        <w:kinsoku/>
        <w:wordWrap/>
        <w:overflowPunct/>
        <w:topLinePunct w:val="0"/>
        <w:bidi w:val="0"/>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2．屋面防水工程、有防水要求的卫生间、房间和外墙面的防渗为</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年；</w:t>
      </w:r>
    </w:p>
    <w:p w14:paraId="1F40CFCC">
      <w:pPr>
        <w:pStyle w:val="116"/>
        <w:keepNext w:val="0"/>
        <w:keepLines w:val="0"/>
        <w:pageBreakBefore w:val="0"/>
        <w:kinsoku/>
        <w:wordWrap/>
        <w:overflowPunct/>
        <w:topLinePunct w:val="0"/>
        <w:bidi w:val="0"/>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3．装修工程为</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年；</w:t>
      </w:r>
    </w:p>
    <w:p w14:paraId="71C29FC8">
      <w:pPr>
        <w:pStyle w:val="116"/>
        <w:keepNext w:val="0"/>
        <w:keepLines w:val="0"/>
        <w:pageBreakBefore w:val="0"/>
        <w:kinsoku/>
        <w:wordWrap/>
        <w:overflowPunct/>
        <w:topLinePunct w:val="0"/>
        <w:bidi w:val="0"/>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4．电气管线、给排水管道、设备安装工程为</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年；</w:t>
      </w:r>
    </w:p>
    <w:p w14:paraId="09B24234">
      <w:pPr>
        <w:pStyle w:val="116"/>
        <w:keepNext w:val="0"/>
        <w:keepLines w:val="0"/>
        <w:pageBreakBefore w:val="0"/>
        <w:kinsoku/>
        <w:wordWrap/>
        <w:overflowPunct/>
        <w:topLinePunct w:val="0"/>
        <w:bidi w:val="0"/>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5．供热与供冷系统为</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个采暖期、供冷期；</w:t>
      </w:r>
    </w:p>
    <w:p w14:paraId="0ED96A59">
      <w:pPr>
        <w:pStyle w:val="116"/>
        <w:keepNext w:val="0"/>
        <w:keepLines w:val="0"/>
        <w:pageBreakBefore w:val="0"/>
        <w:kinsoku/>
        <w:wordWrap/>
        <w:overflowPunct/>
        <w:topLinePunct w:val="0"/>
        <w:bidi w:val="0"/>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6．住宅小区内的给排水设施、道路等配套工程为</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年；</w:t>
      </w:r>
    </w:p>
    <w:p w14:paraId="3E2438EC">
      <w:pPr>
        <w:pStyle w:val="116"/>
        <w:keepNext w:val="0"/>
        <w:keepLines w:val="0"/>
        <w:pageBreakBefore w:val="0"/>
        <w:kinsoku/>
        <w:wordWrap/>
        <w:overflowPunct/>
        <w:topLinePunct w:val="0"/>
        <w:bidi w:val="0"/>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7．其他项目保修期限约定如下：</w:t>
      </w:r>
      <w:r>
        <w:rPr>
          <w:rFonts w:hint="eastAsia" w:ascii="宋体" w:hAnsi="宋体" w:eastAsia="宋体" w:cs="宋体"/>
          <w:color w:val="auto"/>
          <w:sz w:val="24"/>
          <w:szCs w:val="24"/>
          <w:highlight w:val="none"/>
          <w:u w:val="single"/>
        </w:rPr>
        <w:t xml:space="preserve">2 </w:t>
      </w:r>
      <w:r>
        <w:rPr>
          <w:rFonts w:hint="eastAsia" w:ascii="宋体" w:hAnsi="宋体" w:eastAsia="宋体" w:cs="宋体"/>
          <w:color w:val="auto"/>
          <w:sz w:val="24"/>
          <w:szCs w:val="24"/>
          <w:highlight w:val="none"/>
        </w:rPr>
        <w:t>年</w:t>
      </w:r>
    </w:p>
    <w:p w14:paraId="4E89D441">
      <w:pPr>
        <w:pStyle w:val="116"/>
        <w:keepNext w:val="0"/>
        <w:keepLines w:val="0"/>
        <w:pageBreakBefore w:val="0"/>
        <w:kinsoku/>
        <w:wordWrap/>
        <w:overflowPunct/>
        <w:topLinePunct w:val="0"/>
        <w:bidi w:val="0"/>
        <w:spacing w:beforeAutospacing="0" w:afterAutospacing="0" w:line="4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质量保修期自工程竣工验收合格之日起计算。</w:t>
      </w:r>
    </w:p>
    <w:p w14:paraId="5AF01BF7">
      <w:pPr>
        <w:pStyle w:val="116"/>
        <w:keepNext w:val="0"/>
        <w:keepLines w:val="0"/>
        <w:pageBreakBefore w:val="0"/>
        <w:kinsoku/>
        <w:wordWrap/>
        <w:overflowPunct/>
        <w:topLinePunct w:val="0"/>
        <w:bidi w:val="0"/>
        <w:spacing w:beforeAutospacing="0" w:afterAutospacing="0" w:line="4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三、缺陷责任期</w:t>
      </w:r>
    </w:p>
    <w:p w14:paraId="628628D9">
      <w:pPr>
        <w:pStyle w:val="116"/>
        <w:keepNext w:val="0"/>
        <w:keepLines w:val="0"/>
        <w:pageBreakBefore w:val="0"/>
        <w:kinsoku/>
        <w:wordWrap/>
        <w:overflowPunct/>
        <w:topLinePunct w:val="0"/>
        <w:bidi w:val="0"/>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工程缺陷责任期为</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个月，缺陷责任期自工程竣工验收合格之日起计算。单位工程先于全部工程进行验收，单位工程缺陷责任期自单位工程验收合格之日起算。</w:t>
      </w:r>
    </w:p>
    <w:p w14:paraId="25574C99">
      <w:pPr>
        <w:pStyle w:val="116"/>
        <w:keepNext w:val="0"/>
        <w:keepLines w:val="0"/>
        <w:pageBreakBefore w:val="0"/>
        <w:kinsoku/>
        <w:wordWrap/>
        <w:overflowPunct/>
        <w:topLinePunct w:val="0"/>
        <w:bidi w:val="0"/>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缺陷责任期终止后，发包人应退还剩余的质量保证金。</w:t>
      </w:r>
    </w:p>
    <w:p w14:paraId="6E5B3542">
      <w:pPr>
        <w:pStyle w:val="116"/>
        <w:keepNext w:val="0"/>
        <w:keepLines w:val="0"/>
        <w:pageBreakBefore w:val="0"/>
        <w:kinsoku/>
        <w:wordWrap/>
        <w:overflowPunct/>
        <w:topLinePunct w:val="0"/>
        <w:bidi w:val="0"/>
        <w:spacing w:beforeAutospacing="0" w:afterAutospacing="0" w:line="4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四、质量保修责任</w:t>
      </w:r>
    </w:p>
    <w:p w14:paraId="6099837C">
      <w:pPr>
        <w:pStyle w:val="116"/>
        <w:keepNext w:val="0"/>
        <w:keepLines w:val="0"/>
        <w:pageBreakBefore w:val="0"/>
        <w:kinsoku/>
        <w:wordWrap/>
        <w:overflowPunct/>
        <w:topLinePunct w:val="0"/>
        <w:bidi w:val="0"/>
        <w:spacing w:beforeAutospacing="0" w:afterAutospacing="0" w:line="400" w:lineRule="exact"/>
        <w:ind w:left="105" w:leftChars="50" w:firstLine="491" w:firstLineChars="20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1．属于保修范围、内容的项目，承包人应当在接到保修通知之日起7天内派人保修。承包人不在约定期限内派人保修的，发包人可以委托他人修理。</w:t>
      </w:r>
    </w:p>
    <w:p w14:paraId="196AB4F6">
      <w:pPr>
        <w:pStyle w:val="116"/>
        <w:keepNext w:val="0"/>
        <w:keepLines w:val="0"/>
        <w:pageBreakBefore w:val="0"/>
        <w:kinsoku/>
        <w:wordWrap/>
        <w:overflowPunct/>
        <w:topLinePunct w:val="0"/>
        <w:bidi w:val="0"/>
        <w:spacing w:beforeAutospacing="0" w:afterAutospacing="0" w:line="400" w:lineRule="exact"/>
        <w:ind w:left="105" w:leftChars="50" w:firstLine="491" w:firstLineChars="20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2．发生紧急事故需抢修的，承包人在接到事故通知后，应当立即到达事故现场抢修。</w:t>
      </w:r>
    </w:p>
    <w:p w14:paraId="18C8B3F7">
      <w:pPr>
        <w:pStyle w:val="116"/>
        <w:keepNext w:val="0"/>
        <w:keepLines w:val="0"/>
        <w:pageBreakBefore w:val="0"/>
        <w:kinsoku/>
        <w:wordWrap/>
        <w:overflowPunct/>
        <w:topLinePunct w:val="0"/>
        <w:bidi w:val="0"/>
        <w:spacing w:beforeAutospacing="0" w:afterAutospacing="0" w:line="400" w:lineRule="exact"/>
        <w:ind w:left="105" w:leftChars="50" w:firstLine="491" w:firstLineChars="20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DEA08D7">
      <w:pPr>
        <w:pStyle w:val="116"/>
        <w:keepNext w:val="0"/>
        <w:keepLines w:val="0"/>
        <w:pageBreakBefore w:val="0"/>
        <w:kinsoku/>
        <w:wordWrap/>
        <w:overflowPunct/>
        <w:topLinePunct w:val="0"/>
        <w:bidi w:val="0"/>
        <w:spacing w:beforeAutospacing="0" w:afterAutospacing="0" w:line="400" w:lineRule="exact"/>
        <w:ind w:left="420" w:leftChars="200" w:firstLine="120" w:firstLine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4．质量保修完成后，由发包人组织验收。</w:t>
      </w:r>
    </w:p>
    <w:p w14:paraId="1104F3E3">
      <w:pPr>
        <w:pStyle w:val="116"/>
        <w:keepNext w:val="0"/>
        <w:keepLines w:val="0"/>
        <w:pageBreakBefore w:val="0"/>
        <w:kinsoku/>
        <w:wordWrap/>
        <w:overflowPunct/>
        <w:topLinePunct w:val="0"/>
        <w:bidi w:val="0"/>
        <w:spacing w:beforeAutospacing="0" w:afterAutospacing="0" w:line="4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五、保修费用</w:t>
      </w:r>
    </w:p>
    <w:p w14:paraId="618FDE13">
      <w:pPr>
        <w:pStyle w:val="116"/>
        <w:keepNext w:val="0"/>
        <w:keepLines w:val="0"/>
        <w:pageBreakBefore w:val="0"/>
        <w:kinsoku/>
        <w:wordWrap/>
        <w:overflowPunct/>
        <w:topLinePunct w:val="0"/>
        <w:bidi w:val="0"/>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保修费用由造成质量缺陷的责任方承担。</w:t>
      </w:r>
    </w:p>
    <w:p w14:paraId="4D3A758A">
      <w:pPr>
        <w:pStyle w:val="116"/>
        <w:keepNext w:val="0"/>
        <w:keepLines w:val="0"/>
        <w:pageBreakBefore w:val="0"/>
        <w:kinsoku/>
        <w:wordWrap/>
        <w:overflowPunct/>
        <w:topLinePunct w:val="0"/>
        <w:bidi w:val="0"/>
        <w:spacing w:beforeAutospacing="0" w:afterAutospacing="0" w:line="400" w:lineRule="exact"/>
        <w:ind w:firstLine="472" w:firstLineChars="196"/>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六、双方约定的其他工程质量保修事项：</w:t>
      </w:r>
    </w:p>
    <w:p w14:paraId="59404F3C">
      <w:pPr>
        <w:pStyle w:val="116"/>
        <w:keepNext w:val="0"/>
        <w:keepLines w:val="0"/>
        <w:pageBreakBefore w:val="0"/>
        <w:kinsoku/>
        <w:wordWrap/>
        <w:overflowPunct/>
        <w:topLinePunct w:val="0"/>
        <w:bidi w:val="0"/>
        <w:spacing w:beforeAutospacing="0" w:afterAutospacing="0" w:line="400" w:lineRule="exact"/>
        <w:ind w:firstLine="470" w:firstLineChars="196"/>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1．承包人未按照法律法规有关规定和合同约定履行质量保修义务的，发包人有权从质量保证金中扣留用于质量保修的各项支出。</w:t>
      </w:r>
    </w:p>
    <w:p w14:paraId="5B2822ED">
      <w:pPr>
        <w:pStyle w:val="116"/>
        <w:keepNext w:val="0"/>
        <w:keepLines w:val="0"/>
        <w:pageBreakBefore w:val="0"/>
        <w:kinsoku/>
        <w:wordWrap/>
        <w:overflowPunct/>
        <w:topLinePunct w:val="0"/>
        <w:bidi w:val="0"/>
        <w:spacing w:beforeAutospacing="0" w:afterAutospacing="0" w:line="400" w:lineRule="exact"/>
        <w:ind w:firstLine="470" w:firstLineChars="196"/>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质量保证金为结算总额的3%。质量保证金分两次返还承包人：第一返还的时间及金额：发包人在工程竣工验收合格之日起满两年后14天内将保证金的90%返回给承包人。第二次返还的时间及金额：发包人在竣工验收合格之日起满五年后14天内返还剩余部分。</w:t>
      </w:r>
    </w:p>
    <w:p w14:paraId="2E02DC5A">
      <w:pPr>
        <w:pStyle w:val="116"/>
        <w:keepNext w:val="0"/>
        <w:keepLines w:val="0"/>
        <w:pageBreakBefore w:val="0"/>
        <w:kinsoku/>
        <w:wordWrap/>
        <w:overflowPunct/>
        <w:topLinePunct w:val="0"/>
        <w:bidi w:val="0"/>
        <w:spacing w:beforeAutospacing="0" w:afterAutospacing="0" w:line="400" w:lineRule="exact"/>
        <w:ind w:firstLine="470" w:firstLineChars="196"/>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3．本协议未完善事宜由双方协商确定。</w:t>
      </w:r>
    </w:p>
    <w:p w14:paraId="5D340B14">
      <w:pPr>
        <w:pStyle w:val="116"/>
        <w:keepNext w:val="0"/>
        <w:keepLines w:val="0"/>
        <w:pageBreakBefore w:val="0"/>
        <w:kinsoku/>
        <w:wordWrap/>
        <w:overflowPunct/>
        <w:topLinePunct w:val="0"/>
        <w:bidi w:val="0"/>
        <w:spacing w:beforeAutospacing="0" w:afterAutospacing="0" w:line="400" w:lineRule="exact"/>
        <w:ind w:firstLine="470" w:firstLineChars="19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工程质量保修书由发包人、承包人在工程竣工验收前共同签署，作为施工合同附件，其有效期限至保修期满。</w:t>
      </w:r>
    </w:p>
    <w:tbl>
      <w:tblPr>
        <w:tblStyle w:val="3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9"/>
        <w:gridCol w:w="4930"/>
      </w:tblGrid>
      <w:tr w14:paraId="769A1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9" w:type="dxa"/>
            <w:tcBorders>
              <w:tl2br w:val="nil"/>
              <w:tr2bl w:val="nil"/>
            </w:tcBorders>
            <w:vAlign w:val="top"/>
          </w:tcPr>
          <w:p w14:paraId="1A45F79C">
            <w:pPr>
              <w:pStyle w:val="116"/>
              <w:keepNext w:val="0"/>
              <w:keepLines w:val="0"/>
              <w:pageBreakBefore w:val="0"/>
              <w:kinsoku/>
              <w:wordWrap/>
              <w:overflowPunct/>
              <w:topLinePunct w:val="0"/>
              <w:bidi w:val="0"/>
              <w:spacing w:beforeAutospacing="0" w:afterAutospacing="0" w:line="400" w:lineRule="exact"/>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发包人(公章)</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u w:val="none"/>
                <w:lang w:val="en-US" w:eastAsia="zh-CN"/>
              </w:rPr>
              <w:t>南宁市明天学校</w:t>
            </w:r>
          </w:p>
        </w:tc>
        <w:tc>
          <w:tcPr>
            <w:tcW w:w="4930" w:type="dxa"/>
            <w:tcBorders>
              <w:tl2br w:val="nil"/>
              <w:tr2bl w:val="nil"/>
            </w:tcBorders>
            <w:vAlign w:val="top"/>
          </w:tcPr>
          <w:p w14:paraId="5A503803">
            <w:pPr>
              <w:pStyle w:val="116"/>
              <w:keepNext w:val="0"/>
              <w:keepLines w:val="0"/>
              <w:pageBreakBefore w:val="0"/>
              <w:kinsoku/>
              <w:wordWrap/>
              <w:overflowPunct/>
              <w:topLinePunct w:val="0"/>
              <w:bidi w:val="0"/>
              <w:spacing w:beforeAutospacing="0" w:afterAutospacing="0" w:line="400" w:lineRule="exact"/>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承包人(公章)：</w:t>
            </w:r>
          </w:p>
        </w:tc>
      </w:tr>
      <w:tr w14:paraId="76A68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9" w:type="dxa"/>
            <w:tcBorders>
              <w:tl2br w:val="nil"/>
              <w:tr2bl w:val="nil"/>
            </w:tcBorders>
            <w:vAlign w:val="top"/>
          </w:tcPr>
          <w:p w14:paraId="23F47025">
            <w:pPr>
              <w:pStyle w:val="116"/>
              <w:keepNext w:val="0"/>
              <w:keepLines w:val="0"/>
              <w:pageBreakBefore w:val="0"/>
              <w:kinsoku/>
              <w:wordWrap/>
              <w:overflowPunct/>
              <w:topLinePunct w:val="0"/>
              <w:bidi w:val="0"/>
              <w:spacing w:beforeAutospacing="0" w:afterAutospacing="0" w:line="400" w:lineRule="exact"/>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地  址：</w:t>
            </w:r>
          </w:p>
        </w:tc>
        <w:tc>
          <w:tcPr>
            <w:tcW w:w="4930" w:type="dxa"/>
            <w:tcBorders>
              <w:tl2br w:val="nil"/>
              <w:tr2bl w:val="nil"/>
            </w:tcBorders>
            <w:vAlign w:val="top"/>
          </w:tcPr>
          <w:p w14:paraId="44421E6A">
            <w:pPr>
              <w:pStyle w:val="116"/>
              <w:keepNext w:val="0"/>
              <w:keepLines w:val="0"/>
              <w:pageBreakBefore w:val="0"/>
              <w:kinsoku/>
              <w:wordWrap/>
              <w:overflowPunct/>
              <w:topLinePunct w:val="0"/>
              <w:bidi w:val="0"/>
              <w:spacing w:beforeAutospacing="0" w:afterAutospacing="0" w:line="400" w:lineRule="exact"/>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地  址：</w:t>
            </w:r>
          </w:p>
        </w:tc>
      </w:tr>
      <w:tr w14:paraId="7156D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9" w:type="dxa"/>
            <w:tcBorders>
              <w:tl2br w:val="nil"/>
              <w:tr2bl w:val="nil"/>
            </w:tcBorders>
            <w:vAlign w:val="top"/>
          </w:tcPr>
          <w:p w14:paraId="65168300">
            <w:pPr>
              <w:pStyle w:val="116"/>
              <w:keepNext w:val="0"/>
              <w:keepLines w:val="0"/>
              <w:pageBreakBefore w:val="0"/>
              <w:kinsoku/>
              <w:wordWrap/>
              <w:overflowPunct/>
              <w:topLinePunct w:val="0"/>
              <w:bidi w:val="0"/>
              <w:spacing w:beforeAutospacing="0" w:afterAutospacing="0" w:line="400" w:lineRule="exact"/>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法定代表人(签字)：</w:t>
            </w:r>
          </w:p>
        </w:tc>
        <w:tc>
          <w:tcPr>
            <w:tcW w:w="4930" w:type="dxa"/>
            <w:tcBorders>
              <w:tl2br w:val="nil"/>
              <w:tr2bl w:val="nil"/>
            </w:tcBorders>
            <w:vAlign w:val="top"/>
          </w:tcPr>
          <w:p w14:paraId="50199E59">
            <w:pPr>
              <w:pStyle w:val="116"/>
              <w:keepNext w:val="0"/>
              <w:keepLines w:val="0"/>
              <w:pageBreakBefore w:val="0"/>
              <w:kinsoku/>
              <w:wordWrap/>
              <w:overflowPunct/>
              <w:topLinePunct w:val="0"/>
              <w:bidi w:val="0"/>
              <w:spacing w:beforeAutospacing="0" w:afterAutospacing="0" w:line="400" w:lineRule="exact"/>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法定代表人(签字)：</w:t>
            </w:r>
          </w:p>
        </w:tc>
      </w:tr>
      <w:tr w14:paraId="7FCCA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9" w:type="dxa"/>
            <w:tcBorders>
              <w:tl2br w:val="nil"/>
              <w:tr2bl w:val="nil"/>
            </w:tcBorders>
            <w:vAlign w:val="top"/>
          </w:tcPr>
          <w:p w14:paraId="48601086">
            <w:pPr>
              <w:pStyle w:val="116"/>
              <w:keepNext w:val="0"/>
              <w:keepLines w:val="0"/>
              <w:pageBreakBefore w:val="0"/>
              <w:kinsoku/>
              <w:wordWrap/>
              <w:overflowPunct/>
              <w:topLinePunct w:val="0"/>
              <w:bidi w:val="0"/>
              <w:spacing w:beforeAutospacing="0" w:afterAutospacing="0" w:line="400" w:lineRule="exact"/>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委托代理人(签字)：</w:t>
            </w:r>
          </w:p>
        </w:tc>
        <w:tc>
          <w:tcPr>
            <w:tcW w:w="4930" w:type="dxa"/>
            <w:tcBorders>
              <w:tl2br w:val="nil"/>
              <w:tr2bl w:val="nil"/>
            </w:tcBorders>
            <w:vAlign w:val="top"/>
          </w:tcPr>
          <w:p w14:paraId="436CC94B">
            <w:pPr>
              <w:pStyle w:val="116"/>
              <w:keepNext w:val="0"/>
              <w:keepLines w:val="0"/>
              <w:pageBreakBefore w:val="0"/>
              <w:kinsoku/>
              <w:wordWrap/>
              <w:overflowPunct/>
              <w:topLinePunct w:val="0"/>
              <w:bidi w:val="0"/>
              <w:spacing w:beforeAutospacing="0" w:afterAutospacing="0" w:line="400" w:lineRule="exact"/>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委托代理人(签字)：</w:t>
            </w:r>
          </w:p>
        </w:tc>
      </w:tr>
      <w:tr w14:paraId="0B46B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9" w:type="dxa"/>
            <w:tcBorders>
              <w:tl2br w:val="nil"/>
              <w:tr2bl w:val="nil"/>
            </w:tcBorders>
            <w:vAlign w:val="top"/>
          </w:tcPr>
          <w:p w14:paraId="75ED4A57">
            <w:pPr>
              <w:pStyle w:val="116"/>
              <w:keepNext w:val="0"/>
              <w:keepLines w:val="0"/>
              <w:pageBreakBefore w:val="0"/>
              <w:kinsoku/>
              <w:wordWrap/>
              <w:overflowPunct/>
              <w:topLinePunct w:val="0"/>
              <w:bidi w:val="0"/>
              <w:spacing w:beforeAutospacing="0" w:afterAutospacing="0" w:line="400" w:lineRule="exact"/>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eastAsia="zh-CN"/>
              </w:rPr>
              <w:t>：</w:t>
            </w:r>
          </w:p>
        </w:tc>
        <w:tc>
          <w:tcPr>
            <w:tcW w:w="4930" w:type="dxa"/>
            <w:tcBorders>
              <w:tl2br w:val="nil"/>
              <w:tr2bl w:val="nil"/>
            </w:tcBorders>
            <w:vAlign w:val="top"/>
          </w:tcPr>
          <w:p w14:paraId="5009E46C">
            <w:pPr>
              <w:pStyle w:val="116"/>
              <w:keepNext w:val="0"/>
              <w:keepLines w:val="0"/>
              <w:pageBreakBefore w:val="0"/>
              <w:kinsoku/>
              <w:wordWrap/>
              <w:overflowPunct/>
              <w:topLinePunct w:val="0"/>
              <w:bidi w:val="0"/>
              <w:spacing w:beforeAutospacing="0" w:afterAutospacing="0" w:line="400" w:lineRule="exact"/>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eastAsia="zh-CN"/>
              </w:rPr>
              <w:t>：</w:t>
            </w:r>
          </w:p>
        </w:tc>
      </w:tr>
      <w:tr w14:paraId="41C93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9" w:type="dxa"/>
            <w:tcBorders>
              <w:tl2br w:val="nil"/>
              <w:tr2bl w:val="nil"/>
            </w:tcBorders>
            <w:vAlign w:val="top"/>
          </w:tcPr>
          <w:p w14:paraId="166C79F8">
            <w:pPr>
              <w:pStyle w:val="116"/>
              <w:keepNext w:val="0"/>
              <w:keepLines w:val="0"/>
              <w:pageBreakBefore w:val="0"/>
              <w:kinsoku/>
              <w:wordWrap/>
              <w:overflowPunct/>
              <w:topLinePunct w:val="0"/>
              <w:bidi w:val="0"/>
              <w:spacing w:beforeAutospacing="0" w:afterAutospacing="0" w:line="400" w:lineRule="exact"/>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传  真：</w:t>
            </w:r>
          </w:p>
        </w:tc>
        <w:tc>
          <w:tcPr>
            <w:tcW w:w="4930" w:type="dxa"/>
            <w:tcBorders>
              <w:tl2br w:val="nil"/>
              <w:tr2bl w:val="nil"/>
            </w:tcBorders>
            <w:vAlign w:val="top"/>
          </w:tcPr>
          <w:p w14:paraId="27424209">
            <w:pPr>
              <w:pStyle w:val="116"/>
              <w:keepNext w:val="0"/>
              <w:keepLines w:val="0"/>
              <w:pageBreakBefore w:val="0"/>
              <w:kinsoku/>
              <w:wordWrap/>
              <w:overflowPunct/>
              <w:topLinePunct w:val="0"/>
              <w:bidi w:val="0"/>
              <w:spacing w:beforeAutospacing="0" w:afterAutospacing="0" w:line="400" w:lineRule="exact"/>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传  真：</w:t>
            </w:r>
          </w:p>
        </w:tc>
      </w:tr>
      <w:tr w14:paraId="66AF9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9" w:type="dxa"/>
            <w:tcBorders>
              <w:tl2br w:val="nil"/>
              <w:tr2bl w:val="nil"/>
            </w:tcBorders>
            <w:vAlign w:val="top"/>
          </w:tcPr>
          <w:p w14:paraId="7F7CD308">
            <w:pPr>
              <w:pStyle w:val="116"/>
              <w:keepNext w:val="0"/>
              <w:keepLines w:val="0"/>
              <w:pageBreakBefore w:val="0"/>
              <w:kinsoku/>
              <w:wordWrap/>
              <w:overflowPunct/>
              <w:topLinePunct w:val="0"/>
              <w:bidi w:val="0"/>
              <w:spacing w:beforeAutospacing="0" w:afterAutospacing="0" w:line="400" w:lineRule="exact"/>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开户银行：</w:t>
            </w:r>
          </w:p>
        </w:tc>
        <w:tc>
          <w:tcPr>
            <w:tcW w:w="4930" w:type="dxa"/>
            <w:tcBorders>
              <w:tl2br w:val="nil"/>
              <w:tr2bl w:val="nil"/>
            </w:tcBorders>
            <w:vAlign w:val="top"/>
          </w:tcPr>
          <w:p w14:paraId="0C8E6E1E">
            <w:pPr>
              <w:pStyle w:val="116"/>
              <w:keepNext w:val="0"/>
              <w:keepLines w:val="0"/>
              <w:pageBreakBefore w:val="0"/>
              <w:kinsoku/>
              <w:wordWrap/>
              <w:overflowPunct/>
              <w:topLinePunct w:val="0"/>
              <w:bidi w:val="0"/>
              <w:spacing w:beforeAutospacing="0" w:afterAutospacing="0" w:line="400" w:lineRule="exact"/>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开户银行：</w:t>
            </w:r>
          </w:p>
        </w:tc>
      </w:tr>
      <w:tr w14:paraId="1C510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9" w:type="dxa"/>
            <w:tcBorders>
              <w:tl2br w:val="nil"/>
              <w:tr2bl w:val="nil"/>
            </w:tcBorders>
            <w:vAlign w:val="top"/>
          </w:tcPr>
          <w:p w14:paraId="7C5518E1">
            <w:pPr>
              <w:pStyle w:val="116"/>
              <w:keepNext w:val="0"/>
              <w:keepLines w:val="0"/>
              <w:pageBreakBefore w:val="0"/>
              <w:kinsoku/>
              <w:wordWrap/>
              <w:overflowPunct/>
              <w:topLinePunct w:val="0"/>
              <w:bidi w:val="0"/>
              <w:spacing w:beforeAutospacing="0" w:afterAutospacing="0" w:line="400" w:lineRule="exact"/>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账  号：</w:t>
            </w:r>
          </w:p>
        </w:tc>
        <w:tc>
          <w:tcPr>
            <w:tcW w:w="4930" w:type="dxa"/>
            <w:tcBorders>
              <w:tl2br w:val="nil"/>
              <w:tr2bl w:val="nil"/>
            </w:tcBorders>
            <w:vAlign w:val="top"/>
          </w:tcPr>
          <w:p w14:paraId="003B26B6">
            <w:pPr>
              <w:pStyle w:val="116"/>
              <w:keepNext w:val="0"/>
              <w:keepLines w:val="0"/>
              <w:pageBreakBefore w:val="0"/>
              <w:kinsoku/>
              <w:wordWrap/>
              <w:overflowPunct/>
              <w:topLinePunct w:val="0"/>
              <w:bidi w:val="0"/>
              <w:spacing w:beforeAutospacing="0" w:afterAutospacing="0" w:line="400" w:lineRule="exact"/>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账  号：</w:t>
            </w:r>
          </w:p>
        </w:tc>
      </w:tr>
      <w:tr w14:paraId="194E6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9" w:type="dxa"/>
            <w:tcBorders>
              <w:tl2br w:val="nil"/>
              <w:tr2bl w:val="nil"/>
            </w:tcBorders>
            <w:vAlign w:val="top"/>
          </w:tcPr>
          <w:p w14:paraId="0B3AB1A0">
            <w:pPr>
              <w:pStyle w:val="116"/>
              <w:keepNext w:val="0"/>
              <w:keepLines w:val="0"/>
              <w:pageBreakBefore w:val="0"/>
              <w:kinsoku/>
              <w:wordWrap/>
              <w:overflowPunct/>
              <w:topLinePunct w:val="0"/>
              <w:bidi w:val="0"/>
              <w:spacing w:beforeAutospacing="0" w:afterAutospacing="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4930" w:type="dxa"/>
            <w:tcBorders>
              <w:tl2br w:val="nil"/>
              <w:tr2bl w:val="nil"/>
            </w:tcBorders>
            <w:vAlign w:val="top"/>
          </w:tcPr>
          <w:p w14:paraId="74A8D978">
            <w:pPr>
              <w:pStyle w:val="116"/>
              <w:keepNext w:val="0"/>
              <w:keepLines w:val="0"/>
              <w:pageBreakBefore w:val="0"/>
              <w:kinsoku/>
              <w:wordWrap/>
              <w:overflowPunct/>
              <w:topLinePunct w:val="0"/>
              <w:bidi w:val="0"/>
              <w:spacing w:beforeAutospacing="0" w:afterAutospacing="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r>
    </w:tbl>
    <w:p w14:paraId="1DE3BD44">
      <w:pPr>
        <w:pStyle w:val="116"/>
        <w:keepNext w:val="0"/>
        <w:keepLines w:val="0"/>
        <w:pageBreakBefore w:val="0"/>
        <w:kinsoku/>
        <w:wordWrap/>
        <w:overflowPunct/>
        <w:topLinePunct w:val="0"/>
        <w:bidi w:val="0"/>
        <w:spacing w:beforeAutospacing="0" w:afterAutospacing="0" w:line="400" w:lineRule="exact"/>
        <w:textAlignment w:val="auto"/>
        <w:rPr>
          <w:rFonts w:hint="eastAsia" w:ascii="宋体" w:hAnsi="宋体" w:eastAsia="宋体" w:cs="宋体"/>
          <w:color w:val="auto"/>
          <w:sz w:val="24"/>
          <w:szCs w:val="24"/>
          <w:highlight w:val="none"/>
        </w:rPr>
      </w:pPr>
    </w:p>
    <w:p w14:paraId="65E5060B">
      <w:pPr>
        <w:spacing w:line="360" w:lineRule="auto"/>
        <w:jc w:val="both"/>
        <w:rPr>
          <w:rFonts w:hint="eastAsia" w:ascii="宋体" w:hAnsi="宋体" w:eastAsia="宋体" w:cs="宋体"/>
          <w:color w:val="auto"/>
          <w:sz w:val="24"/>
          <w:szCs w:val="24"/>
          <w:highlight w:val="none"/>
        </w:rPr>
      </w:pPr>
    </w:p>
    <w:p w14:paraId="386F24C8">
      <w:pPr>
        <w:pStyle w:val="2"/>
        <w:spacing w:before="0" w:after="0" w:line="240" w:lineRule="auto"/>
        <w:jc w:val="center"/>
        <w:rPr>
          <w:rFonts w:hint="eastAsia" w:ascii="宋体" w:hAnsi="宋体" w:eastAsia="宋体" w:cs="宋体"/>
          <w:b w:val="0"/>
          <w:bCs w:val="0"/>
          <w:color w:val="auto"/>
          <w:highlight w:val="none"/>
        </w:rPr>
      </w:pPr>
      <w:r>
        <w:rPr>
          <w:rFonts w:hint="eastAsia" w:ascii="宋体" w:hAnsi="宋体" w:eastAsia="宋体" w:cs="宋体"/>
          <w:color w:val="auto"/>
          <w:szCs w:val="21"/>
          <w:highlight w:val="none"/>
        </w:rPr>
        <w:br w:type="page"/>
      </w:r>
      <w:bookmarkEnd w:id="63"/>
      <w:bookmarkEnd w:id="64"/>
      <w:bookmarkEnd w:id="65"/>
      <w:bookmarkEnd w:id="66"/>
      <w:bookmarkStart w:id="67" w:name="_Toc407135283"/>
      <w:bookmarkStart w:id="68" w:name="_Toc29015"/>
      <w:bookmarkStart w:id="69" w:name="_Toc10491"/>
      <w:r>
        <w:rPr>
          <w:rFonts w:hint="eastAsia" w:ascii="宋体" w:hAnsi="宋体" w:eastAsia="宋体" w:cs="宋体"/>
          <w:b w:val="0"/>
          <w:bCs w:val="0"/>
          <w:color w:val="auto"/>
          <w:highlight w:val="none"/>
        </w:rPr>
        <w:t>第七章 工程量清单</w:t>
      </w:r>
      <w:bookmarkEnd w:id="67"/>
      <w:bookmarkEnd w:id="68"/>
      <w:r>
        <w:rPr>
          <w:rFonts w:hint="eastAsia" w:ascii="宋体" w:hAnsi="宋体" w:eastAsia="宋体" w:cs="宋体"/>
          <w:b w:val="0"/>
          <w:bCs w:val="0"/>
          <w:color w:val="auto"/>
          <w:highlight w:val="none"/>
        </w:rPr>
        <w:t>、图纸</w:t>
      </w:r>
      <w:bookmarkEnd w:id="69"/>
    </w:p>
    <w:p w14:paraId="01CB923A">
      <w:pPr>
        <w:spacing w:before="0" w:after="0" w:line="360" w:lineRule="auto"/>
        <w:jc w:val="center"/>
        <w:outlineLvl w:val="9"/>
        <w:rPr>
          <w:rFonts w:hint="eastAsia" w:ascii="宋体" w:hAnsi="宋体" w:eastAsia="宋体" w:cs="宋体"/>
          <w:color w:val="auto"/>
          <w:highlight w:val="none"/>
        </w:rPr>
      </w:pPr>
    </w:p>
    <w:p w14:paraId="13EBB0C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获取方式：网上下载。本项目不发放</w:t>
      </w:r>
      <w:r>
        <w:rPr>
          <w:rFonts w:hint="eastAsia" w:ascii="宋体" w:hAnsi="宋体" w:eastAsia="宋体" w:cs="宋体"/>
          <w:color w:val="auto"/>
          <w:highlight w:val="none"/>
          <w:lang w:eastAsia="zh-CN"/>
        </w:rPr>
        <w:t>纸质版的</w:t>
      </w:r>
      <w:r>
        <w:rPr>
          <w:rFonts w:hint="eastAsia" w:ascii="宋体" w:hAnsi="宋体" w:eastAsia="宋体" w:cs="宋体"/>
          <w:color w:val="auto"/>
          <w:highlight w:val="none"/>
        </w:rPr>
        <w:t>工程量清单及图纸，由潜在供应商自行在</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下载。</w:t>
      </w:r>
    </w:p>
    <w:p w14:paraId="0BB71BAB">
      <w:pPr>
        <w:pStyle w:val="7"/>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highlight w:val="none"/>
        </w:rPr>
      </w:pPr>
    </w:p>
    <w:p w14:paraId="733D9A04">
      <w:pPr>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宋体" w:hAnsi="宋体" w:eastAsia="宋体" w:cs="宋体"/>
          <w:b w:val="0"/>
          <w:bCs/>
          <w:color w:val="auto"/>
          <w:highlight w:val="none"/>
        </w:rPr>
      </w:pPr>
      <w:bookmarkStart w:id="70" w:name="_Toc20915"/>
      <w:bookmarkStart w:id="71" w:name="_Toc29624"/>
      <w:bookmarkStart w:id="72" w:name="_Toc4654"/>
      <w:bookmarkStart w:id="73" w:name="_Toc28283"/>
      <w:bookmarkStart w:id="74" w:name="_Toc178"/>
      <w:bookmarkStart w:id="75" w:name="_Toc8963"/>
    </w:p>
    <w:p w14:paraId="0EEEBF20">
      <w:pPr>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宋体" w:hAnsi="宋体" w:eastAsia="宋体" w:cs="宋体"/>
          <w:b w:val="0"/>
          <w:bCs/>
          <w:color w:val="auto"/>
          <w:highlight w:val="none"/>
        </w:rPr>
      </w:pPr>
      <w:r>
        <w:rPr>
          <w:rFonts w:hint="eastAsia" w:ascii="宋体" w:hAnsi="宋体" w:eastAsia="宋体" w:cs="宋体"/>
          <w:b w:val="0"/>
          <w:bCs/>
          <w:color w:val="auto"/>
          <w:highlight w:val="none"/>
        </w:rPr>
        <w:br w:type="page"/>
      </w:r>
    </w:p>
    <w:p w14:paraId="444DFDFE">
      <w:pPr>
        <w:pStyle w:val="2"/>
        <w:spacing w:before="0" w:after="0" w:line="240" w:lineRule="auto"/>
        <w:jc w:val="center"/>
        <w:rPr>
          <w:rFonts w:hint="eastAsia" w:ascii="宋体" w:hAnsi="宋体" w:eastAsia="宋体" w:cs="宋体"/>
          <w:b w:val="0"/>
          <w:bCs w:val="0"/>
          <w:color w:val="auto"/>
          <w:highlight w:val="none"/>
        </w:rPr>
        <w:sectPr>
          <w:footerReference r:id="rId12" w:type="default"/>
          <w:pgSz w:w="11911" w:h="16838"/>
          <w:pgMar w:top="1134" w:right="1134" w:bottom="1134" w:left="1134" w:header="720" w:footer="720" w:gutter="0"/>
          <w:pgBorders>
            <w:top w:val="none" w:sz="0" w:space="0"/>
            <w:left w:val="none" w:sz="0" w:space="0"/>
            <w:bottom w:val="none" w:sz="0" w:space="0"/>
            <w:right w:val="none" w:sz="0" w:space="0"/>
          </w:pgBorders>
          <w:cols w:space="720" w:num="1"/>
        </w:sectPr>
      </w:pPr>
      <w:r>
        <w:rPr>
          <w:rFonts w:hint="eastAsia" w:ascii="宋体" w:hAnsi="宋体" w:eastAsia="宋体" w:cs="宋体"/>
          <w:b w:val="0"/>
          <w:bCs w:val="0"/>
          <w:color w:val="auto"/>
          <w:highlight w:val="none"/>
        </w:rPr>
        <w:t>第八章 质疑、投诉材料格式</w:t>
      </w:r>
      <w:bookmarkEnd w:id="70"/>
      <w:bookmarkEnd w:id="71"/>
      <w:bookmarkEnd w:id="72"/>
      <w:bookmarkEnd w:id="73"/>
      <w:bookmarkEnd w:id="74"/>
      <w:bookmarkEnd w:id="75"/>
    </w:p>
    <w:p w14:paraId="1677133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27B880CC">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 w:val="24"/>
          <w:highlight w:val="none"/>
        </w:rPr>
        <w:t>一</w:t>
      </w:r>
      <w:r>
        <w:rPr>
          <w:rFonts w:hint="eastAsia" w:ascii="宋体" w:hAnsi="宋体" w:eastAsia="宋体" w:cs="宋体"/>
          <w:b/>
          <w:bCs/>
          <w:color w:val="auto"/>
          <w:kern w:val="0"/>
          <w:szCs w:val="21"/>
          <w:highlight w:val="none"/>
        </w:rPr>
        <w:t>、质疑供应商基本信息：</w:t>
      </w:r>
    </w:p>
    <w:p w14:paraId="6F556F57">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rPr>
        <w:t>质疑供应商：</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 xml:space="preserve">                 </w:t>
      </w:r>
    </w:p>
    <w:p w14:paraId="01D3A027">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地址：</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邮编：</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 xml:space="preserve">                 </w:t>
      </w:r>
    </w:p>
    <w:p w14:paraId="4E1B46C6">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联系人：</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联系电话：</w:t>
      </w:r>
      <w:r>
        <w:rPr>
          <w:rFonts w:hint="eastAsia" w:ascii="宋体" w:hAnsi="宋体" w:eastAsia="宋体" w:cs="宋体"/>
          <w:bCs/>
          <w:color w:val="auto"/>
          <w:kern w:val="0"/>
          <w:szCs w:val="21"/>
          <w:highlight w:val="none"/>
          <w:u w:val="single"/>
        </w:rPr>
        <w:t xml:space="preserve">                 </w:t>
      </w:r>
    </w:p>
    <w:p w14:paraId="5965379E">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授权代表：</w:t>
      </w:r>
      <w:r>
        <w:rPr>
          <w:rFonts w:hint="eastAsia" w:ascii="宋体" w:hAnsi="宋体" w:eastAsia="宋体" w:cs="宋体"/>
          <w:bCs/>
          <w:color w:val="auto"/>
          <w:kern w:val="0"/>
          <w:szCs w:val="21"/>
          <w:highlight w:val="none"/>
          <w:u w:val="single"/>
        </w:rPr>
        <w:t xml:space="preserve">                      </w:t>
      </w:r>
    </w:p>
    <w:p w14:paraId="0967EF7E">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rPr>
        <w:t>联系电话：</w:t>
      </w:r>
      <w:r>
        <w:rPr>
          <w:rFonts w:hint="eastAsia" w:ascii="宋体" w:hAnsi="宋体" w:eastAsia="宋体" w:cs="宋体"/>
          <w:bCs/>
          <w:color w:val="auto"/>
          <w:kern w:val="0"/>
          <w:szCs w:val="21"/>
          <w:highlight w:val="none"/>
          <w:u w:val="single"/>
        </w:rPr>
        <w:t xml:space="preserve">                      </w:t>
      </w:r>
    </w:p>
    <w:p w14:paraId="36E25000">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地址：</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邮编：</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 xml:space="preserve">     </w:t>
      </w:r>
    </w:p>
    <w:p w14:paraId="33A9F12B">
      <w:pPr>
        <w:keepNext w:val="0"/>
        <w:keepLines w:val="0"/>
        <w:pageBreakBefore w:val="0"/>
        <w:widowControl w:val="0"/>
        <w:kinsoku/>
        <w:wordWrap/>
        <w:overflowPunct/>
        <w:topLinePunct w:val="0"/>
        <w:autoSpaceDE/>
        <w:autoSpaceDN/>
        <w:bidi w:val="0"/>
        <w:adjustRightInd/>
        <w:snapToGrid/>
        <w:spacing w:line="380" w:lineRule="exact"/>
        <w:ind w:firstLine="422" w:firstLineChars="200"/>
        <w:contextualSpacing/>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二、质疑项目基本情况：</w:t>
      </w:r>
    </w:p>
    <w:p w14:paraId="46FCDCA2">
      <w:pPr>
        <w:keepNext w:val="0"/>
        <w:keepLines w:val="0"/>
        <w:pageBreakBefore w:val="0"/>
        <w:widowControl w:val="0"/>
        <w:kinsoku/>
        <w:wordWrap/>
        <w:overflowPunct/>
        <w:topLinePunct w:val="0"/>
        <w:autoSpaceDE/>
        <w:autoSpaceDN/>
        <w:bidi w:val="0"/>
        <w:adjustRightInd/>
        <w:snapToGrid/>
        <w:spacing w:line="380" w:lineRule="exact"/>
        <w:ind w:left="25" w:leftChars="12" w:firstLine="413" w:firstLineChars="197"/>
        <w:contextualSpacing/>
        <w:textAlignment w:val="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w:t>
      </w:r>
      <w:r>
        <w:rPr>
          <w:rFonts w:hint="eastAsia" w:ascii="宋体" w:hAnsi="宋体" w:eastAsia="宋体" w:cs="宋体"/>
          <w:color w:val="auto"/>
          <w:kern w:val="0"/>
          <w:szCs w:val="21"/>
          <w:highlight w:val="none"/>
        </w:rPr>
        <w:t>项目的名称：</w:t>
      </w:r>
      <w:r>
        <w:rPr>
          <w:rFonts w:hint="eastAsia" w:ascii="宋体" w:hAnsi="宋体" w:eastAsia="宋体" w:cs="宋体"/>
          <w:bCs/>
          <w:color w:val="auto"/>
          <w:kern w:val="0"/>
          <w:szCs w:val="21"/>
          <w:highlight w:val="none"/>
          <w:u w:val="single"/>
        </w:rPr>
        <w:t xml:space="preserve">                                     </w:t>
      </w:r>
    </w:p>
    <w:p w14:paraId="69C1F544">
      <w:pPr>
        <w:keepNext w:val="0"/>
        <w:keepLines w:val="0"/>
        <w:pageBreakBefore w:val="0"/>
        <w:widowControl w:val="0"/>
        <w:kinsoku/>
        <w:wordWrap/>
        <w:overflowPunct/>
        <w:topLinePunct w:val="0"/>
        <w:autoSpaceDE/>
        <w:autoSpaceDN/>
        <w:bidi w:val="0"/>
        <w:adjustRightInd/>
        <w:snapToGrid/>
        <w:spacing w:line="380" w:lineRule="exact"/>
        <w:ind w:left="25" w:leftChars="12" w:firstLine="413" w:firstLineChars="197"/>
        <w:contextualSpacing/>
        <w:textAlignment w:val="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w:t>
      </w:r>
      <w:r>
        <w:rPr>
          <w:rFonts w:hint="eastAsia" w:ascii="宋体" w:hAnsi="宋体" w:eastAsia="宋体" w:cs="宋体"/>
          <w:color w:val="auto"/>
          <w:kern w:val="0"/>
          <w:szCs w:val="21"/>
          <w:highlight w:val="none"/>
        </w:rPr>
        <w:t>项目的编号：</w:t>
      </w:r>
      <w:r>
        <w:rPr>
          <w:rFonts w:hint="eastAsia" w:ascii="宋体" w:hAnsi="宋体" w:eastAsia="宋体" w:cs="宋体"/>
          <w:bCs/>
          <w:color w:val="auto"/>
          <w:kern w:val="0"/>
          <w:szCs w:val="21"/>
          <w:highlight w:val="none"/>
          <w:u w:val="single"/>
        </w:rPr>
        <w:t xml:space="preserve">                                     </w:t>
      </w:r>
    </w:p>
    <w:p w14:paraId="143EF2AC">
      <w:pPr>
        <w:keepNext w:val="0"/>
        <w:keepLines w:val="0"/>
        <w:pageBreakBefore w:val="0"/>
        <w:widowControl w:val="0"/>
        <w:kinsoku/>
        <w:wordWrap/>
        <w:overflowPunct/>
        <w:topLinePunct w:val="0"/>
        <w:autoSpaceDE/>
        <w:autoSpaceDN/>
        <w:bidi w:val="0"/>
        <w:adjustRightInd/>
        <w:snapToGrid/>
        <w:spacing w:line="380" w:lineRule="exact"/>
        <w:ind w:left="25" w:leftChars="12" w:firstLine="413" w:firstLineChars="197"/>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采购人名称：</w:t>
      </w:r>
      <w:r>
        <w:rPr>
          <w:rFonts w:hint="eastAsia" w:ascii="宋体" w:hAnsi="宋体" w:eastAsia="宋体" w:cs="宋体"/>
          <w:bCs/>
          <w:color w:val="auto"/>
          <w:kern w:val="0"/>
          <w:szCs w:val="21"/>
          <w:highlight w:val="none"/>
          <w:u w:val="single"/>
        </w:rPr>
        <w:t xml:space="preserve">                                         </w:t>
      </w:r>
    </w:p>
    <w:p w14:paraId="52D23F58">
      <w:pPr>
        <w:keepNext w:val="0"/>
        <w:keepLines w:val="0"/>
        <w:pageBreakBefore w:val="0"/>
        <w:widowControl w:val="0"/>
        <w:kinsoku/>
        <w:wordWrap/>
        <w:overflowPunct/>
        <w:topLinePunct w:val="0"/>
        <w:autoSpaceDE/>
        <w:autoSpaceDN/>
        <w:bidi w:val="0"/>
        <w:adjustRightInd/>
        <w:snapToGrid/>
        <w:spacing w:line="380" w:lineRule="exact"/>
        <w:ind w:left="25" w:leftChars="12" w:firstLine="413" w:firstLineChars="197"/>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质疑事项：</w:t>
      </w:r>
    </w:p>
    <w:p w14:paraId="07896BE4">
      <w:pPr>
        <w:keepNext w:val="0"/>
        <w:keepLines w:val="0"/>
        <w:pageBreakBefore w:val="0"/>
        <w:widowControl w:val="0"/>
        <w:kinsoku/>
        <w:wordWrap/>
        <w:overflowPunct/>
        <w:topLinePunct w:val="0"/>
        <w:autoSpaceDE/>
        <w:autoSpaceDN/>
        <w:bidi w:val="0"/>
        <w:adjustRightInd/>
        <w:snapToGrid/>
        <w:spacing w:line="380" w:lineRule="exact"/>
        <w:ind w:left="25" w:leftChars="12" w:firstLine="308" w:firstLineChars="147"/>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□采购文件   采购文件获取日期：</w:t>
      </w:r>
      <w:r>
        <w:rPr>
          <w:rFonts w:hint="eastAsia" w:ascii="宋体" w:hAnsi="宋体" w:eastAsia="宋体" w:cs="宋体"/>
          <w:bCs/>
          <w:color w:val="auto"/>
          <w:kern w:val="0"/>
          <w:szCs w:val="21"/>
          <w:highlight w:val="none"/>
          <w:u w:val="single"/>
        </w:rPr>
        <w:t xml:space="preserve">                                   </w:t>
      </w:r>
    </w:p>
    <w:p w14:paraId="50902F4D">
      <w:pPr>
        <w:keepNext w:val="0"/>
        <w:keepLines w:val="0"/>
        <w:pageBreakBefore w:val="0"/>
        <w:widowControl w:val="0"/>
        <w:kinsoku/>
        <w:wordWrap/>
        <w:overflowPunct/>
        <w:topLinePunct w:val="0"/>
        <w:autoSpaceDE/>
        <w:autoSpaceDN/>
        <w:bidi w:val="0"/>
        <w:adjustRightInd/>
        <w:snapToGrid/>
        <w:spacing w:line="380" w:lineRule="exact"/>
        <w:ind w:left="25" w:leftChars="12" w:firstLine="308" w:firstLineChars="147"/>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□采购过程   </w:t>
      </w:r>
    </w:p>
    <w:p w14:paraId="7FEA537E">
      <w:pPr>
        <w:keepNext w:val="0"/>
        <w:keepLines w:val="0"/>
        <w:pageBreakBefore w:val="0"/>
        <w:widowControl w:val="0"/>
        <w:kinsoku/>
        <w:wordWrap/>
        <w:overflowPunct/>
        <w:topLinePunct w:val="0"/>
        <w:autoSpaceDE/>
        <w:autoSpaceDN/>
        <w:bidi w:val="0"/>
        <w:adjustRightInd/>
        <w:snapToGrid/>
        <w:spacing w:line="380" w:lineRule="exact"/>
        <w:ind w:left="25" w:leftChars="12" w:firstLine="308" w:firstLineChars="147"/>
        <w:contextualSpacing/>
        <w:textAlignment w:val="auto"/>
        <w:rPr>
          <w:rFonts w:hint="eastAsia" w:ascii="宋体" w:hAnsi="宋体" w:eastAsia="宋体" w:cs="宋体"/>
          <w:bCs/>
          <w:color w:val="auto"/>
          <w:kern w:val="0"/>
          <w:szCs w:val="21"/>
          <w:highlight w:val="none"/>
          <w:u w:val="single"/>
        </w:rPr>
      </w:pPr>
      <w:r>
        <w:rPr>
          <w:rFonts w:hint="eastAsia" w:ascii="宋体" w:hAnsi="宋体" w:eastAsia="宋体" w:cs="宋体"/>
          <w:color w:val="auto"/>
          <w:kern w:val="0"/>
          <w:szCs w:val="21"/>
          <w:highlight w:val="none"/>
        </w:rPr>
        <w:t xml:space="preserve">□成交结果   </w:t>
      </w:r>
    </w:p>
    <w:p w14:paraId="640EAB62">
      <w:pPr>
        <w:keepNext w:val="0"/>
        <w:keepLines w:val="0"/>
        <w:pageBreakBefore w:val="0"/>
        <w:widowControl w:val="0"/>
        <w:kinsoku/>
        <w:wordWrap/>
        <w:overflowPunct/>
        <w:topLinePunct w:val="0"/>
        <w:autoSpaceDE/>
        <w:autoSpaceDN/>
        <w:bidi w:val="0"/>
        <w:adjustRightInd/>
        <w:snapToGrid/>
        <w:spacing w:line="380" w:lineRule="exact"/>
        <w:ind w:left="25" w:leftChars="12" w:firstLine="413" w:firstLineChars="196"/>
        <w:contextualSpacing/>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三、质疑事项具体内容</w:t>
      </w:r>
    </w:p>
    <w:p w14:paraId="606F66FF">
      <w:pPr>
        <w:keepNext w:val="0"/>
        <w:keepLines w:val="0"/>
        <w:pageBreakBefore w:val="0"/>
        <w:widowControl w:val="0"/>
        <w:kinsoku/>
        <w:wordWrap/>
        <w:overflowPunct/>
        <w:topLinePunct w:val="0"/>
        <w:autoSpaceDE/>
        <w:autoSpaceDN/>
        <w:bidi w:val="0"/>
        <w:adjustRightInd/>
        <w:snapToGrid/>
        <w:spacing w:line="380" w:lineRule="exact"/>
        <w:ind w:left="25" w:leftChars="12" w:firstLine="413" w:firstLineChars="197"/>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质疑事项1：</w:t>
      </w:r>
      <w:r>
        <w:rPr>
          <w:rFonts w:hint="eastAsia" w:ascii="宋体" w:hAnsi="宋体" w:eastAsia="宋体" w:cs="宋体"/>
          <w:bCs/>
          <w:color w:val="auto"/>
          <w:kern w:val="0"/>
          <w:szCs w:val="21"/>
          <w:highlight w:val="none"/>
          <w:u w:val="single"/>
        </w:rPr>
        <w:t xml:space="preserve">                                                                    </w:t>
      </w:r>
    </w:p>
    <w:p w14:paraId="396CA77C">
      <w:pPr>
        <w:keepNext w:val="0"/>
        <w:keepLines w:val="0"/>
        <w:pageBreakBefore w:val="0"/>
        <w:widowControl w:val="0"/>
        <w:kinsoku/>
        <w:wordWrap/>
        <w:overflowPunct/>
        <w:topLinePunct w:val="0"/>
        <w:autoSpaceDE/>
        <w:autoSpaceDN/>
        <w:bidi w:val="0"/>
        <w:adjustRightInd/>
        <w:snapToGrid/>
        <w:spacing w:line="380" w:lineRule="exact"/>
        <w:ind w:left="25" w:leftChars="12" w:firstLine="413" w:firstLineChars="197"/>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事实依据：</w:t>
      </w:r>
      <w:r>
        <w:rPr>
          <w:rFonts w:hint="eastAsia" w:ascii="宋体" w:hAnsi="宋体" w:eastAsia="宋体" w:cs="宋体"/>
          <w:bCs/>
          <w:color w:val="auto"/>
          <w:kern w:val="0"/>
          <w:szCs w:val="21"/>
          <w:highlight w:val="none"/>
          <w:u w:val="single"/>
        </w:rPr>
        <w:t xml:space="preserve">                                                                      </w:t>
      </w:r>
    </w:p>
    <w:p w14:paraId="6FFAD3E5">
      <w:pPr>
        <w:keepNext w:val="0"/>
        <w:keepLines w:val="0"/>
        <w:pageBreakBefore w:val="0"/>
        <w:widowControl w:val="0"/>
        <w:kinsoku/>
        <w:wordWrap/>
        <w:overflowPunct/>
        <w:topLinePunct w:val="0"/>
        <w:autoSpaceDE/>
        <w:autoSpaceDN/>
        <w:bidi w:val="0"/>
        <w:adjustRightInd/>
        <w:snapToGrid/>
        <w:spacing w:line="380" w:lineRule="exact"/>
        <w:ind w:left="25" w:leftChars="12" w:firstLine="413" w:firstLineChars="197"/>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法律依据：</w:t>
      </w:r>
      <w:r>
        <w:rPr>
          <w:rFonts w:hint="eastAsia" w:ascii="宋体" w:hAnsi="宋体" w:eastAsia="宋体" w:cs="宋体"/>
          <w:color w:val="auto"/>
          <w:kern w:val="0"/>
          <w:szCs w:val="21"/>
          <w:highlight w:val="none"/>
          <w:u w:val="single"/>
        </w:rPr>
        <w:t xml:space="preserve">                                                        </w:t>
      </w:r>
      <w:r>
        <w:rPr>
          <w:rFonts w:hint="eastAsia" w:ascii="宋体" w:hAnsi="宋体" w:eastAsia="宋体" w:cs="宋体"/>
          <w:bCs/>
          <w:color w:val="auto"/>
          <w:kern w:val="0"/>
          <w:szCs w:val="21"/>
          <w:highlight w:val="none"/>
          <w:u w:val="single"/>
        </w:rPr>
        <w:t xml:space="preserve">               </w:t>
      </w:r>
    </w:p>
    <w:p w14:paraId="728B41D8">
      <w:pPr>
        <w:keepNext w:val="0"/>
        <w:keepLines w:val="0"/>
        <w:pageBreakBefore w:val="0"/>
        <w:widowControl w:val="0"/>
        <w:kinsoku/>
        <w:wordWrap/>
        <w:overflowPunct/>
        <w:topLinePunct w:val="0"/>
        <w:autoSpaceDE/>
        <w:autoSpaceDN/>
        <w:bidi w:val="0"/>
        <w:adjustRightInd/>
        <w:snapToGrid/>
        <w:spacing w:line="380" w:lineRule="exact"/>
        <w:ind w:left="25" w:leftChars="12" w:firstLine="413" w:firstLineChars="197"/>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质疑事项2</w:t>
      </w:r>
    </w:p>
    <w:p w14:paraId="2DA86291">
      <w:pPr>
        <w:keepNext w:val="0"/>
        <w:keepLines w:val="0"/>
        <w:pageBreakBefore w:val="0"/>
        <w:widowControl w:val="0"/>
        <w:kinsoku/>
        <w:wordWrap/>
        <w:overflowPunct/>
        <w:topLinePunct w:val="0"/>
        <w:autoSpaceDE/>
        <w:autoSpaceDN/>
        <w:bidi w:val="0"/>
        <w:adjustRightInd/>
        <w:snapToGrid/>
        <w:spacing w:line="380" w:lineRule="exact"/>
        <w:ind w:left="25" w:leftChars="12" w:firstLine="413" w:firstLineChars="197"/>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p w14:paraId="5DE81946">
      <w:pPr>
        <w:keepNext w:val="0"/>
        <w:keepLines w:val="0"/>
        <w:pageBreakBefore w:val="0"/>
        <w:widowControl w:val="0"/>
        <w:kinsoku/>
        <w:wordWrap/>
        <w:overflowPunct/>
        <w:topLinePunct w:val="0"/>
        <w:autoSpaceDE/>
        <w:autoSpaceDN/>
        <w:bidi w:val="0"/>
        <w:adjustRightInd/>
        <w:snapToGrid/>
        <w:spacing w:line="380" w:lineRule="exact"/>
        <w:ind w:left="25" w:leftChars="12" w:firstLine="413" w:firstLineChars="197"/>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四、与质疑事项相关的质疑请求：</w:t>
      </w:r>
    </w:p>
    <w:p w14:paraId="45D0CB98">
      <w:pPr>
        <w:keepNext w:val="0"/>
        <w:keepLines w:val="0"/>
        <w:pageBreakBefore w:val="0"/>
        <w:widowControl w:val="0"/>
        <w:kinsoku/>
        <w:wordWrap/>
        <w:overflowPunct/>
        <w:topLinePunct w:val="0"/>
        <w:autoSpaceDE/>
        <w:autoSpaceDN/>
        <w:bidi w:val="0"/>
        <w:adjustRightInd/>
        <w:snapToGrid/>
        <w:spacing w:line="380" w:lineRule="exact"/>
        <w:ind w:left="25" w:leftChars="12" w:firstLine="413" w:firstLineChars="197"/>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请求：</w:t>
      </w:r>
      <w:r>
        <w:rPr>
          <w:rFonts w:hint="eastAsia" w:ascii="宋体" w:hAnsi="宋体" w:eastAsia="宋体" w:cs="宋体"/>
          <w:bCs/>
          <w:color w:val="auto"/>
          <w:kern w:val="0"/>
          <w:szCs w:val="21"/>
          <w:highlight w:val="none"/>
          <w:u w:val="single"/>
        </w:rPr>
        <w:t xml:space="preserve">                                                                </w:t>
      </w:r>
    </w:p>
    <w:p w14:paraId="7EEB8CA6">
      <w:pPr>
        <w:keepNext w:val="0"/>
        <w:keepLines w:val="0"/>
        <w:pageBreakBefore w:val="0"/>
        <w:widowControl w:val="0"/>
        <w:kinsoku/>
        <w:wordWrap/>
        <w:overflowPunct/>
        <w:topLinePunct w:val="0"/>
        <w:autoSpaceDE/>
        <w:autoSpaceDN/>
        <w:bidi w:val="0"/>
        <w:adjustRightInd/>
        <w:snapToGrid/>
        <w:spacing w:line="380" w:lineRule="exact"/>
        <w:ind w:left="25" w:leftChars="12" w:firstLine="308" w:firstLineChars="147"/>
        <w:contextualSpacing/>
        <w:textAlignment w:val="auto"/>
        <w:rPr>
          <w:rFonts w:hint="eastAsia" w:ascii="宋体" w:hAnsi="宋体" w:eastAsia="宋体" w:cs="宋体"/>
          <w:color w:val="auto"/>
          <w:kern w:val="0"/>
          <w:szCs w:val="21"/>
          <w:highlight w:val="none"/>
        </w:rPr>
      </w:pPr>
    </w:p>
    <w:p w14:paraId="0F11589B">
      <w:pPr>
        <w:keepNext w:val="0"/>
        <w:keepLines w:val="0"/>
        <w:pageBreakBefore w:val="0"/>
        <w:widowControl w:val="0"/>
        <w:kinsoku/>
        <w:wordWrap/>
        <w:overflowPunct/>
        <w:topLinePunct w:val="0"/>
        <w:autoSpaceDE/>
        <w:autoSpaceDN/>
        <w:bidi w:val="0"/>
        <w:adjustRightInd/>
        <w:snapToGrid/>
        <w:spacing w:line="380" w:lineRule="exact"/>
        <w:ind w:left="25" w:leftChars="12" w:firstLine="413" w:firstLineChars="197"/>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签字（签章）：                                       公章：</w:t>
      </w:r>
    </w:p>
    <w:p w14:paraId="28BCEA06">
      <w:pPr>
        <w:keepNext w:val="0"/>
        <w:keepLines w:val="0"/>
        <w:pageBreakBefore w:val="0"/>
        <w:widowControl w:val="0"/>
        <w:kinsoku/>
        <w:wordWrap/>
        <w:overflowPunct/>
        <w:topLinePunct w:val="0"/>
        <w:autoSpaceDE/>
        <w:autoSpaceDN/>
        <w:bidi w:val="0"/>
        <w:adjustRightInd/>
        <w:snapToGrid/>
        <w:spacing w:line="380" w:lineRule="exact"/>
        <w:ind w:left="25" w:leftChars="12" w:firstLine="413" w:firstLineChars="197"/>
        <w:contextualSpacing/>
        <w:textAlignment w:val="auto"/>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日期：</w:t>
      </w:r>
    </w:p>
    <w:p w14:paraId="3D5AD9BD">
      <w:pPr>
        <w:keepNext w:val="0"/>
        <w:keepLines w:val="0"/>
        <w:pageBreakBefore w:val="0"/>
        <w:widowControl w:val="0"/>
        <w:kinsoku/>
        <w:wordWrap/>
        <w:overflowPunct/>
        <w:topLinePunct w:val="0"/>
        <w:autoSpaceDE/>
        <w:autoSpaceDN/>
        <w:bidi w:val="0"/>
        <w:adjustRightInd/>
        <w:snapToGrid/>
        <w:spacing w:line="380" w:lineRule="exact"/>
        <w:contextualSpacing/>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w:t>
      </w:r>
    </w:p>
    <w:p w14:paraId="0F4CDCC5">
      <w:pPr>
        <w:keepNext w:val="0"/>
        <w:keepLines w:val="0"/>
        <w:pageBreakBefore w:val="0"/>
        <w:widowControl w:val="0"/>
        <w:kinsoku/>
        <w:wordWrap/>
        <w:overflowPunct/>
        <w:topLinePunct w:val="0"/>
        <w:autoSpaceDE/>
        <w:autoSpaceDN/>
        <w:bidi w:val="0"/>
        <w:adjustRightInd/>
        <w:snapToGrid/>
        <w:spacing w:line="380" w:lineRule="exact"/>
        <w:ind w:left="25" w:leftChars="12" w:firstLine="310" w:firstLineChars="147"/>
        <w:contextualSpacing/>
        <w:textAlignment w:val="auto"/>
        <w:rPr>
          <w:rFonts w:hint="eastAsia" w:ascii="宋体" w:hAnsi="宋体" w:eastAsia="宋体" w:cs="宋体"/>
          <w:b/>
          <w:bCs/>
          <w:color w:val="auto"/>
          <w:kern w:val="0"/>
          <w:szCs w:val="21"/>
          <w:highlight w:val="none"/>
        </w:rPr>
      </w:pPr>
      <w:r>
        <w:rPr>
          <w:rFonts w:hint="eastAsia" w:ascii="宋体" w:hAnsi="宋体" w:eastAsia="宋体" w:cs="宋体"/>
          <w:b/>
          <w:color w:val="auto"/>
          <w:kern w:val="0"/>
          <w:szCs w:val="21"/>
          <w:highlight w:val="none"/>
        </w:rPr>
        <w:t>1.供应商提出质疑时，应提交质疑函和必要的证明材料</w:t>
      </w:r>
      <w:r>
        <w:rPr>
          <w:rFonts w:hint="eastAsia" w:ascii="宋体" w:hAnsi="宋体" w:eastAsia="宋体" w:cs="宋体"/>
          <w:b/>
          <w:bCs/>
          <w:color w:val="auto"/>
          <w:kern w:val="0"/>
          <w:szCs w:val="21"/>
          <w:highlight w:val="none"/>
        </w:rPr>
        <w:t>。</w:t>
      </w:r>
    </w:p>
    <w:p w14:paraId="2734EFE9">
      <w:pPr>
        <w:keepNext w:val="0"/>
        <w:keepLines w:val="0"/>
        <w:pageBreakBefore w:val="0"/>
        <w:widowControl w:val="0"/>
        <w:kinsoku/>
        <w:wordWrap/>
        <w:overflowPunct/>
        <w:topLinePunct w:val="0"/>
        <w:autoSpaceDE/>
        <w:autoSpaceDN/>
        <w:bidi w:val="0"/>
        <w:adjustRightInd/>
        <w:snapToGrid/>
        <w:spacing w:line="380" w:lineRule="exact"/>
        <w:ind w:left="25" w:leftChars="12" w:firstLine="310" w:firstLineChars="147"/>
        <w:contextualSpacing/>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E45A103">
      <w:pPr>
        <w:keepNext w:val="0"/>
        <w:keepLines w:val="0"/>
        <w:pageBreakBefore w:val="0"/>
        <w:widowControl w:val="0"/>
        <w:kinsoku/>
        <w:wordWrap/>
        <w:overflowPunct/>
        <w:topLinePunct w:val="0"/>
        <w:autoSpaceDE/>
        <w:autoSpaceDN/>
        <w:bidi w:val="0"/>
        <w:adjustRightInd/>
        <w:snapToGrid/>
        <w:spacing w:line="380" w:lineRule="exact"/>
        <w:ind w:left="25" w:leftChars="12" w:firstLine="310" w:firstLineChars="147"/>
        <w:contextualSpacing/>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3.质疑函的质疑事项应具体、明确，并有必要的事实依据和法律依据。</w:t>
      </w:r>
    </w:p>
    <w:p w14:paraId="00AB9C0B">
      <w:pPr>
        <w:keepNext w:val="0"/>
        <w:keepLines w:val="0"/>
        <w:pageBreakBefore w:val="0"/>
        <w:widowControl w:val="0"/>
        <w:kinsoku/>
        <w:wordWrap/>
        <w:overflowPunct/>
        <w:topLinePunct w:val="0"/>
        <w:autoSpaceDE/>
        <w:autoSpaceDN/>
        <w:bidi w:val="0"/>
        <w:adjustRightInd/>
        <w:snapToGrid/>
        <w:spacing w:line="380" w:lineRule="exact"/>
        <w:ind w:left="25" w:leftChars="12" w:firstLine="310" w:firstLineChars="147"/>
        <w:contextualSpacing/>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4.质疑函的质疑请求应与质疑事项相关。</w:t>
      </w:r>
    </w:p>
    <w:p w14:paraId="2F006CD4">
      <w:pPr>
        <w:keepNext w:val="0"/>
        <w:keepLines w:val="0"/>
        <w:pageBreakBefore w:val="0"/>
        <w:widowControl w:val="0"/>
        <w:kinsoku/>
        <w:wordWrap/>
        <w:overflowPunct/>
        <w:topLinePunct w:val="0"/>
        <w:autoSpaceDE/>
        <w:autoSpaceDN/>
        <w:bidi w:val="0"/>
        <w:adjustRightInd/>
        <w:snapToGrid/>
        <w:spacing w:line="380" w:lineRule="exact"/>
        <w:ind w:left="25" w:leftChars="12" w:firstLine="310" w:firstLineChars="147"/>
        <w:contextualSpacing/>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5.质疑供应商为法人或者其他组织的，质疑函应由法定代表人、主要负责人，或者其授权代表签字或者盖章，并加盖公章。</w:t>
      </w:r>
    </w:p>
    <w:p w14:paraId="64E03B4C">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4FD337AB">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4BD0683A">
      <w:pPr>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一、投诉相关主体基本情况：</w:t>
      </w:r>
    </w:p>
    <w:p w14:paraId="67090462">
      <w:pPr>
        <w:snapToGrid w:val="0"/>
        <w:spacing w:line="360" w:lineRule="auto"/>
        <w:ind w:firstLine="420" w:firstLineChars="200"/>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rPr>
        <w:t>供应商：</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 xml:space="preserve">                 </w:t>
      </w:r>
    </w:p>
    <w:p w14:paraId="6717C3B6">
      <w:pPr>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地址：</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邮编：</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 xml:space="preserve">                 </w:t>
      </w:r>
    </w:p>
    <w:p w14:paraId="4F4A3001">
      <w:pPr>
        <w:snapToGrid w:val="0"/>
        <w:spacing w:line="360" w:lineRule="auto"/>
        <w:ind w:firstLine="420" w:firstLineChars="200"/>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rPr>
        <w:t>法定代表人/主要负责人：</w:t>
      </w:r>
      <w:r>
        <w:rPr>
          <w:rFonts w:hint="eastAsia" w:ascii="宋体" w:hAnsi="宋体" w:eastAsia="宋体" w:cs="宋体"/>
          <w:bCs/>
          <w:color w:val="auto"/>
          <w:kern w:val="0"/>
          <w:szCs w:val="21"/>
          <w:highlight w:val="none"/>
          <w:u w:val="single"/>
        </w:rPr>
        <w:t xml:space="preserve">                                                         </w:t>
      </w:r>
    </w:p>
    <w:p w14:paraId="13E09124">
      <w:pPr>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联系电话：</w:t>
      </w:r>
      <w:r>
        <w:rPr>
          <w:rFonts w:hint="eastAsia" w:ascii="宋体" w:hAnsi="宋体" w:eastAsia="宋体" w:cs="宋体"/>
          <w:bCs/>
          <w:color w:val="auto"/>
          <w:kern w:val="0"/>
          <w:szCs w:val="21"/>
          <w:highlight w:val="none"/>
          <w:u w:val="single"/>
        </w:rPr>
        <w:t xml:space="preserve">                                         </w:t>
      </w:r>
    </w:p>
    <w:p w14:paraId="69E13BB2">
      <w:pPr>
        <w:snapToGrid w:val="0"/>
        <w:spacing w:line="360" w:lineRule="auto"/>
        <w:ind w:firstLine="420" w:firstLineChars="200"/>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rPr>
        <w:t>授权代表：</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联系电话：</w:t>
      </w:r>
      <w:r>
        <w:rPr>
          <w:rFonts w:hint="eastAsia" w:ascii="宋体" w:hAnsi="宋体" w:eastAsia="宋体" w:cs="宋体"/>
          <w:bCs/>
          <w:color w:val="auto"/>
          <w:kern w:val="0"/>
          <w:szCs w:val="21"/>
          <w:highlight w:val="none"/>
          <w:u w:val="single"/>
        </w:rPr>
        <w:t xml:space="preserve">                   </w:t>
      </w:r>
    </w:p>
    <w:p w14:paraId="35D44F84">
      <w:pPr>
        <w:snapToGrid w:val="0"/>
        <w:spacing w:line="360" w:lineRule="auto"/>
        <w:ind w:firstLine="420" w:firstLineChars="200"/>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rPr>
        <w:t>地址：</w:t>
      </w:r>
      <w:r>
        <w:rPr>
          <w:rFonts w:hint="eastAsia" w:ascii="宋体" w:hAnsi="宋体" w:eastAsia="宋体" w:cs="宋体"/>
          <w:bCs/>
          <w:color w:val="auto"/>
          <w:kern w:val="0"/>
          <w:szCs w:val="21"/>
          <w:highlight w:val="none"/>
          <w:u w:val="single"/>
        </w:rPr>
        <w:t xml:space="preserve">                                                            </w:t>
      </w:r>
    </w:p>
    <w:p w14:paraId="585397A2">
      <w:pPr>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邮编：</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 xml:space="preserve">   </w:t>
      </w:r>
    </w:p>
    <w:p w14:paraId="03026B85">
      <w:pPr>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被投诉人1：</w:t>
      </w:r>
    </w:p>
    <w:p w14:paraId="4C20CF9A">
      <w:pPr>
        <w:snapToGrid w:val="0"/>
        <w:spacing w:line="360" w:lineRule="auto"/>
        <w:ind w:firstLine="420" w:firstLineChars="200"/>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rPr>
        <w:t>地址：</w:t>
      </w:r>
      <w:r>
        <w:rPr>
          <w:rFonts w:hint="eastAsia" w:ascii="宋体" w:hAnsi="宋体" w:eastAsia="宋体" w:cs="宋体"/>
          <w:bCs/>
          <w:color w:val="auto"/>
          <w:kern w:val="0"/>
          <w:szCs w:val="21"/>
          <w:highlight w:val="none"/>
          <w:u w:val="single"/>
        </w:rPr>
        <w:t xml:space="preserve">                                                            </w:t>
      </w:r>
    </w:p>
    <w:p w14:paraId="452C772D">
      <w:pPr>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邮编：</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 xml:space="preserve">  </w:t>
      </w:r>
    </w:p>
    <w:p w14:paraId="4CA85687">
      <w:pPr>
        <w:snapToGrid w:val="0"/>
        <w:spacing w:line="360" w:lineRule="auto"/>
        <w:ind w:firstLine="420" w:firstLineChars="200"/>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rPr>
        <w:t>联系人：</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联系电话：</w:t>
      </w:r>
      <w:r>
        <w:rPr>
          <w:rFonts w:hint="eastAsia" w:ascii="宋体" w:hAnsi="宋体" w:eastAsia="宋体" w:cs="宋体"/>
          <w:bCs/>
          <w:color w:val="auto"/>
          <w:kern w:val="0"/>
          <w:szCs w:val="21"/>
          <w:highlight w:val="none"/>
          <w:u w:val="single"/>
        </w:rPr>
        <w:t xml:space="preserve">                </w:t>
      </w:r>
    </w:p>
    <w:p w14:paraId="56DB3FB6">
      <w:pPr>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被投诉人2：</w:t>
      </w:r>
    </w:p>
    <w:p w14:paraId="128A16CC">
      <w:pPr>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p w14:paraId="1C5AD33C">
      <w:pPr>
        <w:snapToGrid w:val="0"/>
        <w:spacing w:line="360" w:lineRule="auto"/>
        <w:ind w:firstLine="420" w:firstLineChars="200"/>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rPr>
        <w:t>相关供应商：</w:t>
      </w:r>
      <w:r>
        <w:rPr>
          <w:rFonts w:hint="eastAsia" w:ascii="宋体" w:hAnsi="宋体" w:eastAsia="宋体" w:cs="宋体"/>
          <w:bCs/>
          <w:color w:val="auto"/>
          <w:kern w:val="0"/>
          <w:szCs w:val="21"/>
          <w:highlight w:val="none"/>
          <w:u w:val="single"/>
        </w:rPr>
        <w:t xml:space="preserve">                                                                       </w:t>
      </w:r>
    </w:p>
    <w:p w14:paraId="5241341C">
      <w:pPr>
        <w:snapToGrid w:val="0"/>
        <w:spacing w:line="360" w:lineRule="auto"/>
        <w:ind w:firstLine="420" w:firstLineChars="200"/>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rPr>
        <w:t>地址：</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邮编：</w:t>
      </w:r>
      <w:r>
        <w:rPr>
          <w:rFonts w:hint="eastAsia" w:ascii="宋体" w:hAnsi="宋体" w:eastAsia="宋体" w:cs="宋体"/>
          <w:bCs/>
          <w:color w:val="auto"/>
          <w:kern w:val="0"/>
          <w:szCs w:val="21"/>
          <w:highlight w:val="none"/>
          <w:u w:val="single"/>
        </w:rPr>
        <w:t xml:space="preserve">                         </w:t>
      </w:r>
    </w:p>
    <w:p w14:paraId="00AEA9A6">
      <w:pPr>
        <w:snapToGrid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联系人：</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联系电话：</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 xml:space="preserve">                </w:t>
      </w:r>
    </w:p>
    <w:p w14:paraId="14F4AC2E">
      <w:pPr>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二、投诉项目基本情况：</w:t>
      </w:r>
    </w:p>
    <w:p w14:paraId="6A185616">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采购</w:t>
      </w:r>
      <w:r>
        <w:rPr>
          <w:rFonts w:hint="eastAsia" w:ascii="宋体" w:hAnsi="宋体" w:eastAsia="宋体" w:cs="宋体"/>
          <w:color w:val="auto"/>
          <w:kern w:val="0"/>
          <w:szCs w:val="21"/>
          <w:highlight w:val="none"/>
        </w:rPr>
        <w:t>项目的名称：</w:t>
      </w:r>
      <w:r>
        <w:rPr>
          <w:rFonts w:hint="eastAsia" w:ascii="宋体" w:hAnsi="宋体" w:eastAsia="宋体" w:cs="宋体"/>
          <w:bCs/>
          <w:color w:val="auto"/>
          <w:kern w:val="0"/>
          <w:szCs w:val="21"/>
          <w:highlight w:val="none"/>
          <w:u w:val="single"/>
        </w:rPr>
        <w:t xml:space="preserve">                                                                   </w:t>
      </w:r>
    </w:p>
    <w:p w14:paraId="27AFAFCB">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采购</w:t>
      </w:r>
      <w:r>
        <w:rPr>
          <w:rFonts w:hint="eastAsia" w:ascii="宋体" w:hAnsi="宋体" w:eastAsia="宋体" w:cs="宋体"/>
          <w:color w:val="auto"/>
          <w:kern w:val="0"/>
          <w:szCs w:val="21"/>
          <w:highlight w:val="none"/>
        </w:rPr>
        <w:t>项目的编号：</w:t>
      </w:r>
      <w:r>
        <w:rPr>
          <w:rFonts w:hint="eastAsia" w:ascii="宋体" w:hAnsi="宋体" w:eastAsia="宋体" w:cs="宋体"/>
          <w:bCs/>
          <w:color w:val="auto"/>
          <w:kern w:val="0"/>
          <w:szCs w:val="21"/>
          <w:highlight w:val="none"/>
          <w:u w:val="single"/>
        </w:rPr>
        <w:t xml:space="preserve">                                          </w:t>
      </w:r>
    </w:p>
    <w:p w14:paraId="42CC4D96">
      <w:pPr>
        <w:spacing w:line="360" w:lineRule="auto"/>
        <w:ind w:left="25" w:leftChars="12" w:firstLine="413" w:firstLineChars="197"/>
        <w:rPr>
          <w:rFonts w:hint="eastAsia" w:ascii="宋体" w:hAnsi="宋体" w:eastAsia="宋体" w:cs="宋体"/>
          <w:bCs/>
          <w:color w:val="auto"/>
          <w:kern w:val="0"/>
          <w:szCs w:val="21"/>
          <w:highlight w:val="none"/>
          <w:u w:val="single"/>
        </w:rPr>
      </w:pPr>
      <w:r>
        <w:rPr>
          <w:rFonts w:hint="eastAsia" w:ascii="宋体" w:hAnsi="宋体" w:eastAsia="宋体" w:cs="宋体"/>
          <w:color w:val="auto"/>
          <w:kern w:val="0"/>
          <w:szCs w:val="21"/>
          <w:highlight w:val="none"/>
        </w:rPr>
        <w:t>采购人名称：</w:t>
      </w:r>
      <w:r>
        <w:rPr>
          <w:rFonts w:hint="eastAsia" w:ascii="宋体" w:hAnsi="宋体" w:eastAsia="宋体" w:cs="宋体"/>
          <w:bCs/>
          <w:color w:val="auto"/>
          <w:kern w:val="0"/>
          <w:szCs w:val="21"/>
          <w:highlight w:val="none"/>
          <w:u w:val="single"/>
        </w:rPr>
        <w:t xml:space="preserve">                                                                        </w:t>
      </w:r>
    </w:p>
    <w:p w14:paraId="0961B3B9">
      <w:pPr>
        <w:spacing w:line="360" w:lineRule="auto"/>
        <w:ind w:left="25" w:leftChars="12" w:firstLine="413" w:firstLineChars="197"/>
        <w:rPr>
          <w:rFonts w:hint="eastAsia" w:ascii="宋体" w:hAnsi="宋体" w:eastAsia="宋体" w:cs="宋体"/>
          <w:bCs/>
          <w:color w:val="auto"/>
          <w:kern w:val="0"/>
          <w:szCs w:val="21"/>
          <w:highlight w:val="none"/>
          <w:u w:val="single"/>
        </w:rPr>
      </w:pPr>
      <w:r>
        <w:rPr>
          <w:rFonts w:hint="eastAsia" w:ascii="宋体" w:hAnsi="宋体" w:eastAsia="宋体" w:cs="宋体"/>
          <w:color w:val="auto"/>
          <w:kern w:val="0"/>
          <w:szCs w:val="21"/>
          <w:highlight w:val="none"/>
        </w:rPr>
        <w:t>代理机构名称：</w:t>
      </w:r>
      <w:r>
        <w:rPr>
          <w:rFonts w:hint="eastAsia" w:ascii="宋体" w:hAnsi="宋体" w:eastAsia="宋体" w:cs="宋体"/>
          <w:bCs/>
          <w:color w:val="auto"/>
          <w:kern w:val="0"/>
          <w:szCs w:val="21"/>
          <w:highlight w:val="none"/>
          <w:u w:val="single"/>
        </w:rPr>
        <w:t xml:space="preserve">                                                                      </w:t>
      </w:r>
    </w:p>
    <w:p w14:paraId="1703BCFA">
      <w:pPr>
        <w:spacing w:line="360" w:lineRule="auto"/>
        <w:ind w:left="25" w:leftChars="12" w:firstLine="413" w:firstLineChars="197"/>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rPr>
        <w:t>采购文件公告：</w:t>
      </w:r>
      <w:r>
        <w:rPr>
          <w:rFonts w:hint="eastAsia" w:ascii="宋体" w:hAnsi="宋体" w:eastAsia="宋体" w:cs="宋体"/>
          <w:bCs/>
          <w:color w:val="auto"/>
          <w:kern w:val="0"/>
          <w:szCs w:val="21"/>
          <w:highlight w:val="none"/>
          <w:u w:val="single"/>
        </w:rPr>
        <w:t>是/否</w:t>
      </w:r>
      <w:r>
        <w:rPr>
          <w:rFonts w:hint="eastAsia" w:ascii="宋体" w:hAnsi="宋体" w:eastAsia="宋体" w:cs="宋体"/>
          <w:bCs/>
          <w:color w:val="auto"/>
          <w:kern w:val="0"/>
          <w:szCs w:val="21"/>
          <w:highlight w:val="none"/>
        </w:rPr>
        <w:t>公告期限：</w:t>
      </w:r>
      <w:r>
        <w:rPr>
          <w:rFonts w:hint="eastAsia" w:ascii="宋体" w:hAnsi="宋体" w:eastAsia="宋体" w:cs="宋体"/>
          <w:bCs/>
          <w:color w:val="auto"/>
          <w:kern w:val="0"/>
          <w:szCs w:val="21"/>
          <w:highlight w:val="none"/>
          <w:u w:val="single"/>
        </w:rPr>
        <w:t xml:space="preserve">                                                       </w:t>
      </w:r>
    </w:p>
    <w:p w14:paraId="0143327A">
      <w:pPr>
        <w:spacing w:line="360" w:lineRule="auto"/>
        <w:ind w:left="25" w:leftChars="12" w:firstLine="413" w:firstLineChars="197"/>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rPr>
        <w:t>采购结果公告：</w:t>
      </w:r>
      <w:r>
        <w:rPr>
          <w:rFonts w:hint="eastAsia" w:ascii="宋体" w:hAnsi="宋体" w:eastAsia="宋体" w:cs="宋体"/>
          <w:bCs/>
          <w:color w:val="auto"/>
          <w:kern w:val="0"/>
          <w:szCs w:val="21"/>
          <w:highlight w:val="none"/>
          <w:u w:val="single"/>
        </w:rPr>
        <w:t>是/否</w:t>
      </w:r>
      <w:r>
        <w:rPr>
          <w:rFonts w:hint="eastAsia" w:ascii="宋体" w:hAnsi="宋体" w:eastAsia="宋体" w:cs="宋体"/>
          <w:bCs/>
          <w:color w:val="auto"/>
          <w:kern w:val="0"/>
          <w:szCs w:val="21"/>
          <w:highlight w:val="none"/>
        </w:rPr>
        <w:t>公告期限：</w:t>
      </w:r>
      <w:r>
        <w:rPr>
          <w:rFonts w:hint="eastAsia" w:ascii="宋体" w:hAnsi="宋体" w:eastAsia="宋体" w:cs="宋体"/>
          <w:bCs/>
          <w:color w:val="auto"/>
          <w:kern w:val="0"/>
          <w:szCs w:val="21"/>
          <w:highlight w:val="none"/>
          <w:u w:val="single"/>
        </w:rPr>
        <w:t xml:space="preserve">                                                       </w:t>
      </w:r>
    </w:p>
    <w:p w14:paraId="139D9317">
      <w:pPr>
        <w:spacing w:line="360" w:lineRule="auto"/>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三、质疑基本情况</w:t>
      </w:r>
    </w:p>
    <w:p w14:paraId="6FB812A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投诉人于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日，向</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提出质疑，质疑事项为：</w:t>
      </w:r>
    </w:p>
    <w:p w14:paraId="16F6356A">
      <w:pPr>
        <w:spacing w:line="360" w:lineRule="auto"/>
        <w:ind w:firstLine="241"/>
        <w:rPr>
          <w:rFonts w:hint="eastAsia" w:ascii="宋体" w:hAnsi="宋体" w:eastAsia="宋体" w:cs="宋体"/>
          <w:bCs/>
          <w:color w:val="auto"/>
          <w:kern w:val="0"/>
          <w:szCs w:val="21"/>
          <w:highlight w:val="none"/>
          <w:u w:val="single"/>
        </w:rPr>
      </w:pPr>
      <w:r>
        <w:rPr>
          <w:rFonts w:hint="eastAsia" w:ascii="宋体" w:hAnsi="宋体" w:eastAsia="宋体" w:cs="宋体"/>
          <w:color w:val="auto"/>
          <w:kern w:val="0"/>
          <w:szCs w:val="21"/>
          <w:highlight w:val="none"/>
        </w:rPr>
        <w:t xml:space="preserve">    </w:t>
      </w:r>
      <w:r>
        <w:rPr>
          <w:rFonts w:hint="eastAsia" w:ascii="宋体" w:hAnsi="宋体" w:eastAsia="宋体" w:cs="宋体"/>
          <w:bCs/>
          <w:color w:val="auto"/>
          <w:kern w:val="0"/>
          <w:szCs w:val="21"/>
          <w:highlight w:val="none"/>
          <w:u w:val="single"/>
        </w:rPr>
        <w:t xml:space="preserve">                                                                                      </w:t>
      </w:r>
    </w:p>
    <w:p w14:paraId="12D7B281">
      <w:pPr>
        <w:spacing w:line="360" w:lineRule="auto"/>
        <w:ind w:firstLine="241"/>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rPr>
        <w:t xml:space="preserve">    </w:t>
      </w:r>
      <w:r>
        <w:rPr>
          <w:rFonts w:hint="eastAsia" w:ascii="宋体" w:hAnsi="宋体" w:eastAsia="宋体" w:cs="宋体"/>
          <w:bCs/>
          <w:color w:val="auto"/>
          <w:kern w:val="0"/>
          <w:szCs w:val="21"/>
          <w:highlight w:val="none"/>
          <w:u w:val="single"/>
        </w:rPr>
        <w:t xml:space="preserve">                                                                                      </w:t>
      </w:r>
    </w:p>
    <w:p w14:paraId="726D081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u w:val="single"/>
        </w:rPr>
        <w:t>采购人/采购代理机构</w:t>
      </w:r>
      <w:r>
        <w:rPr>
          <w:rFonts w:hint="eastAsia" w:ascii="宋体" w:hAnsi="宋体" w:eastAsia="宋体" w:cs="宋体"/>
          <w:bCs/>
          <w:color w:val="auto"/>
          <w:kern w:val="0"/>
          <w:szCs w:val="21"/>
          <w:highlight w:val="none"/>
        </w:rPr>
        <w:t>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r>
        <w:rPr>
          <w:rFonts w:hint="eastAsia" w:ascii="宋体" w:hAnsi="宋体" w:eastAsia="宋体" w:cs="宋体"/>
          <w:bCs/>
          <w:color w:val="auto"/>
          <w:kern w:val="0"/>
          <w:szCs w:val="21"/>
          <w:highlight w:val="none"/>
        </w:rPr>
        <w:t xml:space="preserve">就质疑事项作出了答复/没有在法定期限内作出答复。                                                                                             </w:t>
      </w:r>
    </w:p>
    <w:p w14:paraId="7CB11BB4">
      <w:pPr>
        <w:spacing w:line="360" w:lineRule="auto"/>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四、投诉事项具体内容</w:t>
      </w:r>
    </w:p>
    <w:p w14:paraId="7285E45A">
      <w:pPr>
        <w:spacing w:line="360" w:lineRule="auto"/>
        <w:ind w:left="25" w:leftChars="12" w:firstLine="413" w:firstLineChars="197"/>
        <w:rPr>
          <w:rFonts w:hint="eastAsia" w:ascii="宋体" w:hAnsi="宋体" w:eastAsia="宋体" w:cs="宋体"/>
          <w:bCs/>
          <w:color w:val="auto"/>
          <w:kern w:val="0"/>
          <w:szCs w:val="21"/>
          <w:highlight w:val="none"/>
          <w:u w:val="single"/>
        </w:rPr>
      </w:pPr>
      <w:r>
        <w:rPr>
          <w:rFonts w:hint="eastAsia" w:ascii="宋体" w:hAnsi="宋体" w:eastAsia="宋体" w:cs="宋体"/>
          <w:color w:val="auto"/>
          <w:kern w:val="0"/>
          <w:szCs w:val="21"/>
          <w:highlight w:val="none"/>
        </w:rPr>
        <w:t>投诉事项1：</w:t>
      </w:r>
      <w:r>
        <w:rPr>
          <w:rFonts w:hint="eastAsia" w:ascii="宋体" w:hAnsi="宋体" w:eastAsia="宋体" w:cs="宋体"/>
          <w:bCs/>
          <w:color w:val="auto"/>
          <w:kern w:val="0"/>
          <w:szCs w:val="21"/>
          <w:highlight w:val="none"/>
          <w:u w:val="single"/>
        </w:rPr>
        <w:t xml:space="preserve">                                                                           </w:t>
      </w:r>
    </w:p>
    <w:p w14:paraId="37768F74">
      <w:pPr>
        <w:spacing w:line="360" w:lineRule="auto"/>
        <w:ind w:firstLine="420" w:firstLineChars="200"/>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rPr>
        <w:t>事实依据：</w:t>
      </w:r>
      <w:r>
        <w:rPr>
          <w:rFonts w:hint="eastAsia" w:ascii="宋体" w:hAnsi="宋体" w:eastAsia="宋体" w:cs="宋体"/>
          <w:color w:val="auto"/>
          <w:kern w:val="0"/>
          <w:szCs w:val="21"/>
          <w:highlight w:val="none"/>
        </w:rPr>
        <w:t xml:space="preserve"> </w:t>
      </w:r>
      <w:r>
        <w:rPr>
          <w:rFonts w:hint="eastAsia" w:ascii="宋体" w:hAnsi="宋体" w:eastAsia="宋体" w:cs="宋体"/>
          <w:bCs/>
          <w:color w:val="auto"/>
          <w:kern w:val="0"/>
          <w:szCs w:val="21"/>
          <w:highlight w:val="none"/>
          <w:u w:val="single"/>
        </w:rPr>
        <w:t xml:space="preserve">                                                                                      </w:t>
      </w:r>
    </w:p>
    <w:p w14:paraId="0609D463">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u w:val="single"/>
        </w:rPr>
        <w:t xml:space="preserve">                                                                                        </w:t>
      </w:r>
    </w:p>
    <w:p w14:paraId="5A21E73B">
      <w:pPr>
        <w:spacing w:line="360" w:lineRule="auto"/>
        <w:ind w:firstLine="420" w:firstLineChars="200"/>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rPr>
        <w:t>法律依据：</w:t>
      </w:r>
      <w:r>
        <w:rPr>
          <w:rFonts w:hint="eastAsia" w:ascii="宋体" w:hAnsi="宋体" w:eastAsia="宋体" w:cs="宋体"/>
          <w:color w:val="auto"/>
          <w:kern w:val="0"/>
          <w:szCs w:val="21"/>
          <w:highlight w:val="none"/>
        </w:rPr>
        <w:t xml:space="preserve"> </w:t>
      </w:r>
      <w:r>
        <w:rPr>
          <w:rFonts w:hint="eastAsia" w:ascii="宋体" w:hAnsi="宋体" w:eastAsia="宋体" w:cs="宋体"/>
          <w:bCs/>
          <w:color w:val="auto"/>
          <w:kern w:val="0"/>
          <w:szCs w:val="21"/>
          <w:highlight w:val="none"/>
          <w:u w:val="single"/>
        </w:rPr>
        <w:t xml:space="preserve">                                                                                      </w:t>
      </w:r>
    </w:p>
    <w:p w14:paraId="709A72A0">
      <w:pPr>
        <w:spacing w:line="360" w:lineRule="auto"/>
        <w:ind w:left="25" w:leftChars="12" w:firstLine="308" w:firstLineChars="147"/>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rPr>
        <w:t xml:space="preserve"> </w:t>
      </w:r>
      <w:r>
        <w:rPr>
          <w:rFonts w:hint="eastAsia" w:ascii="宋体" w:hAnsi="宋体" w:eastAsia="宋体" w:cs="宋体"/>
          <w:bCs/>
          <w:color w:val="auto"/>
          <w:kern w:val="0"/>
          <w:szCs w:val="21"/>
          <w:highlight w:val="none"/>
          <w:u w:val="single"/>
        </w:rPr>
        <w:t xml:space="preserve">                                                                                        </w:t>
      </w:r>
    </w:p>
    <w:p w14:paraId="6E4C3676">
      <w:pPr>
        <w:spacing w:line="360" w:lineRule="auto"/>
        <w:ind w:left="25" w:leftChars="12" w:firstLine="413" w:firstLineChars="197"/>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 xml:space="preserve">投诉事项2  </w:t>
      </w:r>
      <w:r>
        <w:rPr>
          <w:rFonts w:hint="eastAsia" w:ascii="宋体" w:hAnsi="宋体" w:eastAsia="宋体" w:cs="宋体"/>
          <w:bCs/>
          <w:color w:val="auto"/>
          <w:kern w:val="0"/>
          <w:szCs w:val="21"/>
          <w:highlight w:val="none"/>
        </w:rPr>
        <w:t xml:space="preserve">   </w:t>
      </w:r>
    </w:p>
    <w:p w14:paraId="589A2516">
      <w:pPr>
        <w:spacing w:line="360" w:lineRule="auto"/>
        <w:ind w:left="25" w:leftChars="12" w:firstLine="413" w:firstLineChars="197"/>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p w14:paraId="361B1933">
      <w:pPr>
        <w:spacing w:line="360" w:lineRule="auto"/>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五、与投诉事项相关的投诉请求：</w:t>
      </w:r>
    </w:p>
    <w:p w14:paraId="231C4E5E">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请求：</w:t>
      </w:r>
      <w:r>
        <w:rPr>
          <w:rFonts w:hint="eastAsia" w:ascii="宋体" w:hAnsi="宋体" w:eastAsia="宋体" w:cs="宋体"/>
          <w:bCs/>
          <w:color w:val="auto"/>
          <w:kern w:val="0"/>
          <w:szCs w:val="21"/>
          <w:highlight w:val="none"/>
          <w:u w:val="single"/>
        </w:rPr>
        <w:t xml:space="preserve">                                                                                 </w:t>
      </w:r>
    </w:p>
    <w:p w14:paraId="4649598E">
      <w:pPr>
        <w:spacing w:line="360" w:lineRule="auto"/>
        <w:ind w:left="25" w:leftChars="12" w:firstLine="308" w:firstLineChars="147"/>
        <w:rPr>
          <w:rFonts w:hint="eastAsia" w:ascii="宋体" w:hAnsi="宋体" w:eastAsia="宋体" w:cs="宋体"/>
          <w:color w:val="auto"/>
          <w:kern w:val="0"/>
          <w:szCs w:val="21"/>
          <w:highlight w:val="none"/>
        </w:rPr>
      </w:pPr>
    </w:p>
    <w:p w14:paraId="031C1A0C">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签字（签章）：                                       公章：</w:t>
      </w:r>
    </w:p>
    <w:p w14:paraId="440DCD50">
      <w:pPr>
        <w:spacing w:line="360" w:lineRule="auto"/>
        <w:ind w:left="25" w:leftChars="12" w:firstLine="308" w:firstLineChars="147"/>
        <w:rPr>
          <w:rFonts w:hint="eastAsia" w:ascii="宋体" w:hAnsi="宋体" w:eastAsia="宋体" w:cs="宋体"/>
          <w:color w:val="auto"/>
          <w:kern w:val="0"/>
          <w:szCs w:val="21"/>
          <w:highlight w:val="none"/>
        </w:rPr>
      </w:pPr>
    </w:p>
    <w:p w14:paraId="0B84BC25">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p>
    <w:p w14:paraId="7888365B">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 xml:space="preserve">                                                                                 </w:t>
      </w:r>
    </w:p>
    <w:p w14:paraId="2F895523">
      <w:pPr>
        <w:snapToGrid w:val="0"/>
        <w:spacing w:line="360" w:lineRule="auto"/>
        <w:rPr>
          <w:rFonts w:hint="eastAsia" w:ascii="宋体" w:hAnsi="宋体" w:eastAsia="宋体" w:cs="宋体"/>
          <w:b/>
          <w:color w:val="auto"/>
          <w:kern w:val="0"/>
          <w:szCs w:val="21"/>
          <w:highlight w:val="none"/>
        </w:rPr>
      </w:pPr>
    </w:p>
    <w:p w14:paraId="227BF7E8">
      <w:pPr>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w:t>
      </w:r>
    </w:p>
    <w:p w14:paraId="0F2A3120">
      <w:pPr>
        <w:spacing w:line="360" w:lineRule="auto"/>
        <w:ind w:left="25" w:leftChars="12" w:firstLine="310" w:firstLineChars="147"/>
        <w:rPr>
          <w:rFonts w:hint="eastAsia" w:ascii="宋体" w:hAnsi="宋体" w:eastAsia="宋体" w:cs="宋体"/>
          <w:b/>
          <w:bCs/>
          <w:color w:val="auto"/>
          <w:kern w:val="0"/>
          <w:szCs w:val="21"/>
          <w:highlight w:val="none"/>
        </w:rPr>
      </w:pPr>
      <w:r>
        <w:rPr>
          <w:rFonts w:hint="eastAsia" w:ascii="宋体" w:hAnsi="宋体" w:eastAsia="宋体" w:cs="宋体"/>
          <w:b/>
          <w:color w:val="auto"/>
          <w:kern w:val="0"/>
          <w:szCs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kern w:val="0"/>
          <w:szCs w:val="21"/>
          <w:highlight w:val="none"/>
        </w:rPr>
        <w:t>。</w:t>
      </w:r>
    </w:p>
    <w:p w14:paraId="7E30AE7E">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BE15A67">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3.投诉书应简要列明质疑事项，质疑函、质疑答复等作为附件材料提供。</w:t>
      </w:r>
    </w:p>
    <w:p w14:paraId="39E1A538">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4.投诉书的投诉事项应具体、明确，并有必要的事实依据和法律依据。</w:t>
      </w:r>
    </w:p>
    <w:p w14:paraId="64EB9023">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5.投诉书的投诉请求应与投诉事项相关。</w:t>
      </w:r>
    </w:p>
    <w:p w14:paraId="7CD3F8F4">
      <w:pPr>
        <w:spacing w:line="360" w:lineRule="auto"/>
        <w:ind w:left="25" w:leftChars="12" w:firstLine="310" w:firstLineChars="147"/>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rPr>
        <w:t>6.投诉人为法人或者其他组织的，投诉书应由法定代表人、主要负责人，或者其授权代表签字或者盖章，并加盖公章。</w:t>
      </w:r>
    </w:p>
    <w:p w14:paraId="2263835C">
      <w:pPr>
        <w:rPr>
          <w:rFonts w:hint="eastAsia" w:ascii="宋体" w:hAnsi="宋体" w:eastAsia="宋体" w:cs="宋体"/>
          <w:color w:val="auto"/>
          <w:highlight w:val="none"/>
        </w:rPr>
      </w:pPr>
    </w:p>
    <w:p w14:paraId="2EBB00CB">
      <w:pPr>
        <w:spacing w:line="360" w:lineRule="auto"/>
        <w:jc w:val="center"/>
        <w:rPr>
          <w:rFonts w:hint="eastAsia" w:ascii="宋体" w:hAnsi="宋体" w:eastAsia="宋体" w:cs="宋体"/>
          <w:b/>
          <w:color w:val="auto"/>
          <w:highlight w:val="none"/>
        </w:rPr>
      </w:pPr>
    </w:p>
    <w:p w14:paraId="68546925">
      <w:pPr>
        <w:rPr>
          <w:rFonts w:hint="eastAsia" w:ascii="宋体" w:hAnsi="宋体" w:eastAsia="宋体" w:cs="宋体"/>
          <w:color w:val="auto"/>
          <w:highlight w:val="none"/>
        </w:rPr>
      </w:pPr>
    </w:p>
    <w:p w14:paraId="3D8F6D61">
      <w:pPr>
        <w:rPr>
          <w:rFonts w:hint="eastAsia" w:ascii="宋体" w:hAnsi="宋体" w:eastAsia="宋体" w:cs="宋体"/>
          <w:color w:val="auto"/>
          <w:highlight w:val="none"/>
        </w:rPr>
      </w:pPr>
    </w:p>
    <w:p w14:paraId="587164CE">
      <w:pPr>
        <w:rPr>
          <w:rFonts w:hint="eastAsia" w:ascii="宋体" w:hAnsi="宋体" w:eastAsia="宋体" w:cs="宋体"/>
          <w:color w:val="auto"/>
          <w:highlight w:val="none"/>
        </w:rPr>
      </w:pPr>
    </w:p>
    <w:p w14:paraId="5A565734">
      <w:pPr>
        <w:rPr>
          <w:rFonts w:hint="eastAsia" w:ascii="宋体" w:hAnsi="宋体" w:eastAsia="宋体" w:cs="宋体"/>
          <w:color w:val="auto"/>
          <w:highlight w:val="none"/>
        </w:rPr>
      </w:pPr>
    </w:p>
    <w:sectPr>
      <w:footerReference r:id="rId15" w:type="first"/>
      <w:headerReference r:id="rId13" w:type="default"/>
      <w:footerReference r:id="rId14" w:type="default"/>
      <w:pgSz w:w="11910" w:h="16840"/>
      <w:pgMar w:top="1340" w:right="1500" w:bottom="280" w:left="1680"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35B54">
    <w:pPr>
      <w:pStyle w:val="21"/>
      <w:jc w:val="center"/>
      <w:rPr>
        <w:rFonts w:hint="eastAsia" w:ascii="Calibri" w:hAnsi="Calibri"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7EAEE">
    <w:pPr>
      <w:pStyle w:val="21"/>
      <w:framePr w:wrap="around" w:vAnchor="text" w:hAnchor="margin" w:xAlign="center" w:y="1"/>
      <w:rPr>
        <w:rStyle w:val="33"/>
        <w:rFonts w:ascii="Calibri" w:hAnsi="Calibri" w:eastAsia="宋体" w:cs="Times New Roman"/>
        <w:sz w:val="21"/>
      </w:rPr>
    </w:pPr>
    <w:r>
      <w:rPr>
        <w:rFonts w:ascii="Calibri" w:hAnsi="Calibri" w:eastAsia="宋体" w:cs="Times New Roman"/>
        <w:sz w:val="21"/>
      </w:rPr>
      <w:fldChar w:fldCharType="begin"/>
    </w:r>
    <w:r>
      <w:rPr>
        <w:rStyle w:val="33"/>
        <w:rFonts w:ascii="Calibri" w:hAnsi="Calibri" w:eastAsia="宋体" w:cs="Times New Roman"/>
        <w:kern w:val="2"/>
        <w:sz w:val="21"/>
        <w:szCs w:val="24"/>
      </w:rPr>
      <w:instrText xml:space="preserve">PAGE  </w:instrText>
    </w:r>
    <w:r>
      <w:rPr>
        <w:rFonts w:ascii="Calibri" w:hAnsi="Calibri" w:eastAsia="宋体" w:cs="Times New Roman"/>
        <w:sz w:val="21"/>
      </w:rPr>
      <w:fldChar w:fldCharType="separate"/>
    </w:r>
    <w:r>
      <w:rPr>
        <w:rStyle w:val="33"/>
        <w:rFonts w:ascii="Calibri" w:hAnsi="Calibri" w:eastAsia="宋体" w:cs="Times New Roman"/>
        <w:kern w:val="2"/>
        <w:sz w:val="21"/>
        <w:szCs w:val="24"/>
      </w:rPr>
      <w:t>0</w:t>
    </w:r>
    <w:r>
      <w:rPr>
        <w:rFonts w:ascii="Calibri" w:hAnsi="Calibri" w:eastAsia="宋体" w:cs="Times New Roman"/>
        <w:sz w:val="21"/>
      </w:rPr>
      <w:fldChar w:fldCharType="end"/>
    </w:r>
  </w:p>
  <w:p w14:paraId="197E385A">
    <w:pPr>
      <w:pStyle w:val="21"/>
      <w:rPr>
        <w:rFonts w:ascii="Calibri" w:hAnsi="Calibri" w:eastAsia="宋体" w:cs="Times New Roman"/>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346B6">
    <w:pPr>
      <w:pStyle w:val="21"/>
      <w:tabs>
        <w:tab w:val="center" w:pos="4439"/>
        <w:tab w:val="clear" w:pos="4153"/>
      </w:tabs>
      <w:jc w:val="both"/>
      <w:rPr>
        <w:rFonts w:ascii="Calibri" w:hAnsi="Calibri" w:eastAsia="宋体" w:cs="Times New Roman"/>
      </w:rPr>
    </w:pPr>
    <w:r>
      <w:rPr>
        <w:rFonts w:ascii="Times New Roman" w:hAnsi="Times New Roman" w:eastAsia="宋体" w:cs="Times New Roma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CA0B33">
                          <w:pPr>
                            <w:pStyle w:val="21"/>
                            <w:rPr>
                              <w:rFonts w:hint="eastAsia" w:ascii="Times New Roman" w:hAnsi="Times New Roman" w:eastAsia="宋体" w:cs="Times New Roman"/>
                            </w:rPr>
                          </w:pP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  \* MERGEFORMAT </w:instrText>
                          </w:r>
                          <w:r>
                            <w:rPr>
                              <w:rFonts w:hint="eastAsia" w:ascii="Times New Roman" w:hAnsi="Times New Roman" w:eastAsia="宋体" w:cs="Times New Roman"/>
                            </w:rPr>
                            <w:fldChar w:fldCharType="separate"/>
                          </w:r>
                          <w:r>
                            <w:rPr>
                              <w:rFonts w:ascii="Times New Roman" w:hAnsi="Times New Roman" w:eastAsia="宋体" w:cs="Times New Roman"/>
                            </w:rPr>
                            <w:t>1</w:t>
                          </w:r>
                          <w:r>
                            <w:rPr>
                              <w:rFonts w:hint="eastAsia" w:ascii="Times New Roman" w:hAnsi="Times New Roman" w:eastAsia="宋体" w:cs="Times New Roman"/>
                            </w:rPr>
                            <w:fldChar w:fldCharType="end"/>
                          </w:r>
                        </w:p>
                      </w:txbxContent>
                    </wps:txbx>
                    <wps:bodyPr wrap="none" lIns="0" tIns="0" rIns="0" bIns="0" upright="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CakDMsBAACcAwAADgAAAGRycy9lMm9Eb2MueG1srVPNjtMwEL4j8Q6W&#10;79Rpx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7lZ&#10;rl5m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AmpAzLAQAAnAMAAA4AAAAAAAAAAQAgAAAAHgEAAGRycy9lMm9E&#10;b2MueG1sUEsFBgAAAAAGAAYAWQEAAFsFAAAAAA==&#10;">
              <v:fill on="f" focussize="0,0"/>
              <v:stroke on="f"/>
              <v:imagedata o:title=""/>
              <o:lock v:ext="edit" aspectratio="f"/>
              <v:textbox inset="0mm,0mm,0mm,0mm" style="mso-fit-shape-to-text:t;">
                <w:txbxContent>
                  <w:p w14:paraId="34CA0B33">
                    <w:pPr>
                      <w:pStyle w:val="21"/>
                      <w:rPr>
                        <w:rFonts w:hint="eastAsia" w:ascii="Times New Roman" w:hAnsi="Times New Roman" w:eastAsia="宋体" w:cs="Times New Roman"/>
                      </w:rPr>
                    </w:pP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  \* MERGEFORMAT </w:instrText>
                    </w:r>
                    <w:r>
                      <w:rPr>
                        <w:rFonts w:hint="eastAsia" w:ascii="Times New Roman" w:hAnsi="Times New Roman" w:eastAsia="宋体" w:cs="Times New Roman"/>
                      </w:rPr>
                      <w:fldChar w:fldCharType="separate"/>
                    </w:r>
                    <w:r>
                      <w:rPr>
                        <w:rFonts w:ascii="Times New Roman" w:hAnsi="Times New Roman" w:eastAsia="宋体" w:cs="Times New Roman"/>
                      </w:rPr>
                      <w:t>1</w:t>
                    </w:r>
                    <w:r>
                      <w:rPr>
                        <w:rFonts w:hint="eastAsia" w:ascii="Times New Roman" w:hAnsi="Times New Roman" w:eastAsia="宋体" w:cs="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44FCD">
    <w:pPr>
      <w:pStyle w:val="21"/>
      <w:tabs>
        <w:tab w:val="center" w:pos="4439"/>
        <w:tab w:val="clear" w:pos="4153"/>
      </w:tabs>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121967">
                          <w:pPr>
                            <w:rPr>
                              <w:rFonts w:ascii="Calibri" w:hAnsi="Calibri" w:eastAsia="宋体" w:cs="Times New Roman"/>
                            </w:rPr>
                          </w:pPr>
                        </w:p>
                      </w:txbxContent>
                    </wps:txbx>
                    <wps:bodyPr wrap="none" lIns="0" tIns="0" rIns="0" bIns="0" upright="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y11OHLAQAAnAMAAA4AAAAAAAAAAQAgAAAAHgEAAGRycy9lMm9E&#10;b2MueG1sUEsFBgAAAAAGAAYAWQEAAFsFAAAAAA==&#10;">
              <v:fill on="f" focussize="0,0"/>
              <v:stroke on="f"/>
              <v:imagedata o:title=""/>
              <o:lock v:ext="edit" aspectratio="f"/>
              <v:textbox inset="0mm,0mm,0mm,0mm" style="mso-fit-shape-to-text:t;">
                <w:txbxContent>
                  <w:p w14:paraId="27121967">
                    <w:pPr>
                      <w:rPr>
                        <w:rFonts w:ascii="Calibri" w:hAnsi="Calibri" w:eastAsia="宋体" w:cs="Times New Roma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F9484">
    <w:pPr>
      <w:pStyle w:val="21"/>
      <w:jc w:val="center"/>
      <w:rPr>
        <w:rFonts w:ascii="Calibri" w:hAnsi="Calibri" w:eastAsia="宋体" w:cs="Times New Roman"/>
      </w:rPr>
    </w:pPr>
    <w:r>
      <w:rPr>
        <w:rFonts w:ascii="Times New Roman" w:hAnsi="Times New Roman" w:eastAsia="宋体" w:cs="Times New Roma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4BFFEC">
                          <w:pPr>
                            <w:pStyle w:val="21"/>
                            <w:rPr>
                              <w:rFonts w:hint="eastAsia" w:ascii="Times New Roman" w:hAnsi="Times New Roman" w:eastAsia="宋体" w:cs="Times New Roman"/>
                            </w:rPr>
                          </w:pP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  \* MERGEFORMAT </w:instrText>
                          </w:r>
                          <w:r>
                            <w:rPr>
                              <w:rFonts w:hint="eastAsia" w:ascii="Times New Roman" w:hAnsi="Times New Roman" w:eastAsia="宋体" w:cs="Times New Roman"/>
                            </w:rPr>
                            <w:fldChar w:fldCharType="separate"/>
                          </w:r>
                          <w:r>
                            <w:rPr>
                              <w:rFonts w:ascii="Times New Roman" w:hAnsi="Times New Roman" w:eastAsia="宋体" w:cs="Times New Roman"/>
                            </w:rPr>
                            <w:t>2</w:t>
                          </w:r>
                          <w:r>
                            <w:rPr>
                              <w:rFonts w:hint="eastAsia" w:ascii="Times New Roman" w:hAnsi="Times New Roman" w:eastAsia="宋体" w:cs="Times New Roman"/>
                            </w:rPr>
                            <w:fldChar w:fldCharType="end"/>
                          </w:r>
                        </w:p>
                      </w:txbxContent>
                    </wps:txbx>
                    <wps:bodyPr wrap="none" lIns="0" tIns="0" rIns="0" bIns="0" upright="0">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nMrF8sBAACcAwAADgAAAGRycy9lMm9Eb2MueG1srVNLjtswDN0X6B0E&#10;7SdyAkw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F1RZeUWG5w4Offv85//p3//iTX&#10;88UyKdR5KDHx3mNq7D+4Hvdm8gM6E/G+CSZ9kRLBOOp7uugr+0hEerRarFYFhgTGpgvis4fnPkD8&#10;KJ0hyahowAFmXfnxM8QhdUpJ1ay7U1rnIWr7xIGYycNS70OPyYr9rh8J7Vx9Qj4dzr6iFledEv3J&#10;orRpTSYjTMZuMg4+qH2b9yjVA397iNhE7i1VGGDHwji0zG5csLQVj+856+Gn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5zKxfLAQAAnAMAAA4AAAAAAAAAAQAgAAAAHgEAAGRycy9lMm9E&#10;b2MueG1sUEsFBgAAAAAGAAYAWQEAAFsFAAAAAA==&#10;">
              <v:fill on="f" focussize="0,0"/>
              <v:stroke on="f"/>
              <v:imagedata o:title=""/>
              <o:lock v:ext="edit" aspectratio="f"/>
              <v:textbox inset="0mm,0mm,0mm,0mm" style="mso-fit-shape-to-text:t;">
                <w:txbxContent>
                  <w:p w14:paraId="724BFFEC">
                    <w:pPr>
                      <w:pStyle w:val="21"/>
                      <w:rPr>
                        <w:rFonts w:hint="eastAsia" w:ascii="Times New Roman" w:hAnsi="Times New Roman" w:eastAsia="宋体" w:cs="Times New Roman"/>
                      </w:rPr>
                    </w:pP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  \* MERGEFORMAT </w:instrText>
                    </w:r>
                    <w:r>
                      <w:rPr>
                        <w:rFonts w:hint="eastAsia" w:ascii="Times New Roman" w:hAnsi="Times New Roman" w:eastAsia="宋体" w:cs="Times New Roman"/>
                      </w:rPr>
                      <w:fldChar w:fldCharType="separate"/>
                    </w:r>
                    <w:r>
                      <w:rPr>
                        <w:rFonts w:ascii="Times New Roman" w:hAnsi="Times New Roman" w:eastAsia="宋体" w:cs="Times New Roman"/>
                      </w:rPr>
                      <w:t>2</w:t>
                    </w:r>
                    <w:r>
                      <w:rPr>
                        <w:rFonts w:hint="eastAsia" w:ascii="Times New Roman" w:hAnsi="Times New Roman" w:eastAsia="宋体" w:cs="Times New Roman"/>
                      </w:rPr>
                      <w:fldChar w:fldCharType="end"/>
                    </w:r>
                  </w:p>
                </w:txbxContent>
              </v:textbox>
            </v:shape>
          </w:pict>
        </mc:Fallback>
      </mc:AlternateContent>
    </w:r>
  </w:p>
  <w:p w14:paraId="7A1B2B3B">
    <w:pPr>
      <w:pStyle w:val="21"/>
      <w:rPr>
        <w:rFonts w:ascii="Calibri" w:hAnsi="Calibri" w:eastAsia="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BC622">
    <w:pPr>
      <w:pStyle w:val="21"/>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764138">
                          <w:pPr>
                            <w:pStyle w:val="21"/>
                            <w:rPr>
                              <w:rFonts w:hint="eastAsia" w:ascii="Calibri" w:hAnsi="Calibri" w:eastAsia="宋体" w:cs="Times New Roman"/>
                            </w:rPr>
                          </w:pPr>
                          <w:r>
                            <w:rPr>
                              <w:rFonts w:hint="eastAsia" w:ascii="Calibri" w:hAnsi="Calibri" w:eastAsia="宋体" w:cs="Times New Roman"/>
                            </w:rPr>
                            <w:fldChar w:fldCharType="begin"/>
                          </w:r>
                          <w:r>
                            <w:rPr>
                              <w:rFonts w:hint="eastAsia" w:ascii="Calibri" w:hAnsi="Calibri" w:eastAsia="宋体" w:cs="Times New Roman"/>
                            </w:rPr>
                            <w:instrText xml:space="preserve"> PAGE  \* MERGEFORMAT </w:instrText>
                          </w:r>
                          <w:r>
                            <w:rPr>
                              <w:rFonts w:hint="eastAsia" w:ascii="Calibri" w:hAnsi="Calibri" w:eastAsia="宋体" w:cs="Times New Roman"/>
                            </w:rPr>
                            <w:fldChar w:fldCharType="separate"/>
                          </w:r>
                          <w:r>
                            <w:rPr>
                              <w:rFonts w:ascii="Calibri" w:hAnsi="Calibri" w:eastAsia="宋体" w:cs="Times New Roman"/>
                            </w:rPr>
                            <w:t>63</w:t>
                          </w:r>
                          <w:r>
                            <w:rPr>
                              <w:rFonts w:hint="eastAsia" w:ascii="Calibri" w:hAnsi="Calibri" w:eastAsia="宋体" w:cs="Times New Roman"/>
                            </w:rPr>
                            <w:fldChar w:fldCharType="end"/>
                          </w:r>
                        </w:p>
                      </w:txbxContent>
                    </wps:txbx>
                    <wps:bodyPr wrap="none" lIns="0" tIns="0" rIns="0" bIns="0" upright="0">
                      <a:spAutoFit/>
                    </wps:bodyPr>
                  </wps:wsp>
                </a:graphicData>
              </a:graphic>
            </wp:anchor>
          </w:drawing>
        </mc:Choice>
        <mc:Fallback>
          <w:pict>
            <v:shape id="文本框 51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d2kTcsBAACc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fUmJ4xYHfvn+7fLj1+XnV3Kz&#10;XN1k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dpE3LAQAAnAMAAA4AAAAAAAAAAQAgAAAAHgEAAGRycy9lMm9E&#10;b2MueG1sUEsFBgAAAAAGAAYAWQEAAFsFAAAAAA==&#10;">
              <v:fill on="f" focussize="0,0"/>
              <v:stroke on="f"/>
              <v:imagedata o:title=""/>
              <o:lock v:ext="edit" aspectratio="f"/>
              <v:textbox inset="0mm,0mm,0mm,0mm" style="mso-fit-shape-to-text:t;">
                <w:txbxContent>
                  <w:p w14:paraId="0E764138">
                    <w:pPr>
                      <w:pStyle w:val="21"/>
                      <w:rPr>
                        <w:rFonts w:hint="eastAsia" w:ascii="Calibri" w:hAnsi="Calibri" w:eastAsia="宋体" w:cs="Times New Roman"/>
                      </w:rPr>
                    </w:pPr>
                    <w:r>
                      <w:rPr>
                        <w:rFonts w:hint="eastAsia" w:ascii="Calibri" w:hAnsi="Calibri" w:eastAsia="宋体" w:cs="Times New Roman"/>
                      </w:rPr>
                      <w:fldChar w:fldCharType="begin"/>
                    </w:r>
                    <w:r>
                      <w:rPr>
                        <w:rFonts w:hint="eastAsia" w:ascii="Calibri" w:hAnsi="Calibri" w:eastAsia="宋体" w:cs="Times New Roman"/>
                      </w:rPr>
                      <w:instrText xml:space="preserve"> PAGE  \* MERGEFORMAT </w:instrText>
                    </w:r>
                    <w:r>
                      <w:rPr>
                        <w:rFonts w:hint="eastAsia" w:ascii="Calibri" w:hAnsi="Calibri" w:eastAsia="宋体" w:cs="Times New Roman"/>
                      </w:rPr>
                      <w:fldChar w:fldCharType="separate"/>
                    </w:r>
                    <w:r>
                      <w:rPr>
                        <w:rFonts w:ascii="Calibri" w:hAnsi="Calibri" w:eastAsia="宋体" w:cs="Times New Roman"/>
                      </w:rPr>
                      <w:t>63</w:t>
                    </w:r>
                    <w:r>
                      <w:rPr>
                        <w:rFonts w:hint="eastAsia" w:ascii="Calibri" w:hAnsi="Calibri" w:eastAsia="宋体" w:cs="Times New Roma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96163">
    <w:pPr>
      <w:pStyle w:val="21"/>
      <w:jc w:val="right"/>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1B48BD">
                          <w:pPr>
                            <w:pStyle w:val="21"/>
                            <w:jc w:val="right"/>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PAGE   \* MERGEFORMAT</w:instrText>
                          </w:r>
                          <w:r>
                            <w:rPr>
                              <w:rFonts w:ascii="Times New Roman" w:hAnsi="Times New Roman" w:eastAsia="宋体" w:cs="Times New Roman"/>
                            </w:rPr>
                            <w:fldChar w:fldCharType="separate"/>
                          </w:r>
                          <w:r>
                            <w:rPr>
                              <w:rFonts w:ascii="Times New Roman" w:hAnsi="Times New Roman" w:eastAsia="宋体" w:cs="Times New Roman"/>
                            </w:rPr>
                            <w:t>149</w:t>
                          </w:r>
                          <w:r>
                            <w:rPr>
                              <w:rFonts w:ascii="Times New Roman" w:hAnsi="Times New Roman" w:eastAsia="宋体" w:cs="Times New Roman"/>
                            </w:rPr>
                            <w:fldChar w:fldCharType="end"/>
                          </w:r>
                        </w:p>
                      </w:txbxContent>
                    </wps:txbx>
                    <wps:bodyPr wrap="none" lIns="0" tIns="0" rIns="0" bIns="0" upright="0">
                      <a:spAutoFit/>
                    </wps:bodyPr>
                  </wps:wsp>
                </a:graphicData>
              </a:graphic>
            </wp:anchor>
          </w:drawing>
        </mc:Choice>
        <mc:Fallback>
          <w:pict>
            <v:shape id="文本框 51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IwSDLAQAAnAMAAA4AAAAAAAAAAQAgAAAAHgEAAGRycy9lMm9E&#10;b2MueG1sUEsFBgAAAAAGAAYAWQEAAFsFAAAAAA==&#10;">
              <v:fill on="f" focussize="0,0"/>
              <v:stroke on="f"/>
              <v:imagedata o:title=""/>
              <o:lock v:ext="edit" aspectratio="f"/>
              <v:textbox inset="0mm,0mm,0mm,0mm" style="mso-fit-shape-to-text:t;">
                <w:txbxContent>
                  <w:p w14:paraId="051B48BD">
                    <w:pPr>
                      <w:pStyle w:val="21"/>
                      <w:jc w:val="right"/>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PAGE   \* MERGEFORMAT</w:instrText>
                    </w:r>
                    <w:r>
                      <w:rPr>
                        <w:rFonts w:ascii="Times New Roman" w:hAnsi="Times New Roman" w:eastAsia="宋体" w:cs="Times New Roman"/>
                      </w:rPr>
                      <w:fldChar w:fldCharType="separate"/>
                    </w:r>
                    <w:r>
                      <w:rPr>
                        <w:rFonts w:ascii="Times New Roman" w:hAnsi="Times New Roman" w:eastAsia="宋体" w:cs="Times New Roman"/>
                      </w:rPr>
                      <w:t>149</w:t>
                    </w:r>
                    <w:r>
                      <w:rPr>
                        <w:rFonts w:ascii="Times New Roman" w:hAnsi="Times New Roman" w:eastAsia="宋体" w:cs="Times New Roman"/>
                      </w:rPr>
                      <w:fldChar w:fldCharType="end"/>
                    </w:r>
                  </w:p>
                </w:txbxContent>
              </v:textbox>
            </v:shape>
          </w:pict>
        </mc:Fallback>
      </mc:AlternateContent>
    </w:r>
  </w:p>
  <w:p w14:paraId="1159F290">
    <w:pPr>
      <w:pStyle w:val="13"/>
      <w:spacing w:line="14" w:lineRule="auto"/>
      <w:rPr>
        <w:rFonts w:ascii="Times New Roman" w:hAnsi="Times New Roman" w:eastAsia="宋体" w:cs="Times New Roman"/>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30071">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35D14C">
                          <w:pPr>
                            <w:pStyle w:val="21"/>
                            <w:jc w:val="center"/>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4IoM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3m9&#10;XC2zQn2AGhMfAqam4c4POXvyAzoz8UFFm79IiWAc9T1f9ZVDIiI/Wq/W6wpDAmPzBXHY4/MQIb2V&#10;3pJsNDTiAIuu/PQe0pg6p+Rqzt9rY9DPa+P+ciBm9rDc+9hjttKwH6bG9749I58eZ99Qh6tOiXnn&#10;UNq8JrMRZ2M/G8cQ9aEre5TrQbg9Jmyi9JYrjLBTYRxaY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peCKDLAQAAnAMAAA4AAAAAAAAAAQAgAAAAHgEAAGRycy9lMm9E&#10;b2MueG1sUEsFBgAAAAAGAAYAWQEAAFsFAAAAAA==&#10;">
              <v:fill on="f" focussize="0,0"/>
              <v:stroke on="f"/>
              <v:imagedata o:title=""/>
              <o:lock v:ext="edit" aspectratio="f"/>
              <v:textbox inset="0mm,0mm,0mm,0mm" style="mso-fit-shape-to-text:t;">
                <w:txbxContent>
                  <w:p w14:paraId="7235D14C">
                    <w:pPr>
                      <w:pStyle w:val="21"/>
                      <w:jc w:val="center"/>
                    </w:pPr>
                    <w:r>
                      <w:fldChar w:fldCharType="begin"/>
                    </w:r>
                    <w:r>
                      <w:instrText xml:space="preserve"> PAGE  \* MERGEFORMAT </w:instrText>
                    </w:r>
                    <w:r>
                      <w:fldChar w:fldCharType="separate"/>
                    </w:r>
                    <w:r>
                      <w:t>90</w:t>
                    </w:r>
                    <w:r>
                      <w:fldChar w:fldCharType="end"/>
                    </w:r>
                  </w:p>
                </w:txbxContent>
              </v:textbox>
            </v:shape>
          </w:pict>
        </mc:Fallback>
      </mc:AlternateContent>
    </w:r>
  </w:p>
  <w:p w14:paraId="7E794BBD">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64291">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050BA2">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U7UoM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22VZ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VO1KDLAQAAnAMAAA4AAAAAAAAAAQAgAAAAHgEAAGRycy9lMm9E&#10;b2MueG1sUEsFBgAAAAAGAAYAWQEAAFsFAAAAAA==&#10;">
              <v:fill on="f" focussize="0,0"/>
              <v:stroke on="f"/>
              <v:imagedata o:title=""/>
              <o:lock v:ext="edit" aspectratio="f"/>
              <v:textbox inset="0mm,0mm,0mm,0mm" style="mso-fit-shape-to-text:t;">
                <w:txbxContent>
                  <w:p w14:paraId="0C050BA2">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4B1D7">
    <w:pPr>
      <w:pStyle w:val="22"/>
      <w:tabs>
        <w:tab w:val="center" w:pos="0"/>
        <w:tab w:val="clear" w:pos="4153"/>
      </w:tabs>
      <w:rPr>
        <w:rFonts w:ascii="Calibri" w:hAnsi="Calibri"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B4D6B">
    <w:pPr>
      <w:rPr>
        <w:rFonts w:hint="eastAsia" w:ascii="Times New Roman" w:hAnsi="Times New Roman"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6D4F2">
    <w:pPr>
      <w:pStyle w:val="22"/>
      <w:tabs>
        <w:tab w:val="center" w:pos="0"/>
        <w:tab w:val="clear" w:pos="4153"/>
      </w:tabs>
      <w:rPr>
        <w:rFonts w:ascii="Calibri" w:hAnsi="Calibri" w:eastAsia="宋体" w:cs="Times New Roman"/>
      </w:rPr>
    </w:pPr>
    <w:r>
      <w:rPr>
        <w:rFonts w:hint="eastAsia" w:ascii="Calibri" w:hAnsi="Calibri" w:eastAsia="宋体" w:cs="Times New Roman"/>
      </w:rPr>
      <w:t>南宁市政府采购竞争性磋商采购文件（项目编号：NNZC2021-C3--KLZB）</w:t>
    </w:r>
  </w:p>
  <w:p w14:paraId="70EC8357">
    <w:pPr>
      <w:pStyle w:val="22"/>
      <w:pBdr>
        <w:bottom w:val="none" w:color="auto" w:sz="0" w:space="1"/>
      </w:pBdr>
      <w:rPr>
        <w:rFonts w:ascii="Calibri" w:hAnsi="Calibri" w:eastAsia="宋体"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E171A">
    <w:pPr>
      <w:pStyle w:val="22"/>
      <w:pBdr>
        <w:bottom w:val="double" w:color="auto" w:sz="8" w:space="1"/>
      </w:pBdr>
      <w:rPr>
        <w:rFonts w:hint="eastAsia" w:ascii="宋体" w:hAnsi="宋体" w:eastAsia="宋体" w:cs="宋体"/>
        <w:sz w:val="21"/>
        <w:szCs w:val="21"/>
        <w:lang w:val="en-US" w:eastAsia="zh-CN"/>
      </w:rPr>
    </w:pPr>
    <w:r>
      <w:rPr>
        <w:rFonts w:hint="eastAsia" w:ascii="宋体" w:hAnsi="宋体" w:cs="宋体"/>
        <w:sz w:val="21"/>
        <w:szCs w:val="21"/>
        <w:lang w:eastAsia="zh-CN"/>
      </w:rPr>
      <w:t>南宁市明天学校足球场改造工程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28F8B9"/>
    <w:multiLevelType w:val="singleLevel"/>
    <w:tmpl w:val="3228F8B9"/>
    <w:lvl w:ilvl="0" w:tentative="0">
      <w:start w:val="1"/>
      <w:numFmt w:val="chineseCounting"/>
      <w:suff w:val="space"/>
      <w:lvlText w:val="第%1章"/>
      <w:lvlJc w:val="left"/>
      <w:rPr>
        <w:rFonts w:hint="eastAsia"/>
      </w:rPr>
    </w:lvl>
  </w:abstractNum>
  <w:abstractNum w:abstractNumId="1">
    <w:nsid w:val="372AF652"/>
    <w:multiLevelType w:val="singleLevel"/>
    <w:tmpl w:val="372AF652"/>
    <w:lvl w:ilvl="0" w:tentative="0">
      <w:start w:val="6"/>
      <w:numFmt w:val="chineseCounting"/>
      <w:suff w:val="space"/>
      <w:lvlText w:val="第%1章"/>
      <w:lvlJc w:val="left"/>
      <w:rPr>
        <w:rFonts w:hint="eastAsia"/>
      </w:rPr>
    </w:lvl>
  </w:abstractNum>
  <w:abstractNum w:abstractNumId="2">
    <w:nsid w:val="508D7A92"/>
    <w:multiLevelType w:val="singleLevel"/>
    <w:tmpl w:val="508D7A92"/>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ODFmOGU0Y2RhNTc1YzUzN2NjMTM5MGQ1YTJkOWM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3ED8"/>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1C4E"/>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00"/>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8C5"/>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456D"/>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37DE2"/>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49CA"/>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20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16AD"/>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41F"/>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12D2"/>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77E27"/>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7D1"/>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0D18"/>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BE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2E86"/>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4FEF"/>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0158D6"/>
    <w:rsid w:val="01851C90"/>
    <w:rsid w:val="01AF3D99"/>
    <w:rsid w:val="021A6C4F"/>
    <w:rsid w:val="024B505A"/>
    <w:rsid w:val="02511F9D"/>
    <w:rsid w:val="02ED6112"/>
    <w:rsid w:val="02F950B7"/>
    <w:rsid w:val="033678E4"/>
    <w:rsid w:val="03433177"/>
    <w:rsid w:val="03A314B8"/>
    <w:rsid w:val="03D82B98"/>
    <w:rsid w:val="03F83E8B"/>
    <w:rsid w:val="040A2CF3"/>
    <w:rsid w:val="05C56868"/>
    <w:rsid w:val="060914B4"/>
    <w:rsid w:val="06AE3E0A"/>
    <w:rsid w:val="06C47189"/>
    <w:rsid w:val="06F537E7"/>
    <w:rsid w:val="07B72767"/>
    <w:rsid w:val="07CA07CF"/>
    <w:rsid w:val="08077E72"/>
    <w:rsid w:val="08882DD0"/>
    <w:rsid w:val="09CC2AAC"/>
    <w:rsid w:val="09D26E76"/>
    <w:rsid w:val="0A652D3E"/>
    <w:rsid w:val="0A8C6210"/>
    <w:rsid w:val="0AA07F0D"/>
    <w:rsid w:val="0B1B7594"/>
    <w:rsid w:val="0B326F2A"/>
    <w:rsid w:val="0B422D73"/>
    <w:rsid w:val="0C1E2888"/>
    <w:rsid w:val="0C590374"/>
    <w:rsid w:val="0C8C24F7"/>
    <w:rsid w:val="0C92213C"/>
    <w:rsid w:val="0CC46135"/>
    <w:rsid w:val="0D84032B"/>
    <w:rsid w:val="0E9E29B6"/>
    <w:rsid w:val="0F2A74C4"/>
    <w:rsid w:val="0F421593"/>
    <w:rsid w:val="0F50409B"/>
    <w:rsid w:val="10A27F31"/>
    <w:rsid w:val="11927058"/>
    <w:rsid w:val="11D97125"/>
    <w:rsid w:val="11E7421B"/>
    <w:rsid w:val="12192C9D"/>
    <w:rsid w:val="12E0359D"/>
    <w:rsid w:val="1347719F"/>
    <w:rsid w:val="13AF4F03"/>
    <w:rsid w:val="13B1314F"/>
    <w:rsid w:val="14736E66"/>
    <w:rsid w:val="147F458F"/>
    <w:rsid w:val="14D958EC"/>
    <w:rsid w:val="1534169A"/>
    <w:rsid w:val="15C03E03"/>
    <w:rsid w:val="162639BD"/>
    <w:rsid w:val="162A25EB"/>
    <w:rsid w:val="16755F45"/>
    <w:rsid w:val="169528F0"/>
    <w:rsid w:val="16C1371A"/>
    <w:rsid w:val="16DB3641"/>
    <w:rsid w:val="16DC2AC6"/>
    <w:rsid w:val="16FD2A55"/>
    <w:rsid w:val="17067C1A"/>
    <w:rsid w:val="17366761"/>
    <w:rsid w:val="17690A20"/>
    <w:rsid w:val="177C01F0"/>
    <w:rsid w:val="17C73DF4"/>
    <w:rsid w:val="17CE6630"/>
    <w:rsid w:val="19C24DE5"/>
    <w:rsid w:val="19C74610"/>
    <w:rsid w:val="1A524EDB"/>
    <w:rsid w:val="1A872550"/>
    <w:rsid w:val="1AD522D3"/>
    <w:rsid w:val="1AFF0AFE"/>
    <w:rsid w:val="1B4F19F8"/>
    <w:rsid w:val="1B55264E"/>
    <w:rsid w:val="1B755924"/>
    <w:rsid w:val="1BA17641"/>
    <w:rsid w:val="1BF9262F"/>
    <w:rsid w:val="1C226F03"/>
    <w:rsid w:val="1CBB4733"/>
    <w:rsid w:val="1CF66653"/>
    <w:rsid w:val="1D8A5052"/>
    <w:rsid w:val="1DC43CB7"/>
    <w:rsid w:val="1DDF4451"/>
    <w:rsid w:val="1DF105FE"/>
    <w:rsid w:val="1ECC44FA"/>
    <w:rsid w:val="1EEA04C4"/>
    <w:rsid w:val="1EED5392"/>
    <w:rsid w:val="1F063325"/>
    <w:rsid w:val="1F672950"/>
    <w:rsid w:val="1FBC5DF5"/>
    <w:rsid w:val="1FC63F00"/>
    <w:rsid w:val="1FF90588"/>
    <w:rsid w:val="20994D8B"/>
    <w:rsid w:val="20B373C6"/>
    <w:rsid w:val="20C3623F"/>
    <w:rsid w:val="21251CA1"/>
    <w:rsid w:val="216655B5"/>
    <w:rsid w:val="21781212"/>
    <w:rsid w:val="218E68BA"/>
    <w:rsid w:val="21B83F86"/>
    <w:rsid w:val="221178A8"/>
    <w:rsid w:val="221213CF"/>
    <w:rsid w:val="22327A92"/>
    <w:rsid w:val="226A7D59"/>
    <w:rsid w:val="228F6446"/>
    <w:rsid w:val="22AF6055"/>
    <w:rsid w:val="22B67E76"/>
    <w:rsid w:val="22D64075"/>
    <w:rsid w:val="231D53A2"/>
    <w:rsid w:val="23225648"/>
    <w:rsid w:val="23654758"/>
    <w:rsid w:val="236D5383"/>
    <w:rsid w:val="237B69CA"/>
    <w:rsid w:val="23B7504C"/>
    <w:rsid w:val="23C860B3"/>
    <w:rsid w:val="23E0247D"/>
    <w:rsid w:val="240B2482"/>
    <w:rsid w:val="24452DDA"/>
    <w:rsid w:val="24571307"/>
    <w:rsid w:val="25110A2A"/>
    <w:rsid w:val="253249F8"/>
    <w:rsid w:val="25453733"/>
    <w:rsid w:val="256C0944"/>
    <w:rsid w:val="259C3C81"/>
    <w:rsid w:val="25B60BEB"/>
    <w:rsid w:val="26446DE3"/>
    <w:rsid w:val="269669E7"/>
    <w:rsid w:val="26AD25D3"/>
    <w:rsid w:val="26D7699F"/>
    <w:rsid w:val="26F26F4A"/>
    <w:rsid w:val="27FE6547"/>
    <w:rsid w:val="281F64BE"/>
    <w:rsid w:val="28F17ED1"/>
    <w:rsid w:val="29195CD1"/>
    <w:rsid w:val="29D55086"/>
    <w:rsid w:val="2A5306A1"/>
    <w:rsid w:val="2B774624"/>
    <w:rsid w:val="2BBC10DC"/>
    <w:rsid w:val="2C7A72BE"/>
    <w:rsid w:val="2C9A7D75"/>
    <w:rsid w:val="2CC17412"/>
    <w:rsid w:val="2D095047"/>
    <w:rsid w:val="2D297497"/>
    <w:rsid w:val="2D3644A8"/>
    <w:rsid w:val="2E562B83"/>
    <w:rsid w:val="2E635A59"/>
    <w:rsid w:val="2E9976CE"/>
    <w:rsid w:val="2F401D3C"/>
    <w:rsid w:val="2F5B24E1"/>
    <w:rsid w:val="2FA95C88"/>
    <w:rsid w:val="303803AA"/>
    <w:rsid w:val="3041370F"/>
    <w:rsid w:val="312B50A3"/>
    <w:rsid w:val="319677F1"/>
    <w:rsid w:val="31F94BF2"/>
    <w:rsid w:val="3238172D"/>
    <w:rsid w:val="32453A27"/>
    <w:rsid w:val="3263064A"/>
    <w:rsid w:val="32A43132"/>
    <w:rsid w:val="32AC0C06"/>
    <w:rsid w:val="32BA306B"/>
    <w:rsid w:val="33344EF5"/>
    <w:rsid w:val="339A10EE"/>
    <w:rsid w:val="33FD242F"/>
    <w:rsid w:val="3537750C"/>
    <w:rsid w:val="3537798C"/>
    <w:rsid w:val="35973E3A"/>
    <w:rsid w:val="35C13FC9"/>
    <w:rsid w:val="35FF0CF3"/>
    <w:rsid w:val="364257B6"/>
    <w:rsid w:val="3794610E"/>
    <w:rsid w:val="37EA5922"/>
    <w:rsid w:val="381D40B8"/>
    <w:rsid w:val="38276B93"/>
    <w:rsid w:val="38AC3431"/>
    <w:rsid w:val="38CF7E6D"/>
    <w:rsid w:val="38EF3C8A"/>
    <w:rsid w:val="38F117B0"/>
    <w:rsid w:val="392F2E16"/>
    <w:rsid w:val="39E00529"/>
    <w:rsid w:val="39E430C3"/>
    <w:rsid w:val="3A0B64A7"/>
    <w:rsid w:val="3A574DDA"/>
    <w:rsid w:val="3AA7333A"/>
    <w:rsid w:val="3AD3075A"/>
    <w:rsid w:val="3AF46316"/>
    <w:rsid w:val="3AF74C02"/>
    <w:rsid w:val="3B0B1FFB"/>
    <w:rsid w:val="3B7D6A94"/>
    <w:rsid w:val="3C0059A5"/>
    <w:rsid w:val="3C134E78"/>
    <w:rsid w:val="3C5D26C1"/>
    <w:rsid w:val="3CDE6512"/>
    <w:rsid w:val="3D1974DE"/>
    <w:rsid w:val="3D693246"/>
    <w:rsid w:val="3DBE03D0"/>
    <w:rsid w:val="3DDD79FE"/>
    <w:rsid w:val="3DEC7285"/>
    <w:rsid w:val="3DF6345D"/>
    <w:rsid w:val="3DFB2952"/>
    <w:rsid w:val="3E2B5515"/>
    <w:rsid w:val="3E4D4F28"/>
    <w:rsid w:val="3EC314F9"/>
    <w:rsid w:val="3EE13701"/>
    <w:rsid w:val="3F1A4BB3"/>
    <w:rsid w:val="3FF04570"/>
    <w:rsid w:val="40192BA6"/>
    <w:rsid w:val="40923879"/>
    <w:rsid w:val="41766EA9"/>
    <w:rsid w:val="41D81760"/>
    <w:rsid w:val="42393F4E"/>
    <w:rsid w:val="42550A18"/>
    <w:rsid w:val="429D496A"/>
    <w:rsid w:val="42DA6073"/>
    <w:rsid w:val="42F473A1"/>
    <w:rsid w:val="43022B82"/>
    <w:rsid w:val="439F3C23"/>
    <w:rsid w:val="43A15B81"/>
    <w:rsid w:val="441D78FE"/>
    <w:rsid w:val="441E62C0"/>
    <w:rsid w:val="443F72D5"/>
    <w:rsid w:val="44FC39B7"/>
    <w:rsid w:val="452D1DC2"/>
    <w:rsid w:val="45325D14"/>
    <w:rsid w:val="45811C7C"/>
    <w:rsid w:val="45906116"/>
    <w:rsid w:val="468B3EFB"/>
    <w:rsid w:val="46F74BFA"/>
    <w:rsid w:val="470A6193"/>
    <w:rsid w:val="47385210"/>
    <w:rsid w:val="478B4B7E"/>
    <w:rsid w:val="479D4762"/>
    <w:rsid w:val="47B8464C"/>
    <w:rsid w:val="47DC4F5C"/>
    <w:rsid w:val="47E2687B"/>
    <w:rsid w:val="480C5CBF"/>
    <w:rsid w:val="48113E7C"/>
    <w:rsid w:val="483D2FCF"/>
    <w:rsid w:val="48623B31"/>
    <w:rsid w:val="48B40671"/>
    <w:rsid w:val="492139EC"/>
    <w:rsid w:val="499B5738"/>
    <w:rsid w:val="499F244D"/>
    <w:rsid w:val="49D338FF"/>
    <w:rsid w:val="49D767A1"/>
    <w:rsid w:val="4A973F3F"/>
    <w:rsid w:val="4AF96BC7"/>
    <w:rsid w:val="4B5A416B"/>
    <w:rsid w:val="4B6F6A6A"/>
    <w:rsid w:val="4B7C2E21"/>
    <w:rsid w:val="4B862A85"/>
    <w:rsid w:val="4BAE76C0"/>
    <w:rsid w:val="4C765DFD"/>
    <w:rsid w:val="4CEF36E2"/>
    <w:rsid w:val="4CEF4DC5"/>
    <w:rsid w:val="4D2C0BB1"/>
    <w:rsid w:val="4DE07F74"/>
    <w:rsid w:val="4E047438"/>
    <w:rsid w:val="4E257655"/>
    <w:rsid w:val="4E8E7871"/>
    <w:rsid w:val="4EA330F5"/>
    <w:rsid w:val="4F372380"/>
    <w:rsid w:val="4F372FFB"/>
    <w:rsid w:val="4F574EBE"/>
    <w:rsid w:val="4F762EAA"/>
    <w:rsid w:val="4F786B13"/>
    <w:rsid w:val="4F91332A"/>
    <w:rsid w:val="4FB25455"/>
    <w:rsid w:val="5025116D"/>
    <w:rsid w:val="506348EA"/>
    <w:rsid w:val="523241A0"/>
    <w:rsid w:val="52395ECD"/>
    <w:rsid w:val="52B5075F"/>
    <w:rsid w:val="52C10D75"/>
    <w:rsid w:val="52C9176C"/>
    <w:rsid w:val="52EF6909"/>
    <w:rsid w:val="5308686A"/>
    <w:rsid w:val="53C27FF8"/>
    <w:rsid w:val="546F2DCE"/>
    <w:rsid w:val="549E1A80"/>
    <w:rsid w:val="54C658F4"/>
    <w:rsid w:val="54F22D84"/>
    <w:rsid w:val="5503669C"/>
    <w:rsid w:val="550C4BD7"/>
    <w:rsid w:val="550F1D82"/>
    <w:rsid w:val="552C3D05"/>
    <w:rsid w:val="554C1D56"/>
    <w:rsid w:val="55572986"/>
    <w:rsid w:val="55A34CA2"/>
    <w:rsid w:val="55C062DD"/>
    <w:rsid w:val="565340FA"/>
    <w:rsid w:val="569C0B56"/>
    <w:rsid w:val="56B21B93"/>
    <w:rsid w:val="570A5ABF"/>
    <w:rsid w:val="5723343E"/>
    <w:rsid w:val="573D7EAB"/>
    <w:rsid w:val="57975881"/>
    <w:rsid w:val="5842734C"/>
    <w:rsid w:val="58D610C2"/>
    <w:rsid w:val="590E7F53"/>
    <w:rsid w:val="593E7CA2"/>
    <w:rsid w:val="5A2F2CC8"/>
    <w:rsid w:val="5BA109BC"/>
    <w:rsid w:val="5BA26962"/>
    <w:rsid w:val="5C10702D"/>
    <w:rsid w:val="5C152601"/>
    <w:rsid w:val="5C591F03"/>
    <w:rsid w:val="5C8A1B2F"/>
    <w:rsid w:val="5CFF635F"/>
    <w:rsid w:val="5D914004"/>
    <w:rsid w:val="5E087BE1"/>
    <w:rsid w:val="5F223BC2"/>
    <w:rsid w:val="5F561B72"/>
    <w:rsid w:val="5F6845F0"/>
    <w:rsid w:val="606007BB"/>
    <w:rsid w:val="60A24FBB"/>
    <w:rsid w:val="60AC7F66"/>
    <w:rsid w:val="617D2BA3"/>
    <w:rsid w:val="618B1EF3"/>
    <w:rsid w:val="61BF10D9"/>
    <w:rsid w:val="61DA3D4C"/>
    <w:rsid w:val="628E1C9B"/>
    <w:rsid w:val="62A635A4"/>
    <w:rsid w:val="62AC22DC"/>
    <w:rsid w:val="62F43847"/>
    <w:rsid w:val="62F92629"/>
    <w:rsid w:val="63057A83"/>
    <w:rsid w:val="63770981"/>
    <w:rsid w:val="637833E8"/>
    <w:rsid w:val="63927568"/>
    <w:rsid w:val="6477675E"/>
    <w:rsid w:val="64E45EF7"/>
    <w:rsid w:val="653F54CE"/>
    <w:rsid w:val="654237C0"/>
    <w:rsid w:val="656F7435"/>
    <w:rsid w:val="65F00576"/>
    <w:rsid w:val="668A4527"/>
    <w:rsid w:val="6691014E"/>
    <w:rsid w:val="66C87CCE"/>
    <w:rsid w:val="66D439F4"/>
    <w:rsid w:val="66F02A19"/>
    <w:rsid w:val="677435B2"/>
    <w:rsid w:val="67A55390"/>
    <w:rsid w:val="67CB129B"/>
    <w:rsid w:val="67EF75F1"/>
    <w:rsid w:val="68CF4DBB"/>
    <w:rsid w:val="69124F16"/>
    <w:rsid w:val="694A5205"/>
    <w:rsid w:val="69CD5C14"/>
    <w:rsid w:val="69CF0D33"/>
    <w:rsid w:val="69F0323B"/>
    <w:rsid w:val="6AFB1E97"/>
    <w:rsid w:val="6B2A0087"/>
    <w:rsid w:val="6B7C78A9"/>
    <w:rsid w:val="6B9946B3"/>
    <w:rsid w:val="6BC009EB"/>
    <w:rsid w:val="6C0703C8"/>
    <w:rsid w:val="6C5F5E5C"/>
    <w:rsid w:val="6C640B9C"/>
    <w:rsid w:val="6C662189"/>
    <w:rsid w:val="6C7007C7"/>
    <w:rsid w:val="6CB17FB2"/>
    <w:rsid w:val="6CE93F71"/>
    <w:rsid w:val="6D2000FF"/>
    <w:rsid w:val="6D266F73"/>
    <w:rsid w:val="6DE76850"/>
    <w:rsid w:val="6E3522FC"/>
    <w:rsid w:val="6FB20BD4"/>
    <w:rsid w:val="6FB650F7"/>
    <w:rsid w:val="6FBA59BE"/>
    <w:rsid w:val="70296B3E"/>
    <w:rsid w:val="70611204"/>
    <w:rsid w:val="706E4EB9"/>
    <w:rsid w:val="70871AD7"/>
    <w:rsid w:val="715961D4"/>
    <w:rsid w:val="71E60A7F"/>
    <w:rsid w:val="72812503"/>
    <w:rsid w:val="73445350"/>
    <w:rsid w:val="73922C6D"/>
    <w:rsid w:val="73B76B77"/>
    <w:rsid w:val="73BF2E85"/>
    <w:rsid w:val="73F14D9C"/>
    <w:rsid w:val="73FF21BF"/>
    <w:rsid w:val="74387CB8"/>
    <w:rsid w:val="74D003CB"/>
    <w:rsid w:val="74FA2C30"/>
    <w:rsid w:val="754D5C4B"/>
    <w:rsid w:val="75DC0687"/>
    <w:rsid w:val="762F78B4"/>
    <w:rsid w:val="76C240A7"/>
    <w:rsid w:val="775246B7"/>
    <w:rsid w:val="781E69D1"/>
    <w:rsid w:val="78757AE0"/>
    <w:rsid w:val="78D828A4"/>
    <w:rsid w:val="7A263B6B"/>
    <w:rsid w:val="7A3E76AA"/>
    <w:rsid w:val="7A7430CC"/>
    <w:rsid w:val="7AF46346"/>
    <w:rsid w:val="7B0F5EBF"/>
    <w:rsid w:val="7B130FB9"/>
    <w:rsid w:val="7B454A69"/>
    <w:rsid w:val="7B841A35"/>
    <w:rsid w:val="7BAE201A"/>
    <w:rsid w:val="7BEB3862"/>
    <w:rsid w:val="7BF64EDE"/>
    <w:rsid w:val="7C0B180E"/>
    <w:rsid w:val="7C400C1E"/>
    <w:rsid w:val="7C6F6241"/>
    <w:rsid w:val="7CE24569"/>
    <w:rsid w:val="7CF0654C"/>
    <w:rsid w:val="7D794B3F"/>
    <w:rsid w:val="7D8027B1"/>
    <w:rsid w:val="7DD11708"/>
    <w:rsid w:val="7DD30A52"/>
    <w:rsid w:val="7DE2122D"/>
    <w:rsid w:val="7EBD579E"/>
    <w:rsid w:val="7EC167BD"/>
    <w:rsid w:val="7F17671C"/>
    <w:rsid w:val="7F1B445E"/>
    <w:rsid w:val="7F272D9E"/>
    <w:rsid w:val="7F7338C5"/>
    <w:rsid w:val="7F7B4EF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4"/>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1"/>
    <w:unhideWhenUsed/>
    <w:qFormat/>
    <w:uiPriority w:val="0"/>
    <w:pPr>
      <w:keepNext/>
      <w:keepLines/>
      <w:spacing w:before="280" w:beforeLines="0" w:beforeAutospacing="0" w:after="290" w:afterLines="0" w:afterAutospacing="0" w:line="372" w:lineRule="auto"/>
      <w:outlineLvl w:val="3"/>
    </w:pPr>
    <w:rPr>
      <w:rFonts w:ascii="Arial" w:hAnsi="Arial" w:eastAsia="黑体" w:cs="Times New Roman"/>
      <w:b/>
      <w:sz w:val="28"/>
    </w:rPr>
  </w:style>
  <w:style w:type="paragraph" w:styleId="6">
    <w:name w:val="heading 5"/>
    <w:basedOn w:val="1"/>
    <w:next w:val="7"/>
    <w:link w:val="42"/>
    <w:unhideWhenUsed/>
    <w:qFormat/>
    <w:uiPriority w:val="0"/>
    <w:pPr>
      <w:keepNext/>
      <w:keepLines/>
      <w:spacing w:before="280" w:after="290" w:line="376" w:lineRule="auto"/>
      <w:outlineLvl w:val="4"/>
    </w:pPr>
    <w:rPr>
      <w:b/>
      <w:bCs/>
      <w:sz w:val="28"/>
      <w:szCs w:val="28"/>
    </w:rPr>
  </w:style>
  <w:style w:type="paragraph" w:styleId="8">
    <w:name w:val="heading 8"/>
    <w:basedOn w:val="1"/>
    <w:next w:val="1"/>
    <w:link w:val="43"/>
    <w:unhideWhenUsed/>
    <w:qFormat/>
    <w:uiPriority w:val="0"/>
    <w:pPr>
      <w:keepNext/>
      <w:keepLines/>
      <w:spacing w:before="240" w:after="64" w:line="320" w:lineRule="auto"/>
      <w:outlineLvl w:val="7"/>
    </w:pPr>
    <w:rPr>
      <w:rFonts w:ascii="等线 Light" w:hAnsi="等线 Light" w:eastAsia="等线 Light"/>
      <w:sz w:val="24"/>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index 8"/>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44"/>
    <w:qFormat/>
    <w:uiPriority w:val="0"/>
    <w:pPr>
      <w:jc w:val="left"/>
    </w:pPr>
  </w:style>
  <w:style w:type="paragraph" w:styleId="12">
    <w:name w:val="Body Text 3"/>
    <w:basedOn w:val="1"/>
    <w:link w:val="45"/>
    <w:qFormat/>
    <w:uiPriority w:val="0"/>
    <w:pPr>
      <w:spacing w:after="120"/>
    </w:pPr>
    <w:rPr>
      <w:sz w:val="16"/>
      <w:szCs w:val="16"/>
    </w:rPr>
  </w:style>
  <w:style w:type="paragraph" w:styleId="13">
    <w:name w:val="Body Text"/>
    <w:basedOn w:val="1"/>
    <w:link w:val="46"/>
    <w:qFormat/>
    <w:uiPriority w:val="0"/>
    <w:pPr>
      <w:spacing w:after="120"/>
    </w:pPr>
  </w:style>
  <w:style w:type="paragraph" w:styleId="14">
    <w:name w:val="Body Text Indent"/>
    <w:basedOn w:val="1"/>
    <w:link w:val="47"/>
    <w:qFormat/>
    <w:uiPriority w:val="0"/>
    <w:pPr>
      <w:ind w:firstLine="830" w:firstLineChars="352"/>
    </w:pPr>
    <w:rPr>
      <w:rFonts w:ascii="仿宋_GB2312" w:eastAsia="仿宋_GB2312"/>
      <w:kern w:val="0"/>
      <w:sz w:val="32"/>
      <w:szCs w:val="20"/>
    </w:rPr>
  </w:style>
  <w:style w:type="paragraph" w:styleId="15">
    <w:name w:val="List 2"/>
    <w:basedOn w:val="1"/>
    <w:qFormat/>
    <w:uiPriority w:val="0"/>
    <w:pPr>
      <w:ind w:left="100" w:leftChars="200" w:hanging="200" w:hangingChars="200"/>
      <w:contextualSpacing/>
    </w:pPr>
  </w:style>
  <w:style w:type="paragraph" w:styleId="16">
    <w:name w:val="toc 3"/>
    <w:basedOn w:val="1"/>
    <w:next w:val="1"/>
    <w:qFormat/>
    <w:uiPriority w:val="0"/>
    <w:pPr>
      <w:ind w:left="840" w:leftChars="400"/>
    </w:pPr>
  </w:style>
  <w:style w:type="paragraph" w:styleId="17">
    <w:name w:val="Plain Text"/>
    <w:basedOn w:val="1"/>
    <w:next w:val="1"/>
    <w:link w:val="48"/>
    <w:qFormat/>
    <w:uiPriority w:val="0"/>
    <w:rPr>
      <w:rFonts w:ascii="宋体" w:hAnsi="Courier New"/>
      <w:kern w:val="0"/>
      <w:sz w:val="20"/>
      <w:szCs w:val="21"/>
    </w:rPr>
  </w:style>
  <w:style w:type="paragraph" w:styleId="18">
    <w:name w:val="Date"/>
    <w:basedOn w:val="1"/>
    <w:next w:val="1"/>
    <w:link w:val="49"/>
    <w:qFormat/>
    <w:uiPriority w:val="0"/>
    <w:pPr>
      <w:ind w:left="100" w:leftChars="2500"/>
    </w:pPr>
  </w:style>
  <w:style w:type="paragraph" w:styleId="19">
    <w:name w:val="Body Text Indent 2"/>
    <w:qFormat/>
    <w:uiPriority w:val="99"/>
    <w:pPr>
      <w:widowControl w:val="0"/>
      <w:spacing w:after="120" w:line="480" w:lineRule="auto"/>
      <w:ind w:left="420" w:leftChars="200"/>
      <w:jc w:val="both"/>
    </w:pPr>
    <w:rPr>
      <w:rFonts w:ascii="Times New Roman" w:hAnsi="Times New Roman" w:eastAsia="宋体" w:cs="Times New Roman"/>
      <w:kern w:val="2"/>
      <w:sz w:val="24"/>
      <w:szCs w:val="24"/>
      <w:lang w:val="en-US" w:eastAsia="zh-CN" w:bidi="ar-SA"/>
    </w:rPr>
  </w:style>
  <w:style w:type="paragraph" w:styleId="20">
    <w:name w:val="Balloon Text"/>
    <w:basedOn w:val="1"/>
    <w:link w:val="50"/>
    <w:qFormat/>
    <w:uiPriority w:val="0"/>
    <w:rPr>
      <w:sz w:val="18"/>
      <w:szCs w:val="18"/>
    </w:rPr>
  </w:style>
  <w:style w:type="paragraph" w:styleId="21">
    <w:name w:val="footer"/>
    <w:basedOn w:val="1"/>
    <w:link w:val="51"/>
    <w:qFormat/>
    <w:uiPriority w:val="0"/>
    <w:pPr>
      <w:tabs>
        <w:tab w:val="center" w:pos="4153"/>
        <w:tab w:val="right" w:pos="8306"/>
      </w:tabs>
      <w:snapToGrid w:val="0"/>
      <w:jc w:val="left"/>
    </w:pPr>
    <w:rPr>
      <w:kern w:val="0"/>
      <w:sz w:val="18"/>
      <w:szCs w:val="18"/>
    </w:rPr>
  </w:style>
  <w:style w:type="paragraph" w:styleId="22">
    <w:name w:val="header"/>
    <w:basedOn w:val="1"/>
    <w:link w:val="52"/>
    <w:qFormat/>
    <w:uiPriority w:val="0"/>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contextualSpacing/>
    </w:pPr>
  </w:style>
  <w:style w:type="paragraph" w:styleId="25">
    <w:name w:val="footnote text"/>
    <w:qFormat/>
    <w:uiPriority w:val="0"/>
    <w:pPr>
      <w:widowControl w:val="0"/>
      <w:adjustRightInd w:val="0"/>
      <w:spacing w:line="312" w:lineRule="atLeast"/>
      <w:jc w:val="left"/>
      <w:textAlignment w:val="baseline"/>
    </w:pPr>
    <w:rPr>
      <w:rFonts w:ascii="Times New Roman" w:hAnsi="Times New Roman" w:eastAsia="宋体" w:cs="Times New Roman"/>
      <w:kern w:val="0"/>
      <w:sz w:val="18"/>
      <w:szCs w:val="18"/>
      <w:lang w:val="en-US" w:eastAsia="zh-CN" w:bidi="ar-SA"/>
    </w:rPr>
  </w:style>
  <w:style w:type="paragraph" w:styleId="26">
    <w:name w:val="toc 2"/>
    <w:basedOn w:val="1"/>
    <w:next w:val="1"/>
    <w:qFormat/>
    <w:uiPriority w:val="0"/>
    <w:pPr>
      <w:tabs>
        <w:tab w:val="right" w:leader="dot" w:pos="8296"/>
      </w:tabs>
      <w:ind w:left="420" w:leftChars="200"/>
    </w:pPr>
  </w:style>
  <w:style w:type="paragraph" w:styleId="27">
    <w:name w:val="Normal (Web)"/>
    <w:basedOn w:val="1"/>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8">
    <w:name w:val="annotation subject"/>
    <w:basedOn w:val="11"/>
    <w:next w:val="11"/>
    <w:link w:val="53"/>
    <w:qFormat/>
    <w:uiPriority w:val="0"/>
    <w:rPr>
      <w:b/>
      <w:bCs/>
    </w:rPr>
  </w:style>
  <w:style w:type="table" w:styleId="30">
    <w:name w:val="Table Grid"/>
    <w:basedOn w:val="2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endnote reference"/>
    <w:qFormat/>
    <w:uiPriority w:val="0"/>
    <w:rPr>
      <w:vertAlign w:val="superscript"/>
    </w:rPr>
  </w:style>
  <w:style w:type="character" w:styleId="33">
    <w:name w:val="page number"/>
    <w:qFormat/>
    <w:uiPriority w:val="0"/>
  </w:style>
  <w:style w:type="character" w:styleId="34">
    <w:name w:val="FollowedHyperlink"/>
    <w:qFormat/>
    <w:uiPriority w:val="0"/>
    <w:rPr>
      <w:color w:val="800080"/>
      <w:u w:val="single"/>
    </w:rPr>
  </w:style>
  <w:style w:type="character" w:styleId="35">
    <w:name w:val="Hyperlink"/>
    <w:qFormat/>
    <w:uiPriority w:val="0"/>
    <w:rPr>
      <w:color w:val="0000FF"/>
      <w:u w:val="single"/>
    </w:rPr>
  </w:style>
  <w:style w:type="character" w:styleId="36">
    <w:name w:val="annotation reference"/>
    <w:qFormat/>
    <w:uiPriority w:val="0"/>
    <w:rPr>
      <w:sz w:val="21"/>
      <w:szCs w:val="21"/>
    </w:rPr>
  </w:style>
  <w:style w:type="character" w:styleId="37">
    <w:name w:val="footnote reference"/>
    <w:unhideWhenUsed/>
    <w:qFormat/>
    <w:uiPriority w:val="0"/>
    <w:rPr>
      <w:vertAlign w:val="superscript"/>
    </w:rPr>
  </w:style>
  <w:style w:type="character" w:customStyle="1" w:styleId="38">
    <w:name w:val="标题 1 字符2"/>
    <w:link w:val="2"/>
    <w:qFormat/>
    <w:uiPriority w:val="9"/>
    <w:rPr>
      <w:b/>
      <w:bCs/>
      <w:kern w:val="44"/>
      <w:sz w:val="44"/>
      <w:szCs w:val="44"/>
    </w:rPr>
  </w:style>
  <w:style w:type="character" w:customStyle="1" w:styleId="39">
    <w:name w:val="标题 2 字符1"/>
    <w:link w:val="3"/>
    <w:qFormat/>
    <w:uiPriority w:val="9"/>
    <w:rPr>
      <w:rFonts w:ascii="Cambria" w:hAnsi="Cambria" w:eastAsia="宋体" w:cs="Times New Roman"/>
      <w:b/>
      <w:bCs/>
      <w:kern w:val="2"/>
      <w:sz w:val="32"/>
      <w:szCs w:val="32"/>
    </w:rPr>
  </w:style>
  <w:style w:type="character" w:customStyle="1" w:styleId="40">
    <w:name w:val="标题 3 字符1"/>
    <w:link w:val="4"/>
    <w:qFormat/>
    <w:uiPriority w:val="9"/>
    <w:rPr>
      <w:b/>
      <w:bCs/>
      <w:kern w:val="2"/>
      <w:sz w:val="32"/>
      <w:szCs w:val="32"/>
    </w:rPr>
  </w:style>
  <w:style w:type="character" w:customStyle="1" w:styleId="41">
    <w:name w:val="标题 4 Char"/>
    <w:link w:val="5"/>
    <w:qFormat/>
    <w:uiPriority w:val="0"/>
    <w:rPr>
      <w:rFonts w:ascii="Arial" w:hAnsi="Arial" w:eastAsia="黑体" w:cs="Times New Roman"/>
      <w:b/>
      <w:sz w:val="28"/>
    </w:rPr>
  </w:style>
  <w:style w:type="character" w:customStyle="1" w:styleId="42">
    <w:name w:val="标题 5 字符1"/>
    <w:link w:val="6"/>
    <w:qFormat/>
    <w:uiPriority w:val="9"/>
    <w:rPr>
      <w:rFonts w:ascii="Times New Roman" w:hAnsi="Times New Roman"/>
      <w:b/>
      <w:bCs/>
      <w:kern w:val="2"/>
      <w:sz w:val="28"/>
      <w:szCs w:val="28"/>
    </w:rPr>
  </w:style>
  <w:style w:type="character" w:customStyle="1" w:styleId="43">
    <w:name w:val="标题 8 字符1"/>
    <w:link w:val="8"/>
    <w:qFormat/>
    <w:uiPriority w:val="9"/>
    <w:rPr>
      <w:rFonts w:ascii="等线 Light" w:hAnsi="等线 Light" w:eastAsia="等线 Light" w:cs="Times New Roman"/>
      <w:kern w:val="2"/>
      <w:sz w:val="24"/>
      <w:szCs w:val="24"/>
    </w:rPr>
  </w:style>
  <w:style w:type="character" w:customStyle="1" w:styleId="44">
    <w:name w:val="批注文字 字符3"/>
    <w:link w:val="11"/>
    <w:qFormat/>
    <w:uiPriority w:val="0"/>
    <w:rPr>
      <w:rFonts w:ascii="Times New Roman" w:hAnsi="Times New Roman"/>
      <w:kern w:val="2"/>
      <w:sz w:val="21"/>
      <w:szCs w:val="24"/>
    </w:rPr>
  </w:style>
  <w:style w:type="character" w:customStyle="1" w:styleId="45">
    <w:name w:val="正文文本 3 字符1"/>
    <w:link w:val="12"/>
    <w:qFormat/>
    <w:uiPriority w:val="99"/>
    <w:rPr>
      <w:kern w:val="2"/>
      <w:sz w:val="16"/>
      <w:szCs w:val="16"/>
    </w:rPr>
  </w:style>
  <w:style w:type="character" w:customStyle="1" w:styleId="46">
    <w:name w:val="正文文本 字符2"/>
    <w:link w:val="13"/>
    <w:qFormat/>
    <w:uiPriority w:val="0"/>
    <w:rPr>
      <w:rFonts w:ascii="Times New Roman" w:hAnsi="Times New Roman"/>
      <w:kern w:val="2"/>
      <w:sz w:val="21"/>
      <w:szCs w:val="24"/>
    </w:rPr>
  </w:style>
  <w:style w:type="character" w:customStyle="1" w:styleId="47">
    <w:name w:val="正文文本缩进 字符1"/>
    <w:link w:val="14"/>
    <w:qFormat/>
    <w:uiPriority w:val="0"/>
    <w:rPr>
      <w:rFonts w:ascii="仿宋_GB2312" w:hAnsi="Times New Roman" w:eastAsia="仿宋_GB2312" w:cs="Times New Roman"/>
      <w:sz w:val="32"/>
      <w:szCs w:val="20"/>
    </w:rPr>
  </w:style>
  <w:style w:type="character" w:customStyle="1" w:styleId="48">
    <w:name w:val="纯文本 字符4"/>
    <w:link w:val="17"/>
    <w:qFormat/>
    <w:uiPriority w:val="0"/>
    <w:rPr>
      <w:rFonts w:ascii="宋体" w:hAnsi="Courier New" w:eastAsia="宋体" w:cs="Courier New"/>
      <w:szCs w:val="21"/>
    </w:rPr>
  </w:style>
  <w:style w:type="character" w:customStyle="1" w:styleId="49">
    <w:name w:val="日期 字符1"/>
    <w:link w:val="18"/>
    <w:qFormat/>
    <w:uiPriority w:val="99"/>
    <w:rPr>
      <w:rFonts w:ascii="Times New Roman" w:hAnsi="Times New Roman"/>
      <w:kern w:val="2"/>
      <w:sz w:val="21"/>
      <w:szCs w:val="24"/>
    </w:rPr>
  </w:style>
  <w:style w:type="character" w:customStyle="1" w:styleId="50">
    <w:name w:val="批注框文本 字符"/>
    <w:link w:val="20"/>
    <w:semiHidden/>
    <w:qFormat/>
    <w:uiPriority w:val="99"/>
    <w:rPr>
      <w:kern w:val="2"/>
      <w:sz w:val="18"/>
      <w:szCs w:val="18"/>
    </w:rPr>
  </w:style>
  <w:style w:type="character" w:customStyle="1" w:styleId="51">
    <w:name w:val="页脚 字符1"/>
    <w:link w:val="21"/>
    <w:qFormat/>
    <w:uiPriority w:val="99"/>
    <w:rPr>
      <w:sz w:val="18"/>
      <w:szCs w:val="18"/>
    </w:rPr>
  </w:style>
  <w:style w:type="character" w:customStyle="1" w:styleId="52">
    <w:name w:val="页眉 字符1"/>
    <w:link w:val="22"/>
    <w:qFormat/>
    <w:uiPriority w:val="99"/>
    <w:rPr>
      <w:sz w:val="18"/>
      <w:szCs w:val="18"/>
    </w:rPr>
  </w:style>
  <w:style w:type="character" w:customStyle="1" w:styleId="53">
    <w:name w:val="批注主题 字符1"/>
    <w:link w:val="28"/>
    <w:qFormat/>
    <w:uiPriority w:val="99"/>
    <w:rPr>
      <w:rFonts w:ascii="Times New Roman" w:hAnsi="Times New Roman"/>
      <w:b/>
      <w:bCs/>
      <w:kern w:val="2"/>
      <w:sz w:val="21"/>
      <w:szCs w:val="24"/>
    </w:rPr>
  </w:style>
  <w:style w:type="character" w:customStyle="1" w:styleId="54">
    <w:name w:val="标题 3 Char"/>
    <w:link w:val="4"/>
    <w:qFormat/>
    <w:uiPriority w:val="0"/>
    <w:rPr>
      <w:rFonts w:ascii="宋体" w:hAnsi="宋体" w:eastAsia="宋体" w:cs="宋体"/>
      <w:b/>
      <w:sz w:val="28"/>
    </w:rPr>
  </w:style>
  <w:style w:type="character" w:customStyle="1" w:styleId="55">
    <w:name w:val="纯文本 字符2"/>
    <w:qFormat/>
    <w:uiPriority w:val="0"/>
    <w:rPr>
      <w:rFonts w:ascii="宋体" w:hAnsi="Courier New" w:eastAsia="宋体" w:cs="Courier New"/>
      <w:szCs w:val="21"/>
    </w:rPr>
  </w:style>
  <w:style w:type="character" w:customStyle="1" w:styleId="56">
    <w:name w:val="apple-style-span"/>
    <w:qFormat/>
    <w:uiPriority w:val="0"/>
  </w:style>
  <w:style w:type="character" w:customStyle="1" w:styleId="57">
    <w:name w:val="标题 2 Char"/>
    <w:qFormat/>
    <w:uiPriority w:val="9"/>
    <w:rPr>
      <w:rFonts w:ascii="Cambria" w:hAnsi="Cambria" w:eastAsia="宋体" w:cs="Times New Roman"/>
      <w:b/>
      <w:bCs/>
      <w:kern w:val="2"/>
      <w:sz w:val="32"/>
      <w:szCs w:val="32"/>
    </w:rPr>
  </w:style>
  <w:style w:type="character" w:customStyle="1" w:styleId="58">
    <w:name w:val="纯文本 字符"/>
    <w:qFormat/>
    <w:uiPriority w:val="0"/>
    <w:rPr>
      <w:rFonts w:ascii="宋体" w:hAnsi="Courier New" w:eastAsia="宋体" w:cs="Courier New"/>
      <w:szCs w:val="21"/>
    </w:rPr>
  </w:style>
  <w:style w:type="character" w:customStyle="1" w:styleId="59">
    <w:name w:val="纯文本 字符1"/>
    <w:qFormat/>
    <w:uiPriority w:val="0"/>
    <w:rPr>
      <w:rFonts w:ascii="宋体" w:hAnsi="Courier New"/>
    </w:rPr>
  </w:style>
  <w:style w:type="character" w:customStyle="1" w:styleId="60">
    <w:name w:val="标题 8 Char"/>
    <w:qFormat/>
    <w:uiPriority w:val="0"/>
    <w:rPr>
      <w:rFonts w:ascii="Arial" w:hAnsi="Arial" w:eastAsia="黑体"/>
      <w:kern w:val="2"/>
      <w:sz w:val="24"/>
      <w:szCs w:val="24"/>
    </w:rPr>
  </w:style>
  <w:style w:type="character" w:customStyle="1" w:styleId="61">
    <w:name w:val="纯文本 Char"/>
    <w:qFormat/>
    <w:uiPriority w:val="0"/>
    <w:rPr>
      <w:rFonts w:ascii="宋体" w:hAnsi="Courier New" w:eastAsia="宋体" w:cs="Courier New"/>
      <w:szCs w:val="21"/>
    </w:rPr>
  </w:style>
  <w:style w:type="character" w:customStyle="1" w:styleId="62">
    <w:name w:val="正文文本 Char"/>
    <w:qFormat/>
    <w:uiPriority w:val="0"/>
    <w:rPr>
      <w:rFonts w:ascii="Times New Roman" w:hAnsi="Times New Roman"/>
      <w:kern w:val="2"/>
      <w:sz w:val="21"/>
      <w:szCs w:val="24"/>
    </w:rPr>
  </w:style>
  <w:style w:type="character" w:customStyle="1" w:styleId="63">
    <w:name w:val="批注文字 字符1"/>
    <w:qFormat/>
    <w:uiPriority w:val="0"/>
    <w:rPr>
      <w:rFonts w:ascii="Times New Roman" w:hAnsi="Times New Roman"/>
      <w:kern w:val="2"/>
      <w:sz w:val="21"/>
      <w:szCs w:val="24"/>
    </w:rPr>
  </w:style>
  <w:style w:type="character" w:customStyle="1" w:styleId="6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5">
    <w:name w:val="标题 1 字符1"/>
    <w:qFormat/>
    <w:uiPriority w:val="0"/>
    <w:rPr>
      <w:b/>
      <w:bCs/>
      <w:kern w:val="44"/>
      <w:sz w:val="44"/>
      <w:szCs w:val="44"/>
    </w:rPr>
  </w:style>
  <w:style w:type="character" w:customStyle="1" w:styleId="66">
    <w:name w:val="正文文本 字符"/>
    <w:qFormat/>
    <w:uiPriority w:val="0"/>
    <w:rPr>
      <w:rFonts w:ascii="Times New Roman" w:hAnsi="Times New Roman"/>
      <w:kern w:val="2"/>
      <w:sz w:val="21"/>
      <w:szCs w:val="24"/>
    </w:rPr>
  </w:style>
  <w:style w:type="character" w:customStyle="1" w:styleId="67">
    <w:name w:val="批注文字 字符"/>
    <w:qFormat/>
    <w:uiPriority w:val="0"/>
    <w:rPr>
      <w:rFonts w:ascii="Times New Roman" w:hAnsi="Times New Roman"/>
      <w:kern w:val="2"/>
      <w:sz w:val="21"/>
      <w:szCs w:val="24"/>
    </w:rPr>
  </w:style>
  <w:style w:type="character" w:customStyle="1" w:styleId="68">
    <w:name w:val="textcontents"/>
    <w:qFormat/>
    <w:uiPriority w:val="0"/>
  </w:style>
  <w:style w:type="character" w:customStyle="1" w:styleId="69">
    <w:name w:val="批注文字 Char"/>
    <w:qFormat/>
    <w:uiPriority w:val="0"/>
    <w:rPr>
      <w:rFonts w:ascii="Times New Roman" w:hAnsi="Times New Roman"/>
      <w:kern w:val="2"/>
      <w:sz w:val="21"/>
      <w:szCs w:val="24"/>
    </w:rPr>
  </w:style>
  <w:style w:type="paragraph" w:customStyle="1" w:styleId="70">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styleId="71">
    <w:name w:val="List Paragraph"/>
    <w:basedOn w:val="1"/>
    <w:qFormat/>
    <w:uiPriority w:val="34"/>
    <w:pPr>
      <w:ind w:firstLine="420" w:firstLineChars="200"/>
    </w:pPr>
  </w:style>
  <w:style w:type="paragraph" w:customStyle="1" w:styleId="72">
    <w:name w:val="默认段落字体 Para Char Char Char Char Char Char Char Char Char1 Char Char Char Char"/>
    <w:basedOn w:val="1"/>
    <w:qFormat/>
    <w:uiPriority w:val="99"/>
    <w:rPr>
      <w:rFonts w:ascii="Tahoma" w:hAnsi="Tahoma"/>
      <w:sz w:val="24"/>
      <w:szCs w:val="20"/>
    </w:rPr>
  </w:style>
  <w:style w:type="paragraph" w:customStyle="1" w:styleId="73">
    <w:name w:val="Table Paragraph"/>
    <w:basedOn w:val="1"/>
    <w:qFormat/>
    <w:uiPriority w:val="1"/>
    <w:pPr>
      <w:jc w:val="left"/>
    </w:pPr>
    <w:rPr>
      <w:rFonts w:ascii="Calibri" w:hAnsi="Calibri"/>
      <w:kern w:val="0"/>
      <w:sz w:val="22"/>
      <w:szCs w:val="22"/>
      <w:lang w:eastAsia="en-US"/>
    </w:rPr>
  </w:style>
  <w:style w:type="paragraph" w:customStyle="1" w:styleId="74">
    <w:name w:val="Char Char Char Char"/>
    <w:basedOn w:val="1"/>
    <w:qFormat/>
    <w:uiPriority w:val="99"/>
    <w:pPr>
      <w:widowControl/>
      <w:spacing w:after="160" w:line="240" w:lineRule="exact"/>
      <w:jc w:val="left"/>
    </w:pPr>
  </w:style>
  <w:style w:type="character" w:customStyle="1" w:styleId="75">
    <w:name w:val="_Style 74"/>
    <w:unhideWhenUsed/>
    <w:qFormat/>
    <w:uiPriority w:val="99"/>
    <w:rPr>
      <w:color w:val="605E5C"/>
      <w:shd w:val="clear" w:color="auto" w:fill="E1DFDD"/>
    </w:rPr>
  </w:style>
  <w:style w:type="paragraph" w:customStyle="1" w:styleId="76">
    <w:name w:val="_Style 75"/>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character" w:customStyle="1" w:styleId="77">
    <w:name w:val="正文2 Char Char"/>
    <w:link w:val="78"/>
    <w:qFormat/>
    <w:uiPriority w:val="0"/>
    <w:rPr>
      <w:sz w:val="24"/>
    </w:rPr>
  </w:style>
  <w:style w:type="paragraph" w:customStyle="1" w:styleId="78">
    <w:name w:val="正文2"/>
    <w:basedOn w:val="1"/>
    <w:link w:val="77"/>
    <w:qFormat/>
    <w:uiPriority w:val="0"/>
    <w:pPr>
      <w:adjustRightInd w:val="0"/>
      <w:spacing w:before="156" w:line="360" w:lineRule="auto"/>
      <w:ind w:firstLine="510" w:firstLineChars="200"/>
    </w:pPr>
    <w:rPr>
      <w:kern w:val="0"/>
      <w:sz w:val="24"/>
      <w:szCs w:val="20"/>
    </w:rPr>
  </w:style>
  <w:style w:type="paragraph" w:customStyle="1" w:styleId="79">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80">
    <w:name w:val="正文缩进1"/>
    <w:basedOn w:val="1"/>
    <w:next w:val="14"/>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81">
    <w:name w:val="标题 1 字符"/>
    <w:qFormat/>
    <w:uiPriority w:val="9"/>
    <w:rPr>
      <w:b/>
      <w:bCs/>
      <w:kern w:val="44"/>
      <w:sz w:val="44"/>
      <w:szCs w:val="44"/>
    </w:rPr>
  </w:style>
  <w:style w:type="character" w:customStyle="1" w:styleId="82">
    <w:name w:val="标题 2 字符"/>
    <w:qFormat/>
    <w:uiPriority w:val="9"/>
    <w:rPr>
      <w:rFonts w:ascii="Cambria" w:hAnsi="Cambria"/>
      <w:b/>
      <w:bCs/>
      <w:kern w:val="2"/>
      <w:sz w:val="32"/>
      <w:szCs w:val="32"/>
    </w:rPr>
  </w:style>
  <w:style w:type="character" w:customStyle="1" w:styleId="83">
    <w:name w:val="标题 3 字符"/>
    <w:qFormat/>
    <w:uiPriority w:val="9"/>
    <w:rPr>
      <w:b/>
      <w:bCs/>
      <w:kern w:val="2"/>
      <w:sz w:val="32"/>
      <w:szCs w:val="32"/>
    </w:rPr>
  </w:style>
  <w:style w:type="character" w:customStyle="1" w:styleId="84">
    <w:name w:val="标题 5 字符"/>
    <w:qFormat/>
    <w:uiPriority w:val="9"/>
    <w:rPr>
      <w:b/>
      <w:bCs/>
      <w:kern w:val="2"/>
      <w:sz w:val="28"/>
      <w:szCs w:val="28"/>
    </w:rPr>
  </w:style>
  <w:style w:type="character" w:customStyle="1" w:styleId="85">
    <w:name w:val="标题 8 字符"/>
    <w:qFormat/>
    <w:uiPriority w:val="9"/>
    <w:rPr>
      <w:rFonts w:ascii="等线 Light" w:hAnsi="等线 Light" w:eastAsia="等线 Light"/>
      <w:kern w:val="2"/>
      <w:sz w:val="24"/>
      <w:szCs w:val="24"/>
    </w:rPr>
  </w:style>
  <w:style w:type="character" w:customStyle="1" w:styleId="86">
    <w:name w:val="批注文字 字符2"/>
    <w:qFormat/>
    <w:uiPriority w:val="99"/>
    <w:rPr>
      <w:kern w:val="2"/>
      <w:sz w:val="21"/>
      <w:szCs w:val="24"/>
    </w:rPr>
  </w:style>
  <w:style w:type="character" w:customStyle="1" w:styleId="87">
    <w:name w:val="正文文本 3 字符"/>
    <w:qFormat/>
    <w:uiPriority w:val="99"/>
    <w:rPr>
      <w:kern w:val="2"/>
      <w:sz w:val="16"/>
      <w:szCs w:val="16"/>
    </w:rPr>
  </w:style>
  <w:style w:type="character" w:customStyle="1" w:styleId="88">
    <w:name w:val="正文文本 字符1"/>
    <w:qFormat/>
    <w:uiPriority w:val="99"/>
    <w:rPr>
      <w:kern w:val="2"/>
      <w:sz w:val="21"/>
      <w:szCs w:val="24"/>
    </w:rPr>
  </w:style>
  <w:style w:type="character" w:customStyle="1" w:styleId="89">
    <w:name w:val="正文文本缩进 字符"/>
    <w:qFormat/>
    <w:uiPriority w:val="99"/>
    <w:rPr>
      <w:rFonts w:ascii="仿宋_GB2312" w:eastAsia="仿宋_GB2312"/>
      <w:sz w:val="32"/>
    </w:rPr>
  </w:style>
  <w:style w:type="character" w:customStyle="1" w:styleId="90">
    <w:name w:val="纯文本 字符3"/>
    <w:qFormat/>
    <w:uiPriority w:val="99"/>
    <w:rPr>
      <w:rFonts w:ascii="宋体" w:hAnsi="Courier New"/>
      <w:szCs w:val="21"/>
    </w:rPr>
  </w:style>
  <w:style w:type="character" w:customStyle="1" w:styleId="91">
    <w:name w:val="日期 字符"/>
    <w:qFormat/>
    <w:uiPriority w:val="99"/>
    <w:rPr>
      <w:kern w:val="2"/>
      <w:sz w:val="21"/>
      <w:szCs w:val="24"/>
    </w:rPr>
  </w:style>
  <w:style w:type="character" w:customStyle="1" w:styleId="92">
    <w:name w:val="页脚 字符"/>
    <w:qFormat/>
    <w:uiPriority w:val="99"/>
    <w:rPr>
      <w:sz w:val="18"/>
      <w:szCs w:val="18"/>
    </w:rPr>
  </w:style>
  <w:style w:type="character" w:customStyle="1" w:styleId="93">
    <w:name w:val="页眉 字符"/>
    <w:qFormat/>
    <w:uiPriority w:val="99"/>
    <w:rPr>
      <w:sz w:val="18"/>
      <w:szCs w:val="18"/>
    </w:rPr>
  </w:style>
  <w:style w:type="character" w:customStyle="1" w:styleId="94">
    <w:name w:val="批注主题 字符"/>
    <w:qFormat/>
    <w:uiPriority w:val="99"/>
    <w:rPr>
      <w:rFonts w:ascii="Times New Roman" w:hAnsi="Times New Roman"/>
      <w:b/>
      <w:bCs/>
      <w:kern w:val="2"/>
      <w:sz w:val="21"/>
      <w:szCs w:val="24"/>
    </w:rPr>
  </w:style>
  <w:style w:type="paragraph" w:customStyle="1" w:styleId="95">
    <w:name w:val="_Style 94"/>
    <w:basedOn w:val="1"/>
    <w:unhideWhenUsed/>
    <w:qFormat/>
    <w:uiPriority w:val="99"/>
  </w:style>
  <w:style w:type="paragraph" w:customStyle="1" w:styleId="96">
    <w:name w:val="_Style 95"/>
    <w:basedOn w:val="1"/>
    <w:unhideWhenUsed/>
    <w:qFormat/>
    <w:uiPriority w:val="99"/>
  </w:style>
  <w:style w:type="paragraph" w:customStyle="1" w:styleId="97">
    <w:name w:val="msonormal"/>
    <w:basedOn w:val="1"/>
    <w:qFormat/>
    <w:uiPriority w:val="99"/>
    <w:rPr>
      <w:rFonts w:ascii="Calibri" w:hAnsi="Calibri"/>
      <w:kern w:val="0"/>
      <w:sz w:val="24"/>
    </w:rPr>
  </w:style>
  <w:style w:type="character" w:customStyle="1" w:styleId="98">
    <w:name w:val="font51"/>
    <w:basedOn w:val="31"/>
    <w:qFormat/>
    <w:uiPriority w:val="0"/>
    <w:rPr>
      <w:rFonts w:hint="eastAsia" w:ascii="宋体" w:hAnsi="宋体" w:eastAsia="宋体" w:cs="宋体"/>
      <w:color w:val="000000"/>
      <w:sz w:val="18"/>
      <w:szCs w:val="18"/>
      <w:u w:val="none"/>
    </w:rPr>
  </w:style>
  <w:style w:type="character" w:customStyle="1" w:styleId="99">
    <w:name w:val="font11"/>
    <w:basedOn w:val="31"/>
    <w:qFormat/>
    <w:uiPriority w:val="0"/>
    <w:rPr>
      <w:rFonts w:hint="eastAsia" w:ascii="宋体" w:hAnsi="宋体" w:eastAsia="宋体" w:cs="宋体"/>
      <w:color w:val="000000"/>
      <w:sz w:val="18"/>
      <w:szCs w:val="18"/>
      <w:u w:val="none"/>
    </w:rPr>
  </w:style>
  <w:style w:type="character" w:customStyle="1" w:styleId="100">
    <w:name w:val="font21"/>
    <w:basedOn w:val="31"/>
    <w:qFormat/>
    <w:uiPriority w:val="0"/>
    <w:rPr>
      <w:rFonts w:hint="eastAsia" w:ascii="宋体" w:hAnsi="宋体" w:eastAsia="宋体" w:cs="宋体"/>
      <w:b/>
      <w:bCs/>
      <w:color w:val="000000"/>
      <w:sz w:val="18"/>
      <w:szCs w:val="18"/>
      <w:u w:val="none"/>
    </w:rPr>
  </w:style>
  <w:style w:type="character" w:customStyle="1" w:styleId="101">
    <w:name w:val="font31"/>
    <w:basedOn w:val="31"/>
    <w:qFormat/>
    <w:uiPriority w:val="0"/>
    <w:rPr>
      <w:rFonts w:hint="default" w:ascii="Times New Roman" w:hAnsi="Times New Roman" w:eastAsia="宋体" w:cs="Times New Roman"/>
      <w:color w:val="000000"/>
      <w:sz w:val="18"/>
      <w:szCs w:val="18"/>
      <w:u w:val="none"/>
    </w:rPr>
  </w:style>
  <w:style w:type="paragraph" w:customStyle="1" w:styleId="102">
    <w:name w:val="WPSOffice手动目录 1"/>
    <w:qFormat/>
    <w:uiPriority w:val="0"/>
    <w:pPr>
      <w:ind w:leftChars="0"/>
    </w:pPr>
    <w:rPr>
      <w:rFonts w:ascii="Calibri" w:hAnsi="Calibri" w:eastAsia="宋体" w:cs="Times New Roman"/>
      <w:sz w:val="20"/>
      <w:szCs w:val="20"/>
    </w:rPr>
  </w:style>
  <w:style w:type="paragraph" w:customStyle="1" w:styleId="103">
    <w:name w:val="WPSOffice手动目录 2"/>
    <w:qFormat/>
    <w:uiPriority w:val="0"/>
    <w:pPr>
      <w:ind w:leftChars="200"/>
    </w:pPr>
    <w:rPr>
      <w:rFonts w:ascii="Calibri" w:hAnsi="Calibri" w:eastAsia="宋体" w:cs="Times New Roman"/>
      <w:sz w:val="20"/>
      <w:szCs w:val="20"/>
    </w:rPr>
  </w:style>
  <w:style w:type="paragraph" w:customStyle="1" w:styleId="104">
    <w:name w:val="WPSOffice手动目录 3"/>
    <w:qFormat/>
    <w:uiPriority w:val="0"/>
    <w:pPr>
      <w:ind w:leftChars="400"/>
    </w:pPr>
    <w:rPr>
      <w:rFonts w:ascii="Calibri" w:hAnsi="Calibri" w:eastAsia="宋体" w:cs="Times New Roman"/>
      <w:sz w:val="20"/>
      <w:szCs w:val="20"/>
    </w:rPr>
  </w:style>
  <w:style w:type="paragraph" w:customStyle="1" w:styleId="105">
    <w:name w:val="_Style 142"/>
    <w:next w:val="71"/>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06">
    <w:name w:val="Body text|1"/>
    <w:qFormat/>
    <w:uiPriority w:val="0"/>
    <w:pPr>
      <w:widowControl w:val="0"/>
      <w:spacing w:line="360" w:lineRule="auto"/>
      <w:ind w:firstLine="400"/>
      <w:jc w:val="both"/>
    </w:pPr>
    <w:rPr>
      <w:rFonts w:ascii="宋体" w:hAnsi="宋体" w:eastAsia="宋体" w:cs="宋体"/>
      <w:kern w:val="2"/>
      <w:sz w:val="21"/>
      <w:szCs w:val="20"/>
      <w:lang w:val="zh-CN" w:eastAsia="zh-CN" w:bidi="zh-CN"/>
    </w:rPr>
  </w:style>
  <w:style w:type="paragraph" w:customStyle="1" w:styleId="107">
    <w:name w:val="表格文字"/>
    <w:qFormat/>
    <w:uiPriority w:val="0"/>
    <w:pPr>
      <w:widowControl w:val="0"/>
      <w:adjustRightInd w:val="0"/>
      <w:snapToGrid w:val="0"/>
      <w:jc w:val="center"/>
    </w:pPr>
    <w:rPr>
      <w:rFonts w:ascii="Times New Roman" w:hAnsi="Times New Roman" w:eastAsia="宋体" w:cs="Times New Roman"/>
      <w:kern w:val="0"/>
      <w:sz w:val="24"/>
      <w:szCs w:val="24"/>
      <w:lang w:val="en-US" w:eastAsia="zh-CN" w:bidi="ar-SA"/>
    </w:rPr>
  </w:style>
  <w:style w:type="paragraph" w:customStyle="1" w:styleId="10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10">
    <w:name w:val="首行缩进"/>
    <w:qFormat/>
    <w:uiPriority w:val="99"/>
    <w:pPr>
      <w:widowControl w:val="0"/>
      <w:ind w:firstLine="480" w:firstLineChars="200"/>
      <w:jc w:val="both"/>
    </w:pPr>
    <w:rPr>
      <w:rFonts w:ascii="Times New Roman" w:hAnsi="Times New Roman" w:eastAsia="宋体" w:cs="Times New Roman"/>
      <w:kern w:val="2"/>
      <w:sz w:val="21"/>
      <w:szCs w:val="24"/>
      <w:lang w:val="zh-CN" w:eastAsia="zh-CN" w:bidi="ar-SA"/>
    </w:rPr>
  </w:style>
  <w:style w:type="paragraph" w:customStyle="1" w:styleId="111">
    <w:name w:val="正文文本 (2)4"/>
    <w:qFormat/>
    <w:uiPriority w:val="0"/>
    <w:pPr>
      <w:widowControl w:val="0"/>
      <w:shd w:val="clear" w:color="auto" w:fill="FFFFFF"/>
      <w:autoSpaceDE/>
      <w:autoSpaceDN/>
      <w:adjustRightInd/>
      <w:spacing w:before="300" w:line="439" w:lineRule="exact"/>
      <w:jc w:val="distribute"/>
    </w:pPr>
    <w:rPr>
      <w:rFonts w:hint="default" w:ascii="MingLiU" w:hAnsi="MingLiU" w:eastAsia="MingLiU" w:cs="Times New Roman"/>
      <w:spacing w:val="20"/>
      <w:kern w:val="2"/>
      <w:sz w:val="22"/>
      <w:szCs w:val="22"/>
      <w:shd w:val="clear" w:color="auto" w:fill="FFFFFF"/>
      <w:lang w:val="en-US" w:eastAsia="zh-CN" w:bidi="ar-SA"/>
    </w:rPr>
  </w:style>
  <w:style w:type="character" w:customStyle="1" w:styleId="112">
    <w:name w:val="正文文本 (2) + 间距 0 pt2"/>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paragraph" w:customStyle="1" w:styleId="113">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Table Text"/>
    <w:basedOn w:val="113"/>
    <w:semiHidden/>
    <w:qFormat/>
    <w:uiPriority w:val="0"/>
    <w:rPr>
      <w:rFonts w:ascii="宋体" w:hAnsi="宋体" w:cs="宋体"/>
      <w:szCs w:val="21"/>
      <w:lang w:eastAsia="en-US"/>
    </w:rPr>
  </w:style>
  <w:style w:type="table" w:customStyle="1" w:styleId="115">
    <w:name w:val="Table Normal"/>
    <w:unhideWhenUsed/>
    <w:qFormat/>
    <w:uiPriority w:val="2"/>
    <w:rPr>
      <w:rFonts w:ascii="Calibri" w:hAnsi="Calibri"/>
      <w:lang w:val="en-US" w:eastAsia="zh-CN" w:bidi="ar-SA"/>
    </w:rPr>
    <w:tblPr>
      <w:tblCellMar>
        <w:top w:w="0" w:type="dxa"/>
        <w:left w:w="0" w:type="dxa"/>
        <w:bottom w:w="0" w:type="dxa"/>
        <w:right w:w="0" w:type="dxa"/>
      </w:tblCellMar>
    </w:tblPr>
  </w:style>
  <w:style w:type="paragraph" w:customStyle="1" w:styleId="116">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标题 2_0"/>
    <w:basedOn w:val="117"/>
    <w:next w:val="117"/>
    <w:qFormat/>
    <w:uiPriority w:val="9"/>
    <w:pPr>
      <w:keepNext/>
      <w:keepLines/>
      <w:spacing w:before="260" w:after="260" w:line="412" w:lineRule="auto"/>
      <w:outlineLvl w:val="1"/>
    </w:pPr>
    <w:rPr>
      <w:rFonts w:ascii="Arial" w:hAnsi="Arial" w:eastAsia="黑体"/>
      <w:b/>
      <w:sz w:val="32"/>
      <w:szCs w:val="20"/>
    </w:rPr>
  </w:style>
  <w:style w:type="paragraph" w:customStyle="1" w:styleId="119">
    <w:name w:val="标题 3_0"/>
    <w:basedOn w:val="117"/>
    <w:next w:val="117"/>
    <w:unhideWhenUsed/>
    <w:qFormat/>
    <w:uiPriority w:val="9"/>
    <w:pPr>
      <w:keepNext/>
      <w:keepLines/>
      <w:spacing w:before="260" w:after="260" w:line="416" w:lineRule="auto"/>
      <w:outlineLvl w:val="2"/>
    </w:pPr>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83</Pages>
  <Words>5535</Words>
  <Characters>6307</Characters>
  <Lines>0</Lines>
  <Paragraphs>0</Paragraphs>
  <TotalTime>23</TotalTime>
  <ScaleCrop>false</ScaleCrop>
  <LinksUpToDate>false</LinksUpToDate>
  <CharactersWithSpaces>6366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2024-06-14T08:39:00Z</dcterms:created>
  <dc:creator>无知者无畏</dc:creator>
  <cp:lastModifiedBy>admin</cp:lastModifiedBy>
  <cp:lastPrinted>2021-08-26T02:26:00Z</cp:lastPrinted>
  <dcterms:modified xsi:type="dcterms:W3CDTF">2026-06-16T03:15:15Z</dcterms:modified>
  <dc:title>竞争性谈判文件规范</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2FD7D141118546C8BC233EE6FBEF24C4_13</vt:lpwstr>
  </property>
  <property fmtid="{D5CDD505-2E9C-101B-9397-08002B2CF9AE}" pid="4" name="KSOTemplateDocerSaveRecord">
    <vt:lpwstr>eyJoZGlkIjoiZThmNjAzMWJlZjFkMmQwODUwMTJkYzE2ODFiYmFmYTciLCJ1c2VySWQiOiIxMTQzODI0NTMxIn0=</vt:lpwstr>
  </property>
</Properties>
</file>