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5"/>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5"/>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天等县都康乡降祥村外降屯种植产业配套项目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CZZC2026-C2-250036-JHGC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2026年04月30日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17553"/>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天等县都康乡降祥村外降屯种植产业配套项目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2026年05月12日09：00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天等县都康乡降祥村外降屯种植产业配套项目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2026年05月12日09：00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35393798"/>
      <w:bookmarkStart w:id="4" w:name="_Toc35393629"/>
      <w:bookmarkStart w:id="5" w:name="_Toc28359089"/>
      <w:bookmarkStart w:id="6" w:name="_Toc28359012"/>
      <w:bookmarkStart w:id="7" w:name="_Toc35393623"/>
      <w:bookmarkStart w:id="8" w:name="_Toc28359004"/>
      <w:bookmarkStart w:id="9" w:name="_Toc28359081"/>
      <w:bookmarkStart w:id="10" w:name="_Toc35393792"/>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CZZC2026-C2-250036-JHGC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天等县都康乡降祥村外降屯种植产业配套项目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891373.00</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天等县都康乡降祥村外降屯种植产业配套项目</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：891373.00</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硬化产业路三条共长2.50公里。</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891373.00</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630"/>
      <w:bookmarkStart w:id="12" w:name="_Toc28359090"/>
      <w:bookmarkStart w:id="13" w:name="_Toc44229879"/>
      <w:bookmarkStart w:id="14" w:name="_Toc35393799"/>
      <w:bookmarkStart w:id="15" w:name="_Toc28359013"/>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市政公用工程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或市政公用工程专业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28359005"/>
      <w:bookmarkStart w:id="19" w:name="_Toc35393624"/>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2026年05月12日09：00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2026年05月12日09：00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35393625"/>
      <w:bookmarkStart w:id="23" w:name="_Toc28359084"/>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2.采购意向公开链接：https://zfcg.gxzf.gov.cn/site/detail?categoryCode=ZcyAnnouncement&amp;parentId=66485&amp;articleId=7bCzslrCR4wy1zekMqv0Cw==</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w:t>
      </w:r>
      <w:bookmarkStart w:id="119" w:name="_GoBack"/>
      <w:bookmarkEnd w:id="119"/>
      <w:r>
        <w:rPr>
          <w:rFonts w:hint="eastAsia" w:ascii="宋体" w:hAnsi="宋体" w:eastAsia="宋体" w:cs="宋体"/>
          <w:color w:val="auto"/>
          <w:kern w:val="0"/>
          <w:szCs w:val="21"/>
          <w:highlight w:val="none"/>
          <w:lang w:val="en-US" w:eastAsia="zh-CN"/>
        </w:rPr>
        <w:t>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2026年04月30日</w:t>
      </w:r>
    </w:p>
    <w:p w14:paraId="3766DE94">
      <w:pPr>
        <w:pStyle w:val="3"/>
        <w:jc w:val="center"/>
        <w:rPr>
          <w:rFonts w:hint="eastAsia" w:ascii="宋体" w:hAnsi="宋体" w:eastAsia="宋体" w:cs="宋体"/>
          <w:color w:val="auto"/>
          <w:highlight w:val="none"/>
        </w:rPr>
      </w:pPr>
      <w:bookmarkStart w:id="31" w:name="_Toc25731"/>
      <w:bookmarkStart w:id="32" w:name="_Toc11837"/>
      <w:bookmarkStart w:id="33" w:name="_Toc22168"/>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天等县都康乡降祥村外降屯种植产业配套项目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硬化产业路三条共长2.50公里。</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891373.00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val="en-US" w:eastAsia="zh-CN"/>
              </w:rPr>
              <w:t>天等县都康乡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rPr>
              <w:t>投标供应商在进行工程量清单报价时</w:t>
            </w:r>
            <w:r>
              <w:rPr>
                <w:rFonts w:hint="eastAsia"/>
                <w:b w:val="0"/>
                <w:bCs w:val="0"/>
                <w:color w:val="auto"/>
                <w:highlight w:val="none"/>
                <w:lang w:eastAsia="zh-CN"/>
              </w:rPr>
              <w:t>必须</w:t>
            </w:r>
            <w:r>
              <w:rPr>
                <w:rFonts w:hint="eastAsia"/>
                <w:b w:val="0"/>
                <w:bCs w:val="0"/>
                <w:color w:val="auto"/>
                <w:highlight w:val="none"/>
              </w:rPr>
              <w:t>均衡报价，不能对个别工程量部分倾斜报价，否则竞标无效。</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10896"/>
      <w:bookmarkStart w:id="35" w:name="_Toc20849"/>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2026年3月至响应文件提交截止时间止任意一个月社保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是    □否</w:t>
            </w:r>
          </w:p>
          <w:p w14:paraId="2975320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按</w:t>
            </w:r>
            <w:r>
              <w:rPr>
                <w:rFonts w:hint="eastAsia" w:ascii="宋体" w:hAnsi="宋体" w:eastAsia="宋体" w:cs="宋体"/>
                <w:color w:val="auto"/>
                <w:sz w:val="21"/>
                <w:highlight w:val="none"/>
                <w:lang w:val="en-US" w:eastAsia="zh-CN"/>
              </w:rPr>
              <w:t>《国家发展改革委关于降低部分建设项目收费标准规范收费行为等有关问题的通知》（发改价格【2011】534号）规定按“工程类”收费标准计取。</w:t>
            </w:r>
          </w:p>
          <w:p w14:paraId="7AF6163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254970534"/>
      <w:bookmarkStart w:id="49" w:name="_Toc254970675"/>
      <w:bookmarkStart w:id="50" w:name="_Toc11036"/>
      <w:bookmarkStart w:id="51" w:name="_Toc859"/>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4425"/>
      <w:bookmarkStart w:id="65"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7"/>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7"/>
        <w:rPr>
          <w:rFonts w:hint="eastAsia"/>
          <w:color w:val="auto"/>
          <w:highlight w:val="none"/>
        </w:rPr>
      </w:pPr>
    </w:p>
    <w:p w14:paraId="25073F7D">
      <w:pPr>
        <w:pStyle w:val="27"/>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7"/>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7"/>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7"/>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7"/>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7"/>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498082646"/>
      <w:bookmarkStart w:id="67" w:name="_Toc18546"/>
      <w:bookmarkStart w:id="68" w:name="_Toc5854"/>
      <w:bookmarkStart w:id="69" w:name="_Toc346617322"/>
      <w:bookmarkStart w:id="70" w:name="_Toc181180297"/>
      <w:bookmarkStart w:id="71" w:name="_Toc20845"/>
      <w:bookmarkStart w:id="72" w:name="_Toc183264294"/>
      <w:bookmarkStart w:id="73" w:name="_Toc8850"/>
      <w:bookmarkStart w:id="74" w:name="_Toc24807"/>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73"/>
      <w:bookmarkEnd w:id="74"/>
    </w:p>
    <w:p w14:paraId="42CA3F07">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5"/>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80B1F32">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（1）评审价为供应商的最后报价，最终成交供应商的成交金额等于最后报价（如有修正，以确认修正后的最后报价为准）。</w:t>
            </w:r>
          </w:p>
          <w:p w14:paraId="468A2C34">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（2）本项目为专门面向中小企业采购的项目，参加本项目磋商的供应商必须为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，或监狱企业，或残疾人福利性单位，否则竞标无效。本次评审价格环节，供应商不重复享受价格优惠政策，评审价统一按最后报价执行。</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697765FF">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7DB512E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本项目启用异常低价审核流程。政府采购评审中出现下列情形之一的，评审小组应当启动异常低价投标（响应) 审查程序：</w:t>
            </w:r>
          </w:p>
          <w:p w14:paraId="628E5063">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投标(响应)报价低于全部通过符合性审查供应商投标(响应)报价「平均值」</w:t>
            </w:r>
            <w:r>
              <w:rPr>
                <w:rFonts w:hint="eastAsia" w:ascii="宋体" w:hAnsi="宋体" w:eastAsia="宋体" w:cs="宋体"/>
                <w:bCs/>
                <w:szCs w:val="21"/>
                <w:highlight w:val="none"/>
                <w:vertAlign w:val="baseline"/>
                <w:lang w:val="en-US" w:eastAsia="zh-CN"/>
              </w:rPr>
              <w:t>65%；</w:t>
            </w:r>
          </w:p>
          <w:p w14:paraId="04F57351">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投标(响应)报价低于通过符合性审查的「次低报价」供应商投标(响应)报价</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8AB47A7">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投标(响应)报价低于采购项目「最高限价」65%；</w:t>
            </w:r>
          </w:p>
          <w:p w14:paraId="15E1CAC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w:t>
            </w:r>
            <w:r>
              <w:rPr>
                <w:rFonts w:hint="eastAsia" w:ascii="宋体" w:hAnsi="宋体" w:cs="宋体"/>
                <w:bCs/>
                <w:color w:val="auto"/>
                <w:szCs w:val="21"/>
                <w:highlight w:val="none"/>
                <w:vertAlign w:val="baseline"/>
                <w:lang w:eastAsia="zh-CN"/>
              </w:rPr>
              <w:t>工程类中级及以上技术职称</w:t>
            </w:r>
            <w:r>
              <w:rPr>
                <w:rFonts w:hint="eastAsia" w:ascii="宋体" w:hAnsi="宋体" w:eastAsia="宋体" w:cs="宋体"/>
                <w:bCs/>
                <w:color w:val="auto"/>
                <w:szCs w:val="21"/>
                <w:highlight w:val="none"/>
                <w:vertAlign w:val="baseline"/>
                <w:lang w:eastAsia="zh-CN"/>
              </w:rPr>
              <w:t>，安全员、施工员、质检员、材料员应具有相应岗位资格证书。</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分）：各主要分部施工方法完全符合项目实际，有详尽的施工技术方案，工艺先进、 方法科学合理、可行，能指导具体施工并</w:t>
            </w:r>
            <w:r>
              <w:rPr>
                <w:rFonts w:hint="eastAsia" w:ascii="宋体" w:hAnsi="宋体" w:cs="宋体"/>
                <w:bCs/>
                <w:color w:val="auto"/>
                <w:szCs w:val="21"/>
                <w:highlight w:val="none"/>
                <w:vertAlign w:val="baseline"/>
                <w:lang w:eastAsia="zh-CN"/>
              </w:rPr>
              <w:t>确保安全</w:t>
            </w:r>
            <w:r>
              <w:rPr>
                <w:rFonts w:hint="eastAsia" w:ascii="宋体" w:hAnsi="宋体" w:eastAsia="宋体" w:cs="宋体"/>
                <w:bCs/>
                <w:color w:val="auto"/>
                <w:szCs w:val="21"/>
                <w:highlight w:val="none"/>
                <w:vertAlign w:val="baseline"/>
                <w:lang w:eastAsia="zh-CN"/>
              </w:rPr>
              <w:t>。</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 施工方法基本符合项目实际，技术方案基本满足施工要求，工艺先进、方法科学基本合理、 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分）：投入的施工材料有详细的组织计划，且计划周密，数量、选型配置、进场 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投入的施工材料有详细的组织计划，且计划 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 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分）：各主要施工工序劳动力安排计划一般，各工种劳动力安排计划一般，劳动力投入 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分）：有专门的质量技术管理班子和制度，且人员配备完全合理，制度健全。主要工 序有质量技术保证措施和手段，自控体系完整，能有效保证技术质量，达到承诺的质量标准。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分）：有专门的质量技术管理班子和制度，且人员配备较合理，制度较健全。主要工序有质量技术保证措施和手段，自控体系基本完整，能有效保证技术质量，达到承诺的质量标准。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分）：有专门的安全管理人员和制度，且人员配备完全合理，制度健全，各道工序安全 技术措施针对性强，符合实际且满足有关安全技术标准要求。现场防火、应急救援、社会治安安全措施很好。</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分）：有专门的安全管理人员和制度，人员配备较合理，制度较健全，各道工序安全技术措施较合理， 符合实际且满足有关安全技术标准要求。现场防火、应急救援、社会治安安全措施较好。 </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一般，基本符合实际和满足有关安全技术标准要求。现场防火、应急救援、社会治安安全措施一般。</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分）：人员配备不合理，制度不健全，各道工序安全技术措施针无对性，不满足有关安全技术标准要求。现场防火、应急救援、社会治安安全措施差。</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 用、劳动力安排、技术等方面有保证工期的具体措施且措施得当。有控制工期的施工进度计划。有施工总进度表或施工网络图，各项计划图表编制完善，安排科学合理，完全符合本项目施工实际要求。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 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分）：针对本工程项目特点，有现场文明施工、环境保护措施、且措施内容达到《建筑施工安全生产检查标准》（JGJ59-2011）合格标准并符合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《公路工程施工安全技术规范》（JTG F90-2015）</w:t>
            </w:r>
            <w:r>
              <w:rPr>
                <w:rFonts w:hint="eastAsia" w:ascii="宋体" w:hAnsi="宋体" w:eastAsia="宋体" w:cs="宋体"/>
                <w:bCs/>
                <w:color w:val="auto"/>
                <w:szCs w:val="21"/>
                <w:highlight w:val="none"/>
                <w:vertAlign w:val="baseline"/>
                <w:lang w:eastAsia="zh-CN"/>
              </w:rPr>
              <w:t xml:space="preserve">要求。各项措施很周全、具体、有效。有具体实现现场文明施工目标的承诺。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分）：针对本工程项目特点，有现场文 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《公路工程施工安全技术规范》（JTG F90-2015）</w:t>
            </w:r>
            <w:r>
              <w:rPr>
                <w:rFonts w:hint="eastAsia" w:ascii="宋体" w:hAnsi="宋体" w:eastAsia="宋体" w:cs="宋体"/>
                <w:bCs/>
                <w:color w:val="auto"/>
                <w:szCs w:val="21"/>
                <w:highlight w:val="none"/>
                <w:vertAlign w:val="baseline"/>
                <w:lang w:eastAsia="zh-CN"/>
              </w:rPr>
              <w:t>要求。各项措施较周全、具体、有效。有具体实现现场文明施工目标的承诺。</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分）：针对本工程项目特点，有现场文明施工、环境保护措施、且措施内容 基本达到《建筑施工安全生产检查标准》（JGJ59-2011）合格标准并符合</w:t>
            </w:r>
            <w:r>
              <w:rPr>
                <w:rFonts w:hint="eastAsia" w:ascii="宋体" w:hAnsi="宋体" w:cs="宋体"/>
                <w:bCs/>
                <w:color w:val="auto"/>
                <w:szCs w:val="21"/>
                <w:highlight w:val="none"/>
                <w:vertAlign w:val="baseline"/>
                <w:lang w:eastAsia="zh-CN"/>
              </w:rPr>
              <w:t>《公路工程施工安全技术规范》（JTG F90-2015）</w:t>
            </w:r>
            <w:r>
              <w:rPr>
                <w:rFonts w:hint="eastAsia" w:ascii="宋体" w:hAnsi="宋体" w:eastAsia="宋体" w:cs="宋体"/>
                <w:bCs/>
                <w:color w:val="auto"/>
                <w:szCs w:val="21"/>
                <w:highlight w:val="none"/>
                <w:vertAlign w:val="baseline"/>
                <w:lang w:eastAsia="zh-CN"/>
              </w:rPr>
              <w:t>要求。各项措施一般。具体实现现场文明施工目标的承诺一般。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分）：各项措施不合理。具体实现现场文明施工目标的承诺较差。</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 的重点和难点，解决重点和难点问题的方法科学合理。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 程的特点，阐述本工程的重点和难点，解决 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分。满分</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3C2D427A">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bCs/>
          <w:color w:val="auto"/>
          <w:szCs w:val="21"/>
          <w:highlight w:val="none"/>
          <w:lang w:eastAsia="zh-CN"/>
        </w:rPr>
      </w:pPr>
    </w:p>
    <w:p w14:paraId="20248594">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17019"/>
      <w:bookmarkStart w:id="82" w:name="_Toc14457"/>
      <w:bookmarkStart w:id="83" w:name="_Toc80205935"/>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7"/>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6990"/>
      <w:bookmarkStart w:id="85" w:name="_Toc32744"/>
      <w:bookmarkStart w:id="86"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p>
    <w:p w14:paraId="6E0BB34F">
      <w:pPr>
        <w:pStyle w:val="2"/>
        <w:rPr>
          <w:rFonts w:hint="eastAsia" w:ascii="宋体" w:hAnsi="宋体" w:eastAsia="宋体" w:cs="宋体"/>
          <w:color w:val="auto"/>
          <w:highlight w:val="none"/>
        </w:rPr>
      </w:pPr>
    </w:p>
    <w:p w14:paraId="3A0F5537">
      <w:pPr>
        <w:pStyle w:val="2"/>
        <w:rPr>
          <w:rFonts w:hint="eastAsia" w:ascii="宋体" w:hAnsi="宋体" w:eastAsia="宋体" w:cs="宋体"/>
          <w:color w:val="auto"/>
          <w:highlight w:val="none"/>
        </w:rPr>
      </w:pPr>
    </w:p>
    <w:p w14:paraId="54EC10A7">
      <w:pPr>
        <w:pStyle w:val="2"/>
        <w:rPr>
          <w:rFonts w:hint="eastAsia" w:ascii="宋体" w:hAnsi="宋体" w:eastAsia="宋体" w:cs="宋体"/>
          <w:color w:val="auto"/>
          <w:highlight w:val="none"/>
        </w:rPr>
      </w:pPr>
    </w:p>
    <w:p w14:paraId="5D1AEB4D">
      <w:pPr>
        <w:pStyle w:val="2"/>
        <w:rPr>
          <w:rFonts w:hint="eastAsia" w:ascii="宋体" w:hAnsi="宋体" w:eastAsia="宋体" w:cs="宋体"/>
          <w:color w:val="auto"/>
          <w:highlight w:val="none"/>
        </w:rPr>
      </w:pPr>
    </w:p>
    <w:p w14:paraId="4B4C1EFE">
      <w:pPr>
        <w:pStyle w:val="2"/>
        <w:rPr>
          <w:rFonts w:hint="eastAsia" w:ascii="宋体" w:hAnsi="宋体" w:eastAsia="宋体" w:cs="宋体"/>
          <w:color w:val="auto"/>
          <w:highlight w:val="none"/>
        </w:rPr>
      </w:pPr>
    </w:p>
    <w:p w14:paraId="160B42EF">
      <w:pPr>
        <w:pStyle w:val="2"/>
        <w:rPr>
          <w:rFonts w:hint="eastAsia" w:ascii="宋体" w:hAnsi="宋体" w:eastAsia="宋体" w:cs="宋体"/>
          <w:color w:val="auto"/>
          <w:highlight w:val="none"/>
        </w:rPr>
      </w:pPr>
    </w:p>
    <w:p w14:paraId="2DABD45C">
      <w:pPr>
        <w:pStyle w:val="2"/>
        <w:rPr>
          <w:rFonts w:hint="eastAsia" w:ascii="宋体" w:hAnsi="宋体" w:eastAsia="宋体" w:cs="宋体"/>
          <w:color w:val="auto"/>
          <w:highlight w:val="none"/>
        </w:rPr>
      </w:pPr>
    </w:p>
    <w:p w14:paraId="7F7D757C">
      <w:pPr>
        <w:pStyle w:val="2"/>
        <w:rPr>
          <w:rFonts w:hint="eastAsia" w:ascii="宋体" w:hAnsi="宋体" w:eastAsia="宋体" w:cs="宋体"/>
          <w:color w:val="auto"/>
          <w:highlight w:val="none"/>
        </w:rPr>
      </w:pPr>
    </w:p>
    <w:p w14:paraId="79AA95DF">
      <w:pPr>
        <w:pStyle w:val="2"/>
        <w:rPr>
          <w:rFonts w:hint="eastAsia" w:ascii="宋体" w:hAnsi="宋体" w:eastAsia="宋体" w:cs="宋体"/>
          <w:color w:val="auto"/>
          <w:highlight w:val="none"/>
        </w:rPr>
      </w:pPr>
    </w:p>
    <w:p w14:paraId="7812C2E0">
      <w:pPr>
        <w:pStyle w:val="15"/>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23"/>
      <w:bookmarkStart w:id="88" w:name="_Toc32731"/>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30065"/>
      <w:bookmarkStart w:id="90" w:name="_Toc80205938"/>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3025"/>
      <w:bookmarkStart w:id="93" w:name="_Toc80205939"/>
      <w:bookmarkStart w:id="94" w:name="_Toc10308"/>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8"/>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8"/>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8"/>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8"/>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5"/>
        <w:rPr>
          <w:rFonts w:hint="eastAsia" w:ascii="宋体" w:hAnsi="宋体" w:eastAsia="宋体" w:cs="宋体"/>
          <w:color w:val="auto"/>
          <w:sz w:val="24"/>
          <w:highlight w:val="none"/>
        </w:rPr>
      </w:pPr>
    </w:p>
    <w:p w14:paraId="0E7282A7">
      <w:pPr>
        <w:pStyle w:val="10"/>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8"/>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32666"/>
      <w:bookmarkStart w:id="99"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8"/>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8"/>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8"/>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0"/>
        <w:spacing w:line="360" w:lineRule="auto"/>
        <w:rPr>
          <w:rFonts w:hint="eastAsia" w:ascii="宋体" w:hAnsi="宋体" w:eastAsia="宋体" w:cs="宋体"/>
          <w:color w:val="auto"/>
          <w:highlight w:val="none"/>
        </w:rPr>
      </w:pPr>
      <w:bookmarkStart w:id="100" w:name="OLE_LINK6"/>
      <w:bookmarkStart w:id="101" w:name="OLE_LINK7"/>
      <w:bookmarkStart w:id="102" w:name="OLE_LINK5"/>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8A7AA33">
      <w:pPr>
        <w:pStyle w:val="2"/>
        <w:rPr>
          <w:rFonts w:hint="eastAsia"/>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5"/>
        <w:rPr>
          <w:rFonts w:hint="eastAsia" w:ascii="宋体" w:hAnsi="宋体" w:eastAsia="宋体" w:cs="宋体"/>
          <w:color w:val="auto"/>
          <w:kern w:val="0"/>
          <w:sz w:val="24"/>
          <w:highlight w:val="none"/>
          <w:lang w:val="zh-CN"/>
        </w:rPr>
      </w:pPr>
    </w:p>
    <w:p w14:paraId="34728A6E">
      <w:pPr>
        <w:pStyle w:val="10"/>
        <w:rPr>
          <w:rFonts w:hint="eastAsia" w:ascii="宋体" w:hAnsi="宋体" w:eastAsia="宋体" w:cs="宋体"/>
          <w:color w:val="auto"/>
          <w:kern w:val="0"/>
          <w:sz w:val="24"/>
          <w:highlight w:val="none"/>
          <w:lang w:val="zh-CN"/>
        </w:rPr>
      </w:pPr>
    </w:p>
    <w:p w14:paraId="20755686">
      <w:pPr>
        <w:pStyle w:val="10"/>
        <w:rPr>
          <w:rFonts w:hint="eastAsia" w:ascii="宋体" w:hAnsi="宋体" w:eastAsia="宋体" w:cs="宋体"/>
          <w:color w:val="auto"/>
          <w:kern w:val="0"/>
          <w:sz w:val="24"/>
          <w:highlight w:val="none"/>
          <w:lang w:val="zh-CN"/>
        </w:rPr>
      </w:pPr>
    </w:p>
    <w:p w14:paraId="6B82169E">
      <w:pPr>
        <w:pStyle w:val="10"/>
        <w:rPr>
          <w:rFonts w:hint="eastAsia" w:ascii="宋体" w:hAnsi="宋体" w:eastAsia="宋体" w:cs="宋体"/>
          <w:color w:val="auto"/>
          <w:kern w:val="0"/>
          <w:sz w:val="24"/>
          <w:highlight w:val="none"/>
          <w:lang w:val="zh-CN"/>
        </w:rPr>
      </w:pPr>
    </w:p>
    <w:p w14:paraId="696BCCA0">
      <w:pPr>
        <w:pStyle w:val="10"/>
        <w:rPr>
          <w:rFonts w:hint="eastAsia" w:ascii="宋体" w:hAnsi="宋体" w:eastAsia="宋体" w:cs="宋体"/>
          <w:color w:val="auto"/>
          <w:kern w:val="0"/>
          <w:sz w:val="24"/>
          <w:highlight w:val="none"/>
          <w:lang w:val="zh-CN"/>
        </w:rPr>
      </w:pPr>
    </w:p>
    <w:p w14:paraId="2D5CB1E6">
      <w:pPr>
        <w:pStyle w:val="1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405CE3F">
      <w:pPr>
        <w:pStyle w:val="2"/>
        <w:rPr>
          <w:rFonts w:hint="eastAsia"/>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0"/>
        <w:spacing w:line="360" w:lineRule="auto"/>
        <w:ind w:left="420" w:leftChars="200" w:firstLine="0" w:firstLineChars="0"/>
        <w:rPr>
          <w:rFonts w:hint="eastAsia" w:ascii="宋体" w:hAnsi="宋体" w:eastAsia="宋体" w:cs="宋体"/>
          <w:color w:val="auto"/>
          <w:highlight w:val="none"/>
        </w:rPr>
      </w:pPr>
    </w:p>
    <w:p w14:paraId="1D2BD99F">
      <w:pPr>
        <w:pStyle w:val="30"/>
        <w:spacing w:line="360" w:lineRule="auto"/>
        <w:ind w:left="420" w:leftChars="200" w:firstLine="0" w:firstLineChars="0"/>
        <w:rPr>
          <w:rFonts w:hint="eastAsia" w:ascii="宋体" w:hAnsi="宋体" w:eastAsia="宋体" w:cs="宋体"/>
          <w:color w:val="auto"/>
          <w:highlight w:val="none"/>
        </w:rPr>
      </w:pPr>
    </w:p>
    <w:p w14:paraId="459D0C47">
      <w:pPr>
        <w:pStyle w:val="30"/>
        <w:spacing w:line="360" w:lineRule="auto"/>
        <w:ind w:left="420" w:leftChars="200" w:firstLine="0" w:firstLineChars="0"/>
        <w:rPr>
          <w:rFonts w:hint="eastAsia" w:ascii="宋体" w:hAnsi="宋体" w:eastAsia="宋体" w:cs="宋体"/>
          <w:color w:val="auto"/>
          <w:highlight w:val="none"/>
        </w:rPr>
      </w:pPr>
    </w:p>
    <w:p w14:paraId="569D985E">
      <w:pPr>
        <w:pStyle w:val="30"/>
        <w:spacing w:line="360" w:lineRule="auto"/>
        <w:ind w:left="420" w:leftChars="200" w:firstLine="0" w:firstLineChars="0"/>
        <w:rPr>
          <w:rFonts w:hint="eastAsia" w:ascii="宋体" w:hAnsi="宋体" w:eastAsia="宋体" w:cs="宋体"/>
          <w:color w:val="auto"/>
          <w:highlight w:val="none"/>
        </w:rPr>
      </w:pPr>
    </w:p>
    <w:p w14:paraId="163847D2">
      <w:pPr>
        <w:pStyle w:val="30"/>
        <w:spacing w:line="360" w:lineRule="auto"/>
        <w:ind w:left="420" w:leftChars="200" w:firstLine="0" w:firstLineChars="0"/>
        <w:rPr>
          <w:rFonts w:hint="eastAsia" w:ascii="宋体" w:hAnsi="宋体" w:eastAsia="宋体" w:cs="宋体"/>
          <w:color w:val="auto"/>
          <w:highlight w:val="none"/>
        </w:rPr>
      </w:pPr>
    </w:p>
    <w:p w14:paraId="2EC738F4">
      <w:pPr>
        <w:pStyle w:val="30"/>
        <w:spacing w:line="360" w:lineRule="auto"/>
        <w:ind w:left="420" w:leftChars="200" w:firstLine="0" w:firstLineChars="0"/>
        <w:rPr>
          <w:rFonts w:hint="eastAsia" w:ascii="宋体" w:hAnsi="宋体" w:eastAsia="宋体" w:cs="宋体"/>
          <w:color w:val="auto"/>
          <w:highlight w:val="none"/>
        </w:rPr>
      </w:pPr>
    </w:p>
    <w:p w14:paraId="33708FFD">
      <w:pPr>
        <w:pStyle w:val="30"/>
        <w:spacing w:line="360" w:lineRule="auto"/>
        <w:ind w:left="420" w:leftChars="200" w:firstLine="0" w:firstLineChars="0"/>
        <w:rPr>
          <w:rFonts w:hint="eastAsia" w:ascii="宋体" w:hAnsi="宋体" w:eastAsia="宋体" w:cs="宋体"/>
          <w:color w:val="auto"/>
          <w:highlight w:val="none"/>
        </w:rPr>
      </w:pPr>
    </w:p>
    <w:p w14:paraId="6AEB0D9E">
      <w:pPr>
        <w:pStyle w:val="30"/>
        <w:spacing w:line="360" w:lineRule="auto"/>
        <w:ind w:left="420" w:leftChars="200" w:firstLine="0" w:firstLineChars="0"/>
        <w:rPr>
          <w:rFonts w:hint="eastAsia" w:ascii="宋体" w:hAnsi="宋体" w:eastAsia="宋体" w:cs="宋体"/>
          <w:color w:val="auto"/>
          <w:highlight w:val="none"/>
        </w:rPr>
      </w:pPr>
    </w:p>
    <w:p w14:paraId="1A155B29">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供应商为其缴纳近1个月（2026年3月至响应文件提交截止时间止任意一个月社保）社会保险的证明材料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1"/>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0"/>
        <w:spacing w:line="360" w:lineRule="auto"/>
        <w:ind w:left="420" w:leftChars="200" w:firstLine="0" w:firstLineChars="0"/>
        <w:rPr>
          <w:rFonts w:hint="eastAsia" w:ascii="宋体" w:hAnsi="宋体" w:eastAsia="宋体" w:cs="宋体"/>
          <w:color w:val="auto"/>
          <w:highlight w:val="none"/>
        </w:rPr>
      </w:pPr>
    </w:p>
    <w:p w14:paraId="1E29BFC6">
      <w:pPr>
        <w:pStyle w:val="30"/>
        <w:spacing w:line="360" w:lineRule="auto"/>
        <w:ind w:left="420" w:leftChars="200" w:firstLine="0" w:firstLineChars="0"/>
        <w:rPr>
          <w:rFonts w:hint="eastAsia" w:ascii="宋体" w:hAnsi="宋体" w:eastAsia="宋体" w:cs="宋体"/>
          <w:color w:val="auto"/>
          <w:highlight w:val="none"/>
        </w:rPr>
      </w:pPr>
    </w:p>
    <w:p w14:paraId="6265A909">
      <w:pPr>
        <w:pStyle w:val="30"/>
        <w:spacing w:line="360" w:lineRule="auto"/>
        <w:ind w:left="420" w:leftChars="200" w:firstLine="0" w:firstLineChars="0"/>
        <w:rPr>
          <w:rFonts w:hint="eastAsia" w:ascii="宋体" w:hAnsi="宋体" w:eastAsia="宋体" w:cs="宋体"/>
          <w:color w:val="auto"/>
          <w:highlight w:val="none"/>
        </w:rPr>
      </w:pPr>
    </w:p>
    <w:p w14:paraId="585B3D37">
      <w:pPr>
        <w:pStyle w:val="30"/>
        <w:spacing w:line="360" w:lineRule="auto"/>
        <w:ind w:left="420" w:leftChars="200" w:firstLine="0" w:firstLineChars="0"/>
        <w:rPr>
          <w:rFonts w:hint="eastAsia" w:ascii="宋体" w:hAnsi="宋体" w:eastAsia="宋体" w:cs="宋体"/>
          <w:color w:val="auto"/>
          <w:highlight w:val="none"/>
        </w:rPr>
      </w:pPr>
    </w:p>
    <w:p w14:paraId="17F85835">
      <w:pPr>
        <w:pStyle w:val="30"/>
        <w:spacing w:line="360" w:lineRule="auto"/>
        <w:ind w:left="420" w:leftChars="200" w:firstLine="0" w:firstLineChars="0"/>
        <w:rPr>
          <w:rFonts w:hint="eastAsia" w:ascii="宋体" w:hAnsi="宋体" w:eastAsia="宋体" w:cs="宋体"/>
          <w:color w:val="auto"/>
          <w:highlight w:val="none"/>
        </w:rPr>
      </w:pPr>
    </w:p>
    <w:p w14:paraId="74420A09">
      <w:pPr>
        <w:pStyle w:val="30"/>
        <w:spacing w:line="360" w:lineRule="auto"/>
        <w:ind w:left="420" w:leftChars="200" w:firstLine="0" w:firstLineChars="0"/>
        <w:rPr>
          <w:rFonts w:hint="eastAsia" w:ascii="宋体" w:hAnsi="宋体" w:eastAsia="宋体" w:cs="宋体"/>
          <w:color w:val="auto"/>
          <w:highlight w:val="none"/>
        </w:rPr>
      </w:pPr>
    </w:p>
    <w:p w14:paraId="545314BE">
      <w:pPr>
        <w:pStyle w:val="30"/>
        <w:spacing w:line="360" w:lineRule="auto"/>
        <w:ind w:left="420" w:leftChars="200" w:firstLine="0" w:firstLineChars="0"/>
        <w:rPr>
          <w:rFonts w:hint="eastAsia" w:ascii="宋体" w:hAnsi="宋体" w:eastAsia="宋体" w:cs="宋体"/>
          <w:color w:val="auto"/>
          <w:highlight w:val="none"/>
        </w:rPr>
      </w:pPr>
    </w:p>
    <w:p w14:paraId="69A919FA">
      <w:pPr>
        <w:pStyle w:val="30"/>
        <w:spacing w:line="360" w:lineRule="auto"/>
        <w:ind w:left="420" w:leftChars="200" w:firstLine="0" w:firstLineChars="0"/>
        <w:rPr>
          <w:rFonts w:hint="eastAsia" w:ascii="宋体" w:hAnsi="宋体" w:eastAsia="宋体" w:cs="宋体"/>
          <w:color w:val="auto"/>
          <w:highlight w:val="none"/>
        </w:rPr>
      </w:pPr>
    </w:p>
    <w:p w14:paraId="176E66C1">
      <w:pPr>
        <w:pStyle w:val="30"/>
        <w:spacing w:line="360" w:lineRule="auto"/>
        <w:ind w:left="420" w:leftChars="200" w:firstLine="0" w:firstLineChars="0"/>
        <w:rPr>
          <w:rFonts w:hint="eastAsia" w:ascii="宋体" w:hAnsi="宋体" w:eastAsia="宋体" w:cs="宋体"/>
          <w:color w:val="auto"/>
          <w:highlight w:val="none"/>
        </w:rPr>
      </w:pPr>
    </w:p>
    <w:p w14:paraId="3ECCE384">
      <w:pPr>
        <w:pStyle w:val="30"/>
        <w:spacing w:line="360" w:lineRule="auto"/>
        <w:ind w:left="420" w:leftChars="200" w:firstLine="0" w:firstLineChars="0"/>
        <w:rPr>
          <w:rFonts w:hint="eastAsia" w:ascii="宋体" w:hAnsi="宋体" w:eastAsia="宋体" w:cs="宋体"/>
          <w:color w:val="auto"/>
          <w:highlight w:val="none"/>
        </w:rPr>
      </w:pPr>
    </w:p>
    <w:p w14:paraId="130F3E1D">
      <w:pPr>
        <w:pStyle w:val="30"/>
        <w:spacing w:line="360" w:lineRule="auto"/>
        <w:ind w:left="420" w:leftChars="200" w:firstLine="0" w:firstLineChars="0"/>
        <w:rPr>
          <w:rFonts w:hint="eastAsia" w:ascii="宋体" w:hAnsi="宋体" w:eastAsia="宋体" w:cs="宋体"/>
          <w:color w:val="auto"/>
          <w:highlight w:val="none"/>
        </w:rPr>
      </w:pPr>
    </w:p>
    <w:p w14:paraId="04529977">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5"/>
        <w:rPr>
          <w:rFonts w:hint="eastAsia" w:ascii="宋体" w:hAnsi="宋体" w:eastAsia="宋体" w:cs="宋体"/>
          <w:color w:val="auto"/>
          <w:sz w:val="24"/>
          <w:highlight w:val="none"/>
        </w:rPr>
      </w:pPr>
    </w:p>
    <w:p w14:paraId="5026337E">
      <w:pPr>
        <w:pStyle w:val="15"/>
        <w:rPr>
          <w:rFonts w:hint="eastAsia" w:ascii="宋体" w:hAnsi="宋体" w:eastAsia="宋体" w:cs="宋体"/>
          <w:color w:val="auto"/>
          <w:sz w:val="24"/>
          <w:highlight w:val="none"/>
        </w:rPr>
      </w:pPr>
    </w:p>
    <w:p w14:paraId="13181C37">
      <w:pPr>
        <w:pStyle w:val="15"/>
        <w:rPr>
          <w:rFonts w:hint="eastAsia" w:ascii="宋体" w:hAnsi="宋体" w:eastAsia="宋体" w:cs="宋体"/>
          <w:color w:val="auto"/>
          <w:sz w:val="24"/>
          <w:highlight w:val="none"/>
        </w:rPr>
      </w:pPr>
    </w:p>
    <w:p w14:paraId="1335E164">
      <w:pPr>
        <w:pStyle w:val="15"/>
        <w:rPr>
          <w:rFonts w:hint="eastAsia" w:ascii="宋体" w:hAnsi="宋体" w:eastAsia="宋体" w:cs="宋体"/>
          <w:color w:val="auto"/>
          <w:sz w:val="24"/>
          <w:highlight w:val="none"/>
        </w:rPr>
      </w:pPr>
    </w:p>
    <w:p w14:paraId="451E597D">
      <w:pPr>
        <w:pStyle w:val="15"/>
        <w:rPr>
          <w:rFonts w:hint="eastAsia" w:ascii="宋体" w:hAnsi="宋体" w:eastAsia="宋体" w:cs="宋体"/>
          <w:color w:val="auto"/>
          <w:sz w:val="24"/>
          <w:highlight w:val="none"/>
        </w:rPr>
      </w:pPr>
    </w:p>
    <w:p w14:paraId="06F9474B">
      <w:pPr>
        <w:pStyle w:val="15"/>
        <w:rPr>
          <w:rFonts w:hint="eastAsia" w:ascii="宋体" w:hAnsi="宋体" w:eastAsia="宋体" w:cs="宋体"/>
          <w:color w:val="auto"/>
          <w:sz w:val="24"/>
          <w:highlight w:val="none"/>
        </w:rPr>
      </w:pPr>
    </w:p>
    <w:p w14:paraId="32EFB704">
      <w:pPr>
        <w:pStyle w:val="15"/>
        <w:rPr>
          <w:rFonts w:hint="eastAsia" w:ascii="宋体" w:hAnsi="宋体" w:eastAsia="宋体" w:cs="宋体"/>
          <w:color w:val="auto"/>
          <w:sz w:val="24"/>
          <w:highlight w:val="none"/>
        </w:rPr>
      </w:pPr>
    </w:p>
    <w:p w14:paraId="66C957F9">
      <w:pPr>
        <w:pStyle w:val="15"/>
        <w:rPr>
          <w:rFonts w:hint="eastAsia" w:ascii="宋体" w:hAnsi="宋体" w:eastAsia="宋体" w:cs="宋体"/>
          <w:color w:val="auto"/>
          <w:sz w:val="24"/>
          <w:highlight w:val="none"/>
        </w:rPr>
      </w:pPr>
    </w:p>
    <w:p w14:paraId="28DADAF6">
      <w:pPr>
        <w:pStyle w:val="15"/>
        <w:rPr>
          <w:rFonts w:hint="eastAsia" w:ascii="宋体" w:hAnsi="宋体" w:eastAsia="宋体" w:cs="宋体"/>
          <w:color w:val="auto"/>
          <w:sz w:val="24"/>
          <w:highlight w:val="none"/>
        </w:rPr>
      </w:pPr>
    </w:p>
    <w:p w14:paraId="1F3575D6">
      <w:pPr>
        <w:pStyle w:val="15"/>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5522"/>
      <w:bookmarkStart w:id="112" w:name="_Toc7327"/>
      <w:bookmarkStart w:id="113"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8"/>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8"/>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8"/>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2"/>
        <w:spacing w:line="500" w:lineRule="exact"/>
        <w:rPr>
          <w:rFonts w:hint="eastAsia" w:ascii="宋体" w:hAnsi="宋体" w:eastAsia="宋体" w:cs="宋体"/>
          <w:color w:val="auto"/>
          <w:sz w:val="32"/>
          <w:highlight w:val="none"/>
        </w:rPr>
      </w:pPr>
    </w:p>
    <w:p w14:paraId="49C711B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2"/>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2"/>
        <w:spacing w:line="500" w:lineRule="exact"/>
        <w:ind w:firstLine="602" w:firstLineChars="200"/>
        <w:rPr>
          <w:rFonts w:hint="eastAsia" w:ascii="宋体" w:hAnsi="宋体" w:eastAsia="宋体" w:cs="宋体"/>
          <w:b/>
          <w:color w:val="auto"/>
          <w:kern w:val="2"/>
          <w:sz w:val="30"/>
          <w:szCs w:val="30"/>
          <w:highlight w:val="none"/>
        </w:rPr>
      </w:pPr>
    </w:p>
    <w:p w14:paraId="19B302A9">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2"/>
        <w:spacing w:line="500" w:lineRule="exact"/>
        <w:ind w:firstLine="602" w:firstLineChars="200"/>
        <w:rPr>
          <w:rFonts w:hint="eastAsia" w:ascii="宋体" w:hAnsi="宋体" w:eastAsia="宋体" w:cs="宋体"/>
          <w:b/>
          <w:color w:val="auto"/>
          <w:kern w:val="2"/>
          <w:sz w:val="30"/>
          <w:szCs w:val="30"/>
          <w:highlight w:val="none"/>
        </w:rPr>
      </w:pPr>
    </w:p>
    <w:p w14:paraId="02E0C878">
      <w:pPr>
        <w:pStyle w:val="12"/>
        <w:spacing w:line="500" w:lineRule="exact"/>
        <w:ind w:firstLine="602" w:firstLineChars="200"/>
        <w:rPr>
          <w:rFonts w:hint="eastAsia" w:ascii="宋体" w:hAnsi="宋体" w:eastAsia="宋体" w:cs="宋体"/>
          <w:b/>
          <w:color w:val="auto"/>
          <w:kern w:val="2"/>
          <w:sz w:val="30"/>
          <w:szCs w:val="30"/>
          <w:highlight w:val="none"/>
        </w:rPr>
      </w:pPr>
    </w:p>
    <w:p w14:paraId="5D69E1E3">
      <w:pPr>
        <w:pStyle w:val="12"/>
        <w:spacing w:line="500" w:lineRule="exact"/>
        <w:ind w:firstLine="602" w:firstLineChars="200"/>
        <w:rPr>
          <w:rFonts w:hint="eastAsia" w:ascii="宋体" w:hAnsi="宋体" w:eastAsia="宋体" w:cs="宋体"/>
          <w:b/>
          <w:color w:val="auto"/>
          <w:kern w:val="2"/>
          <w:sz w:val="30"/>
          <w:szCs w:val="30"/>
          <w:highlight w:val="none"/>
        </w:rPr>
      </w:pPr>
    </w:p>
    <w:p w14:paraId="130298AA">
      <w:pPr>
        <w:pStyle w:val="6"/>
        <w:rPr>
          <w:rFonts w:hint="eastAsia" w:ascii="宋体" w:hAnsi="宋体" w:eastAsia="宋体" w:cs="宋体"/>
          <w:b/>
          <w:color w:val="auto"/>
          <w:kern w:val="2"/>
          <w:sz w:val="30"/>
          <w:szCs w:val="30"/>
          <w:highlight w:val="none"/>
        </w:rPr>
      </w:pPr>
    </w:p>
    <w:p w14:paraId="15DE5DA5">
      <w:pPr>
        <w:rPr>
          <w:rFonts w:hint="eastAsia"/>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5"/>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5"/>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2"/>
              <w:spacing w:before="1"/>
              <w:ind w:left="160" w:right="149"/>
              <w:jc w:val="center"/>
              <w:rPr>
                <w:rFonts w:hint="eastAsia" w:ascii="仿宋" w:hAnsi="仿宋" w:eastAsia="仿宋" w:cs="仿宋"/>
                <w:color w:val="auto"/>
                <w:sz w:val="24"/>
                <w:highlight w:val="none"/>
              </w:rPr>
            </w:pPr>
          </w:p>
          <w:p w14:paraId="22DAEDB3">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2"/>
              <w:spacing w:before="1"/>
              <w:ind w:left="105"/>
              <w:rPr>
                <w:rFonts w:hint="eastAsia" w:ascii="仿宋" w:hAnsi="仿宋" w:eastAsia="仿宋" w:cs="仿宋"/>
                <w:color w:val="auto"/>
                <w:sz w:val="24"/>
                <w:highlight w:val="none"/>
              </w:rPr>
            </w:pPr>
          </w:p>
          <w:p w14:paraId="66E83209">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2"/>
              <w:spacing w:before="1"/>
              <w:ind w:left="105"/>
              <w:rPr>
                <w:rFonts w:hint="eastAsia" w:ascii="仿宋" w:hAnsi="仿宋" w:eastAsia="仿宋" w:cs="仿宋"/>
                <w:color w:val="auto"/>
                <w:sz w:val="24"/>
                <w:highlight w:val="none"/>
              </w:rPr>
            </w:pPr>
          </w:p>
          <w:p w14:paraId="678A9C5A">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2"/>
              <w:spacing w:before="1"/>
              <w:ind w:left="105"/>
              <w:rPr>
                <w:rFonts w:hint="eastAsia" w:ascii="仿宋" w:hAnsi="仿宋" w:eastAsia="仿宋" w:cs="仿宋"/>
                <w:color w:val="auto"/>
                <w:sz w:val="24"/>
                <w:highlight w:val="none"/>
              </w:rPr>
            </w:pPr>
          </w:p>
          <w:p w14:paraId="44993B60">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2"/>
              <w:spacing w:before="1"/>
              <w:ind w:left="105"/>
              <w:rPr>
                <w:rFonts w:hint="eastAsia" w:ascii="仿宋" w:hAnsi="仿宋" w:eastAsia="仿宋" w:cs="仿宋"/>
                <w:color w:val="auto"/>
                <w:sz w:val="24"/>
                <w:highlight w:val="none"/>
              </w:rPr>
            </w:pPr>
          </w:p>
          <w:p w14:paraId="3E96CDA1">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2"/>
              <w:spacing w:before="1"/>
              <w:ind w:left="105"/>
              <w:rPr>
                <w:rFonts w:hint="eastAsia" w:ascii="仿宋" w:hAnsi="仿宋" w:eastAsia="仿宋" w:cs="仿宋"/>
                <w:color w:val="auto"/>
                <w:sz w:val="24"/>
                <w:highlight w:val="none"/>
              </w:rPr>
            </w:pPr>
          </w:p>
          <w:p w14:paraId="3FD1F73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2"/>
              <w:spacing w:before="1"/>
              <w:ind w:left="105"/>
              <w:rPr>
                <w:rFonts w:hint="eastAsia" w:ascii="仿宋" w:hAnsi="仿宋" w:eastAsia="仿宋" w:cs="仿宋"/>
                <w:color w:val="auto"/>
                <w:sz w:val="24"/>
                <w:highlight w:val="none"/>
              </w:rPr>
            </w:pPr>
          </w:p>
          <w:p w14:paraId="1F0FD09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2"/>
              <w:spacing w:before="1"/>
              <w:ind w:left="105"/>
              <w:rPr>
                <w:rFonts w:hint="eastAsia" w:ascii="仿宋" w:hAnsi="仿宋" w:eastAsia="仿宋" w:cs="仿宋"/>
                <w:color w:val="auto"/>
                <w:sz w:val="24"/>
                <w:highlight w:val="none"/>
              </w:rPr>
            </w:pPr>
          </w:p>
          <w:p w14:paraId="5C541DF2">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2"/>
              <w:spacing w:before="1"/>
              <w:ind w:left="105"/>
              <w:rPr>
                <w:rFonts w:hint="eastAsia" w:ascii="仿宋" w:hAnsi="仿宋" w:eastAsia="仿宋" w:cs="仿宋"/>
                <w:color w:val="auto"/>
                <w:sz w:val="24"/>
                <w:highlight w:val="none"/>
              </w:rPr>
            </w:pPr>
          </w:p>
          <w:p w14:paraId="0D8CB35F">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2"/>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5"/>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5"/>
        <w:rPr>
          <w:rFonts w:hint="eastAsia" w:ascii="宋体" w:hAnsi="宋体" w:eastAsia="宋体" w:cs="宋体"/>
          <w:b/>
          <w:color w:val="auto"/>
          <w:sz w:val="30"/>
          <w:szCs w:val="30"/>
          <w:highlight w:val="none"/>
        </w:rPr>
      </w:pPr>
    </w:p>
    <w:p w14:paraId="461DC451">
      <w:pPr>
        <w:pStyle w:val="10"/>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6"/>
        <w:rPr>
          <w:rFonts w:hint="eastAsia"/>
          <w:color w:val="auto"/>
          <w:highlight w:val="none"/>
        </w:rPr>
      </w:pPr>
    </w:p>
    <w:p w14:paraId="42424311">
      <w:pPr>
        <w:pStyle w:val="12"/>
        <w:spacing w:line="500" w:lineRule="exact"/>
        <w:rPr>
          <w:rFonts w:hint="eastAsia" w:ascii="宋体" w:hAnsi="宋体" w:eastAsia="宋体" w:cs="宋体"/>
          <w:b/>
          <w:color w:val="auto"/>
          <w:kern w:val="2"/>
          <w:sz w:val="30"/>
          <w:szCs w:val="30"/>
          <w:highlight w:val="none"/>
        </w:rPr>
      </w:pPr>
    </w:p>
    <w:p w14:paraId="2A01FAC5">
      <w:pPr>
        <w:pStyle w:val="12"/>
        <w:spacing w:line="500" w:lineRule="exact"/>
        <w:rPr>
          <w:rFonts w:hint="eastAsia" w:ascii="宋体" w:hAnsi="宋体" w:eastAsia="宋体" w:cs="宋体"/>
          <w:b/>
          <w:color w:val="auto"/>
          <w:kern w:val="2"/>
          <w:sz w:val="30"/>
          <w:szCs w:val="30"/>
          <w:highlight w:val="none"/>
        </w:rPr>
      </w:pPr>
    </w:p>
    <w:p w14:paraId="22F846F8">
      <w:pPr>
        <w:numPr>
          <w:ilvl w:val="0"/>
          <w:numId w:val="6"/>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6"/>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6"/>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10"/>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10"/>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10"/>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10"/>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10"/>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天等县都康乡降祥村外降屯种植产业配套项目</w:t>
      </w:r>
    </w:p>
    <w:p w14:paraId="2D178095">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天等县都康乡</w:t>
      </w:r>
    </w:p>
    <w:p w14:paraId="23AC8BD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硬化产业路三条共长2.50公里</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10"/>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10"/>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516566872"/>
      <w:bookmarkStart w:id="115" w:name="_Toc459738629"/>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1"/>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1"/>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0"/>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1"/>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0"/>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1"/>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6"/>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6"/>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7"/>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0"/>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5"/>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5"/>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21042"/>
      <w:bookmarkStart w:id="118" w:name="_Toc31086"/>
    </w:p>
    <w:p w14:paraId="48C66535">
      <w:pPr>
        <w:rPr>
          <w:rFonts w:hint="eastAsia" w:ascii="宋体" w:hAnsi="宋体" w:eastAsia="宋体" w:cs="宋体"/>
          <w:b w:val="0"/>
          <w:color w:val="auto"/>
          <w:highlight w:val="none"/>
          <w:lang w:eastAsia="zh-CN"/>
        </w:rPr>
      </w:pPr>
    </w:p>
    <w:p w14:paraId="57136004">
      <w:pPr>
        <w:pStyle w:val="6"/>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6"/>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2"/>
        <w:spacing w:line="360" w:lineRule="auto"/>
        <w:contextualSpacing/>
        <w:rPr>
          <w:rFonts w:hint="eastAsia" w:ascii="宋体" w:hAnsi="宋体" w:eastAsia="宋体" w:cs="宋体"/>
          <w:b/>
          <w:color w:val="auto"/>
          <w:sz w:val="24"/>
          <w:szCs w:val="24"/>
          <w:highlight w:val="none"/>
          <w:lang w:eastAsia="zh-CN"/>
        </w:rPr>
      </w:pPr>
    </w:p>
    <w:p w14:paraId="6E80355A">
      <w:pPr>
        <w:pStyle w:val="12"/>
        <w:spacing w:line="360" w:lineRule="auto"/>
        <w:contextualSpacing/>
        <w:rPr>
          <w:rFonts w:hint="eastAsia" w:ascii="宋体" w:hAnsi="宋体" w:eastAsia="宋体" w:cs="宋体"/>
          <w:b/>
          <w:color w:val="auto"/>
          <w:sz w:val="24"/>
          <w:szCs w:val="24"/>
          <w:highlight w:val="none"/>
          <w:lang w:eastAsia="zh-CN"/>
        </w:rPr>
      </w:pPr>
    </w:p>
    <w:p w14:paraId="5F40493A">
      <w:pPr>
        <w:pStyle w:val="6"/>
        <w:rPr>
          <w:rFonts w:hint="eastAsia"/>
          <w:color w:val="auto"/>
          <w:highlight w:val="none"/>
          <w:lang w:eastAsia="zh-CN"/>
        </w:rPr>
      </w:pPr>
    </w:p>
    <w:p w14:paraId="538AA6A3">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2"/>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2"/>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2"/>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2"/>
        <w:snapToGrid w:val="0"/>
        <w:spacing w:line="360" w:lineRule="auto"/>
        <w:rPr>
          <w:rFonts w:hint="eastAsia" w:ascii="宋体" w:hAnsi="宋体" w:eastAsia="宋体" w:cs="宋体"/>
          <w:b/>
          <w:color w:val="auto"/>
          <w:sz w:val="24"/>
          <w:szCs w:val="24"/>
          <w:highlight w:val="none"/>
        </w:rPr>
      </w:pPr>
    </w:p>
    <w:p w14:paraId="753ED6FC">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2"/>
        <w:spacing w:line="360" w:lineRule="auto"/>
        <w:ind w:left="25" w:leftChars="12" w:firstLine="354" w:firstLineChars="147"/>
        <w:rPr>
          <w:rStyle w:val="22"/>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5"/>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5"/>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5"/>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5"/>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5"/>
      <w:tabs>
        <w:tab w:val="center" w:pos="4439"/>
        <w:tab w:val="clear" w:pos="4153"/>
      </w:tabs>
      <w:jc w:val="both"/>
    </w:pPr>
  </w:p>
  <w:p w14:paraId="6BCED1F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5"/>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5"/>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5"/>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6"/>
      <w:pBdr>
        <w:bottom w:val="none" w:color="auto" w:sz="0" w:space="1"/>
      </w:pBdr>
      <w:tabs>
        <w:tab w:val="center" w:pos="0"/>
        <w:tab w:val="clear" w:pos="4153"/>
      </w:tabs>
      <w:jc w:val="both"/>
    </w:pPr>
    <w:r>
      <w:rPr>
        <w:vanish/>
        <w:highlight w:val="yellow"/>
      </w:rPr>
      <w:t>&gt;</w:t>
    </w:r>
  </w:p>
  <w:p w14:paraId="27F75DC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9CE30FA"/>
    <w:multiLevelType w:val="singleLevel"/>
    <w:tmpl w:val="09CE30FA"/>
    <w:lvl w:ilvl="0" w:tentative="0">
      <w:start w:val="1"/>
      <w:numFmt w:val="decimal"/>
      <w:pStyle w:val="7"/>
      <w:lvlText w:val="%1."/>
      <w:lvlJc w:val="left"/>
      <w:pPr>
        <w:tabs>
          <w:tab w:val="left" w:pos="360"/>
        </w:tabs>
        <w:ind w:left="360" w:hanging="360"/>
      </w:pPr>
    </w:lvl>
  </w:abstractNum>
  <w:abstractNum w:abstractNumId="6">
    <w:nsid w:val="21088742"/>
    <w:multiLevelType w:val="singleLevel"/>
    <w:tmpl w:val="21088742"/>
    <w:lvl w:ilvl="0" w:tentative="0">
      <w:start w:val="1"/>
      <w:numFmt w:val="decimal"/>
      <w:suff w:val="nothing"/>
      <w:lvlText w:val="（%1）"/>
      <w:lvlJc w:val="left"/>
    </w:lvl>
  </w:abstractNum>
  <w:num w:numId="1">
    <w:abstractNumId w:val="5"/>
  </w:num>
  <w:num w:numId="2">
    <w:abstractNumId w:val="6"/>
  </w:num>
  <w:num w:numId="3">
    <w:abstractNumId w:val="4"/>
    <w:lvlOverride w:ilvl="0">
      <w:startOverride w:val="1"/>
    </w:lvlOverride>
  </w:num>
  <w:num w:numId="4">
    <w:abstractNumId w:val="3"/>
    <w:lvlOverride w:ilvl="0">
      <w:startOverride w:val="1"/>
    </w:lvlOverride>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1" w:cryptProviderType="rsaFull" w:cryptAlgorithmClass="hash" w:cryptAlgorithmType="typeAny" w:cryptAlgorithmSid="4" w:cryptSpinCount="0" w:hash="lX42uKLZlmpOV62bq5UnKw4XUe0=" w:salt="02qQL+y6rBAQfr2U9PBtN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417EF4"/>
    <w:rsid w:val="02D05560"/>
    <w:rsid w:val="09273A00"/>
    <w:rsid w:val="0BB8442B"/>
    <w:rsid w:val="0D6B035F"/>
    <w:rsid w:val="0E5D5C46"/>
    <w:rsid w:val="0E8F2773"/>
    <w:rsid w:val="0EDD06A4"/>
    <w:rsid w:val="103A226A"/>
    <w:rsid w:val="1A0044B0"/>
    <w:rsid w:val="1B846C34"/>
    <w:rsid w:val="1FFE32B4"/>
    <w:rsid w:val="214473ED"/>
    <w:rsid w:val="221B63A0"/>
    <w:rsid w:val="24D40547"/>
    <w:rsid w:val="26D75E02"/>
    <w:rsid w:val="2B445405"/>
    <w:rsid w:val="30D37E45"/>
    <w:rsid w:val="322E1CC9"/>
    <w:rsid w:val="34DF763D"/>
    <w:rsid w:val="34F21C96"/>
    <w:rsid w:val="36DB7A54"/>
    <w:rsid w:val="37ED3EE3"/>
    <w:rsid w:val="38E22C12"/>
    <w:rsid w:val="39D32C64"/>
    <w:rsid w:val="3B2156CC"/>
    <w:rsid w:val="3BEB0739"/>
    <w:rsid w:val="3EED18E7"/>
    <w:rsid w:val="40B50C76"/>
    <w:rsid w:val="410F2D9D"/>
    <w:rsid w:val="45521983"/>
    <w:rsid w:val="45B24909"/>
    <w:rsid w:val="49331A49"/>
    <w:rsid w:val="4C701451"/>
    <w:rsid w:val="4D9505C7"/>
    <w:rsid w:val="4DCB7F29"/>
    <w:rsid w:val="4FD035BF"/>
    <w:rsid w:val="51170852"/>
    <w:rsid w:val="51E43FB1"/>
    <w:rsid w:val="536270DB"/>
    <w:rsid w:val="54350128"/>
    <w:rsid w:val="57437223"/>
    <w:rsid w:val="57D76DD3"/>
    <w:rsid w:val="5A31056B"/>
    <w:rsid w:val="5BD80E9F"/>
    <w:rsid w:val="5DAF4C1B"/>
    <w:rsid w:val="5EBD51DA"/>
    <w:rsid w:val="60634492"/>
    <w:rsid w:val="60B4516D"/>
    <w:rsid w:val="60CF38D6"/>
    <w:rsid w:val="6429154F"/>
    <w:rsid w:val="64FB738F"/>
    <w:rsid w:val="65283E59"/>
    <w:rsid w:val="65875E80"/>
    <w:rsid w:val="68596F1F"/>
    <w:rsid w:val="6C7517D5"/>
    <w:rsid w:val="6D3527BF"/>
    <w:rsid w:val="718D7F2D"/>
    <w:rsid w:val="71AE7C98"/>
    <w:rsid w:val="73AD4CC9"/>
    <w:rsid w:val="76F86DCF"/>
    <w:rsid w:val="772067E2"/>
    <w:rsid w:val="777F0DB7"/>
    <w:rsid w:val="78737BE6"/>
    <w:rsid w:val="79344AEC"/>
    <w:rsid w:val="7B752E6E"/>
    <w:rsid w:val="7BD96240"/>
    <w:rsid w:val="7E506AA8"/>
    <w:rsid w:val="7F2A11C9"/>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5">
    <w:name w:val="表格文字"/>
    <w:basedOn w:val="11"/>
    <w:next w:val="10"/>
    <w:qFormat/>
    <w:uiPriority w:val="0"/>
    <w:pPr>
      <w:adjustRightInd w:val="0"/>
      <w:spacing w:line="420" w:lineRule="atLeast"/>
      <w:jc w:val="left"/>
      <w:textAlignment w:val="baseline"/>
    </w:pPr>
    <w:rPr>
      <w:kern w:val="0"/>
    </w:rPr>
  </w:style>
  <w:style w:type="paragraph" w:customStyle="1" w:styleId="26">
    <w:name w:val="正文文本1"/>
    <w:basedOn w:val="2"/>
    <w:next w:val="2"/>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4">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20289</Words>
  <Characters>22146</Characters>
  <Lines>0</Lines>
  <Paragraphs>0</Paragraphs>
  <TotalTime>12</TotalTime>
  <ScaleCrop>false</ScaleCrop>
  <LinksUpToDate>false</LinksUpToDate>
  <CharactersWithSpaces>22497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2026-04-30T11:47:07Z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