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天等县驮堪乡启新村坡外屯至朝阳屯排水沟建设工程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CZZC2026-C2-250028-JHGC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04</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25</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天等县驮堪乡启新村坡外屯至朝阳屯排水沟建设工程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05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07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14</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天等县驮堪乡启新村坡外屯至朝阳屯排水沟建设工程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05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07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14</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35393798"/>
      <w:bookmarkStart w:id="4" w:name="_Toc44229878"/>
      <w:bookmarkStart w:id="5" w:name="_Toc28359012"/>
      <w:bookmarkStart w:id="6" w:name="_Toc28359089"/>
      <w:bookmarkStart w:id="7" w:name="_Toc28359004"/>
      <w:bookmarkStart w:id="8" w:name="_Toc35393623"/>
      <w:bookmarkStart w:id="9" w:name="_Toc28359081"/>
      <w:bookmarkStart w:id="10" w:name="_Toc35393792"/>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CZZC2026-C2-250028-JHGC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天等县驮堪乡启新村坡外屯至朝阳屯排水沟建设工程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1076030.75</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天等县驮堪乡启新村坡外屯至朝阳屯排水沟建设工程</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：1076030.75</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建设主排水渠道长1.5千米其规格0.8米*0.8米；修建排水渠道长约1.0千米规格：0.5米*0.5米和0.4米*0.4米。</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1076030.75</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bookmarkStart w:id="119" w:name="_GoBack"/>
      <w:bookmarkEnd w:id="119"/>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35393799"/>
      <w:bookmarkStart w:id="13" w:name="_Toc44229879"/>
      <w:bookmarkStart w:id="14" w:name="_Toc28359090"/>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2026年05月07日14：30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2026年05月07日14：30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2.采购意向公开链接：https://zfcg.gxzf.gov.cn/site/detail?parentId=66485&amp;articleId=bXpZPesRM+t/JeesGVIgow==</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04</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25</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22168"/>
      <w:bookmarkStart w:id="32" w:name="_Toc11837"/>
      <w:bookmarkStart w:id="33" w:name="_Toc25731"/>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天等县驮堪乡启新村坡外屯至朝阳屯排水沟建设工程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建设主排水渠道长1.5千米其规格0.8米*0.8米；修建排水渠道长约1.0千米规格：0.5米*0.5米和0.4米*0.4米。</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1076030.75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天等县驮堪乡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673"/>
      <w:bookmarkStart w:id="45" w:name="_Toc254970532"/>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254970675"/>
      <w:bookmarkStart w:id="50" w:name="_Toc859"/>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546"/>
      <w:bookmarkStart w:id="67" w:name="_Toc181180297"/>
      <w:bookmarkStart w:id="68" w:name="_Toc20845"/>
      <w:bookmarkStart w:id="69" w:name="_Toc183264294"/>
      <w:bookmarkStart w:id="70" w:name="_Toc5854"/>
      <w:bookmarkStart w:id="71" w:name="_Toc346617322"/>
      <w:bookmarkStart w:id="72" w:name="_Toc498082646"/>
      <w:bookmarkStart w:id="73" w:name="_Toc8850"/>
      <w:bookmarkStart w:id="74"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28A7997">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014626D9">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6D057D99">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C489F1C">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2A99C11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7019"/>
      <w:bookmarkStart w:id="82" w:name="_Toc14457"/>
      <w:bookmarkStart w:id="83" w:name="_Toc80205935"/>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80205936"/>
      <w:bookmarkStart w:id="85" w:name="_Toc6990"/>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5"/>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
        <w:rPr>
          <w:rFonts w:hint="eastAsia" w:ascii="宋体" w:hAnsi="宋体" w:eastAsia="宋体" w:cs="宋体"/>
          <w:color w:val="auto"/>
          <w:highlight w:val="none"/>
        </w:rPr>
      </w:pPr>
    </w:p>
    <w:p w14:paraId="119616E9">
      <w:pPr>
        <w:pStyle w:val="2"/>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30065"/>
      <w:bookmarkStart w:id="90" w:name="_Toc80205938"/>
      <w:bookmarkStart w:id="91" w:name="_Toc17340"/>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10308"/>
      <w:bookmarkStart w:id="93" w:name="_Toc3025"/>
      <w:bookmarkStart w:id="94" w:name="_Toc80205939"/>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5"/>
      <w:bookmarkStart w:id="101" w:name="OLE_LINK7"/>
      <w:bookmarkStart w:id="102" w:name="OLE_LINK6"/>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7355675">
      <w:pPr>
        <w:pStyle w:val="10"/>
        <w:rPr>
          <w:rFonts w:hint="eastAsia" w:ascii="宋体" w:hAnsi="宋体" w:eastAsia="宋体" w:cs="宋体"/>
          <w:color w:val="auto"/>
          <w:kern w:val="0"/>
          <w:sz w:val="24"/>
          <w:highlight w:val="none"/>
          <w:lang w:val="zh-CN"/>
        </w:rPr>
      </w:pPr>
    </w:p>
    <w:p w14:paraId="5B353E41">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3B66C8B7">
      <w:pPr>
        <w:pStyle w:val="30"/>
        <w:spacing w:line="360" w:lineRule="auto"/>
        <w:ind w:left="420" w:leftChars="200" w:firstLine="0" w:firstLineChars="0"/>
        <w:rPr>
          <w:rFonts w:hint="eastAsia" w:ascii="宋体" w:hAnsi="宋体" w:eastAsia="宋体" w:cs="宋体"/>
          <w:color w:val="auto"/>
          <w:highlight w:val="none"/>
        </w:rPr>
      </w:pPr>
    </w:p>
    <w:p w14:paraId="7B8E747F">
      <w:pPr>
        <w:pStyle w:val="30"/>
        <w:spacing w:line="360" w:lineRule="auto"/>
        <w:ind w:left="420" w:leftChars="200" w:firstLine="0" w:firstLineChars="0"/>
        <w:rPr>
          <w:rFonts w:hint="eastAsia" w:ascii="宋体" w:hAnsi="宋体" w:eastAsia="宋体" w:cs="宋体"/>
          <w:color w:val="auto"/>
          <w:highlight w:val="none"/>
        </w:rPr>
      </w:pPr>
    </w:p>
    <w:p w14:paraId="06379832">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5522"/>
      <w:bookmarkStart w:id="112" w:name="_Toc12495"/>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2A636997">
      <w:pPr>
        <w:pStyle w:val="10"/>
        <w:rPr>
          <w:rFonts w:hint="eastAsia" w:ascii="宋体" w:hAnsi="宋体" w:eastAsia="宋体" w:cs="宋体"/>
          <w:b/>
          <w:color w:val="auto"/>
          <w:kern w:val="2"/>
          <w:sz w:val="30"/>
          <w:szCs w:val="30"/>
          <w:highlight w:val="none"/>
          <w:lang w:eastAsia="zh-CN"/>
        </w:rPr>
      </w:pPr>
    </w:p>
    <w:p w14:paraId="7D9E939C">
      <w:pPr>
        <w:pStyle w:val="10"/>
        <w:rPr>
          <w:rFonts w:hint="eastAsia" w:ascii="宋体" w:hAnsi="宋体" w:eastAsia="宋体" w:cs="宋体"/>
          <w:b/>
          <w:color w:val="auto"/>
          <w:kern w:val="2"/>
          <w:sz w:val="30"/>
          <w:szCs w:val="30"/>
          <w:highlight w:val="none"/>
          <w:lang w:eastAsia="zh-CN"/>
        </w:rPr>
      </w:pPr>
    </w:p>
    <w:p w14:paraId="150655D7">
      <w:pPr>
        <w:pStyle w:val="10"/>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eastAsia="宋体" w:cs="宋体"/>
          <w:color w:val="auto"/>
          <w:spacing w:val="6"/>
          <w:w w:val="100"/>
          <w:sz w:val="21"/>
          <w:szCs w:val="21"/>
          <w:highlight w:val="none"/>
          <w:u w:val="single"/>
          <w:lang w:val="en-US" w:eastAsia="zh-CN"/>
        </w:rPr>
        <w:t>天等县驮堪乡启新村坡外屯至朝阳屯排水沟建设工程</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eastAsia="宋体" w:cs="宋体"/>
          <w:color w:val="auto"/>
          <w:spacing w:val="6"/>
          <w:w w:val="100"/>
          <w:sz w:val="21"/>
          <w:szCs w:val="21"/>
          <w:highlight w:val="none"/>
          <w:u w:val="single"/>
          <w:lang w:val="en-US" w:eastAsia="zh-CN"/>
        </w:rPr>
        <w:t>天等县驮堪乡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eastAsia="宋体" w:cs="宋体"/>
          <w:color w:val="auto"/>
          <w:spacing w:val="6"/>
          <w:w w:val="100"/>
          <w:sz w:val="21"/>
          <w:szCs w:val="21"/>
          <w:highlight w:val="none"/>
          <w:u w:val="single"/>
          <w:lang w:val="en-US" w:eastAsia="zh-CN"/>
        </w:rPr>
        <w:t>建设主排水渠道长1.5千米其规格0.8米*0.8米；修建排水渠道长约1.0千米规格：0.5米*0.5米和0.4米*0.4米</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 w14:paraId="4F6A14F3"/>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dit="readOnly" w:enforcement="1" w:cryptProviderType="rsaFull" w:cryptAlgorithmClass="hash" w:cryptAlgorithmType="typeAny" w:cryptAlgorithmSid="4" w:cryptSpinCount="0" w:hash="alYejlH2fBpufuDkCwSmDF3JqkQ=" w:salt="xBq/4XwdTNjON0HNZWwKR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BB8442B"/>
    <w:rsid w:val="0DB14B56"/>
    <w:rsid w:val="0E5D5C46"/>
    <w:rsid w:val="105918DD"/>
    <w:rsid w:val="137E0075"/>
    <w:rsid w:val="1A182C26"/>
    <w:rsid w:val="1B846C34"/>
    <w:rsid w:val="20392737"/>
    <w:rsid w:val="21B31D5B"/>
    <w:rsid w:val="22421347"/>
    <w:rsid w:val="24D40547"/>
    <w:rsid w:val="25CB59E7"/>
    <w:rsid w:val="29C7422F"/>
    <w:rsid w:val="2CC67AD7"/>
    <w:rsid w:val="2DFD4BAB"/>
    <w:rsid w:val="2E604A2F"/>
    <w:rsid w:val="322E1CC9"/>
    <w:rsid w:val="32924054"/>
    <w:rsid w:val="32F87D99"/>
    <w:rsid w:val="335E60EC"/>
    <w:rsid w:val="38E22C12"/>
    <w:rsid w:val="3C077603"/>
    <w:rsid w:val="41E97150"/>
    <w:rsid w:val="42B111F9"/>
    <w:rsid w:val="44450AE0"/>
    <w:rsid w:val="49000B27"/>
    <w:rsid w:val="4C72630D"/>
    <w:rsid w:val="4E6028B4"/>
    <w:rsid w:val="4FD035BF"/>
    <w:rsid w:val="51170852"/>
    <w:rsid w:val="51AC0039"/>
    <w:rsid w:val="51E43FB1"/>
    <w:rsid w:val="53A472CF"/>
    <w:rsid w:val="54350128"/>
    <w:rsid w:val="57437223"/>
    <w:rsid w:val="57D76DD3"/>
    <w:rsid w:val="5A31056B"/>
    <w:rsid w:val="5DAF4C1B"/>
    <w:rsid w:val="603924A1"/>
    <w:rsid w:val="615C0B85"/>
    <w:rsid w:val="6429154F"/>
    <w:rsid w:val="68C80010"/>
    <w:rsid w:val="6A0E1913"/>
    <w:rsid w:val="6A757A1F"/>
    <w:rsid w:val="6A8D1B73"/>
    <w:rsid w:val="6B207CB8"/>
    <w:rsid w:val="6C7517D5"/>
    <w:rsid w:val="6D545394"/>
    <w:rsid w:val="718D7F2D"/>
    <w:rsid w:val="71AE7C98"/>
    <w:rsid w:val="757E49E2"/>
    <w:rsid w:val="75D04967"/>
    <w:rsid w:val="76F86DCF"/>
    <w:rsid w:val="777F0DB7"/>
    <w:rsid w:val="78737BE6"/>
    <w:rsid w:val="7A877563"/>
    <w:rsid w:val="7B523C86"/>
    <w:rsid w:val="7C38637B"/>
    <w:rsid w:val="7DF05F7C"/>
    <w:rsid w:val="7E506AA8"/>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19773</Words>
  <Characters>21504</Characters>
  <Lines>0</Lines>
  <Paragraphs>0</Paragraphs>
  <TotalTime>14</TotalTime>
  <ScaleCrop>false</ScaleCrop>
  <LinksUpToDate>false</LinksUpToDate>
  <CharactersWithSpaces>21852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2026-04-24T17:30:35Z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