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6"/>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B3898F9">
      <w:pPr>
        <w:pStyle w:val="2"/>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天等县宁干乡台利村那梅屯农田水利渠道项目</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CZZC2026-C2-250051-JHGC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2026年05月21日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bookmarkStart w:id="119" w:name="_GoBack"/>
      <w:bookmarkEnd w:id="119"/>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天等县宁干乡台利村那梅屯农田水利渠道项目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天等县宁干乡台利村那梅屯农田水利渠道项目</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2026年06月01日 09: 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35393798"/>
      <w:bookmarkStart w:id="4" w:name="_Toc28359012"/>
      <w:bookmarkStart w:id="5" w:name="_Toc28359089"/>
      <w:bookmarkStart w:id="6" w:name="_Toc44229878"/>
      <w:bookmarkStart w:id="7" w:name="_Toc35393792"/>
      <w:bookmarkStart w:id="8" w:name="_Toc35393623"/>
      <w:bookmarkStart w:id="9" w:name="_Toc28359004"/>
      <w:bookmarkStart w:id="10" w:name="_Toc28359081"/>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CZZC2026-C2-250051-JHGC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天等县宁干乡台利村那梅屯农田水利渠道项目</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1356772.30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天等县宁干乡台利村那梅屯农田水利渠道项目</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：1356772.30</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建设水利渠道长1.1千米及附属配套设施。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1356772.30</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44229879"/>
      <w:bookmarkStart w:id="14" w:name="_Toc3539379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水利水电工程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水利水电工程</w:t>
      </w:r>
      <w:r>
        <w:rPr>
          <w:rFonts w:hint="eastAsia" w:ascii="宋体" w:hAnsi="宋体" w:cs="宋体"/>
          <w:color w:val="auto"/>
          <w:szCs w:val="21"/>
          <w:highlight w:val="none"/>
          <w:lang w:val="en-US" w:eastAsia="zh-CN"/>
        </w:rPr>
        <w:t>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624"/>
      <w:bookmarkStart w:id="19" w:name="_Toc28359005"/>
      <w:bookmarkStart w:id="20" w:name="_Toc35393793"/>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2026年06月01日 09: 00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2026年06月01日 09: 00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794"/>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bookmarkStart w:id="27" w:name="_Hlk37429585"/>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lang w:val="en-US" w:eastAsia="zh-CN"/>
        </w:rPr>
        <w:t>.在线竞标响应（电子投标）说明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2026年05月21日</w:t>
      </w:r>
    </w:p>
    <w:p w14:paraId="3766DE94">
      <w:pPr>
        <w:pStyle w:val="3"/>
        <w:jc w:val="center"/>
        <w:rPr>
          <w:rFonts w:hint="eastAsia" w:ascii="宋体" w:hAnsi="宋体" w:eastAsia="宋体" w:cs="宋体"/>
          <w:color w:val="auto"/>
          <w:highlight w:val="none"/>
        </w:rPr>
      </w:pPr>
      <w:bookmarkStart w:id="31" w:name="_Toc11837"/>
      <w:bookmarkStart w:id="32" w:name="_Toc25731"/>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天等县宁干乡台利村那梅屯农田水利渠道项目</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建设水利渠道长1.1千米及附属配套设施。</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1356772.30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天等县宁干乡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highlight w:val="none"/>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 xml:space="preserve">是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859"/>
      <w:bookmarkStart w:id="49" w:name="_Toc11036"/>
      <w:bookmarkStart w:id="50" w:name="_Toc254970534"/>
      <w:bookmarkStart w:id="51" w:name="_Toc254970675"/>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1793"/>
      <w:bookmarkStart w:id="58" w:name="_Toc7097"/>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8"/>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8"/>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8"/>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8"/>
        <w:rPr>
          <w:rFonts w:hint="eastAsia"/>
          <w:color w:val="auto"/>
          <w:highlight w:val="none"/>
        </w:rPr>
      </w:pPr>
    </w:p>
    <w:p w14:paraId="25073F7D">
      <w:pPr>
        <w:pStyle w:val="28"/>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8"/>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8"/>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8"/>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8"/>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8"/>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8"/>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3264294"/>
      <w:bookmarkStart w:id="67" w:name="_Toc20845"/>
      <w:bookmarkStart w:id="68" w:name="_Toc346617322"/>
      <w:bookmarkStart w:id="69" w:name="_Toc18546"/>
      <w:bookmarkStart w:id="70" w:name="_Toc5854"/>
      <w:bookmarkStart w:id="71" w:name="_Toc498082646"/>
      <w:bookmarkStart w:id="72" w:name="_Toc181180297"/>
      <w:bookmarkStart w:id="73" w:name="_Toc24807"/>
      <w:bookmarkStart w:id="74" w:name="_Toc8850"/>
      <w:r>
        <w:rPr>
          <w:rStyle w:val="29"/>
          <w:rFonts w:hint="eastAsia" w:ascii="宋体" w:hAnsi="宋体" w:eastAsia="宋体" w:cs="宋体"/>
          <w:color w:val="auto"/>
          <w:sz w:val="36"/>
          <w:szCs w:val="36"/>
          <w:highlight w:val="none"/>
          <w:lang w:eastAsia="zh-CN"/>
        </w:rPr>
        <w:t>第四章</w:t>
      </w:r>
      <w:r>
        <w:rPr>
          <w:rStyle w:val="29"/>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9"/>
          <w:rFonts w:hint="eastAsia" w:ascii="宋体" w:hAnsi="宋体" w:eastAsia="宋体" w:cs="宋体"/>
          <w:color w:val="auto"/>
          <w:sz w:val="36"/>
          <w:szCs w:val="36"/>
          <w:highlight w:val="none"/>
        </w:rPr>
        <w:t>图纸</w:t>
      </w:r>
      <w:r>
        <w:rPr>
          <w:rStyle w:val="29"/>
          <w:rFonts w:hint="eastAsia" w:ascii="宋体" w:hAnsi="宋体" w:eastAsia="宋体" w:cs="宋体"/>
          <w:color w:val="auto"/>
          <w:sz w:val="36"/>
          <w:szCs w:val="36"/>
          <w:highlight w:val="none"/>
          <w:lang w:val="en-US" w:eastAsia="zh-CN"/>
        </w:rPr>
        <w:t>及</w:t>
      </w:r>
      <w:r>
        <w:rPr>
          <w:rStyle w:val="29"/>
          <w:rFonts w:hint="eastAsia" w:ascii="宋体" w:hAnsi="宋体" w:eastAsia="宋体" w:cs="宋体"/>
          <w:color w:val="auto"/>
          <w:sz w:val="36"/>
          <w:szCs w:val="36"/>
          <w:highlight w:val="none"/>
        </w:rPr>
        <w:t>工程量清单</w:t>
      </w:r>
      <w:bookmarkEnd w:id="73"/>
      <w:bookmarkEnd w:id="74"/>
    </w:p>
    <w:p w14:paraId="42CA3F07">
      <w:pPr>
        <w:pStyle w:val="30"/>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6"/>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9"/>
          <w:rFonts w:hint="eastAsia" w:ascii="宋体" w:hAnsi="宋体" w:eastAsia="宋体" w:cs="宋体"/>
          <w:color w:val="auto"/>
          <w:sz w:val="36"/>
          <w:szCs w:val="36"/>
          <w:highlight w:val="none"/>
          <w:lang w:eastAsia="zh-CN"/>
        </w:rPr>
        <w:t>第五章</w:t>
      </w:r>
      <w:r>
        <w:rPr>
          <w:rStyle w:val="29"/>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8"/>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D2D64DB">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w:t>
            </w:r>
          </w:p>
          <w:p w14:paraId="066E7BF9">
            <w:pPr>
              <w:numPr>
                <w:ilvl w:val="0"/>
                <w:numId w:val="3"/>
              </w:num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评审价为供应商的最后报价，最终成交供应商的成交金额等于最后报价（如有修正，以确认修正后的最后报价为准）。</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528A7997">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152DD5E5">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本项目启用异常低价审核流程。政府采购评审中出现下列情形之一的，评审小组应当启动异常低价响应审查程序：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响应报价低于全部通过符合性审查供应商响应报价</w:t>
            </w:r>
            <w:r>
              <w:rPr>
                <w:rFonts w:hint="eastAsia" w:ascii="宋体" w:hAnsi="宋体" w:cs="宋体"/>
                <w:bCs/>
                <w:szCs w:val="21"/>
                <w:highlight w:val="none"/>
                <w:vertAlign w:val="baseline"/>
                <w:lang w:val="en-US" w:eastAsia="zh-CN"/>
              </w:rPr>
              <w:t>（</w:t>
            </w:r>
            <w:r>
              <w:rPr>
                <w:rFonts w:hint="default" w:ascii="宋体" w:hAnsi="宋体" w:eastAsia="宋体" w:cs="宋体"/>
                <w:bCs/>
                <w:szCs w:val="21"/>
                <w:highlight w:val="none"/>
                <w:vertAlign w:val="baseline"/>
                <w:lang w:val="en-US" w:eastAsia="zh-CN"/>
              </w:rPr>
              <w:t>平均值</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响应报价低于通过符合性审查的次低报价供应商响应报价</w:t>
            </w:r>
            <w:r>
              <w:rPr>
                <w:rFonts w:hint="eastAsia" w:ascii="宋体" w:hAnsi="宋体" w:cs="宋体"/>
                <w:bCs/>
                <w:szCs w:val="21"/>
                <w:highlight w:val="none"/>
                <w:vertAlign w:val="baseline"/>
                <w:lang w:val="en-US" w:eastAsia="zh-CN"/>
              </w:rPr>
              <w:t>的</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响应报价低于采购项目最高限价</w:t>
            </w:r>
            <w:r>
              <w:rPr>
                <w:rFonts w:hint="eastAsia" w:ascii="宋体" w:hAnsi="宋体" w:cs="宋体"/>
                <w:bCs/>
                <w:szCs w:val="21"/>
                <w:highlight w:val="none"/>
                <w:vertAlign w:val="baseline"/>
                <w:lang w:val="en-US" w:eastAsia="zh-CN"/>
              </w:rPr>
              <w:t>的</w:t>
            </w:r>
            <w:r>
              <w:rPr>
                <w:rFonts w:hint="default" w:ascii="宋体" w:hAnsi="宋体" w:eastAsia="宋体" w:cs="宋体"/>
                <w:bCs/>
                <w:szCs w:val="21"/>
                <w:highlight w:val="none"/>
                <w:vertAlign w:val="baseline"/>
                <w:lang w:val="en-US" w:eastAsia="zh-CN"/>
              </w:rPr>
              <w:t>65%；</w:t>
            </w:r>
          </w:p>
          <w:p w14:paraId="2A99C11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分）：各主要分部施工方法完全符合项目实际，针对渠道土方开挖、基底夯实、砂砾垫层、M7.5浆砌片石砌筑、砂浆抹面、沥青木板伸缩缝、钢筋混凝土圆管涵安装、土方回填编制专项方案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有详尽的施工技术方案，工艺先进、方法科学合理、可行，能指导具体施工并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分）：各主要分部施工方法符合项目实际，针对渠道土方开挖、基底夯实、砂砾垫层、M7.5浆砌片石砌筑、砂浆抹面、沥青木板伸缩缝、钢筋混凝土圆管涵安装、土方回填编制专项方案</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片石、水泥、砂、砂砾、沥青木板、钢筋混凝土管、混凝土等材料计划</w:t>
            </w:r>
            <w:r>
              <w:rPr>
                <w:rFonts w:hint="eastAsia" w:ascii="宋体" w:hAnsi="宋体" w:cs="宋体"/>
                <w:b w:val="0"/>
                <w:bCs/>
                <w:color w:val="auto"/>
                <w:szCs w:val="21"/>
                <w:highlight w:val="none"/>
                <w:vertAlign w:val="baseline"/>
                <w:lang w:eastAsia="zh-CN"/>
              </w:rPr>
              <w:t>，</w:t>
            </w:r>
            <w:r>
              <w:rPr>
                <w:rFonts w:hint="eastAsia" w:ascii="宋体" w:hAnsi="宋体" w:eastAsia="宋体" w:cs="宋体"/>
                <w:b w:val="0"/>
                <w:bCs/>
                <w:color w:val="auto"/>
                <w:szCs w:val="21"/>
                <w:highlight w:val="none"/>
                <w:vertAlign w:val="baseline"/>
                <w:lang w:eastAsia="zh-CN"/>
              </w:rPr>
              <w:t>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w:t>
            </w:r>
            <w:r>
              <w:rPr>
                <w:rFonts w:hint="eastAsia" w:ascii="宋体" w:hAnsi="宋体" w:cs="宋体"/>
                <w:b w:val="0"/>
                <w:bCs/>
                <w:color w:val="auto"/>
                <w:szCs w:val="21"/>
                <w:highlight w:val="none"/>
                <w:vertAlign w:val="baseline"/>
                <w:lang w:val="en-US" w:eastAsia="zh-CN"/>
              </w:rPr>
              <w:t>编制有</w:t>
            </w:r>
            <w:r>
              <w:rPr>
                <w:rFonts w:hint="eastAsia" w:ascii="宋体" w:hAnsi="宋体" w:eastAsia="宋体" w:cs="宋体"/>
                <w:b w:val="0"/>
                <w:bCs/>
                <w:color w:val="auto"/>
                <w:szCs w:val="21"/>
                <w:highlight w:val="none"/>
                <w:vertAlign w:val="baseline"/>
                <w:lang w:eastAsia="zh-CN"/>
              </w:rPr>
              <w:t>片石、水泥、砂、砂砾、沥青木板、钢筋混凝土管、混凝土等材料计划</w:t>
            </w:r>
            <w:r>
              <w:rPr>
                <w:rFonts w:hint="eastAsia" w:ascii="宋体" w:hAnsi="宋体" w:cs="宋体"/>
                <w:b w:val="0"/>
                <w:bCs/>
                <w:color w:val="auto"/>
                <w:szCs w:val="21"/>
                <w:highlight w:val="none"/>
                <w:vertAlign w:val="baseline"/>
                <w:lang w:eastAsia="zh-CN"/>
              </w:rPr>
              <w:t>，</w:t>
            </w:r>
            <w:r>
              <w:rPr>
                <w:rFonts w:hint="eastAsia" w:ascii="宋体" w:hAnsi="宋体" w:eastAsia="宋体" w:cs="宋体"/>
                <w:b w:val="0"/>
                <w:bCs/>
                <w:color w:val="auto"/>
                <w:szCs w:val="21"/>
                <w:highlight w:val="none"/>
                <w:vertAlign w:val="baseline"/>
                <w:lang w:eastAsia="zh-CN"/>
              </w:rPr>
              <w:t>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分）:各主要施工工序有详细周密的劳动力安排计划，针对开挖、砌筑、抹面、涵管安装、砼浇筑、回填、标识安装分工种配置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分）：各主要施工工序有详细周密的劳动力安排计划，针对开挖、砌筑、抹面、涵管安装、砼浇筑、回填、标识安装分工种配置</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序有质量技术保证措施和手段，针对基底压实、浆砌石砌筑密实度、砂浆配合比、抹面平整度、伸缩缝顺直、涵管基础与安装、回填压实度建立质控体系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针对基底压实、浆砌石砌筑密实度、砂浆配合比、抹面平整度、伸缩缝顺直、涵管基础与安装、回填压实度建立质控体系</w:t>
            </w:r>
            <w:r>
              <w:rPr>
                <w:rFonts w:hint="eastAsia" w:ascii="宋体" w:hAnsi="宋体" w:cs="宋体"/>
                <w:bCs/>
                <w:color w:val="auto"/>
                <w:szCs w:val="21"/>
                <w:highlight w:val="none"/>
                <w:vertAlign w:val="baseline"/>
                <w:lang w:eastAsia="zh-CN"/>
              </w:rPr>
              <w:t>，质控</w:t>
            </w:r>
            <w:r>
              <w:rPr>
                <w:rFonts w:hint="eastAsia" w:ascii="宋体" w:hAnsi="宋体" w:eastAsia="宋体" w:cs="宋体"/>
                <w:bCs/>
                <w:color w:val="auto"/>
                <w:szCs w:val="21"/>
                <w:highlight w:val="none"/>
                <w:vertAlign w:val="baseline"/>
                <w:lang w:eastAsia="zh-CN"/>
              </w:rPr>
              <w:t>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分）：有专门的安全管理人员和制度，且人员配备完全合理，制度健全，针对沟槽开挖防坍塌、临边防护、临时用水用电、机械作业、交通疏导、防汛排水制定措施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各道工序安全 技术措施针对性强，符合实际且满足有关安全技术标准要求。</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分）：有专门的安全管理人员和制度，人员配备较合理，制度较健全，针对沟槽开挖防坍塌、临边防护、临时用水用电、机械作业、交通疏导、防汛排水制定措施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 xml:space="preserve">各道工序安全技术措施较合理， 符合实际且满足有关安全技术标准要求。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分）：在施工工艺、施工方法、材料选用、劳动力安排、技术等方面有保证工期的具体措施且措施得当。有控制工期的施工进度计划</w:t>
            </w:r>
            <w:r>
              <w:rPr>
                <w:rFonts w:hint="eastAsia" w:ascii="宋体" w:hAnsi="宋体" w:cs="宋体"/>
                <w:bCs/>
                <w:color w:val="auto"/>
                <w:szCs w:val="21"/>
                <w:highlight w:val="none"/>
                <w:vertAlign w:val="baseline"/>
                <w:lang w:eastAsia="zh-CN"/>
              </w:rPr>
              <w:t>，进度计划包含测量放线→开挖→垫层→砌筑→抹面→伸缩缝→涵管安装→回填→标识安装</w:t>
            </w:r>
            <w:r>
              <w:rPr>
                <w:rFonts w:hint="eastAsia" w:ascii="宋体" w:hAnsi="宋体" w:eastAsia="宋体" w:cs="宋体"/>
                <w:bCs/>
                <w:color w:val="auto"/>
                <w:szCs w:val="21"/>
                <w:highlight w:val="none"/>
                <w:vertAlign w:val="baseline"/>
                <w:lang w:eastAsia="zh-CN"/>
              </w:rPr>
              <w:t>。有施工总进度表或施工网络图，各项计划图表编制完善，安排科学合理，完全符合本项目施工实际要求。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w:t>
            </w:r>
            <w:r>
              <w:rPr>
                <w:rFonts w:hint="eastAsia" w:ascii="宋体" w:hAnsi="宋体" w:cs="宋体"/>
                <w:bCs/>
                <w:color w:val="auto"/>
                <w:szCs w:val="21"/>
                <w:highlight w:val="none"/>
                <w:vertAlign w:val="baseline"/>
                <w:lang w:eastAsia="zh-CN"/>
              </w:rPr>
              <w:t>，进度计划包含测量放线→开挖→垫层→砌筑→抹面→伸缩缝→涵管安装→回填→标识安装</w:t>
            </w:r>
            <w:r>
              <w:rPr>
                <w:rFonts w:hint="eastAsia" w:ascii="宋体" w:hAnsi="宋体" w:eastAsia="宋体" w:cs="宋体"/>
                <w:bCs/>
                <w:color w:val="auto"/>
                <w:szCs w:val="21"/>
                <w:highlight w:val="none"/>
                <w:vertAlign w:val="baseline"/>
                <w:lang w:eastAsia="zh-CN"/>
              </w:rPr>
              <w:t>。有施工总进度表或施工网络图，各项计划图表编制较完善，安排较合理，符合本项目施工实际要求。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 xml:space="preserve">要求。各项措施很周全、具体、有效。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且措施内容达到《建筑施工安全生产检查标准》（JGJ59-2011）合格标准并符合</w:t>
            </w:r>
            <w:r>
              <w:rPr>
                <w:rFonts w:hint="eastAsia" w:ascii="宋体" w:hAnsi="宋体" w:cs="宋体"/>
                <w:bCs/>
                <w:color w:val="auto"/>
                <w:szCs w:val="21"/>
                <w:highlight w:val="none"/>
                <w:vertAlign w:val="baseline"/>
                <w:lang w:eastAsia="zh-CN"/>
              </w:rPr>
              <w:t>《水利水电工程施工通用安全技术规程》（SL398-2007）</w:t>
            </w:r>
            <w:r>
              <w:rPr>
                <w:rFonts w:hint="eastAsia" w:ascii="宋体" w:hAnsi="宋体" w:eastAsia="宋体" w:cs="宋体"/>
                <w:bCs/>
                <w:color w:val="auto"/>
                <w:szCs w:val="21"/>
                <w:highlight w:val="none"/>
                <w:vertAlign w:val="baseline"/>
                <w:lang w:eastAsia="zh-CN"/>
              </w:rPr>
              <w:t>要求。各项措施较周全、具体、有效。</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w:t>
            </w:r>
            <w:r>
              <w:rPr>
                <w:rFonts w:hint="eastAsia" w:ascii="宋体" w:hAnsi="宋体" w:cs="宋体"/>
                <w:bCs/>
                <w:color w:val="auto"/>
                <w:szCs w:val="21"/>
                <w:highlight w:val="none"/>
                <w:vertAlign w:val="baseline"/>
                <w:lang w:val="en-US" w:eastAsia="zh-CN"/>
              </w:rPr>
              <w:t>根据</w:t>
            </w:r>
            <w:r>
              <w:rPr>
                <w:rFonts w:hint="eastAsia" w:ascii="宋体" w:hAnsi="宋体" w:eastAsia="宋体" w:cs="宋体"/>
                <w:bCs/>
                <w:color w:val="auto"/>
                <w:szCs w:val="21"/>
                <w:highlight w:val="none"/>
                <w:vertAlign w:val="baseline"/>
                <w:lang w:eastAsia="zh-CN"/>
              </w:rPr>
              <w:t>本工程项目特点，针对农田保护、扬尘、噪声、材料堆放、沟渠排水、水土保持、现场保洁制定措施</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各项措施一般。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w:t>
            </w:r>
            <w:r>
              <w:rPr>
                <w:rFonts w:hint="eastAsia" w:ascii="宋体" w:hAnsi="宋体" w:cs="宋体"/>
                <w:bCs/>
                <w:color w:val="auto"/>
                <w:szCs w:val="21"/>
                <w:highlight w:val="none"/>
                <w:vertAlign w:val="baseline"/>
                <w:lang w:val="en-US" w:eastAsia="zh-CN"/>
              </w:rPr>
              <w:t>或无针对性</w:t>
            </w:r>
            <w:r>
              <w:rPr>
                <w:rFonts w:hint="eastAsia" w:ascii="宋体" w:hAnsi="宋体" w:eastAsia="宋体" w:cs="宋体"/>
                <w:bCs/>
                <w:color w:val="auto"/>
                <w:szCs w:val="21"/>
                <w:highlight w:val="none"/>
                <w:vertAlign w:val="baseline"/>
                <w:lang w:eastAsia="zh-CN"/>
              </w:rPr>
              <w:t>。</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分）：针对本工程的特点，阐述本工程的重点和难点，识别本项目长渠道线形控制、浆砌石砌筑质量、防渗抹面、圆管涵安装精度、雨季排水、农田不扰动</w:t>
            </w:r>
            <w:r>
              <w:rPr>
                <w:rFonts w:hint="eastAsia" w:ascii="宋体" w:hAnsi="宋体" w:eastAsia="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阐述本工程的重点和难点，识别本项目长渠道线形控制、浆砌石砌筑质量、防渗抹面、圆管涵安装精度、雨季排水、农田不扰动</w:t>
            </w:r>
            <w:r>
              <w:rPr>
                <w:rFonts w:hint="eastAsia" w:ascii="宋体" w:hAnsi="宋体" w:eastAsia="宋体" w:cs="宋体"/>
                <w:bCs/>
                <w:color w:val="auto"/>
                <w:szCs w:val="21"/>
                <w:highlight w:val="none"/>
                <w:vertAlign w:val="baseline"/>
                <w:lang w:val="en-US" w:eastAsia="zh-CN"/>
              </w:rPr>
              <w:t>等重点，</w:t>
            </w:r>
            <w:r>
              <w:rPr>
                <w:rFonts w:hint="eastAsia" w:ascii="宋体" w:hAnsi="宋体" w:eastAsia="宋体" w:cs="宋体"/>
                <w:bCs/>
                <w:color w:val="auto"/>
                <w:szCs w:val="21"/>
                <w:highlight w:val="none"/>
                <w:vertAlign w:val="baseline"/>
                <w:lang w:eastAsia="zh-CN"/>
              </w:rPr>
              <w:t>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拌合区、堆土区、运输便道、排水系统、临时用电，符合乡村农田水利场地狭小特点</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w:t>
            </w:r>
            <w:r>
              <w:rPr>
                <w:rFonts w:hint="eastAsia" w:ascii="宋体" w:hAnsi="宋体" w:cs="宋体"/>
                <w:bCs/>
                <w:color w:val="auto"/>
                <w:szCs w:val="21"/>
                <w:highlight w:val="none"/>
                <w:vertAlign w:val="baseline"/>
                <w:lang w:val="en-US" w:eastAsia="zh-CN"/>
              </w:rPr>
              <w:t>较</w:t>
            </w:r>
            <w:r>
              <w:rPr>
                <w:rFonts w:hint="eastAsia" w:ascii="宋体" w:hAnsi="宋体" w:eastAsia="宋体" w:cs="宋体"/>
                <w:bCs/>
                <w:color w:val="auto"/>
                <w:szCs w:val="21"/>
                <w:highlight w:val="none"/>
                <w:vertAlign w:val="baseline"/>
                <w:lang w:eastAsia="zh-CN"/>
              </w:rPr>
              <w:t>符合乡村农田水利场地狭小特点</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分）：有施工总平面布置图，布置料场、拌浆</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拌合区、堆土区、运输便道、排水系统、临时用电</w:t>
            </w:r>
            <w:r>
              <w:rPr>
                <w:rFonts w:hint="eastAsia" w:ascii="宋体" w:hAnsi="宋体" w:cs="宋体"/>
                <w:bCs/>
                <w:color w:val="auto"/>
                <w:szCs w:val="21"/>
                <w:highlight w:val="none"/>
                <w:vertAlign w:val="baseline"/>
                <w:lang w:val="en-US" w:eastAsia="zh-CN"/>
              </w:rPr>
              <w:t>,</w:t>
            </w:r>
            <w:r>
              <w:rPr>
                <w:rFonts w:hint="eastAsia" w:ascii="宋体" w:hAnsi="宋体" w:eastAsia="宋体" w:cs="宋体"/>
                <w:bCs/>
                <w:color w:val="auto"/>
                <w:szCs w:val="21"/>
                <w:highlight w:val="none"/>
                <w:vertAlign w:val="baseline"/>
                <w:lang w:eastAsia="zh-CN"/>
              </w:rPr>
              <w:t>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满分5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近三年（</w:t>
            </w:r>
            <w:r>
              <w:rPr>
                <w:rFonts w:hint="eastAsia" w:ascii="宋体" w:hAnsi="宋体" w:eastAsia="宋体" w:cs="宋体"/>
                <w:b w:val="0"/>
                <w:bCs/>
                <w:color w:val="auto"/>
                <w:szCs w:val="21"/>
                <w:highlight w:val="none"/>
                <w:vertAlign w:val="baseline"/>
                <w:lang w:val="en-US" w:eastAsia="zh-CN"/>
              </w:rPr>
              <w:t>响应文件提交截止时间</w:t>
            </w:r>
            <w:r>
              <w:rPr>
                <w:rFonts w:hint="eastAsia" w:ascii="宋体" w:hAnsi="宋体" w:cs="宋体"/>
                <w:b w:val="0"/>
                <w:bCs/>
                <w:color w:val="auto"/>
                <w:szCs w:val="21"/>
                <w:highlight w:val="none"/>
                <w:vertAlign w:val="baseline"/>
                <w:lang w:val="en-US" w:eastAsia="zh-CN"/>
              </w:rPr>
              <w:t>止倒算36个月内）</w:t>
            </w:r>
            <w:r>
              <w:rPr>
                <w:rFonts w:hint="eastAsia" w:ascii="宋体" w:hAnsi="宋体" w:eastAsia="宋体" w:cs="宋体"/>
                <w:b w:val="0"/>
                <w:bCs/>
                <w:color w:val="auto"/>
                <w:szCs w:val="21"/>
                <w:highlight w:val="none"/>
                <w:vertAlign w:val="baseline"/>
                <w:lang w:val="en-US" w:eastAsia="zh-CN"/>
              </w:rPr>
              <w:t>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施工业绩的，得5分。满分5分。（需同时附以下两种材料复印件：①中标（成交）通知书或施工承包合同协议书②工程完工验收鉴定书或交（竣）工验收鉴定书）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spacing w:line="360" w:lineRule="auto"/>
        <w:ind w:firstLine="420" w:firstLineChars="200"/>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7019"/>
      <w:bookmarkStart w:id="82" w:name="_Toc14457"/>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8"/>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80205936"/>
      <w:bookmarkStart w:id="85" w:name="_Toc6990"/>
      <w:bookmarkStart w:id="86" w:name="_Toc32744"/>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D0BDF26">
      <w:pPr>
        <w:pStyle w:val="15"/>
        <w:rPr>
          <w:rFonts w:hint="eastAsia" w:ascii="宋体" w:hAnsi="宋体" w:eastAsia="宋体" w:cs="宋体"/>
          <w:color w:val="auto"/>
          <w:highlight w:val="none"/>
        </w:rPr>
      </w:pPr>
    </w:p>
    <w:p w14:paraId="4828BE5B">
      <w:pPr>
        <w:rPr>
          <w:rFonts w:hint="eastAsia" w:ascii="宋体" w:hAnsi="宋体" w:eastAsia="宋体" w:cs="宋体"/>
          <w:color w:val="auto"/>
          <w:highlight w:val="none"/>
        </w:rPr>
      </w:pPr>
    </w:p>
    <w:p w14:paraId="0CA304E2">
      <w:pPr>
        <w:pStyle w:val="2"/>
        <w:rPr>
          <w:rFonts w:hint="eastAsia" w:ascii="宋体" w:hAnsi="宋体" w:eastAsia="宋体" w:cs="宋体"/>
          <w:color w:val="auto"/>
          <w:highlight w:val="none"/>
        </w:rPr>
      </w:pPr>
    </w:p>
    <w:p w14:paraId="119616E9">
      <w:pPr>
        <w:pStyle w:val="2"/>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5EEF87AE">
      <w:pPr>
        <w:pStyle w:val="2"/>
        <w:rPr>
          <w:rFonts w:hint="eastAsia" w:ascii="宋体" w:hAnsi="宋体" w:eastAsia="宋体" w:cs="宋体"/>
          <w:color w:val="auto"/>
          <w:highlight w:val="none"/>
        </w:rPr>
      </w:pPr>
    </w:p>
    <w:p w14:paraId="69C599A9">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53975593">
      <w:pPr>
        <w:pStyle w:val="3"/>
        <w:jc w:val="center"/>
        <w:rPr>
          <w:rFonts w:hint="eastAsia" w:ascii="宋体" w:hAnsi="宋体" w:eastAsia="宋体" w:cs="宋体"/>
          <w:color w:val="auto"/>
          <w:highlight w:val="none"/>
          <w:lang w:eastAsia="zh-CN"/>
        </w:rPr>
      </w:pPr>
      <w:bookmarkStart w:id="87" w:name="_Toc32723"/>
      <w:bookmarkStart w:id="88" w:name="_Toc32731"/>
    </w:p>
    <w:p w14:paraId="7AAFB4CE">
      <w:pPr>
        <w:pStyle w:val="3"/>
        <w:jc w:val="center"/>
        <w:rPr>
          <w:rFonts w:hint="eastAsia" w:ascii="宋体" w:hAnsi="宋体" w:eastAsia="宋体" w:cs="宋体"/>
          <w:color w:val="auto"/>
          <w:highlight w:val="none"/>
          <w:lang w:eastAsia="zh-CN"/>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17340"/>
      <w:bookmarkStart w:id="90" w:name="_Toc80205938"/>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80205939"/>
      <w:bookmarkStart w:id="93" w:name="_Toc10308"/>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122"/>
      <w:bookmarkStart w:id="96" w:name="_Toc7417"/>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6"/>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1"/>
        <w:spacing w:line="360" w:lineRule="auto"/>
        <w:rPr>
          <w:rFonts w:hint="eastAsia" w:ascii="宋体" w:hAnsi="宋体" w:eastAsia="宋体" w:cs="宋体"/>
          <w:color w:val="auto"/>
          <w:highlight w:val="none"/>
        </w:rPr>
      </w:pPr>
      <w:bookmarkStart w:id="100" w:name="OLE_LINK5"/>
      <w:bookmarkStart w:id="101" w:name="OLE_LINK6"/>
      <w:bookmarkStart w:id="102" w:name="OLE_LINK7"/>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r>
        <w:rPr>
          <w:rFonts w:hint="eastAsia" w:ascii="宋体" w:hAnsi="宋体" w:eastAsia="宋体" w:cs="宋体"/>
          <w:color w:val="auto"/>
          <w:sz w:val="24"/>
          <w:szCs w:val="24"/>
          <w:highlight w:val="none"/>
          <w:lang w:eastAsia="zh-CN"/>
        </w:rPr>
        <w:t>。</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7D613E43">
      <w:pPr>
        <w:snapToGrid w:val="0"/>
        <w:spacing w:line="360" w:lineRule="auto"/>
        <w:ind w:firstLine="643"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17D19C51">
      <w:pPr>
        <w:snapToGrid w:val="0"/>
        <w:spacing w:line="360" w:lineRule="auto"/>
        <w:ind w:firstLine="643" w:firstLineChars="200"/>
        <w:rPr>
          <w:rFonts w:hint="eastAsia" w:ascii="宋体" w:hAnsi="宋体" w:eastAsia="宋体" w:cs="宋体"/>
          <w:b/>
          <w:color w:val="auto"/>
          <w:sz w:val="32"/>
          <w:szCs w:val="32"/>
          <w:highlight w:val="none"/>
        </w:rPr>
      </w:pPr>
    </w:p>
    <w:p w14:paraId="5CE701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383E72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7355675">
      <w:pPr>
        <w:pStyle w:val="10"/>
        <w:rPr>
          <w:rFonts w:hint="eastAsia" w:ascii="宋体" w:hAnsi="宋体" w:eastAsia="宋体" w:cs="宋体"/>
          <w:color w:val="auto"/>
          <w:kern w:val="0"/>
          <w:sz w:val="24"/>
          <w:highlight w:val="none"/>
          <w:lang w:val="zh-CN"/>
        </w:rPr>
      </w:pPr>
    </w:p>
    <w:p w14:paraId="5B353E41">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1"/>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6E99F3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E4CE4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1"/>
        <w:spacing w:line="360" w:lineRule="auto"/>
        <w:ind w:left="420" w:leftChars="200" w:firstLine="0" w:firstLineChars="0"/>
        <w:rPr>
          <w:rFonts w:hint="eastAsia" w:ascii="宋体" w:hAnsi="宋体" w:eastAsia="宋体" w:cs="宋体"/>
          <w:color w:val="auto"/>
          <w:highlight w:val="none"/>
        </w:rPr>
      </w:pPr>
    </w:p>
    <w:p w14:paraId="1D2BD99F">
      <w:pPr>
        <w:pStyle w:val="31"/>
        <w:spacing w:line="360" w:lineRule="auto"/>
        <w:ind w:left="420" w:leftChars="200" w:firstLine="0" w:firstLineChars="0"/>
        <w:rPr>
          <w:rFonts w:hint="eastAsia" w:ascii="宋体" w:hAnsi="宋体" w:eastAsia="宋体" w:cs="宋体"/>
          <w:color w:val="auto"/>
          <w:highlight w:val="none"/>
        </w:rPr>
      </w:pPr>
    </w:p>
    <w:p w14:paraId="459D0C47">
      <w:pPr>
        <w:pStyle w:val="31"/>
        <w:spacing w:line="360" w:lineRule="auto"/>
        <w:ind w:left="420" w:leftChars="200" w:firstLine="0" w:firstLineChars="0"/>
        <w:rPr>
          <w:rFonts w:hint="eastAsia" w:ascii="宋体" w:hAnsi="宋体" w:eastAsia="宋体" w:cs="宋体"/>
          <w:color w:val="auto"/>
          <w:highlight w:val="none"/>
        </w:rPr>
      </w:pPr>
    </w:p>
    <w:p w14:paraId="569D985E">
      <w:pPr>
        <w:pStyle w:val="31"/>
        <w:spacing w:line="360" w:lineRule="auto"/>
        <w:ind w:left="420" w:leftChars="200" w:firstLine="0" w:firstLineChars="0"/>
        <w:rPr>
          <w:rFonts w:hint="eastAsia" w:ascii="宋体" w:hAnsi="宋体" w:eastAsia="宋体" w:cs="宋体"/>
          <w:color w:val="auto"/>
          <w:highlight w:val="none"/>
        </w:rPr>
      </w:pPr>
    </w:p>
    <w:p w14:paraId="3B66C8B7">
      <w:pPr>
        <w:pStyle w:val="31"/>
        <w:spacing w:line="360" w:lineRule="auto"/>
        <w:ind w:left="420" w:leftChars="200" w:firstLine="0" w:firstLineChars="0"/>
        <w:rPr>
          <w:rFonts w:hint="eastAsia" w:ascii="宋体" w:hAnsi="宋体" w:eastAsia="宋体" w:cs="宋体"/>
          <w:color w:val="auto"/>
          <w:highlight w:val="none"/>
        </w:rPr>
      </w:pPr>
    </w:p>
    <w:p w14:paraId="7B8E747F">
      <w:pPr>
        <w:pStyle w:val="31"/>
        <w:spacing w:line="360" w:lineRule="auto"/>
        <w:ind w:left="420" w:leftChars="200" w:firstLine="0" w:firstLineChars="0"/>
        <w:rPr>
          <w:rFonts w:hint="eastAsia" w:ascii="宋体" w:hAnsi="宋体" w:eastAsia="宋体" w:cs="宋体"/>
          <w:color w:val="auto"/>
          <w:highlight w:val="none"/>
        </w:rPr>
      </w:pPr>
    </w:p>
    <w:p w14:paraId="06379832">
      <w:pPr>
        <w:pStyle w:val="31"/>
        <w:spacing w:line="360" w:lineRule="auto"/>
        <w:ind w:left="420" w:leftChars="200" w:firstLine="0" w:firstLineChars="0"/>
        <w:rPr>
          <w:rFonts w:hint="eastAsia" w:ascii="宋体" w:hAnsi="宋体" w:eastAsia="宋体" w:cs="宋体"/>
          <w:color w:val="auto"/>
          <w:highlight w:val="none"/>
        </w:rPr>
      </w:pPr>
    </w:p>
    <w:p w14:paraId="163847D2">
      <w:pPr>
        <w:pStyle w:val="31"/>
        <w:spacing w:line="360" w:lineRule="auto"/>
        <w:ind w:left="420" w:leftChars="200" w:firstLine="0" w:firstLineChars="0"/>
        <w:rPr>
          <w:rFonts w:hint="eastAsia" w:ascii="宋体" w:hAnsi="宋体" w:eastAsia="宋体" w:cs="宋体"/>
          <w:color w:val="auto"/>
          <w:highlight w:val="none"/>
        </w:rPr>
      </w:pPr>
    </w:p>
    <w:p w14:paraId="6AEB0D9E">
      <w:pPr>
        <w:pStyle w:val="31"/>
        <w:spacing w:line="360" w:lineRule="auto"/>
        <w:ind w:left="420" w:leftChars="200" w:firstLine="0" w:firstLineChars="0"/>
        <w:rPr>
          <w:rFonts w:hint="eastAsia" w:ascii="宋体" w:hAnsi="宋体" w:eastAsia="宋体" w:cs="宋体"/>
          <w:color w:val="auto"/>
          <w:highlight w:val="none"/>
        </w:rPr>
      </w:pPr>
    </w:p>
    <w:p w14:paraId="1A155B29">
      <w:pPr>
        <w:pStyle w:val="31"/>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4</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2"/>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1"/>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1"/>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1"/>
        <w:spacing w:line="360" w:lineRule="auto"/>
        <w:ind w:left="420" w:leftChars="200" w:firstLine="0" w:firstLineChars="0"/>
        <w:rPr>
          <w:rFonts w:hint="eastAsia" w:ascii="宋体" w:hAnsi="宋体" w:eastAsia="宋体" w:cs="宋体"/>
          <w:color w:val="auto"/>
          <w:highlight w:val="none"/>
        </w:rPr>
      </w:pPr>
    </w:p>
    <w:p w14:paraId="1E29BFC6">
      <w:pPr>
        <w:pStyle w:val="31"/>
        <w:spacing w:line="360" w:lineRule="auto"/>
        <w:ind w:left="420" w:leftChars="200" w:firstLine="0" w:firstLineChars="0"/>
        <w:rPr>
          <w:rFonts w:hint="eastAsia" w:ascii="宋体" w:hAnsi="宋体" w:eastAsia="宋体" w:cs="宋体"/>
          <w:color w:val="auto"/>
          <w:highlight w:val="none"/>
        </w:rPr>
      </w:pPr>
    </w:p>
    <w:p w14:paraId="6265A909">
      <w:pPr>
        <w:pStyle w:val="31"/>
        <w:spacing w:line="360" w:lineRule="auto"/>
        <w:ind w:left="420" w:leftChars="200" w:firstLine="0" w:firstLineChars="0"/>
        <w:rPr>
          <w:rFonts w:hint="eastAsia" w:ascii="宋体" w:hAnsi="宋体" w:eastAsia="宋体" w:cs="宋体"/>
          <w:color w:val="auto"/>
          <w:highlight w:val="none"/>
        </w:rPr>
      </w:pPr>
    </w:p>
    <w:p w14:paraId="585B3D37">
      <w:pPr>
        <w:pStyle w:val="31"/>
        <w:spacing w:line="360" w:lineRule="auto"/>
        <w:ind w:left="420" w:leftChars="200" w:firstLine="0" w:firstLineChars="0"/>
        <w:rPr>
          <w:rFonts w:hint="eastAsia" w:ascii="宋体" w:hAnsi="宋体" w:eastAsia="宋体" w:cs="宋体"/>
          <w:color w:val="auto"/>
          <w:highlight w:val="none"/>
        </w:rPr>
      </w:pPr>
    </w:p>
    <w:p w14:paraId="17F85835">
      <w:pPr>
        <w:pStyle w:val="31"/>
        <w:spacing w:line="360" w:lineRule="auto"/>
        <w:ind w:left="420" w:leftChars="200" w:firstLine="0" w:firstLineChars="0"/>
        <w:rPr>
          <w:rFonts w:hint="eastAsia" w:ascii="宋体" w:hAnsi="宋体" w:eastAsia="宋体" w:cs="宋体"/>
          <w:color w:val="auto"/>
          <w:highlight w:val="none"/>
        </w:rPr>
      </w:pPr>
    </w:p>
    <w:p w14:paraId="74420A09">
      <w:pPr>
        <w:pStyle w:val="31"/>
        <w:spacing w:line="360" w:lineRule="auto"/>
        <w:ind w:left="420" w:leftChars="200" w:firstLine="0" w:firstLineChars="0"/>
        <w:rPr>
          <w:rFonts w:hint="eastAsia" w:ascii="宋体" w:hAnsi="宋体" w:eastAsia="宋体" w:cs="宋体"/>
          <w:color w:val="auto"/>
          <w:highlight w:val="none"/>
        </w:rPr>
      </w:pPr>
    </w:p>
    <w:p w14:paraId="545314BE">
      <w:pPr>
        <w:pStyle w:val="31"/>
        <w:spacing w:line="360" w:lineRule="auto"/>
        <w:ind w:left="420" w:leftChars="200" w:firstLine="0" w:firstLineChars="0"/>
        <w:rPr>
          <w:rFonts w:hint="eastAsia" w:ascii="宋体" w:hAnsi="宋体" w:eastAsia="宋体" w:cs="宋体"/>
          <w:color w:val="auto"/>
          <w:highlight w:val="none"/>
        </w:rPr>
      </w:pPr>
    </w:p>
    <w:p w14:paraId="69A919FA">
      <w:pPr>
        <w:pStyle w:val="31"/>
        <w:spacing w:line="360" w:lineRule="auto"/>
        <w:ind w:left="420" w:leftChars="200" w:firstLine="0" w:firstLineChars="0"/>
        <w:rPr>
          <w:rFonts w:hint="eastAsia" w:ascii="宋体" w:hAnsi="宋体" w:eastAsia="宋体" w:cs="宋体"/>
          <w:color w:val="auto"/>
          <w:highlight w:val="none"/>
        </w:rPr>
      </w:pPr>
    </w:p>
    <w:p w14:paraId="176E66C1">
      <w:pPr>
        <w:pStyle w:val="31"/>
        <w:spacing w:line="360" w:lineRule="auto"/>
        <w:ind w:left="420" w:leftChars="200" w:firstLine="0" w:firstLineChars="0"/>
        <w:rPr>
          <w:rFonts w:hint="eastAsia" w:ascii="宋体" w:hAnsi="宋体" w:eastAsia="宋体" w:cs="宋体"/>
          <w:color w:val="auto"/>
          <w:highlight w:val="none"/>
        </w:rPr>
      </w:pPr>
    </w:p>
    <w:p w14:paraId="3ECCE384">
      <w:pPr>
        <w:pStyle w:val="31"/>
        <w:spacing w:line="360" w:lineRule="auto"/>
        <w:ind w:left="420" w:leftChars="200" w:firstLine="0" w:firstLineChars="0"/>
        <w:rPr>
          <w:rFonts w:hint="eastAsia" w:ascii="宋体" w:hAnsi="宋体" w:eastAsia="宋体" w:cs="宋体"/>
          <w:color w:val="auto"/>
          <w:highlight w:val="none"/>
        </w:rPr>
      </w:pPr>
    </w:p>
    <w:p w14:paraId="130F3E1D">
      <w:pPr>
        <w:pStyle w:val="31"/>
        <w:spacing w:line="360" w:lineRule="auto"/>
        <w:ind w:left="420" w:leftChars="200" w:firstLine="0" w:firstLineChars="0"/>
        <w:rPr>
          <w:rFonts w:hint="eastAsia" w:ascii="宋体" w:hAnsi="宋体" w:eastAsia="宋体" w:cs="宋体"/>
          <w:color w:val="auto"/>
          <w:highlight w:val="none"/>
        </w:rPr>
      </w:pPr>
    </w:p>
    <w:p w14:paraId="04529977">
      <w:pPr>
        <w:pStyle w:val="31"/>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15522"/>
      <w:bookmarkStart w:id="113" w:name="_Toc7327"/>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5"/>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6"/>
        <w:rPr>
          <w:rFonts w:hint="eastAsia" w:ascii="宋体" w:hAnsi="宋体" w:eastAsia="宋体" w:cs="宋体"/>
          <w:b/>
          <w:color w:val="auto"/>
          <w:kern w:val="2"/>
          <w:sz w:val="30"/>
          <w:szCs w:val="30"/>
          <w:highlight w:val="none"/>
          <w:lang w:eastAsia="zh-CN"/>
        </w:rPr>
      </w:pPr>
    </w:p>
    <w:p w14:paraId="2A636997">
      <w:pPr>
        <w:pStyle w:val="10"/>
        <w:rPr>
          <w:rFonts w:hint="eastAsia" w:ascii="宋体" w:hAnsi="宋体" w:eastAsia="宋体" w:cs="宋体"/>
          <w:b/>
          <w:color w:val="auto"/>
          <w:kern w:val="2"/>
          <w:sz w:val="30"/>
          <w:szCs w:val="30"/>
          <w:highlight w:val="none"/>
          <w:lang w:eastAsia="zh-CN"/>
        </w:rPr>
      </w:pPr>
    </w:p>
    <w:p w14:paraId="7D9E939C">
      <w:pPr>
        <w:pStyle w:val="10"/>
        <w:rPr>
          <w:rFonts w:hint="eastAsia" w:ascii="宋体" w:hAnsi="宋体" w:eastAsia="宋体" w:cs="宋体"/>
          <w:b/>
          <w:color w:val="auto"/>
          <w:kern w:val="2"/>
          <w:sz w:val="30"/>
          <w:szCs w:val="30"/>
          <w:highlight w:val="none"/>
          <w:lang w:eastAsia="zh-CN"/>
        </w:rPr>
      </w:pPr>
    </w:p>
    <w:p w14:paraId="150655D7">
      <w:pPr>
        <w:pStyle w:val="10"/>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6"/>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3"/>
              <w:spacing w:before="1"/>
              <w:ind w:left="160" w:right="149"/>
              <w:jc w:val="center"/>
              <w:rPr>
                <w:rFonts w:hint="eastAsia" w:ascii="仿宋" w:hAnsi="仿宋" w:eastAsia="仿宋" w:cs="仿宋"/>
                <w:color w:val="auto"/>
                <w:sz w:val="24"/>
                <w:highlight w:val="none"/>
              </w:rPr>
            </w:pPr>
          </w:p>
          <w:p w14:paraId="22DAEDB3">
            <w:pPr>
              <w:pStyle w:val="33"/>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3"/>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3"/>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3"/>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3"/>
              <w:spacing w:before="1"/>
              <w:ind w:left="105"/>
              <w:rPr>
                <w:rFonts w:hint="eastAsia" w:ascii="仿宋" w:hAnsi="仿宋" w:eastAsia="仿宋" w:cs="仿宋"/>
                <w:color w:val="auto"/>
                <w:sz w:val="24"/>
                <w:highlight w:val="none"/>
              </w:rPr>
            </w:pPr>
          </w:p>
          <w:p w14:paraId="66E83209">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3"/>
              <w:spacing w:before="1"/>
              <w:ind w:left="105"/>
              <w:rPr>
                <w:rFonts w:hint="eastAsia" w:ascii="仿宋" w:hAnsi="仿宋" w:eastAsia="仿宋" w:cs="仿宋"/>
                <w:color w:val="auto"/>
                <w:sz w:val="24"/>
                <w:highlight w:val="none"/>
              </w:rPr>
            </w:pPr>
          </w:p>
          <w:p w14:paraId="678A9C5A">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3"/>
              <w:spacing w:before="1"/>
              <w:ind w:left="105"/>
              <w:rPr>
                <w:rFonts w:hint="eastAsia" w:ascii="仿宋" w:hAnsi="仿宋" w:eastAsia="仿宋" w:cs="仿宋"/>
                <w:color w:val="auto"/>
                <w:sz w:val="24"/>
                <w:highlight w:val="none"/>
              </w:rPr>
            </w:pPr>
          </w:p>
          <w:p w14:paraId="44993B60">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3"/>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3"/>
              <w:spacing w:before="1"/>
              <w:ind w:left="105"/>
              <w:rPr>
                <w:rFonts w:hint="eastAsia" w:ascii="仿宋" w:hAnsi="仿宋" w:eastAsia="仿宋" w:cs="仿宋"/>
                <w:color w:val="auto"/>
                <w:sz w:val="24"/>
                <w:highlight w:val="none"/>
              </w:rPr>
            </w:pPr>
          </w:p>
          <w:p w14:paraId="3E96CDA1">
            <w:pPr>
              <w:pStyle w:val="33"/>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3"/>
              <w:spacing w:before="1"/>
              <w:ind w:left="105"/>
              <w:rPr>
                <w:rFonts w:hint="eastAsia" w:ascii="仿宋" w:hAnsi="仿宋" w:eastAsia="仿宋" w:cs="仿宋"/>
                <w:color w:val="auto"/>
                <w:sz w:val="24"/>
                <w:highlight w:val="none"/>
              </w:rPr>
            </w:pPr>
          </w:p>
          <w:p w14:paraId="3FD1F73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3"/>
              <w:spacing w:before="1"/>
              <w:ind w:left="105"/>
              <w:rPr>
                <w:rFonts w:hint="eastAsia" w:ascii="仿宋" w:hAnsi="仿宋" w:eastAsia="仿宋" w:cs="仿宋"/>
                <w:color w:val="auto"/>
                <w:sz w:val="24"/>
                <w:highlight w:val="none"/>
              </w:rPr>
            </w:pPr>
          </w:p>
          <w:p w14:paraId="1F0FD09B">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3"/>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3"/>
              <w:spacing w:before="1"/>
              <w:ind w:left="105"/>
              <w:rPr>
                <w:rFonts w:hint="eastAsia" w:ascii="仿宋" w:hAnsi="仿宋" w:eastAsia="仿宋" w:cs="仿宋"/>
                <w:color w:val="auto"/>
                <w:sz w:val="24"/>
                <w:highlight w:val="none"/>
              </w:rPr>
            </w:pPr>
          </w:p>
          <w:p w14:paraId="5C541DF2">
            <w:pPr>
              <w:pStyle w:val="33"/>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3"/>
              <w:spacing w:before="1"/>
              <w:ind w:left="105"/>
              <w:rPr>
                <w:rFonts w:hint="eastAsia" w:ascii="仿宋" w:hAnsi="仿宋" w:eastAsia="仿宋" w:cs="仿宋"/>
                <w:color w:val="auto"/>
                <w:sz w:val="24"/>
                <w:highlight w:val="none"/>
              </w:rPr>
            </w:pPr>
          </w:p>
          <w:p w14:paraId="0D8CB35F">
            <w:pPr>
              <w:pStyle w:val="33"/>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3"/>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3"/>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6"/>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6"/>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6"/>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7"/>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cs="宋体"/>
          <w:color w:val="auto"/>
          <w:spacing w:val="6"/>
          <w:w w:val="100"/>
          <w:sz w:val="21"/>
          <w:szCs w:val="21"/>
          <w:highlight w:val="none"/>
          <w:u w:val="single"/>
          <w:lang w:val="en-US" w:eastAsia="zh-CN"/>
        </w:rPr>
        <w:t>天等县宁干乡台利村那梅屯农田水利渠道项目</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cs="宋体"/>
          <w:color w:val="auto"/>
          <w:spacing w:val="6"/>
          <w:w w:val="100"/>
          <w:sz w:val="21"/>
          <w:szCs w:val="21"/>
          <w:highlight w:val="none"/>
          <w:u w:val="single"/>
          <w:lang w:val="en-US" w:eastAsia="zh-CN"/>
        </w:rPr>
        <w:t>天等县宁干乡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cs="宋体"/>
          <w:color w:val="auto"/>
          <w:spacing w:val="6"/>
          <w:w w:val="100"/>
          <w:sz w:val="21"/>
          <w:szCs w:val="21"/>
          <w:highlight w:val="none"/>
          <w:u w:val="single"/>
          <w:lang w:val="en-US" w:eastAsia="zh-CN"/>
        </w:rPr>
        <w:t>建设水利渠道长1.1千米及附属配套设施</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none"/>
        </w:rPr>
        <w:t>。</w:t>
      </w:r>
    </w:p>
    <w:p w14:paraId="4F6D47E1">
      <w:pPr>
        <w:pStyle w:val="34"/>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459738629"/>
      <w:bookmarkStart w:id="115" w:name="_Toc516566872"/>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5"/>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8"/>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6"/>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Pr>
        <w:rPr>
          <w:highlight w:val="none"/>
        </w:rPr>
      </w:pPr>
    </w:p>
    <w:p w14:paraId="4F6A14F3">
      <w:pPr>
        <w:rPr>
          <w:highlight w:val="none"/>
        </w:rPr>
      </w:pPr>
    </w:p>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4"/>
        <w:sz w:val="21"/>
      </w:rPr>
    </w:pPr>
    <w:r>
      <w:rPr>
        <w:sz w:val="21"/>
      </w:rPr>
      <w:fldChar w:fldCharType="begin"/>
    </w:r>
    <w:r>
      <w:rPr>
        <w:rStyle w:val="24"/>
        <w:sz w:val="21"/>
      </w:rPr>
      <w:instrText xml:space="preserve">PAGE  </w:instrText>
    </w:r>
    <w:r>
      <w:rPr>
        <w:sz w:val="21"/>
      </w:rPr>
      <w:fldChar w:fldCharType="separate"/>
    </w:r>
    <w:r>
      <w:rPr>
        <w:rStyle w:val="24"/>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A643CCE7"/>
    <w:multiLevelType w:val="singleLevel"/>
    <w:tmpl w:val="A643CCE7"/>
    <w:lvl w:ilvl="0" w:tentative="0">
      <w:start w:val="1"/>
      <w:numFmt w:val="decimal"/>
      <w:suff w:val="nothing"/>
      <w:lvlText w:val="（%1）"/>
      <w:lvlJc w:val="left"/>
    </w:lvl>
  </w:abstractNum>
  <w:abstractNum w:abstractNumId="2">
    <w:nsid w:val="C15C04D0"/>
    <w:multiLevelType w:val="singleLevel"/>
    <w:tmpl w:val="C15C04D0"/>
    <w:lvl w:ilvl="0" w:tentative="0">
      <w:start w:val="5"/>
      <w:numFmt w:val="chineseCounting"/>
      <w:suff w:val="nothing"/>
      <w:lvlText w:val="%1、"/>
      <w:lvlJc w:val="left"/>
      <w:rPr>
        <w:rFonts w:hint="eastAsia"/>
      </w:rPr>
    </w:lvl>
  </w:abstractNum>
  <w:abstractNum w:abstractNumId="3">
    <w:nsid w:val="D0FD6BEA"/>
    <w:multiLevelType w:val="singleLevel"/>
    <w:tmpl w:val="D0FD6BEA"/>
    <w:lvl w:ilvl="0" w:tentative="0">
      <w:start w:val="7"/>
      <w:numFmt w:val="chineseCounting"/>
      <w:suff w:val="space"/>
      <w:lvlText w:val="第%1章"/>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7">
    <w:nsid w:val="21088742"/>
    <w:multiLevelType w:val="singleLevel"/>
    <w:tmpl w:val="21088742"/>
    <w:lvl w:ilvl="0" w:tentative="0">
      <w:start w:val="1"/>
      <w:numFmt w:val="decimal"/>
      <w:suff w:val="nothing"/>
      <w:lvlText w:val="（%1）"/>
      <w:lvlJc w:val="left"/>
    </w:lvl>
  </w:abstractNum>
  <w:num w:numId="1">
    <w:abstractNumId w:val="6"/>
  </w:num>
  <w:num w:numId="2">
    <w:abstractNumId w:val="7"/>
  </w:num>
  <w:num w:numId="3">
    <w:abstractNumId w:val="1"/>
  </w:num>
  <w:num w:numId="4">
    <w:abstractNumId w:val="5"/>
    <w:lvlOverride w:ilvl="0">
      <w:startOverride w:val="1"/>
    </w:lvlOverride>
  </w:num>
  <w:num w:numId="5">
    <w:abstractNumId w:val="4"/>
    <w:lvlOverride w:ilvl="0">
      <w:startOverride w:val="1"/>
    </w:lvlOverride>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dit="readOnly" w:enforcement="1" w:cryptProviderType="rsaFull" w:cryptAlgorithmClass="hash" w:cryptAlgorithmType="typeAny" w:cryptAlgorithmSid="4" w:cryptSpinCount="0" w:hash="lm9LHelEy+qWuEAhVo8OtV4jUZo=" w:salt="MhdQK7lwpSRPfKG8a+Lu4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A12741"/>
    <w:rsid w:val="026B6505"/>
    <w:rsid w:val="0A93759F"/>
    <w:rsid w:val="0BB07E2E"/>
    <w:rsid w:val="0BB8442B"/>
    <w:rsid w:val="0BD3006E"/>
    <w:rsid w:val="0DB14B56"/>
    <w:rsid w:val="0E5D5C46"/>
    <w:rsid w:val="0EE71440"/>
    <w:rsid w:val="105918DD"/>
    <w:rsid w:val="11FE30BE"/>
    <w:rsid w:val="137E0075"/>
    <w:rsid w:val="1683226E"/>
    <w:rsid w:val="176B6115"/>
    <w:rsid w:val="18115A33"/>
    <w:rsid w:val="1A182C26"/>
    <w:rsid w:val="1B846C34"/>
    <w:rsid w:val="1CC400CA"/>
    <w:rsid w:val="1E5C100C"/>
    <w:rsid w:val="1F980369"/>
    <w:rsid w:val="20392737"/>
    <w:rsid w:val="21B31D5B"/>
    <w:rsid w:val="22421347"/>
    <w:rsid w:val="24594B3F"/>
    <w:rsid w:val="24D40547"/>
    <w:rsid w:val="25CB59E7"/>
    <w:rsid w:val="29C7422F"/>
    <w:rsid w:val="2A87364D"/>
    <w:rsid w:val="2CB857F7"/>
    <w:rsid w:val="2CC67AD7"/>
    <w:rsid w:val="2DFD4BAB"/>
    <w:rsid w:val="2E604A2F"/>
    <w:rsid w:val="322E1CC9"/>
    <w:rsid w:val="32924054"/>
    <w:rsid w:val="32F87D99"/>
    <w:rsid w:val="335E60EC"/>
    <w:rsid w:val="36CE7E44"/>
    <w:rsid w:val="37DE7194"/>
    <w:rsid w:val="38E22C12"/>
    <w:rsid w:val="3A1931C7"/>
    <w:rsid w:val="3C077603"/>
    <w:rsid w:val="407D2C19"/>
    <w:rsid w:val="40F163A6"/>
    <w:rsid w:val="41E97150"/>
    <w:rsid w:val="41EC7387"/>
    <w:rsid w:val="42B111F9"/>
    <w:rsid w:val="44450AE0"/>
    <w:rsid w:val="47DD6D45"/>
    <w:rsid w:val="49000B27"/>
    <w:rsid w:val="49EA0282"/>
    <w:rsid w:val="4A487DAD"/>
    <w:rsid w:val="4C72630D"/>
    <w:rsid w:val="4E6028B4"/>
    <w:rsid w:val="4FD035BF"/>
    <w:rsid w:val="51170852"/>
    <w:rsid w:val="51AC0039"/>
    <w:rsid w:val="51E43FB1"/>
    <w:rsid w:val="52940EBA"/>
    <w:rsid w:val="52F51705"/>
    <w:rsid w:val="53A472CF"/>
    <w:rsid w:val="54350128"/>
    <w:rsid w:val="54364FEB"/>
    <w:rsid w:val="57437223"/>
    <w:rsid w:val="57783E2E"/>
    <w:rsid w:val="57BC7353"/>
    <w:rsid w:val="57D76DD3"/>
    <w:rsid w:val="57EB09D9"/>
    <w:rsid w:val="5A31056B"/>
    <w:rsid w:val="5DAF4C1B"/>
    <w:rsid w:val="603924A1"/>
    <w:rsid w:val="615C0B85"/>
    <w:rsid w:val="62743679"/>
    <w:rsid w:val="629149A0"/>
    <w:rsid w:val="6429154F"/>
    <w:rsid w:val="68156932"/>
    <w:rsid w:val="68C80010"/>
    <w:rsid w:val="6A0E1913"/>
    <w:rsid w:val="6A757A1F"/>
    <w:rsid w:val="6A823E5A"/>
    <w:rsid w:val="6A8D1B73"/>
    <w:rsid w:val="6B207CB8"/>
    <w:rsid w:val="6B4936C1"/>
    <w:rsid w:val="6C7517D5"/>
    <w:rsid w:val="6D534EAA"/>
    <w:rsid w:val="6D545394"/>
    <w:rsid w:val="6D6F2AAD"/>
    <w:rsid w:val="6FFC4284"/>
    <w:rsid w:val="718D7F2D"/>
    <w:rsid w:val="71AE7C98"/>
    <w:rsid w:val="73D01CDB"/>
    <w:rsid w:val="757E49E2"/>
    <w:rsid w:val="75D04967"/>
    <w:rsid w:val="76F86DCF"/>
    <w:rsid w:val="777F0DB7"/>
    <w:rsid w:val="78737BE6"/>
    <w:rsid w:val="7A877563"/>
    <w:rsid w:val="7B4055F8"/>
    <w:rsid w:val="7B523C86"/>
    <w:rsid w:val="7C38637B"/>
    <w:rsid w:val="7DF05F7C"/>
    <w:rsid w:val="7E506AA8"/>
    <w:rsid w:val="7F2A11C9"/>
    <w:rsid w:val="7F425A2A"/>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表格文字"/>
    <w:basedOn w:val="11"/>
    <w:next w:val="10"/>
    <w:qFormat/>
    <w:uiPriority w:val="0"/>
    <w:pPr>
      <w:adjustRightInd w:val="0"/>
      <w:spacing w:line="420" w:lineRule="atLeast"/>
      <w:jc w:val="left"/>
      <w:textAlignment w:val="baseline"/>
    </w:pPr>
    <w:rPr>
      <w:kern w:val="0"/>
    </w:rPr>
  </w:style>
  <w:style w:type="paragraph" w:customStyle="1" w:styleId="27">
    <w:name w:val="正文文本1"/>
    <w:basedOn w:val="2"/>
    <w:next w:val="2"/>
    <w:qFormat/>
    <w:uiPriority w:val="0"/>
    <w:rPr>
      <w:rFonts w:ascii="金山简黑体" w:hAnsi="金山简黑体" w:eastAsia="金山简黑体"/>
      <w:b/>
      <w:spacing w:val="-8"/>
      <w:sz w:val="44"/>
      <w:szCs w:val="20"/>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9">
    <w:name w:val="标题 1 Char"/>
    <w:link w:val="3"/>
    <w:qFormat/>
    <w:uiPriority w:val="9"/>
    <w:rPr>
      <w:b/>
      <w:bCs/>
      <w:kern w:val="44"/>
      <w:sz w:val="44"/>
      <w:szCs w:val="44"/>
    </w:rPr>
  </w:style>
  <w:style w:type="paragraph" w:customStyle="1" w:styleId="30">
    <w:name w:val="样式7"/>
    <w:basedOn w:val="1"/>
    <w:qFormat/>
    <w:uiPriority w:val="0"/>
    <w:pPr>
      <w:spacing w:line="480" w:lineRule="exact"/>
      <w:jc w:val="center"/>
    </w:pPr>
    <w:rPr>
      <w:rFonts w:eastAsia="方正大标宋简体"/>
      <w:spacing w:val="6"/>
      <w:sz w:val="44"/>
    </w:rPr>
  </w:style>
  <w:style w:type="paragraph" w:customStyle="1" w:styleId="3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Table Paragraph"/>
    <w:basedOn w:val="1"/>
    <w:qFormat/>
    <w:uiPriority w:val="1"/>
    <w:pPr>
      <w:jc w:val="left"/>
    </w:pPr>
    <w:rPr>
      <w:rFonts w:ascii="Calibri" w:hAnsi="Calibri"/>
      <w:kern w:val="0"/>
      <w:sz w:val="22"/>
      <w:szCs w:val="22"/>
      <w:lang w:eastAsia="en-US"/>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5">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19003</Words>
  <Characters>20585</Characters>
  <Lines>0</Lines>
  <Paragraphs>0</Paragraphs>
  <TotalTime>17</TotalTime>
  <ScaleCrop>false</ScaleCrop>
  <LinksUpToDate>false</LinksUpToDate>
  <CharactersWithSpaces>20896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2026-05-20T13:34:34Z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