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bookmarkStart w:id="119" w:name="_GoBack"/>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天等县驮堪乡道念村果岭屯水利渠道建设项目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CZZC2026-C2-250052-JHGC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2026年05月21日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天等县驮堪乡道念村果岭屯水利渠道建设项目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2026年06月01日 09: 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天等县驮堪乡道念村果岭屯水利渠道建设项目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2026年06月01日 09: 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28359089"/>
      <w:bookmarkStart w:id="4" w:name="_Toc35393629"/>
      <w:bookmarkStart w:id="5" w:name="_Toc28359012"/>
      <w:bookmarkStart w:id="6" w:name="_Toc35393798"/>
      <w:bookmarkStart w:id="7" w:name="_Toc35393623"/>
      <w:bookmarkStart w:id="8" w:name="_Toc28359004"/>
      <w:bookmarkStart w:id="9" w:name="_Toc35393792"/>
      <w:bookmarkStart w:id="10" w:name="_Toc28359081"/>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CZZC2026-C2-250052-JHGC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天等县驮堪乡道念村果岭屯水利渠道建设项目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767243.73</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天等县驮堪乡道念村果岭屯水利渠道建设项目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：767243.73</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建设水利渠道长1.5千米及配套设施等。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767243.73</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44229879"/>
      <w:bookmarkStart w:id="13" w:name="_Toc35393630"/>
      <w:bookmarkStart w:id="14" w:name="_Toc28359013"/>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793"/>
      <w:bookmarkStart w:id="19" w:name="_Toc28359082"/>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2026年06月01日 09: 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2026年06月01日 09: 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79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95"/>
      <w:bookmarkStart w:id="28" w:name="_Hlk3742958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2026年05月21日</w:t>
      </w:r>
    </w:p>
    <w:p w14:paraId="3766DE94">
      <w:pPr>
        <w:pStyle w:val="3"/>
        <w:jc w:val="center"/>
        <w:rPr>
          <w:rFonts w:hint="eastAsia" w:ascii="宋体" w:hAnsi="宋体" w:eastAsia="宋体" w:cs="宋体"/>
          <w:color w:val="auto"/>
          <w:highlight w:val="none"/>
        </w:rPr>
      </w:pPr>
      <w:bookmarkStart w:id="31" w:name="_Toc22168"/>
      <w:bookmarkStart w:id="32" w:name="_Toc11837"/>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天等县驮堪乡道念村果岭屯水利渠道建设项目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建设水利渠道长1.5千米及配套设施等。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767243.73</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天等县驮堪乡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21038"/>
      <w:bookmarkStart w:id="37"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675"/>
      <w:bookmarkStart w:id="50" w:name="_Toc859"/>
      <w:bookmarkStart w:id="51" w:name="_Toc254970534"/>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5854"/>
      <w:bookmarkStart w:id="67" w:name="_Toc20845"/>
      <w:bookmarkStart w:id="68" w:name="_Toc346617322"/>
      <w:bookmarkStart w:id="69" w:name="_Toc498082646"/>
      <w:bookmarkStart w:id="70" w:name="_Toc183264294"/>
      <w:bookmarkStart w:id="71" w:name="_Toc18546"/>
      <w:bookmarkStart w:id="72" w:name="_Toc181180297"/>
      <w:bookmarkStart w:id="73" w:name="_Toc24807"/>
      <w:bookmarkStart w:id="74" w:name="_Toc8850"/>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D2D64DB">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468A2C34">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28A7997">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152DD5E5">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2A99C11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分）：各主要分部施工方法完全符合项目实际，针对</w:t>
            </w:r>
            <w:r>
              <w:rPr>
                <w:rFonts w:hint="eastAsia" w:ascii="宋体" w:hAnsi="宋体" w:cs="宋体"/>
                <w:bCs/>
                <w:color w:val="auto"/>
                <w:szCs w:val="21"/>
                <w:highlight w:val="none"/>
                <w:vertAlign w:val="baseline"/>
                <w:lang w:eastAsia="zh-CN"/>
              </w:rPr>
              <w:t>渠道土方开挖、石方开挖、基底夯实、砂砾垫层、C20 砼底板/边墙、模板制安拆、沥青木板伸缩缝、钢筋砼圆管涵安装、土石方回填</w:t>
            </w:r>
            <w:r>
              <w:rPr>
                <w:rFonts w:hint="eastAsia" w:ascii="宋体" w:hAnsi="宋体" w:eastAsia="宋体" w:cs="宋体"/>
                <w:bCs/>
                <w:color w:val="auto"/>
                <w:szCs w:val="21"/>
                <w:highlight w:val="none"/>
                <w:vertAlign w:val="baseline"/>
                <w:lang w:eastAsia="zh-CN"/>
              </w:rPr>
              <w:t>专项方案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有详尽的施工技术方案，工艺先进、方法科学合理、可行，能指导具体施工并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分）：各主要分部施工方法符合项目实际，针对</w:t>
            </w:r>
            <w:r>
              <w:rPr>
                <w:rFonts w:hint="eastAsia" w:ascii="宋体" w:hAnsi="宋体" w:cs="宋体"/>
                <w:bCs/>
                <w:color w:val="auto"/>
                <w:szCs w:val="21"/>
                <w:highlight w:val="none"/>
                <w:vertAlign w:val="baseline"/>
                <w:lang w:eastAsia="zh-CN"/>
              </w:rPr>
              <w:t>渠道土方开挖、石方开挖、基底夯实、砂砾垫层、C20 砼底板/边墙、模板制安拆、沥青木板伸缩缝、钢筋砼圆管涵安装、土石方回填</w:t>
            </w:r>
            <w:r>
              <w:rPr>
                <w:rFonts w:hint="eastAsia" w:ascii="宋体" w:hAnsi="宋体" w:eastAsia="宋体" w:cs="宋体"/>
                <w:bCs/>
                <w:color w:val="auto"/>
                <w:szCs w:val="21"/>
                <w:highlight w:val="none"/>
                <w:vertAlign w:val="baseline"/>
                <w:lang w:eastAsia="zh-CN"/>
              </w:rPr>
              <w:t>专项方案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w:t>
            </w:r>
            <w:r>
              <w:rPr>
                <w:rFonts w:hint="eastAsia" w:ascii="宋体" w:hAnsi="宋体" w:cs="宋体"/>
                <w:b w:val="0"/>
                <w:bCs/>
                <w:color w:val="auto"/>
                <w:szCs w:val="21"/>
                <w:highlight w:val="none"/>
                <w:vertAlign w:val="baseline"/>
                <w:lang w:val="en-US" w:eastAsia="zh-CN"/>
              </w:rPr>
              <w:t>编制有</w:t>
            </w:r>
            <w:r>
              <w:rPr>
                <w:rFonts w:hint="eastAsia" w:ascii="宋体" w:hAnsi="宋体" w:cs="宋体"/>
                <w:b w:val="0"/>
                <w:bCs/>
                <w:color w:val="auto"/>
                <w:szCs w:val="21"/>
                <w:highlight w:val="none"/>
                <w:vertAlign w:val="baseline"/>
                <w:lang w:eastAsia="zh-CN"/>
              </w:rPr>
              <w:t>水泥、砂 、碎石、木材、涵管进场</w:t>
            </w:r>
            <w:r>
              <w:rPr>
                <w:rFonts w:hint="eastAsia" w:ascii="宋体" w:hAnsi="宋体" w:eastAsia="宋体" w:cs="宋体"/>
                <w:b w:val="0"/>
                <w:bCs/>
                <w:color w:val="auto"/>
                <w:szCs w:val="21"/>
                <w:highlight w:val="none"/>
                <w:vertAlign w:val="baseline"/>
                <w:lang w:eastAsia="zh-CN"/>
              </w:rPr>
              <w:t>等材料计划</w:t>
            </w:r>
            <w:r>
              <w:rPr>
                <w:rFonts w:hint="eastAsia" w:ascii="宋体" w:hAnsi="宋体" w:cs="宋体"/>
                <w:b w:val="0"/>
                <w:bCs/>
                <w:color w:val="auto"/>
                <w:szCs w:val="21"/>
                <w:highlight w:val="none"/>
                <w:vertAlign w:val="baseline"/>
                <w:lang w:eastAsia="zh-CN"/>
              </w:rPr>
              <w:t>，</w:t>
            </w:r>
            <w:r>
              <w:rPr>
                <w:rFonts w:hint="eastAsia" w:ascii="宋体" w:hAnsi="宋体" w:eastAsia="宋体" w:cs="宋体"/>
                <w:b w:val="0"/>
                <w:bCs/>
                <w:color w:val="auto"/>
                <w:szCs w:val="21"/>
                <w:highlight w:val="none"/>
                <w:vertAlign w:val="baseline"/>
                <w:lang w:eastAsia="zh-CN"/>
              </w:rPr>
              <w:t>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w:t>
            </w:r>
            <w:r>
              <w:rPr>
                <w:rFonts w:hint="eastAsia" w:ascii="宋体" w:hAnsi="宋体" w:cs="宋体"/>
                <w:b w:val="0"/>
                <w:bCs/>
                <w:color w:val="auto"/>
                <w:szCs w:val="21"/>
                <w:highlight w:val="none"/>
                <w:vertAlign w:val="baseline"/>
                <w:lang w:val="en-US" w:eastAsia="zh-CN"/>
              </w:rPr>
              <w:t>编制有</w:t>
            </w:r>
            <w:r>
              <w:rPr>
                <w:rFonts w:hint="eastAsia" w:ascii="宋体" w:hAnsi="宋体" w:cs="宋体"/>
                <w:b w:val="0"/>
                <w:bCs/>
                <w:color w:val="auto"/>
                <w:szCs w:val="21"/>
                <w:highlight w:val="none"/>
                <w:vertAlign w:val="baseline"/>
                <w:lang w:eastAsia="zh-CN"/>
              </w:rPr>
              <w:t>水泥、砂 、碎石、木材、涵管进场</w:t>
            </w:r>
            <w:r>
              <w:rPr>
                <w:rFonts w:hint="eastAsia" w:ascii="宋体" w:hAnsi="宋体" w:eastAsia="宋体" w:cs="宋体"/>
                <w:b w:val="0"/>
                <w:bCs/>
                <w:color w:val="auto"/>
                <w:szCs w:val="21"/>
                <w:highlight w:val="none"/>
                <w:vertAlign w:val="baseline"/>
                <w:lang w:eastAsia="zh-CN"/>
              </w:rPr>
              <w:t>等材料计划</w:t>
            </w:r>
            <w:r>
              <w:rPr>
                <w:rFonts w:hint="eastAsia" w:ascii="宋体" w:hAnsi="宋体" w:cs="宋体"/>
                <w:b w:val="0"/>
                <w:bCs/>
                <w:color w:val="auto"/>
                <w:szCs w:val="21"/>
                <w:highlight w:val="none"/>
                <w:vertAlign w:val="baseline"/>
                <w:lang w:eastAsia="zh-CN"/>
              </w:rPr>
              <w:t>，</w:t>
            </w:r>
            <w:r>
              <w:rPr>
                <w:rFonts w:hint="eastAsia" w:ascii="宋体" w:hAnsi="宋体" w:eastAsia="宋体" w:cs="宋体"/>
                <w:b w:val="0"/>
                <w:bCs/>
                <w:color w:val="auto"/>
                <w:szCs w:val="21"/>
                <w:highlight w:val="none"/>
                <w:vertAlign w:val="baseline"/>
                <w:lang w:eastAsia="zh-CN"/>
              </w:rPr>
              <w:t>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分）:各主要施工工序有详细周密的劳动力安排计划，针对</w:t>
            </w:r>
            <w:r>
              <w:rPr>
                <w:rFonts w:hint="eastAsia" w:ascii="宋体" w:hAnsi="宋体" w:cs="宋体"/>
                <w:bCs/>
                <w:color w:val="auto"/>
                <w:szCs w:val="21"/>
                <w:highlight w:val="none"/>
                <w:vertAlign w:val="baseline"/>
                <w:lang w:eastAsia="zh-CN"/>
              </w:rPr>
              <w:t>开挖、 砌筑 、抹面、涵管、 砼浇筑、回填</w:t>
            </w:r>
            <w:r>
              <w:rPr>
                <w:rFonts w:hint="eastAsia" w:ascii="宋体" w:hAnsi="宋体" w:eastAsia="宋体" w:cs="宋体"/>
                <w:bCs/>
                <w:color w:val="auto"/>
                <w:szCs w:val="21"/>
                <w:highlight w:val="none"/>
                <w:vertAlign w:val="baseline"/>
                <w:lang w:eastAsia="zh-CN"/>
              </w:rPr>
              <w:t>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分）：各主要施工工序有详细周密的劳动力安排计划，针对</w:t>
            </w:r>
            <w:r>
              <w:rPr>
                <w:rFonts w:hint="eastAsia" w:ascii="宋体" w:hAnsi="宋体" w:cs="宋体"/>
                <w:bCs/>
                <w:color w:val="auto"/>
                <w:szCs w:val="21"/>
                <w:highlight w:val="none"/>
                <w:vertAlign w:val="baseline"/>
                <w:lang w:eastAsia="zh-CN"/>
              </w:rPr>
              <w:t>开挖、 砌筑 、抹面、涵管、 砼浇筑、回填</w:t>
            </w:r>
            <w:r>
              <w:rPr>
                <w:rFonts w:hint="eastAsia" w:ascii="宋体" w:hAnsi="宋体" w:eastAsia="宋体" w:cs="宋体"/>
                <w:bCs/>
                <w:color w:val="auto"/>
                <w:szCs w:val="21"/>
                <w:highlight w:val="none"/>
                <w:vertAlign w:val="baseline"/>
                <w:lang w:eastAsia="zh-CN"/>
              </w:rPr>
              <w:t>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分）：有专门的质量技术管理班子和制度，且人员配备完全合理，制度健全。主要工序有质量技术保证措施和手段，针对</w:t>
            </w:r>
            <w:r>
              <w:rPr>
                <w:rFonts w:hint="eastAsia" w:ascii="宋体" w:hAnsi="宋体" w:cs="宋体"/>
                <w:bCs/>
                <w:color w:val="auto"/>
                <w:szCs w:val="21"/>
                <w:highlight w:val="none"/>
                <w:vertAlign w:val="baseline"/>
                <w:lang w:eastAsia="zh-CN"/>
              </w:rPr>
              <w:t>基底压实、砼配合比、模板尺寸、伸缩缝顺直、涵管安装精度、回填压实度</w:t>
            </w:r>
            <w:r>
              <w:rPr>
                <w:rFonts w:hint="eastAsia" w:ascii="宋体" w:hAnsi="宋体" w:eastAsia="宋体" w:cs="宋体"/>
                <w:bCs/>
                <w:color w:val="auto"/>
                <w:szCs w:val="21"/>
                <w:highlight w:val="none"/>
                <w:vertAlign w:val="baseline"/>
                <w:lang w:eastAsia="zh-CN"/>
              </w:rPr>
              <w:t>建立质控体系</w:t>
            </w:r>
            <w:r>
              <w:rPr>
                <w:rFonts w:hint="eastAsia" w:ascii="宋体" w:hAnsi="宋体" w:cs="宋体"/>
                <w:bCs/>
                <w:color w:val="auto"/>
                <w:szCs w:val="21"/>
                <w:highlight w:val="none"/>
                <w:vertAlign w:val="baseline"/>
                <w:lang w:eastAsia="zh-CN"/>
              </w:rPr>
              <w:t>，质控</w:t>
            </w:r>
            <w:r>
              <w:rPr>
                <w:rFonts w:hint="eastAsia" w:ascii="宋体" w:hAnsi="宋体" w:eastAsia="宋体" w:cs="宋体"/>
                <w:bCs/>
                <w:color w:val="auto"/>
                <w:szCs w:val="21"/>
                <w:highlight w:val="none"/>
                <w:vertAlign w:val="baseline"/>
                <w:lang w:eastAsia="zh-CN"/>
              </w:rPr>
              <w:t>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分）：有专门的质量技术管理班子和制度，且人员配备较合理，制度较健全。主要工序有质量技术保证措施和手段，针对</w:t>
            </w:r>
            <w:r>
              <w:rPr>
                <w:rFonts w:hint="eastAsia" w:ascii="宋体" w:hAnsi="宋体" w:cs="宋体"/>
                <w:bCs/>
                <w:color w:val="auto"/>
                <w:szCs w:val="21"/>
                <w:highlight w:val="none"/>
                <w:vertAlign w:val="baseline"/>
                <w:lang w:eastAsia="zh-CN"/>
              </w:rPr>
              <w:t>基底压实、砼配合比、模板尺寸、伸缩缝顺直、涵管安装精度、回填压实度</w:t>
            </w:r>
            <w:r>
              <w:rPr>
                <w:rFonts w:hint="eastAsia" w:ascii="宋体" w:hAnsi="宋体" w:eastAsia="宋体" w:cs="宋体"/>
                <w:bCs/>
                <w:color w:val="auto"/>
                <w:szCs w:val="21"/>
                <w:highlight w:val="none"/>
                <w:vertAlign w:val="baseline"/>
                <w:lang w:eastAsia="zh-CN"/>
              </w:rPr>
              <w:t>建立质控体系</w:t>
            </w:r>
            <w:r>
              <w:rPr>
                <w:rFonts w:hint="eastAsia" w:ascii="宋体" w:hAnsi="宋体" w:cs="宋体"/>
                <w:bCs/>
                <w:color w:val="auto"/>
                <w:szCs w:val="21"/>
                <w:highlight w:val="none"/>
                <w:vertAlign w:val="baseline"/>
                <w:lang w:eastAsia="zh-CN"/>
              </w:rPr>
              <w:t>，质控</w:t>
            </w:r>
            <w:r>
              <w:rPr>
                <w:rFonts w:hint="eastAsia" w:ascii="宋体" w:hAnsi="宋体" w:eastAsia="宋体" w:cs="宋体"/>
                <w:bCs/>
                <w:color w:val="auto"/>
                <w:szCs w:val="21"/>
                <w:highlight w:val="none"/>
                <w:vertAlign w:val="baseline"/>
                <w:lang w:eastAsia="zh-CN"/>
              </w:rPr>
              <w:t>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分）：有专门的安全管理人员和制度，且人员配备完全合理，制度健全，针对</w:t>
            </w:r>
            <w:r>
              <w:rPr>
                <w:rFonts w:hint="eastAsia" w:ascii="宋体" w:hAnsi="宋体" w:cs="宋体"/>
                <w:bCs/>
                <w:color w:val="auto"/>
                <w:szCs w:val="21"/>
                <w:highlight w:val="none"/>
                <w:vertAlign w:val="baseline"/>
                <w:lang w:eastAsia="zh-CN"/>
              </w:rPr>
              <w:t>沟槽防坍塌、临边防护、临时用电、机械作业、交通疏导、防汛排水</w:t>
            </w:r>
            <w:r>
              <w:rPr>
                <w:rFonts w:hint="eastAsia" w:ascii="宋体" w:hAnsi="宋体" w:eastAsia="宋体" w:cs="宋体"/>
                <w:bCs/>
                <w:color w:val="auto"/>
                <w:szCs w:val="21"/>
                <w:highlight w:val="none"/>
                <w:vertAlign w:val="baseline"/>
                <w:lang w:eastAsia="zh-CN"/>
              </w:rPr>
              <w:t>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各道工序安全 技术措施针对性强，符合实际且满足有关安全技术标准要求。</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分）：有专门的安全管理人员和制度，人员配备较合理，制度较健全，针对</w:t>
            </w:r>
            <w:r>
              <w:rPr>
                <w:rFonts w:hint="eastAsia" w:ascii="宋体" w:hAnsi="宋体" w:cs="宋体"/>
                <w:bCs/>
                <w:color w:val="auto"/>
                <w:szCs w:val="21"/>
                <w:highlight w:val="none"/>
                <w:vertAlign w:val="baseline"/>
                <w:lang w:eastAsia="zh-CN"/>
              </w:rPr>
              <w:t>沟槽防坍塌、临边防护、临时用电、机械作业、交通疏导、防汛排水</w:t>
            </w:r>
            <w:r>
              <w:rPr>
                <w:rFonts w:hint="eastAsia" w:ascii="宋体" w:hAnsi="宋体" w:eastAsia="宋体" w:cs="宋体"/>
                <w:bCs/>
                <w:color w:val="auto"/>
                <w:szCs w:val="21"/>
                <w:highlight w:val="none"/>
                <w:vertAlign w:val="baseline"/>
                <w:lang w:eastAsia="zh-CN"/>
              </w:rPr>
              <w:t>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 xml:space="preserve">各道工序安全技术措施较合理， 符合实际且满足有关安全技术标准要求。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分）：在施工工艺、施工方法、材料选用、劳动力安排、技术等方面有保证工期的具体措施且措施得当。有控制工期的施工进度计划</w:t>
            </w:r>
            <w:r>
              <w:rPr>
                <w:rFonts w:hint="eastAsia" w:ascii="宋体" w:hAnsi="宋体" w:cs="宋体"/>
                <w:bCs/>
                <w:color w:val="auto"/>
                <w:szCs w:val="21"/>
                <w:highlight w:val="none"/>
                <w:vertAlign w:val="baseline"/>
                <w:lang w:eastAsia="zh-CN"/>
              </w:rPr>
              <w:t>，进度计划包含测量放线→开挖→垫层→砼浇筑→伸缩缝→涵管→回填→标识安装</w:t>
            </w:r>
            <w:r>
              <w:rPr>
                <w:rFonts w:hint="eastAsia" w:ascii="宋体" w:hAnsi="宋体" w:eastAsia="宋体" w:cs="宋体"/>
                <w:bCs/>
                <w:color w:val="auto"/>
                <w:szCs w:val="21"/>
                <w:highlight w:val="none"/>
                <w:vertAlign w:val="baseline"/>
                <w:lang w:eastAsia="zh-CN"/>
              </w:rPr>
              <w:t>。有施工总进度表或施工网络图，各项计划图表编制完善，安排科学合理，完全符合本项目施工实际要求。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w:t>
            </w:r>
            <w:r>
              <w:rPr>
                <w:rFonts w:hint="eastAsia" w:ascii="宋体" w:hAnsi="宋体" w:cs="宋体"/>
                <w:bCs/>
                <w:color w:val="auto"/>
                <w:szCs w:val="21"/>
                <w:highlight w:val="none"/>
                <w:vertAlign w:val="baseline"/>
                <w:lang w:eastAsia="zh-CN"/>
              </w:rPr>
              <w:t>，进度计划包含测量放线→开挖→垫层→砼浇筑→伸缩缝→涵管→回填→标识安装</w:t>
            </w:r>
            <w:r>
              <w:rPr>
                <w:rFonts w:hint="eastAsia" w:ascii="宋体" w:hAnsi="宋体" w:eastAsia="宋体" w:cs="宋体"/>
                <w:bCs/>
                <w:color w:val="auto"/>
                <w:szCs w:val="21"/>
                <w:highlight w:val="none"/>
                <w:vertAlign w:val="baseline"/>
                <w:lang w:eastAsia="zh-CN"/>
              </w:rPr>
              <w:t>。有施工总进度表或施工网络图，各项计划图表编制较完善，安排较合理，符合本项目施工实际要求。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本工程项目特点，针对农田保护、扬尘、噪声、材料堆放、沟渠排水、水土保持、现场保洁制定措施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 xml:space="preserve">要求。各项措施很周全、具体、有效。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本工程项目特点，针对农田保护、扬尘、噪声、材料堆放、沟渠排水、水土保持、现场保洁制定措施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要求。各项措施较周全、具体、有效。</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本工程项目特点，针对农田保护、扬尘、噪声、材料堆放、沟渠排水、水土保持、现场保洁制定措施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各项措施一般。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w:t>
            </w:r>
            <w:r>
              <w:rPr>
                <w:rFonts w:hint="eastAsia" w:ascii="宋体" w:hAnsi="宋体" w:cs="宋体"/>
                <w:bCs/>
                <w:color w:val="auto"/>
                <w:szCs w:val="21"/>
                <w:highlight w:val="none"/>
                <w:vertAlign w:val="baseline"/>
                <w:lang w:val="en-US" w:eastAsia="zh-CN"/>
              </w:rPr>
              <w:t>或无针对性</w:t>
            </w:r>
            <w:r>
              <w:rPr>
                <w:rFonts w:hint="eastAsia" w:ascii="宋体" w:hAnsi="宋体" w:eastAsia="宋体" w:cs="宋体"/>
                <w:bCs/>
                <w:color w:val="auto"/>
                <w:szCs w:val="21"/>
                <w:highlight w:val="none"/>
                <w:vertAlign w:val="baseline"/>
                <w:lang w:eastAsia="zh-CN"/>
              </w:rPr>
              <w:t>。</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分）：针对本工程的特点，阐述本工程的重点和难点，识别本项目</w:t>
            </w:r>
            <w:r>
              <w:rPr>
                <w:rFonts w:hint="eastAsia" w:ascii="宋体" w:hAnsi="宋体" w:cs="宋体"/>
                <w:bCs/>
                <w:color w:val="auto"/>
                <w:szCs w:val="21"/>
                <w:highlight w:val="none"/>
                <w:vertAlign w:val="baseline"/>
                <w:lang w:eastAsia="zh-CN"/>
              </w:rPr>
              <w:t>长渠道线形控制、砼渠道外观质量、涵管安装精度、雨季排水</w:t>
            </w:r>
            <w:r>
              <w:rPr>
                <w:rFonts w:hint="eastAsia" w:ascii="宋体" w:hAnsi="宋体" w:eastAsia="宋体" w:cs="宋体"/>
                <w:bCs/>
                <w:color w:val="auto"/>
                <w:szCs w:val="21"/>
                <w:highlight w:val="none"/>
                <w:vertAlign w:val="baseline"/>
                <w:lang w:eastAsia="zh-CN"/>
              </w:rPr>
              <w:t>、农田不扰动</w:t>
            </w:r>
            <w:r>
              <w:rPr>
                <w:rFonts w:hint="eastAsia" w:ascii="宋体" w:hAnsi="宋体" w:eastAsia="宋体" w:cs="宋体"/>
                <w:bCs/>
                <w:color w:val="auto"/>
                <w:szCs w:val="21"/>
                <w:highlight w:val="none"/>
                <w:vertAlign w:val="baseline"/>
                <w:lang w:val="en-US" w:eastAsia="zh-CN"/>
              </w:rPr>
              <w:t>等重点，</w:t>
            </w:r>
            <w:r>
              <w:rPr>
                <w:rFonts w:hint="eastAsia" w:ascii="宋体" w:hAnsi="宋体" w:eastAsia="宋体" w:cs="宋体"/>
                <w:bCs/>
                <w:color w:val="auto"/>
                <w:szCs w:val="21"/>
                <w:highlight w:val="none"/>
                <w:vertAlign w:val="baseline"/>
                <w:lang w:eastAsia="zh-CN"/>
              </w:rPr>
              <w:t>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阐述本工程的重点和难点，识别本项目</w:t>
            </w:r>
            <w:r>
              <w:rPr>
                <w:rFonts w:hint="eastAsia" w:ascii="宋体" w:hAnsi="宋体" w:cs="宋体"/>
                <w:bCs/>
                <w:color w:val="auto"/>
                <w:szCs w:val="21"/>
                <w:highlight w:val="none"/>
                <w:vertAlign w:val="baseline"/>
                <w:lang w:eastAsia="zh-CN"/>
              </w:rPr>
              <w:t>长渠道线形控制、砼渠道外观质量、涵管安装精度、雨季排水</w:t>
            </w:r>
            <w:r>
              <w:rPr>
                <w:rFonts w:hint="eastAsia" w:ascii="宋体" w:hAnsi="宋体" w:eastAsia="宋体" w:cs="宋体"/>
                <w:bCs/>
                <w:color w:val="auto"/>
                <w:szCs w:val="21"/>
                <w:highlight w:val="none"/>
                <w:vertAlign w:val="baseline"/>
                <w:lang w:eastAsia="zh-CN"/>
              </w:rPr>
              <w:t>、农田不扰动</w:t>
            </w:r>
            <w:r>
              <w:rPr>
                <w:rFonts w:hint="eastAsia" w:ascii="宋体" w:hAnsi="宋体" w:eastAsia="宋体" w:cs="宋体"/>
                <w:bCs/>
                <w:color w:val="auto"/>
                <w:szCs w:val="21"/>
                <w:highlight w:val="none"/>
                <w:vertAlign w:val="baseline"/>
                <w:lang w:val="en-US" w:eastAsia="zh-CN"/>
              </w:rPr>
              <w:t>等重点，</w:t>
            </w:r>
            <w:r>
              <w:rPr>
                <w:rFonts w:hint="eastAsia" w:ascii="宋体" w:hAnsi="宋体" w:eastAsia="宋体" w:cs="宋体"/>
                <w:bCs/>
                <w:color w:val="auto"/>
                <w:szCs w:val="21"/>
                <w:highlight w:val="none"/>
                <w:vertAlign w:val="baseline"/>
                <w:lang w:eastAsia="zh-CN"/>
              </w:rPr>
              <w:t>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分）：有施工总平面布置图，布置料场、拌浆</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拌合区、堆土区、运输便道、排水系统、临时用电，符合乡村农田水利场地狭小特点</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分）：有施工总平面布置图，布置料场、拌浆</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拌合区、堆土区、运输便道、排水系统、临时用电，</w:t>
            </w:r>
            <w:r>
              <w:rPr>
                <w:rFonts w:hint="eastAsia" w:ascii="宋体" w:hAnsi="宋体" w:cs="宋体"/>
                <w:bCs/>
                <w:color w:val="auto"/>
                <w:szCs w:val="21"/>
                <w:highlight w:val="none"/>
                <w:vertAlign w:val="baseline"/>
                <w:lang w:val="en-US" w:eastAsia="zh-CN"/>
              </w:rPr>
              <w:t>较</w:t>
            </w:r>
            <w:r>
              <w:rPr>
                <w:rFonts w:hint="eastAsia" w:ascii="宋体" w:hAnsi="宋体" w:eastAsia="宋体" w:cs="宋体"/>
                <w:bCs/>
                <w:color w:val="auto"/>
                <w:szCs w:val="21"/>
                <w:highlight w:val="none"/>
                <w:vertAlign w:val="baseline"/>
                <w:lang w:eastAsia="zh-CN"/>
              </w:rPr>
              <w:t>符合乡村农田水利场地狭小特点</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分）：有施工总平面布置图，布置料场、拌浆</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拌合区、堆土区、运输便道、排水系统、临时用电</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7019"/>
      <w:bookmarkStart w:id="82" w:name="_Toc80205935"/>
      <w:bookmarkStart w:id="83" w:name="_Toc144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6990"/>
      <w:bookmarkStart w:id="85" w:name="_Toc80205936"/>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5"/>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
        <w:rPr>
          <w:rFonts w:hint="eastAsia" w:ascii="宋体" w:hAnsi="宋体" w:eastAsia="宋体" w:cs="宋体"/>
          <w:color w:val="auto"/>
          <w:highlight w:val="none"/>
        </w:rPr>
      </w:pPr>
    </w:p>
    <w:p w14:paraId="119616E9">
      <w:pPr>
        <w:pStyle w:val="2"/>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5EEF87AE">
      <w:pPr>
        <w:pStyle w:val="2"/>
        <w:rPr>
          <w:rFonts w:hint="eastAsia" w:ascii="宋体" w:hAnsi="宋体" w:eastAsia="宋体" w:cs="宋体"/>
          <w:color w:val="auto"/>
          <w:highlight w:val="none"/>
        </w:rPr>
      </w:pPr>
    </w:p>
    <w:p w14:paraId="69C599A9">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53975593">
      <w:pPr>
        <w:pStyle w:val="3"/>
        <w:jc w:val="center"/>
        <w:rPr>
          <w:rFonts w:hint="eastAsia" w:ascii="宋体" w:hAnsi="宋体" w:eastAsia="宋体" w:cs="宋体"/>
          <w:color w:val="auto"/>
          <w:highlight w:val="none"/>
          <w:lang w:eastAsia="zh-CN"/>
        </w:rPr>
      </w:pPr>
      <w:bookmarkStart w:id="87" w:name="_Toc32731"/>
      <w:bookmarkStart w:id="88" w:name="_Toc32723"/>
    </w:p>
    <w:p w14:paraId="7AAFB4CE">
      <w:pPr>
        <w:pStyle w:val="3"/>
        <w:jc w:val="center"/>
        <w:rPr>
          <w:rFonts w:hint="eastAsia" w:ascii="宋体" w:hAnsi="宋体" w:eastAsia="宋体" w:cs="宋体"/>
          <w:color w:val="auto"/>
          <w:highlight w:val="none"/>
          <w:lang w:eastAsia="zh-CN"/>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17340"/>
      <w:bookmarkStart w:id="90" w:name="_Toc30065"/>
      <w:bookmarkStart w:id="91" w:name="_Toc80205938"/>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10308"/>
      <w:bookmarkStart w:id="93" w:name="_Toc80205939"/>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6"/>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32666"/>
      <w:bookmarkStart w:id="99"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7"/>
      <w:bookmarkStart w:id="101" w:name="OLE_LINK6"/>
      <w:bookmarkStart w:id="102"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7355675">
      <w:pPr>
        <w:pStyle w:val="10"/>
        <w:rPr>
          <w:rFonts w:hint="eastAsia" w:ascii="宋体" w:hAnsi="宋体" w:eastAsia="宋体" w:cs="宋体"/>
          <w:color w:val="auto"/>
          <w:kern w:val="0"/>
          <w:sz w:val="24"/>
          <w:highlight w:val="none"/>
          <w:lang w:val="zh-CN"/>
        </w:rPr>
      </w:pPr>
    </w:p>
    <w:p w14:paraId="5B353E41">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3B66C8B7">
      <w:pPr>
        <w:pStyle w:val="31"/>
        <w:spacing w:line="360" w:lineRule="auto"/>
        <w:ind w:left="420" w:leftChars="200" w:firstLine="0" w:firstLineChars="0"/>
        <w:rPr>
          <w:rFonts w:hint="eastAsia" w:ascii="宋体" w:hAnsi="宋体" w:eastAsia="宋体" w:cs="宋体"/>
          <w:color w:val="auto"/>
          <w:highlight w:val="none"/>
        </w:rPr>
      </w:pPr>
    </w:p>
    <w:p w14:paraId="7B8E747F">
      <w:pPr>
        <w:pStyle w:val="31"/>
        <w:spacing w:line="360" w:lineRule="auto"/>
        <w:ind w:left="420" w:leftChars="200" w:firstLine="0" w:firstLineChars="0"/>
        <w:rPr>
          <w:rFonts w:hint="eastAsia" w:ascii="宋体" w:hAnsi="宋体" w:eastAsia="宋体" w:cs="宋体"/>
          <w:color w:val="auto"/>
          <w:highlight w:val="none"/>
        </w:rPr>
      </w:pPr>
    </w:p>
    <w:p w14:paraId="06379832">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5522"/>
      <w:bookmarkStart w:id="112" w:name="_Toc12495"/>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2A636997">
      <w:pPr>
        <w:pStyle w:val="10"/>
        <w:rPr>
          <w:rFonts w:hint="eastAsia" w:ascii="宋体" w:hAnsi="宋体" w:eastAsia="宋体" w:cs="宋体"/>
          <w:b/>
          <w:color w:val="auto"/>
          <w:kern w:val="2"/>
          <w:sz w:val="30"/>
          <w:szCs w:val="30"/>
          <w:highlight w:val="none"/>
          <w:lang w:eastAsia="zh-CN"/>
        </w:rPr>
      </w:pPr>
    </w:p>
    <w:p w14:paraId="7D9E939C">
      <w:pPr>
        <w:pStyle w:val="10"/>
        <w:rPr>
          <w:rFonts w:hint="eastAsia" w:ascii="宋体" w:hAnsi="宋体" w:eastAsia="宋体" w:cs="宋体"/>
          <w:b/>
          <w:color w:val="auto"/>
          <w:kern w:val="2"/>
          <w:sz w:val="30"/>
          <w:szCs w:val="30"/>
          <w:highlight w:val="none"/>
          <w:lang w:eastAsia="zh-CN"/>
        </w:rPr>
      </w:pPr>
    </w:p>
    <w:p w14:paraId="150655D7">
      <w:pPr>
        <w:pStyle w:val="10"/>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天等县驮堪乡道念村果岭屯水利渠道建设项目</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天等县驮堪乡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建设水利渠道长1.5千米及配套设施等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bookmarkEnd w:id="119"/>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4"/>
        <w:sz w:val="21"/>
      </w:rPr>
    </w:pPr>
    <w:r>
      <w:rPr>
        <w:sz w:val="21"/>
      </w:rPr>
      <w:fldChar w:fldCharType="begin"/>
    </w:r>
    <w:r>
      <w:rPr>
        <w:rStyle w:val="24"/>
        <w:sz w:val="21"/>
      </w:rPr>
      <w:instrText xml:space="preserve">PAGE  </w:instrText>
    </w:r>
    <w:r>
      <w:rPr>
        <w:sz w:val="21"/>
      </w:rPr>
      <w:fldChar w:fldCharType="separate"/>
    </w:r>
    <w:r>
      <w:rPr>
        <w:rStyle w:val="24"/>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gYUdaA0Nu+KBRndyCoopWBlQ9V8=" w:salt="rNjDINyezskgEav1PwTH9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6B6505"/>
    <w:rsid w:val="0A93759F"/>
    <w:rsid w:val="0BB8442B"/>
    <w:rsid w:val="0DB14B56"/>
    <w:rsid w:val="0E5D5C46"/>
    <w:rsid w:val="0EE71440"/>
    <w:rsid w:val="105918DD"/>
    <w:rsid w:val="11FE30BE"/>
    <w:rsid w:val="137E0075"/>
    <w:rsid w:val="1683226E"/>
    <w:rsid w:val="18115A33"/>
    <w:rsid w:val="1A182C26"/>
    <w:rsid w:val="1B846C34"/>
    <w:rsid w:val="1CC400CA"/>
    <w:rsid w:val="1E5C100C"/>
    <w:rsid w:val="1F980369"/>
    <w:rsid w:val="20392737"/>
    <w:rsid w:val="21B31D5B"/>
    <w:rsid w:val="22421347"/>
    <w:rsid w:val="24594B3F"/>
    <w:rsid w:val="24D40547"/>
    <w:rsid w:val="25CB59E7"/>
    <w:rsid w:val="29C7422F"/>
    <w:rsid w:val="2A87364D"/>
    <w:rsid w:val="2BF566DE"/>
    <w:rsid w:val="2CB857F7"/>
    <w:rsid w:val="2CC67AD7"/>
    <w:rsid w:val="2DFD4BAB"/>
    <w:rsid w:val="2E604A2F"/>
    <w:rsid w:val="322E1CC9"/>
    <w:rsid w:val="32924054"/>
    <w:rsid w:val="32F87D99"/>
    <w:rsid w:val="335E60EC"/>
    <w:rsid w:val="34D612BD"/>
    <w:rsid w:val="353F2DC4"/>
    <w:rsid w:val="36CE7E44"/>
    <w:rsid w:val="37DE7194"/>
    <w:rsid w:val="38E22C12"/>
    <w:rsid w:val="3A1931C7"/>
    <w:rsid w:val="3C077603"/>
    <w:rsid w:val="40F163A6"/>
    <w:rsid w:val="41E97150"/>
    <w:rsid w:val="41EC7387"/>
    <w:rsid w:val="42B111F9"/>
    <w:rsid w:val="44450AE0"/>
    <w:rsid w:val="47DD6D45"/>
    <w:rsid w:val="48784714"/>
    <w:rsid w:val="49000B27"/>
    <w:rsid w:val="49EA0282"/>
    <w:rsid w:val="4A487DAD"/>
    <w:rsid w:val="4B071760"/>
    <w:rsid w:val="4C72630D"/>
    <w:rsid w:val="4E6028B4"/>
    <w:rsid w:val="4E6F3F3D"/>
    <w:rsid w:val="4FD035BF"/>
    <w:rsid w:val="51170852"/>
    <w:rsid w:val="51AC0039"/>
    <w:rsid w:val="51E43FB1"/>
    <w:rsid w:val="52940EBA"/>
    <w:rsid w:val="52F51705"/>
    <w:rsid w:val="53A472CF"/>
    <w:rsid w:val="54350128"/>
    <w:rsid w:val="57437223"/>
    <w:rsid w:val="57783E2E"/>
    <w:rsid w:val="57BC7353"/>
    <w:rsid w:val="57D76DD3"/>
    <w:rsid w:val="5A31056B"/>
    <w:rsid w:val="5DAF4C1B"/>
    <w:rsid w:val="5DB7392F"/>
    <w:rsid w:val="603924A1"/>
    <w:rsid w:val="615C0B85"/>
    <w:rsid w:val="61B262D4"/>
    <w:rsid w:val="62743679"/>
    <w:rsid w:val="629149A0"/>
    <w:rsid w:val="6429154F"/>
    <w:rsid w:val="68156932"/>
    <w:rsid w:val="68C80010"/>
    <w:rsid w:val="68F62FA0"/>
    <w:rsid w:val="6A0E1913"/>
    <w:rsid w:val="6A757A1F"/>
    <w:rsid w:val="6A823E5A"/>
    <w:rsid w:val="6A8D1B73"/>
    <w:rsid w:val="6B207CB8"/>
    <w:rsid w:val="6B4936C1"/>
    <w:rsid w:val="6C7517D5"/>
    <w:rsid w:val="6D534EAA"/>
    <w:rsid w:val="6D545394"/>
    <w:rsid w:val="6D6F2AAD"/>
    <w:rsid w:val="718D7F2D"/>
    <w:rsid w:val="71AE7C98"/>
    <w:rsid w:val="73D01CDB"/>
    <w:rsid w:val="757E49E2"/>
    <w:rsid w:val="75D04967"/>
    <w:rsid w:val="76F86DCF"/>
    <w:rsid w:val="777F0DB7"/>
    <w:rsid w:val="78737BE6"/>
    <w:rsid w:val="7A877563"/>
    <w:rsid w:val="7B4055F8"/>
    <w:rsid w:val="7B523C86"/>
    <w:rsid w:val="7C38637B"/>
    <w:rsid w:val="7DF05F7C"/>
    <w:rsid w:val="7E506AA8"/>
    <w:rsid w:val="7F2A11C9"/>
    <w:rsid w:val="7F425A2A"/>
    <w:rsid w:val="7F64608A"/>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表格文字"/>
    <w:basedOn w:val="11"/>
    <w:next w:val="10"/>
    <w:qFormat/>
    <w:uiPriority w:val="0"/>
    <w:pPr>
      <w:adjustRightInd w:val="0"/>
      <w:spacing w:line="420" w:lineRule="atLeast"/>
      <w:jc w:val="left"/>
      <w:textAlignment w:val="baseline"/>
    </w:pPr>
    <w:rPr>
      <w:kern w:val="0"/>
    </w:rPr>
  </w:style>
  <w:style w:type="paragraph" w:customStyle="1" w:styleId="27">
    <w:name w:val="正文文本1"/>
    <w:basedOn w:val="2"/>
    <w:next w:val="2"/>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3"/>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48410</Words>
  <Characters>51340</Characters>
  <Lines>0</Lines>
  <Paragraphs>0</Paragraphs>
  <TotalTime>28</TotalTime>
  <ScaleCrop>false</ScaleCrop>
  <LinksUpToDate>false</LinksUpToDate>
  <CharactersWithSpaces>57166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2026-05-20T14:39:19Z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