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5"/>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天等县宁干乡龙盛村更合屯水利渠道建设项目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CZZC2026-C2-250074-JHGC</w:t>
      </w:r>
      <w:bookmarkStart w:id="119" w:name="_GoBack"/>
      <w:bookmarkEnd w:id="119"/>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2026年06月12日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天等县宁干乡龙盛村更合屯水利渠道建设项目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天等县宁干乡龙盛村更合屯水利渠道建设项目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12"/>
      <w:bookmarkStart w:id="4" w:name="_Toc35393798"/>
      <w:bookmarkStart w:id="5" w:name="_Toc44229878"/>
      <w:bookmarkStart w:id="6" w:name="_Toc28359089"/>
      <w:bookmarkStart w:id="7" w:name="_Toc28359004"/>
      <w:bookmarkStart w:id="8" w:name="_Toc35393623"/>
      <w:bookmarkStart w:id="9" w:name="_Toc35393792"/>
      <w:bookmarkStart w:id="10" w:name="_Toc28359081"/>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CZZC2026-C2-250074-JHGC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天等县宁干乡龙盛村更合屯水利渠道建设项目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1422096.08</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天等县宁干乡龙盛村更合屯水利渠道建设项目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：1422096.08</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建设水利渠道长0.872千米及附属配套设施。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1422096.08</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13"/>
      <w:bookmarkStart w:id="13" w:name="_Toc35393630"/>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2026年06月23日 09 :00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2026年06月23日 09 :00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35393794"/>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95"/>
      <w:bookmarkStart w:id="28" w:name="_Hlk3742958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2026年06月12日</w:t>
      </w:r>
    </w:p>
    <w:p w14:paraId="3766DE94">
      <w:pPr>
        <w:pStyle w:val="2"/>
        <w:jc w:val="center"/>
        <w:rPr>
          <w:rFonts w:hint="eastAsia" w:ascii="宋体" w:hAnsi="宋体" w:eastAsia="宋体" w:cs="宋体"/>
          <w:color w:val="auto"/>
          <w:highlight w:val="none"/>
        </w:rPr>
      </w:pPr>
      <w:bookmarkStart w:id="31" w:name="_Toc22168"/>
      <w:bookmarkStart w:id="32" w:name="_Toc25731"/>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天等县宁干乡龙盛村更合屯水利渠道建设项目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建设水利渠道长0.872千米及附属配套设施。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1422096.08</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b w:val="0"/>
                <w:bCs w:val="0"/>
                <w:color w:val="auto"/>
                <w:highlight w:val="none"/>
              </w:rPr>
              <w:t>。</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4C6068F3">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3.1本项目采购代理费以成交金额为计费基数，依据《国家发展改革委关于进一步放开建设项目专业服务价格的通知》（发改价格〔2015〕299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705F27B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3.2区间及基准费率如下：</w:t>
            </w:r>
          </w:p>
          <w:p w14:paraId="492C560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成交金额≤100万元部分：1.0%</w:t>
            </w:r>
          </w:p>
          <w:p w14:paraId="66DD8C7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12037AB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2EB71AF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379782A1">
            <w:pPr>
              <w:pStyle w:val="11"/>
              <w:snapToGrid w:val="0"/>
              <w:spacing w:line="360" w:lineRule="auto"/>
              <w:rPr>
                <w:rFonts w:hint="eastAsia"/>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254970675"/>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ascii="宋体" w:hAnsi="宋体" w:eastAsia="宋体" w:cs="宋体"/>
          <w:color w:val="auto"/>
          <w:szCs w:val="21"/>
          <w:highlight w:val="none"/>
        </w:rPr>
        <w:t>。</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546"/>
      <w:bookmarkStart w:id="67" w:name="_Toc20845"/>
      <w:bookmarkStart w:id="68" w:name="_Toc181180297"/>
      <w:bookmarkStart w:id="69" w:name="_Toc346617322"/>
      <w:bookmarkStart w:id="70" w:name="_Toc5854"/>
      <w:bookmarkStart w:id="71" w:name="_Toc498082646"/>
      <w:bookmarkStart w:id="72" w:name="_Toc183264294"/>
      <w:bookmarkStart w:id="73" w:name="_Toc8850"/>
      <w:bookmarkStart w:id="74"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066E7BF9">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152DD5E5">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8B50C93">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6764C74B">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195129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需针对场地清理、旧圬及旧路面拆除、土方开挖、基底夯实、土方回填、砂砾垫层、浆砌片石、混凝土结构、混凝土底板及墙身、混凝土盖板、钢筋制作安装、伸缩缝、砂浆抹面、圆管涵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盖板涵、沉砂池编制专项施工方案。</w:t>
            </w:r>
          </w:p>
          <w:p w14:paraId="22BC4DE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 分）：分部分项工序划分清晰，明确各工序操作流程、技术参数、作业要点及安全管控要求，可指导现场全流程施工。</w:t>
            </w:r>
          </w:p>
          <w:p w14:paraId="3AA112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 分）：列明各工序作业流程与操作要点，标注现场安全管控要求，可用于现场施工作业指导。</w:t>
            </w:r>
          </w:p>
          <w:p w14:paraId="41819D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中（3 分）：列明核心工序作业流程，覆盖本项目主要施工内容。</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分）：工序内容与本项目施工内容不匹配，未明确具体作业流程与管控要求。</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01029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编制砂石、水泥、钢筋、模板等主要材料进场计划。</w:t>
            </w:r>
          </w:p>
          <w:p w14:paraId="79EA342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7C32648D">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504111A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r>
              <w:rPr>
                <w:rFonts w:hint="eastAsia" w:ascii="宋体" w:hAnsi="宋体" w:eastAsia="宋体" w:cs="宋体"/>
                <w:bCs/>
                <w:color w:val="auto"/>
                <w:szCs w:val="21"/>
                <w:highlight w:val="none"/>
                <w:vertAlign w:val="baseline"/>
                <w:lang w:eastAsia="zh-CN"/>
              </w:rPr>
              <w:t>。</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29F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结合拆除、开挖、回填、砌筑、混凝土浇筑、钢筋作业、涵管安装、沉砂池施工、标识安装等工序，按工种制定人员配置计划。</w:t>
            </w:r>
          </w:p>
          <w:p w14:paraId="5581D5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26E6D0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6374B0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695A3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组建质量技术管理团队，建立质量管理制度；针对基底压实、土方回填、浆砌片石砌筑、砂浆抹面、混凝土施工、伸缩缝、涵管安装、沉砂池施工等关键工序制定管控举措。</w:t>
            </w:r>
          </w:p>
          <w:p w14:paraId="6859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133C66C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67EC07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7A9B7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建立安全管理制度；结合沟槽开挖、机械作业、临时用电、乡村道路通行、防汛排水等场景制定安全措施，内容符合《建筑施工安全生产检查标准》《水利水电工程施工通用安全技术规程》。</w:t>
            </w:r>
          </w:p>
          <w:p w14:paraId="53E0C7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1BCFAC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5EAFD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3B9742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结合施工工艺、作业方式、材料供应、人员配置、技术保障制定工期保障措施；按测量放线→清理拆除→开挖→垫层→砌筑</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混凝土施工→涵管及构筑物施工→回填→标识安装流程，编制施工总进度表或网络图，统筹考虑本地雨季、农忙等影响因素。</w:t>
            </w:r>
          </w:p>
          <w:p w14:paraId="41E2A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767C35C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7DD9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FA85B1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结合乡村农田施工特点，针对扬尘管控、噪声防控、物料堆放、生活垃圾处置、耕地与植被保护、水土保持制定专项举措。</w:t>
            </w:r>
          </w:p>
          <w:p w14:paraId="2988439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分）：逐项明确管控方式、执行标准与日常管理要求，覆盖全部管控内容，契合规范及现场作业条件。</w:t>
            </w:r>
          </w:p>
          <w:p w14:paraId="11176C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分）：针对扬尘、噪声、场地管理、生态保护等主要内容制定对应举措，满足规范及现场作业条件。</w:t>
            </w:r>
          </w:p>
          <w:p w14:paraId="170D8FE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分）：列明通用管控要求，覆盖核心环保与文明施工内容。</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分）：举措脱离现场实际，未对应本项目管控要点。</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D794E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围绕渠道线形控制、浆砌石及混凝土施工质量、防渗处理、涵管安装、雨季施工、农田区域施工防护梳理重难点，并制定对应处置方案。</w:t>
            </w:r>
          </w:p>
          <w:p w14:paraId="2E7B8F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分）：逐条列明项目重难点内容，对应给出具体实施办法、过程管控手段。良（4 分）：列明项目全部重难点，并配套对应的处置方案。</w:t>
            </w:r>
          </w:p>
          <w:p w14:paraId="44DF38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分）：梳理项目主要重难点，提出对应的处置办法。</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分）：未结合项目实际梳理重难点，无有效处置方案。</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530230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出具施工总平面布置图，对料场、拌浆拌合区、堆土区、运输道路、排水系统、临时用电进行规划，适配乡村狭窄场地条件。</w:t>
            </w:r>
          </w:p>
          <w:p w14:paraId="06D430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 分）：各功能区域划分清晰，场内运输路线、排水线路、用电布设顺畅，适配场地条件与施工运转需求。</w:t>
            </w:r>
          </w:p>
          <w:p w14:paraId="62FFC33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 分）：各功能区域划分明确，场内布局可保障现场正常施工运转。</w:t>
            </w:r>
          </w:p>
          <w:p w14:paraId="36DFFE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中（1 分）：划定主要功能区域，可开展常规施工作业。</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分）：功能区域划分混乱，场内布局影响正常施工。</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6990"/>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5"/>
        <w:rPr>
          <w:rFonts w:hint="eastAsia" w:ascii="宋体" w:hAnsi="宋体" w:eastAsia="宋体" w:cs="宋体"/>
          <w:color w:val="auto"/>
          <w:highlight w:val="none"/>
        </w:rPr>
      </w:pPr>
    </w:p>
    <w:p w14:paraId="119616E9">
      <w:pPr>
        <w:pStyle w:val="25"/>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7AAFB4CE">
      <w:pPr>
        <w:pStyle w:val="2"/>
        <w:jc w:val="center"/>
        <w:rPr>
          <w:rFonts w:hint="eastAsia" w:ascii="宋体" w:hAnsi="宋体" w:eastAsia="宋体" w:cs="宋体"/>
          <w:color w:val="auto"/>
          <w:highlight w:val="none"/>
          <w:lang w:eastAsia="zh-CN"/>
        </w:rPr>
      </w:pPr>
      <w:bookmarkStart w:id="87" w:name="_Toc32731"/>
      <w:bookmarkStart w:id="88" w:name="_Toc32723"/>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17340"/>
      <w:bookmarkStart w:id="90" w:name="_Toc80205938"/>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DA4CD59">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u w:val="single"/>
        </w:rPr>
      </w:pPr>
      <w:r>
        <w:rPr>
          <w:rFonts w:hint="eastAsia"/>
        </w:rPr>
        <w:t>致：</w:t>
      </w:r>
      <w:r>
        <w:rPr>
          <w:rFonts w:hint="eastAsia"/>
          <w:u w:val="single"/>
        </w:rPr>
        <w:t xml:space="preserve">  （采购人</w:t>
      </w:r>
      <w:r>
        <w:rPr>
          <w:rFonts w:hint="eastAsia"/>
          <w:u w:val="single"/>
          <w:lang w:val="en-US" w:eastAsia="zh-CN"/>
        </w:rPr>
        <w:t>名称</w:t>
      </w:r>
      <w:r>
        <w:rPr>
          <w:rFonts w:hint="eastAsia"/>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lang w:val="en-US" w:eastAsia="zh-CN" w:bidi="ar"/>
        </w:rPr>
        <w:t>供应商名称</w:t>
      </w:r>
      <w:r>
        <w:rPr>
          <w:rFonts w:ascii="宋体" w:hAnsi="宋体" w:eastAsia="宋体" w:cs="宋体"/>
          <w:kern w:val="0"/>
          <w:sz w:val="24"/>
          <w:szCs w:val="24"/>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kern w:val="0"/>
          <w:sz w:val="24"/>
          <w:szCs w:val="24"/>
          <w:lang w:val="en-US" w:eastAsia="zh-CN" w:bidi="ar"/>
        </w:rPr>
        <w:t>一、本人目</w:t>
      </w:r>
      <w:r>
        <w:rPr>
          <w:rFonts w:ascii="宋体" w:hAnsi="宋体" w:eastAsia="宋体" w:cs="宋体"/>
          <w:b w:val="0"/>
          <w:bCs w:val="0"/>
          <w:kern w:val="0"/>
          <w:sz w:val="24"/>
          <w:szCs w:val="24"/>
          <w:lang w:val="en-US" w:eastAsia="zh-CN" w:bidi="ar"/>
        </w:rPr>
        <w:t>前</w:t>
      </w:r>
      <w:r>
        <w:rPr>
          <w:rStyle w:val="22"/>
          <w:rFonts w:ascii="宋体" w:hAnsi="宋体" w:eastAsia="宋体" w:cs="宋体"/>
          <w:b w:val="0"/>
          <w:bCs w:val="0"/>
          <w:kern w:val="0"/>
          <w:sz w:val="24"/>
          <w:szCs w:val="24"/>
          <w:lang w:val="en-US" w:eastAsia="zh-CN" w:bidi="ar"/>
        </w:rPr>
        <w:t>无任何在建施工项目</w:t>
      </w:r>
      <w:r>
        <w:rPr>
          <w:rFonts w:ascii="宋体" w:hAnsi="宋体" w:eastAsia="宋体" w:cs="宋体"/>
          <w:b w:val="0"/>
          <w:bCs w:val="0"/>
          <w:kern w:val="0"/>
          <w:sz w:val="24"/>
          <w:szCs w:val="24"/>
          <w:lang w:val="en-US" w:eastAsia="zh-CN" w:bidi="ar"/>
        </w:rPr>
        <w:t>，未在任何</w:t>
      </w:r>
      <w:r>
        <w:rPr>
          <w:rFonts w:hint="eastAsia" w:ascii="宋体" w:hAnsi="宋体" w:eastAsia="宋体" w:cs="宋体"/>
          <w:b w:val="0"/>
          <w:bCs w:val="0"/>
          <w:kern w:val="0"/>
          <w:sz w:val="24"/>
          <w:szCs w:val="24"/>
          <w:lang w:val="en-US" w:eastAsia="zh-CN" w:bidi="ar"/>
        </w:rPr>
        <w:t>已中标（成交）</w:t>
      </w:r>
      <w:r>
        <w:rPr>
          <w:rFonts w:ascii="宋体" w:hAnsi="宋体" w:eastAsia="宋体" w:cs="宋体"/>
          <w:b w:val="0"/>
          <w:bCs w:val="0"/>
          <w:kern w:val="0"/>
          <w:sz w:val="24"/>
          <w:szCs w:val="24"/>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b w:val="0"/>
          <w:bCs w:val="0"/>
          <w:kern w:val="0"/>
          <w:sz w:val="24"/>
          <w:szCs w:val="24"/>
          <w:lang w:val="en-US" w:eastAsia="zh-CN" w:bidi="ar"/>
        </w:rPr>
        <w:t>二、本人截至本承诺书出具之日，</w:t>
      </w:r>
      <w:r>
        <w:rPr>
          <w:rStyle w:val="22"/>
          <w:rFonts w:ascii="宋体" w:hAnsi="宋体" w:eastAsia="宋体" w:cs="宋体"/>
          <w:b w:val="0"/>
          <w:bCs w:val="0"/>
          <w:kern w:val="0"/>
          <w:sz w:val="24"/>
          <w:szCs w:val="24"/>
          <w:lang w:val="en-US" w:eastAsia="zh-CN" w:bidi="ar"/>
        </w:rPr>
        <w:t>未被任何工程项目列为中标</w:t>
      </w:r>
      <w:r>
        <w:rPr>
          <w:rStyle w:val="22"/>
          <w:rFonts w:hint="eastAsia" w:ascii="宋体" w:hAnsi="宋体" w:eastAsia="宋体" w:cs="宋体"/>
          <w:b w:val="0"/>
          <w:bCs w:val="0"/>
          <w:kern w:val="0"/>
          <w:sz w:val="24"/>
          <w:szCs w:val="24"/>
          <w:lang w:val="en-US" w:eastAsia="zh-CN" w:bidi="ar"/>
        </w:rPr>
        <w:t>（成交）</w:t>
      </w:r>
      <w:r>
        <w:rPr>
          <w:rStyle w:val="22"/>
          <w:rFonts w:ascii="宋体" w:hAnsi="宋体" w:eastAsia="宋体" w:cs="宋体"/>
          <w:b w:val="0"/>
          <w:bCs w:val="0"/>
          <w:kern w:val="0"/>
          <w:sz w:val="24"/>
          <w:szCs w:val="24"/>
          <w:lang w:val="en-US" w:eastAsia="zh-CN" w:bidi="ar"/>
        </w:rPr>
        <w:t>候选人第一名</w:t>
      </w:r>
      <w:r>
        <w:rPr>
          <w:rFonts w:ascii="宋体" w:hAnsi="宋体" w:eastAsia="宋体" w:cs="宋体"/>
          <w:b w:val="0"/>
          <w:bCs w:val="0"/>
          <w:kern w:val="0"/>
          <w:sz w:val="24"/>
          <w:szCs w:val="24"/>
          <w:lang w:val="en-US" w:eastAsia="zh-CN" w:bidi="ar"/>
        </w:rPr>
        <w:t>，无其他项目中标</w:t>
      </w:r>
      <w:r>
        <w:rPr>
          <w:rFonts w:hint="eastAsia" w:ascii="宋体" w:hAnsi="宋体" w:eastAsia="宋体" w:cs="宋体"/>
          <w:b w:val="0"/>
          <w:bCs w:val="0"/>
          <w:kern w:val="0"/>
          <w:sz w:val="24"/>
          <w:szCs w:val="24"/>
          <w:lang w:val="en-US" w:eastAsia="zh-CN" w:bidi="ar"/>
        </w:rPr>
        <w:t>（成交）</w:t>
      </w:r>
      <w:r>
        <w:rPr>
          <w:rFonts w:ascii="宋体" w:hAnsi="宋体" w:eastAsia="宋体" w:cs="宋体"/>
          <w:b w:val="0"/>
          <w:bCs w:val="0"/>
          <w:kern w:val="0"/>
          <w:sz w:val="24"/>
          <w:szCs w:val="24"/>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四、若本人成功中标</w:t>
      </w: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本项目，将严格遵守工程建设相关法律法规及</w:t>
      </w:r>
      <w:r>
        <w:rPr>
          <w:rFonts w:hint="eastAsia" w:ascii="宋体" w:hAnsi="宋体" w:eastAsia="宋体" w:cs="宋体"/>
          <w:kern w:val="0"/>
          <w:sz w:val="24"/>
          <w:szCs w:val="24"/>
          <w:lang w:val="en-US" w:eastAsia="zh-CN" w:bidi="ar"/>
        </w:rPr>
        <w:t>采购</w:t>
      </w:r>
      <w:r>
        <w:rPr>
          <w:rFonts w:ascii="宋体" w:hAnsi="宋体" w:eastAsia="宋体" w:cs="宋体"/>
          <w:kern w:val="0"/>
          <w:sz w:val="24"/>
          <w:szCs w:val="24"/>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五、本人充分知晓，若本次承诺内容存在虚假、隐瞒、不实，本人自愿接受</w:t>
      </w:r>
      <w:r>
        <w:rPr>
          <w:rFonts w:hint="eastAsia" w:ascii="宋体" w:hAnsi="宋体" w:eastAsia="宋体" w:cs="宋体"/>
          <w:kern w:val="0"/>
          <w:sz w:val="24"/>
          <w:szCs w:val="24"/>
          <w:lang w:val="en-US" w:eastAsia="zh-CN" w:bidi="ar"/>
        </w:rPr>
        <w:t>采购单位</w:t>
      </w:r>
      <w:r>
        <w:rPr>
          <w:rFonts w:ascii="宋体" w:hAnsi="宋体" w:eastAsia="宋体" w:cs="宋体"/>
          <w:kern w:val="0"/>
          <w:sz w:val="24"/>
          <w:szCs w:val="24"/>
          <w:lang w:val="en-US" w:eastAsia="zh-CN" w:bidi="ar"/>
        </w:rPr>
        <w:t>、行业主管部门的相关处罚，自愿放弃本项目</w:t>
      </w:r>
      <w:r>
        <w:rPr>
          <w:rFonts w:hint="eastAsia" w:ascii="宋体" w:hAnsi="宋体" w:eastAsia="宋体" w:cs="宋体"/>
          <w:kern w:val="0"/>
          <w:sz w:val="24"/>
          <w:szCs w:val="24"/>
          <w:lang w:val="en-US" w:eastAsia="zh-CN" w:bidi="ar"/>
        </w:rPr>
        <w:t>中标（成交）</w:t>
      </w:r>
      <w:r>
        <w:rPr>
          <w:rFonts w:ascii="宋体" w:hAnsi="宋体" w:eastAsia="宋体" w:cs="宋体"/>
          <w:kern w:val="0"/>
          <w:sz w:val="24"/>
          <w:szCs w:val="24"/>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本承诺书内容真实有效，一经出具即刻生效，可作为本项目</w:t>
      </w:r>
      <w:r>
        <w:rPr>
          <w:rFonts w:hint="eastAsia" w:ascii="宋体" w:hAnsi="宋体" w:eastAsia="宋体" w:cs="宋体"/>
          <w:kern w:val="0"/>
          <w:sz w:val="24"/>
          <w:szCs w:val="24"/>
          <w:lang w:val="en-US" w:eastAsia="zh-CN" w:bidi="ar"/>
        </w:rPr>
        <w:t>竞标</w:t>
      </w:r>
      <w:r>
        <w:rPr>
          <w:rFonts w:ascii="宋体" w:hAnsi="宋体" w:eastAsia="宋体" w:cs="宋体"/>
          <w:kern w:val="0"/>
          <w:sz w:val="24"/>
          <w:szCs w:val="24"/>
          <w:lang w:val="en-US" w:eastAsia="zh-CN" w:bidi="ar"/>
        </w:rPr>
        <w:t>、签约、施工备案的有效依据</w:t>
      </w:r>
      <w:r>
        <w:rPr>
          <w:rFonts w:hint="eastAsia" w:ascii="宋体" w:hAnsi="宋体" w:eastAsia="宋体" w:cs="宋体"/>
          <w:kern w:val="0"/>
          <w:sz w:val="24"/>
          <w:szCs w:val="24"/>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0D14B928">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5"/>
      <w:bookmarkStart w:id="101" w:name="OLE_LINK7"/>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7355675">
      <w:pPr>
        <w:pStyle w:val="9"/>
        <w:rPr>
          <w:rFonts w:hint="eastAsia" w:ascii="宋体" w:hAnsi="宋体" w:eastAsia="宋体" w:cs="宋体"/>
          <w:color w:val="auto"/>
          <w:kern w:val="0"/>
          <w:sz w:val="24"/>
          <w:highlight w:val="none"/>
          <w:lang w:val="zh-CN"/>
        </w:rPr>
      </w:pPr>
    </w:p>
    <w:p w14:paraId="5B353E41">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15522"/>
      <w:bookmarkStart w:id="112" w:name="_Toc7327"/>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9"/>
        <w:rPr>
          <w:rFonts w:hint="eastAsia" w:ascii="宋体" w:hAnsi="宋体" w:eastAsia="宋体" w:cs="宋体"/>
          <w:b/>
          <w:color w:val="auto"/>
          <w:kern w:val="2"/>
          <w:sz w:val="30"/>
          <w:szCs w:val="30"/>
          <w:highlight w:val="none"/>
          <w:lang w:eastAsia="zh-CN"/>
        </w:rPr>
      </w:pPr>
    </w:p>
    <w:p w14:paraId="7D9E939C">
      <w:pPr>
        <w:pStyle w:val="9"/>
        <w:rPr>
          <w:rFonts w:hint="eastAsia" w:ascii="宋体" w:hAnsi="宋体" w:eastAsia="宋体" w:cs="宋体"/>
          <w:b/>
          <w:color w:val="auto"/>
          <w:kern w:val="2"/>
          <w:sz w:val="30"/>
          <w:szCs w:val="30"/>
          <w:highlight w:val="none"/>
          <w:lang w:eastAsia="zh-CN"/>
        </w:rPr>
      </w:pPr>
    </w:p>
    <w:p w14:paraId="150655D7">
      <w:pPr>
        <w:pStyle w:val="9"/>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天等县宁干乡龙盛村更合屯水利渠道建设项目</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建设水利渠道长0.872千米及附属配套设施</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470389"/>
    <w:rsid w:val="0BB07E2E"/>
    <w:rsid w:val="0BB8442B"/>
    <w:rsid w:val="0BBA0B5B"/>
    <w:rsid w:val="0BD3006E"/>
    <w:rsid w:val="0D373A0B"/>
    <w:rsid w:val="0DB14B56"/>
    <w:rsid w:val="0E5D5C46"/>
    <w:rsid w:val="0EE71440"/>
    <w:rsid w:val="105918DD"/>
    <w:rsid w:val="10BE70C6"/>
    <w:rsid w:val="11FE30BE"/>
    <w:rsid w:val="137E0075"/>
    <w:rsid w:val="1683226E"/>
    <w:rsid w:val="176B6115"/>
    <w:rsid w:val="18115A33"/>
    <w:rsid w:val="1A182C26"/>
    <w:rsid w:val="1B846C34"/>
    <w:rsid w:val="1C1E15F1"/>
    <w:rsid w:val="1CC400CA"/>
    <w:rsid w:val="1E5C100C"/>
    <w:rsid w:val="1E8A2924"/>
    <w:rsid w:val="1F980369"/>
    <w:rsid w:val="20392737"/>
    <w:rsid w:val="20F10A60"/>
    <w:rsid w:val="21B31D5B"/>
    <w:rsid w:val="22421347"/>
    <w:rsid w:val="22E01BC0"/>
    <w:rsid w:val="24594B3F"/>
    <w:rsid w:val="24D40547"/>
    <w:rsid w:val="25CB59E7"/>
    <w:rsid w:val="29C7422F"/>
    <w:rsid w:val="2A87364D"/>
    <w:rsid w:val="2C55425C"/>
    <w:rsid w:val="2CB857F7"/>
    <w:rsid w:val="2CBD5567"/>
    <w:rsid w:val="2CC67AD7"/>
    <w:rsid w:val="2DFD4BAB"/>
    <w:rsid w:val="2E604A2F"/>
    <w:rsid w:val="2F910E4F"/>
    <w:rsid w:val="2FA37E63"/>
    <w:rsid w:val="322E1CC9"/>
    <w:rsid w:val="32924054"/>
    <w:rsid w:val="32F87D99"/>
    <w:rsid w:val="335E60EC"/>
    <w:rsid w:val="33940A6F"/>
    <w:rsid w:val="36CE7E44"/>
    <w:rsid w:val="37DE7194"/>
    <w:rsid w:val="38E22C12"/>
    <w:rsid w:val="3A1931C7"/>
    <w:rsid w:val="3C077603"/>
    <w:rsid w:val="3CC455F5"/>
    <w:rsid w:val="3E8317B4"/>
    <w:rsid w:val="3EA437B1"/>
    <w:rsid w:val="3EE51F7E"/>
    <w:rsid w:val="3EEF046D"/>
    <w:rsid w:val="3F20694C"/>
    <w:rsid w:val="3F2F772C"/>
    <w:rsid w:val="407D2C19"/>
    <w:rsid w:val="40F163A6"/>
    <w:rsid w:val="414D45F9"/>
    <w:rsid w:val="41E97150"/>
    <w:rsid w:val="41EC7387"/>
    <w:rsid w:val="42B111F9"/>
    <w:rsid w:val="44450AE0"/>
    <w:rsid w:val="47DD6D45"/>
    <w:rsid w:val="49000B27"/>
    <w:rsid w:val="490426C9"/>
    <w:rsid w:val="49EA0282"/>
    <w:rsid w:val="4A487DAD"/>
    <w:rsid w:val="4A51744F"/>
    <w:rsid w:val="4C72630D"/>
    <w:rsid w:val="4DDB6BFF"/>
    <w:rsid w:val="4E6028B4"/>
    <w:rsid w:val="4FD035BF"/>
    <w:rsid w:val="51170852"/>
    <w:rsid w:val="51AC0039"/>
    <w:rsid w:val="51E43FB1"/>
    <w:rsid w:val="51FE3557"/>
    <w:rsid w:val="52940EBA"/>
    <w:rsid w:val="52F51705"/>
    <w:rsid w:val="53A472CF"/>
    <w:rsid w:val="54350128"/>
    <w:rsid w:val="54364FEB"/>
    <w:rsid w:val="55967B61"/>
    <w:rsid w:val="57437223"/>
    <w:rsid w:val="57783E2E"/>
    <w:rsid w:val="57BC7353"/>
    <w:rsid w:val="57D76DD3"/>
    <w:rsid w:val="57EB09D9"/>
    <w:rsid w:val="597E1783"/>
    <w:rsid w:val="5A31056B"/>
    <w:rsid w:val="5DAF4C1B"/>
    <w:rsid w:val="603924A1"/>
    <w:rsid w:val="615C0B85"/>
    <w:rsid w:val="62743679"/>
    <w:rsid w:val="629149A0"/>
    <w:rsid w:val="6429154F"/>
    <w:rsid w:val="66732BE6"/>
    <w:rsid w:val="67102518"/>
    <w:rsid w:val="68156932"/>
    <w:rsid w:val="685F7C35"/>
    <w:rsid w:val="68C80010"/>
    <w:rsid w:val="6A0E1913"/>
    <w:rsid w:val="6A757A1F"/>
    <w:rsid w:val="6A823E5A"/>
    <w:rsid w:val="6A8D1B73"/>
    <w:rsid w:val="6B207CB8"/>
    <w:rsid w:val="6B4936C1"/>
    <w:rsid w:val="6C7517D5"/>
    <w:rsid w:val="6D534EAA"/>
    <w:rsid w:val="6D545394"/>
    <w:rsid w:val="6D6F2AAD"/>
    <w:rsid w:val="6FFC4284"/>
    <w:rsid w:val="70CB7386"/>
    <w:rsid w:val="718D7F2D"/>
    <w:rsid w:val="71AE7C98"/>
    <w:rsid w:val="73D01CDB"/>
    <w:rsid w:val="757E49E2"/>
    <w:rsid w:val="75D04967"/>
    <w:rsid w:val="76F86DCF"/>
    <w:rsid w:val="777F0DB7"/>
    <w:rsid w:val="78431638"/>
    <w:rsid w:val="78737BE6"/>
    <w:rsid w:val="7A877563"/>
    <w:rsid w:val="7B4055F8"/>
    <w:rsid w:val="7B523C86"/>
    <w:rsid w:val="7BAC749D"/>
    <w:rsid w:val="7C38637B"/>
    <w:rsid w:val="7DF05F7C"/>
    <w:rsid w:val="7E506AA8"/>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19919</Words>
  <Characters>21582</Characters>
  <Lines>0</Lines>
  <Paragraphs>0</Paragraphs>
  <TotalTime>2</TotalTime>
  <ScaleCrop>false</ScaleCrop>
  <LinksUpToDate>false</LinksUpToDate>
  <CharactersWithSpaces>21907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2026-06-12T13:57:05Z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