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5"/>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天等县向都镇定明村甘蔗种植配套项目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CZZC2026-C2-250080-JHGC</w:t>
      </w:r>
      <w:bookmarkStart w:id="119" w:name="_GoBack"/>
      <w:bookmarkEnd w:id="119"/>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2026年06月12日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2"/>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天等县向都镇定明村甘蔗种植配套项目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2026年06月23日16：00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天等县向都镇定明村甘蔗种植配套项目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2026年06月23日16：00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44229878"/>
      <w:bookmarkStart w:id="4" w:name="_Toc35393798"/>
      <w:bookmarkStart w:id="5" w:name="_Toc28359012"/>
      <w:bookmarkStart w:id="6" w:name="_Toc28359089"/>
      <w:bookmarkStart w:id="7" w:name="_Toc28359004"/>
      <w:bookmarkStart w:id="8" w:name="_Toc35393623"/>
      <w:bookmarkStart w:id="9" w:name="_Toc35393792"/>
      <w:bookmarkStart w:id="10" w:name="_Toc28359081"/>
    </w:p>
    <w:p w14:paraId="268DB399">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CZZC2026-C2-250080-JHGC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天等县向都镇定明村甘蔗种植配套项目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1697858.66</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天等县向都镇定明村甘蔗种植配套项目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：1697858.66</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建设水利渠道长3.061千米，泵房1座，蓄水池3座及附属配套设施等。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1697858.66</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150日历天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630"/>
      <w:bookmarkStart w:id="13" w:name="_Toc28359090"/>
      <w:bookmarkStart w:id="14" w:name="_Toc44229879"/>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w:t>
      </w:r>
      <w:r>
        <w:rPr>
          <w:rFonts w:hint="eastAsia" w:ascii="宋体" w:hAnsi="宋体" w:cs="宋体"/>
          <w:color w:val="auto"/>
          <w:szCs w:val="21"/>
          <w:highlight w:val="none"/>
          <w:lang w:eastAsia="zh-CN"/>
        </w:rPr>
        <w:t>。本项目不接受有在建，已中标（成交）未开工或已列为其他项目中标候选人第一名的建造师作为项目经理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624"/>
      <w:bookmarkStart w:id="19" w:name="_Toc35393793"/>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2026年06月12日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2026年06月23日16：00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2026年06月23日16：00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625"/>
      <w:bookmarkStart w:id="23" w:name="_Toc28359084"/>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95"/>
      <w:bookmarkStart w:id="28" w:name="_Hlk3742958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2026年06月12日</w:t>
      </w:r>
    </w:p>
    <w:p w14:paraId="3766DE94">
      <w:pPr>
        <w:pStyle w:val="2"/>
        <w:jc w:val="center"/>
        <w:rPr>
          <w:rFonts w:hint="eastAsia" w:ascii="宋体" w:hAnsi="宋体" w:eastAsia="宋体" w:cs="宋体"/>
          <w:color w:val="auto"/>
          <w:highlight w:val="none"/>
        </w:rPr>
      </w:pPr>
      <w:bookmarkStart w:id="31" w:name="_Toc25731"/>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天等县向都镇定明村甘蔗种植配套项目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建设水利渠道长3.061千米，泵房1座，蓄水池3座及附属配套设施等。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1697858.66</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工期150日历天。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天等县向都镇</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b w:val="0"/>
                <w:bCs w:val="0"/>
                <w:color w:val="auto"/>
                <w:highlight w:val="none"/>
              </w:rPr>
              <w:t>。</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2"/>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3"/>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cs="宋体"/>
                <w:color w:val="auto"/>
                <w:kern w:val="0"/>
                <w:szCs w:val="21"/>
                <w:highlight w:val="none"/>
                <w:lang w:val="en-US" w:eastAsia="zh-CN"/>
              </w:rPr>
              <w:t>项目经理无在建项目、无中标（成交）未开工及未列为其他项目第一中标候选人承诺书；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2026年5月至响应文件提交截止时间止任意一个月社保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26C5174D">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3.1本项目采购代理费以成交金额为计费基数，依据《国家发展改革委关于进一步放开建设项目专业服务价格的通知》（发改价格〔2015〕299 号），按工程类采购代理服务，采用差额定率累进法计算，将成交金额按划分区间分别计算费用后，累加得出总费用。</w:t>
            </w:r>
          </w:p>
          <w:p w14:paraId="60CD104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3.2区间及基准费率如下：</w:t>
            </w:r>
          </w:p>
          <w:p w14:paraId="785DE5C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成交金额≤100 万元部分：1.0%</w:t>
            </w:r>
          </w:p>
          <w:p w14:paraId="0843EF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100万元＜成交金额≤500万元部分：0.7%</w:t>
            </w:r>
          </w:p>
          <w:p w14:paraId="12037AB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3.3例如：某工程类采购代理业务成交金额为150万元，计算采购代理服务费额如下：</w:t>
            </w:r>
          </w:p>
          <w:p w14:paraId="2EB71AF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100万元×l.0%=1万元；（150-100）万元×0.7%=0.35万</w:t>
            </w:r>
          </w:p>
          <w:p w14:paraId="0805C41E">
            <w:pPr>
              <w:pStyle w:val="11"/>
              <w:snapToGrid w:val="0"/>
              <w:spacing w:line="360" w:lineRule="auto"/>
              <w:rPr>
                <w:rFonts w:hint="eastAsia"/>
                <w:lang w:val="en-US" w:eastAsia="zh-CN"/>
              </w:rPr>
            </w:pPr>
            <w:r>
              <w:rPr>
                <w:rFonts w:hint="eastAsia" w:ascii="宋体" w:hAnsi="宋体" w:eastAsia="宋体" w:cs="宋体"/>
                <w:color w:val="auto"/>
                <w:sz w:val="21"/>
                <w:highlight w:val="none"/>
                <w:lang w:val="en-US" w:eastAsia="zh-CN"/>
              </w:rPr>
              <w:t>合计收费：1+0.35=1.35（万元）</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4"/>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4"/>
        <w:spacing w:before="0" w:after="0" w:line="360" w:lineRule="auto"/>
        <w:ind w:firstLine="640" w:firstLineChars="200"/>
        <w:rPr>
          <w:rFonts w:hint="eastAsia" w:ascii="宋体" w:hAnsi="宋体" w:eastAsia="宋体" w:cs="宋体"/>
          <w:b w:val="0"/>
          <w:bCs w:val="0"/>
          <w:color w:val="auto"/>
          <w:highlight w:val="none"/>
        </w:rPr>
      </w:pPr>
      <w:bookmarkStart w:id="48" w:name="_Toc254970534"/>
      <w:bookmarkStart w:id="49" w:name="_Toc11036"/>
      <w:bookmarkStart w:id="50" w:name="_Toc254970675"/>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4"/>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cs="宋体"/>
          <w:color w:val="auto"/>
          <w:szCs w:val="21"/>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ascii="宋体" w:hAnsi="宋体" w:eastAsia="宋体" w:cs="宋体"/>
          <w:color w:val="auto"/>
          <w:szCs w:val="21"/>
          <w:highlight w:val="none"/>
        </w:rPr>
        <w:t>。</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4"/>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4"/>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4"/>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4"/>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546"/>
      <w:bookmarkStart w:id="67" w:name="_Toc5854"/>
      <w:bookmarkStart w:id="68" w:name="_Toc20845"/>
      <w:bookmarkStart w:id="69" w:name="_Toc498082646"/>
      <w:bookmarkStart w:id="70" w:name="_Toc181180297"/>
      <w:bookmarkStart w:id="71" w:name="_Toc183264294"/>
      <w:bookmarkStart w:id="72" w:name="_Toc346617322"/>
      <w:bookmarkStart w:id="73" w:name="_Toc24807"/>
      <w:bookmarkStart w:id="74" w:name="_Toc8850"/>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3"/>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62C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A72E596">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6EF96079">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25BF2D7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040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2A21DFD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8EAB495">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AFC6802">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580D6C85">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5DDE8009">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741BC0B9">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813086D">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E090810">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1F97069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本项目启用异常低价审核流程。政府采购评审中出现下列情形之一的，评审小组应当启动异常低价响应审查程序：</w:t>
            </w:r>
          </w:p>
          <w:p w14:paraId="6F7CC451">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6F93AEED">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5CD2F3E8">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38E0A89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3B2E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563F4BA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28156D5">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8FF8195">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基本要求：相关施工现场专业人员具备职业培训合格证书（拟派驻本项目的技术负责人应具有中级及以上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4156E8E9">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评分内容：</w:t>
            </w:r>
          </w:p>
          <w:p w14:paraId="4480F3C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2E0666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8A11C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4A1F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4DEE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FAC329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732B5BB8">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17299B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195129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需针对场地清理、旧圬及旧路面拆除、土方开挖、基底夯实、土方回填、砂砾垫层、浆砌片石、混凝土结构、混凝土底板及墙身、混凝土盖板、钢筋制作安装、伸缩缝、砂浆抹面、圆管涵</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盖板涵、沉砂池编制专项施工方案。</w:t>
            </w:r>
          </w:p>
          <w:p w14:paraId="22BC4DE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优（8 分）：分部分项工序划分清晰，明确各工序操作流程、技术参数、作业要点及安全管控要求，可指导现场全流程施工。</w:t>
            </w:r>
          </w:p>
          <w:p w14:paraId="3AA112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良（6 分）：列明各工序作业流程与操作要点，标注现场安全管控要求，可用于现场施工作业指导。</w:t>
            </w:r>
          </w:p>
          <w:p w14:paraId="41819D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中（3 分）：列明核心工序作业流程，覆盖本项目主要施工内容。</w:t>
            </w:r>
          </w:p>
          <w:p w14:paraId="001644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分）：工序内容与本项目施工内容不匹配，未明确具体作业流程与管控要求。</w:t>
            </w:r>
          </w:p>
        </w:tc>
      </w:tr>
      <w:tr w14:paraId="51DF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B6E701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2BFA0F60">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1DB03E5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01029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编制砂石、水泥、钢筋、模板等主要材料进场计划。</w:t>
            </w:r>
          </w:p>
          <w:p w14:paraId="79EA342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优（6 分）：投入的施工材料有详细组织计划，材料数量、选型配置、进场时间安排合理，完全满足施工需要。</w:t>
            </w:r>
          </w:p>
          <w:p w14:paraId="7C32648D">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良（4 分）：投入的施工材料有详细组织计划，各项安排较合理，满足施工需要。</w:t>
            </w:r>
          </w:p>
          <w:p w14:paraId="504111A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中（2 分）：投入的施工材料有组织计划，各项安排一般，基本满足施工需要。</w:t>
            </w:r>
          </w:p>
          <w:p w14:paraId="5111C64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差（0 分）：物资计划不完善，材料配置、进场安排不合理，无法满足施工</w:t>
            </w:r>
            <w:r>
              <w:rPr>
                <w:rFonts w:hint="eastAsia" w:ascii="宋体" w:hAnsi="宋体" w:eastAsia="宋体" w:cs="宋体"/>
                <w:bCs/>
                <w:color w:val="auto"/>
                <w:szCs w:val="21"/>
                <w:highlight w:val="none"/>
                <w:vertAlign w:val="baseline"/>
                <w:lang w:eastAsia="zh-CN"/>
              </w:rPr>
              <w:t>。</w:t>
            </w:r>
          </w:p>
        </w:tc>
      </w:tr>
      <w:tr w14:paraId="1492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00DEC1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66CB1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94E2D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29F84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结合拆除、开挖、回填、砌筑、混凝土浇筑、钢筋作业、涵管安装、沉砂池施工、标识安装等工序，按工种制定人员配置计划。</w:t>
            </w:r>
          </w:p>
          <w:p w14:paraId="5581D5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分)：按各施工阶段、各工种明确人员数量、上岗时段、岗位分工，人员数量匹配施工强度与工期要求。</w:t>
            </w:r>
          </w:p>
          <w:p w14:paraId="26E6D0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分)：划分各工种及对应作业人员，人员数量匹配各工序作业需求。</w:t>
            </w:r>
          </w:p>
          <w:p w14:paraId="6374B0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分)：明确主要工种及人员配置，可覆盖常规施工作业。</w:t>
            </w:r>
          </w:p>
          <w:p w14:paraId="2012F4B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分)：工种划分混乱，人员数量与作业需求不匹配。</w:t>
            </w:r>
          </w:p>
        </w:tc>
      </w:tr>
      <w:tr w14:paraId="7ACD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B89EFAB">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584B1D9">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9B6C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695A3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组建质量技术管理团队，建立质量管理制度；针对基底压实、土方回填、浆砌片石砌筑、砂浆抹面、混凝土施工、伸缩缝、涵管安装、沉砂池施工等关键工序制定管控举措。</w:t>
            </w:r>
          </w:p>
          <w:p w14:paraId="6859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分)：明确质量岗位分工、岗位责任，各关键工序逐一列明检测项目、检测频次、管控要求，形成完整管控链条。</w:t>
            </w:r>
          </w:p>
          <w:p w14:paraId="133C66C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分)：明确质量岗位与岗位职责，各关键工序制定对应的质量管控要求。</w:t>
            </w:r>
          </w:p>
          <w:p w14:paraId="67EC07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分)：设置质量管理岗位，针对主要工序提出质量管控要求。</w:t>
            </w:r>
          </w:p>
          <w:p w14:paraId="2FC394A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分)：未设置专职质量岗位，无对应工序质量管控举措。</w:t>
            </w:r>
          </w:p>
        </w:tc>
      </w:tr>
      <w:tr w14:paraId="3EAC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12C0D5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FA14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C72EFB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）安全生产技术组织措施（满分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7A9B7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配备专职安全管理人员，建立安全管理制度；结合沟槽开挖、机械作业、临时用电、乡村道路通行、防汛排水等场景制定安全措施，内容符合《建筑施工安全生产检查标准》《水利水电工程施工通用安全技术规程》。</w:t>
            </w:r>
          </w:p>
          <w:p w14:paraId="53E0C7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分)：明确安全岗位及岗位职责，各风险作业环节列明防护方式、管控要点、巡查要求，条款贴合项目现场作业场景。</w:t>
            </w:r>
          </w:p>
          <w:p w14:paraId="1BCFAC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分)：设置安全管理岗位，各风险作业环节制定对应安全防护要求，符合现行安全规范。</w:t>
            </w:r>
          </w:p>
          <w:p w14:paraId="5EAFD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分)：建立基础安全管理制度，列明通用安全作业要求，满足基本安全管理规定。</w:t>
            </w:r>
          </w:p>
          <w:p w14:paraId="336EC3B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分)：无专职安全管理人员，未制定对应安全作业举措。</w:t>
            </w:r>
          </w:p>
        </w:tc>
      </w:tr>
      <w:tr w14:paraId="234E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E285CC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E99ED0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0F463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3B9742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结合施工工艺、作业方式、材料供应、人员配置、技术保障制定工期保障措施；按测量放线→清理拆除→开挖→垫层→砌筑</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混凝土施工→涵管及构筑物施工→回填→标识安装流程，编制施工总进度表或网络图，统筹考虑本地雨季、农忙等影响因素。</w:t>
            </w:r>
          </w:p>
          <w:p w14:paraId="41E2A2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分）：进度图表内容完整，标注各分项工程起止时间、衔接关系，配套分段工期保障举措，适配现场外部环境影响因素。</w:t>
            </w:r>
          </w:p>
          <w:p w14:paraId="767C35C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分）：编制完整进度图表，列明各分项工程工期节点，设置对应工期保障举措。</w:t>
            </w:r>
          </w:p>
          <w:p w14:paraId="287DD9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分）：编制施工进度计划，列明主要工程工期节点。</w:t>
            </w:r>
          </w:p>
          <w:p w14:paraId="589714B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分）：进度计划排布无序，未结合现场环境制定工期保障举措。</w:t>
            </w:r>
          </w:p>
        </w:tc>
      </w:tr>
      <w:tr w14:paraId="1657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021143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C2BFB8">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A80F7B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）环境保护、文明施工措施（满分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FA85B1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结合乡村农田施工特点，针对扬尘管控、噪声防控、物料堆放、生活垃圾处置、耕地与植被保护、水土保持制定专项举措。</w:t>
            </w:r>
          </w:p>
          <w:p w14:paraId="2988439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分）：逐项明确管控方式、执行标准与日常管理要求，覆盖全部管控内容，契合规范及现场作业条件。</w:t>
            </w:r>
          </w:p>
          <w:p w14:paraId="11176C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分）：针对扬尘、噪声、场地管理、生态保护等主要内容制定对应举措，满足规范及现场作业条件。</w:t>
            </w:r>
          </w:p>
          <w:p w14:paraId="170D8FE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分）：列明通用管控要求，覆盖核心环保与文明施工内容。</w:t>
            </w:r>
          </w:p>
          <w:p w14:paraId="5253566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分）：举措脱离现场实际，未对应本项目管控要点。</w:t>
            </w:r>
          </w:p>
        </w:tc>
      </w:tr>
      <w:tr w14:paraId="439F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FB1D73B">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3EC84D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FE5847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D794E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围绕渠道线形控制、浆砌石及混凝土施工质量、防渗处理、涵管安装、雨季施工、农田区域施工防护梳理重难点，并制定对应处置方案。</w:t>
            </w:r>
          </w:p>
          <w:p w14:paraId="2E7B8F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分）：逐条列明项目重难点内容，对应给出具体实施办法、过程管控手段。良（4 分）：列明项目全部重难点，并配套对应的处置方案。</w:t>
            </w:r>
          </w:p>
          <w:p w14:paraId="44DF38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分）：梳理项目主要重难点，提出对应的处置办法。</w:t>
            </w:r>
          </w:p>
          <w:p w14:paraId="3B299B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分）：未结合项目实际梳理重难点，无有效处置方案。</w:t>
            </w:r>
          </w:p>
        </w:tc>
      </w:tr>
      <w:tr w14:paraId="6DD9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FC0BEF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605676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AB8A6B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530230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出具施工总平面布置图，对料场、拌浆拌合区、堆土区、运输道路、排水系统、临时用电进行规划，适配乡村狭窄场地条件。</w:t>
            </w:r>
          </w:p>
          <w:p w14:paraId="06D430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优（5 分）：各功能区域划分清晰，场内运输路线、排水线路、用电布设顺畅，适配场地条件与施工运转需求。</w:t>
            </w:r>
          </w:p>
          <w:p w14:paraId="62FFC33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良（3 分）：各功能区域划分明确，场内布局可保障现场正常施工运转。</w:t>
            </w:r>
          </w:p>
          <w:p w14:paraId="36DFFE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中（1 分）：划定主要功能区域，可开展常规施工作业。</w:t>
            </w:r>
          </w:p>
          <w:p w14:paraId="55C203C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分）：功能区域划分混乱，场内布局影响正常施工。</w:t>
            </w:r>
          </w:p>
        </w:tc>
      </w:tr>
      <w:tr w14:paraId="2FCD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0CF1AF4E">
            <w:pPr>
              <w:spacing w:line="360" w:lineRule="auto"/>
              <w:rPr>
                <w:rFonts w:hint="eastAsia" w:ascii="宋体" w:hAnsi="宋体" w:eastAsia="宋体" w:cs="宋体"/>
                <w:bCs/>
                <w:color w:val="auto"/>
                <w:szCs w:val="21"/>
                <w:highlight w:val="none"/>
                <w:vertAlign w:val="baseline"/>
                <w:lang w:val="en-US" w:eastAsia="zh-CN"/>
              </w:rPr>
            </w:pPr>
          </w:p>
          <w:p w14:paraId="2CC11F82">
            <w:pPr>
              <w:spacing w:line="360" w:lineRule="auto"/>
              <w:rPr>
                <w:rFonts w:hint="eastAsia" w:ascii="宋体" w:hAnsi="宋体" w:eastAsia="宋体" w:cs="宋体"/>
                <w:bCs/>
                <w:color w:val="auto"/>
                <w:szCs w:val="21"/>
                <w:highlight w:val="none"/>
                <w:vertAlign w:val="baseline"/>
                <w:lang w:val="en-US" w:eastAsia="zh-CN"/>
              </w:rPr>
            </w:pPr>
          </w:p>
          <w:p w14:paraId="546BDC3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0D8079DF">
            <w:pPr>
              <w:spacing w:line="360" w:lineRule="auto"/>
              <w:rPr>
                <w:rFonts w:hint="eastAsia" w:ascii="宋体" w:hAnsi="宋体" w:eastAsia="宋体" w:cs="宋体"/>
                <w:bCs/>
                <w:color w:val="auto"/>
                <w:szCs w:val="21"/>
                <w:highlight w:val="none"/>
                <w:vertAlign w:val="baseline"/>
                <w:lang w:val="en-US" w:eastAsia="zh-CN"/>
              </w:rPr>
            </w:pPr>
          </w:p>
          <w:p w14:paraId="68B1BA7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6528DA7E">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422A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1F1F9C9B">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1E59E88D">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7019"/>
      <w:bookmarkStart w:id="82" w:name="_Toc14457"/>
      <w:bookmarkStart w:id="83" w:name="_Toc80205935"/>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32744"/>
      <w:bookmarkStart w:id="85" w:name="_Toc80205936"/>
      <w:bookmarkStart w:id="86"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5"/>
        <w:rPr>
          <w:rFonts w:hint="eastAsia" w:ascii="宋体" w:hAnsi="宋体" w:eastAsia="宋体" w:cs="宋体"/>
          <w:color w:val="auto"/>
          <w:highlight w:val="none"/>
        </w:rPr>
      </w:pPr>
    </w:p>
    <w:p w14:paraId="119616E9">
      <w:pPr>
        <w:pStyle w:val="25"/>
        <w:rPr>
          <w:rFonts w:hint="eastAsia" w:ascii="宋体" w:hAnsi="宋体" w:eastAsia="宋体" w:cs="宋体"/>
          <w:color w:val="auto"/>
          <w:highlight w:val="none"/>
        </w:rPr>
      </w:pPr>
    </w:p>
    <w:p w14:paraId="6E0BB34F">
      <w:pPr>
        <w:pStyle w:val="25"/>
        <w:rPr>
          <w:rFonts w:hint="eastAsia" w:ascii="宋体" w:hAnsi="宋体" w:eastAsia="宋体" w:cs="宋体"/>
          <w:color w:val="auto"/>
          <w:highlight w:val="none"/>
        </w:rPr>
      </w:pPr>
    </w:p>
    <w:p w14:paraId="7AAFB4CE">
      <w:pPr>
        <w:pStyle w:val="2"/>
        <w:jc w:val="center"/>
        <w:rPr>
          <w:rFonts w:hint="eastAsia" w:ascii="宋体" w:hAnsi="宋体" w:eastAsia="宋体" w:cs="宋体"/>
          <w:color w:val="auto"/>
          <w:highlight w:val="none"/>
          <w:lang w:eastAsia="zh-CN"/>
        </w:rPr>
      </w:pPr>
      <w:bookmarkStart w:id="87" w:name="_Toc32731"/>
      <w:bookmarkStart w:id="88" w:name="_Toc32723"/>
    </w:p>
    <w:p w14:paraId="02AA4847">
      <w:pPr>
        <w:pStyle w:val="2"/>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3"/>
        <w:jc w:val="center"/>
        <w:rPr>
          <w:rFonts w:hint="eastAsia" w:ascii="宋体" w:hAnsi="宋体" w:eastAsia="宋体" w:cs="宋体"/>
          <w:b w:val="0"/>
          <w:color w:val="auto"/>
          <w:highlight w:val="none"/>
          <w:lang w:val="en-US" w:eastAsia="zh-CN"/>
        </w:rPr>
      </w:pPr>
      <w:bookmarkStart w:id="89" w:name="_Toc80205938"/>
      <w:bookmarkStart w:id="90" w:name="_Toc17340"/>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3"/>
        <w:jc w:val="center"/>
        <w:rPr>
          <w:rFonts w:hint="eastAsia" w:ascii="宋体" w:hAnsi="宋体" w:eastAsia="宋体" w:cs="宋体"/>
          <w:bCs w:val="0"/>
          <w:color w:val="auto"/>
          <w:highlight w:val="none"/>
        </w:rPr>
      </w:pPr>
      <w:bookmarkStart w:id="92" w:name="_Toc80205939"/>
      <w:bookmarkStart w:id="93" w:name="_Toc3025"/>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七.</w:t>
      </w:r>
      <w:r>
        <w:rPr>
          <w:rFonts w:hint="eastAsia" w:ascii="宋体" w:hAnsi="宋体" w:cs="宋体"/>
          <w:color w:val="auto"/>
          <w:sz w:val="24"/>
          <w:highlight w:val="none"/>
          <w:lang w:val="en-US" w:eastAsia="zh-CN"/>
        </w:rPr>
        <w:t>项目经理无在建项目、无中标（成交）未开工及未列为其他项目第一中标候选人承诺书</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3"/>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cs="宋体"/>
          <w:b/>
          <w:bCs/>
          <w:color w:val="auto"/>
          <w:kern w:val="2"/>
          <w:sz w:val="32"/>
          <w:szCs w:val="32"/>
          <w:highlight w:val="none"/>
          <w:lang w:val="en-US" w:eastAsia="zh-CN" w:bidi="ar-SA"/>
        </w:rPr>
        <w:t>项目经理无在建项目、无中标（成交）未开工及未列为其他项目第一中标候选人承诺书</w:t>
      </w:r>
    </w:p>
    <w:p w14:paraId="1DA4CD59">
      <w:pPr>
        <w:pStyle w:val="9"/>
        <w:spacing w:before="17"/>
        <w:jc w:val="center"/>
        <w:rPr>
          <w:rFonts w:hint="eastAsia" w:ascii="宋体" w:hAnsi="宋体" w:cs="宋体"/>
          <w:b/>
          <w:color w:val="auto"/>
          <w:sz w:val="28"/>
          <w:szCs w:val="28"/>
          <w:highlight w:val="none"/>
          <w:lang w:val="en-US" w:eastAsia="zh-CN"/>
        </w:rPr>
      </w:pPr>
    </w:p>
    <w:p w14:paraId="733F240F">
      <w:pPr>
        <w:pStyle w:val="9"/>
        <w:spacing w:before="17"/>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项目经理无在建项目、无中标（成交）未开工及未列为其他项目第一中标候选人承诺书</w:t>
      </w:r>
      <w:r>
        <w:rPr>
          <w:rFonts w:hint="eastAsia" w:ascii="宋体" w:hAnsi="宋体" w:eastAsia="宋体" w:cs="宋体"/>
          <w:b/>
          <w:color w:val="auto"/>
          <w:sz w:val="28"/>
          <w:szCs w:val="28"/>
          <w:highlight w:val="none"/>
          <w:lang w:val="en-US" w:eastAsia="zh-CN"/>
        </w:rPr>
        <w:t>（格式）</w:t>
      </w:r>
    </w:p>
    <w:p w14:paraId="1A3605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u w:val="single"/>
        </w:rPr>
      </w:pPr>
      <w:r>
        <w:rPr>
          <w:rFonts w:hint="eastAsia"/>
        </w:rPr>
        <w:t>致：</w:t>
      </w:r>
      <w:r>
        <w:rPr>
          <w:rFonts w:hint="eastAsia"/>
          <w:u w:val="single"/>
        </w:rPr>
        <w:t xml:space="preserve">  （采购人</w:t>
      </w:r>
      <w:r>
        <w:rPr>
          <w:rFonts w:hint="eastAsia"/>
          <w:u w:val="single"/>
          <w:lang w:val="en-US" w:eastAsia="zh-CN"/>
        </w:rPr>
        <w:t>名称</w:t>
      </w:r>
      <w:r>
        <w:rPr>
          <w:rFonts w:hint="eastAsia"/>
          <w:u w:val="single"/>
        </w:rPr>
        <w:t xml:space="preserve">）  </w:t>
      </w:r>
    </w:p>
    <w:p w14:paraId="43A99936">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本人__________（姓名），身份证号码：____________________，注册建造师证书编号：____________________，执业资格等级：__________，系____________________（</w:t>
      </w:r>
      <w:r>
        <w:rPr>
          <w:rFonts w:hint="eastAsia" w:ascii="宋体" w:hAnsi="宋体" w:eastAsia="宋体" w:cs="宋体"/>
          <w:kern w:val="0"/>
          <w:sz w:val="24"/>
          <w:szCs w:val="24"/>
          <w:lang w:val="en-US" w:eastAsia="zh-CN" w:bidi="ar"/>
        </w:rPr>
        <w:t>供应商名称</w:t>
      </w:r>
      <w:r>
        <w:rPr>
          <w:rFonts w:ascii="宋体" w:hAnsi="宋体" w:eastAsia="宋体" w:cs="宋体"/>
          <w:kern w:val="0"/>
          <w:sz w:val="24"/>
          <w:szCs w:val="24"/>
          <w:lang w:val="en-US" w:eastAsia="zh-CN" w:bidi="ar"/>
        </w:rPr>
        <w:t>）拟任__________（项目名称）项目经理。为真实、合规参与本项目建设，本人郑重作出如下承诺：</w:t>
      </w:r>
    </w:p>
    <w:p w14:paraId="71E3FDB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kern w:val="0"/>
          <w:sz w:val="24"/>
          <w:szCs w:val="24"/>
          <w:lang w:val="en-US" w:eastAsia="zh-CN" w:bidi="ar"/>
        </w:rPr>
        <w:t>一、本人目</w:t>
      </w:r>
      <w:r>
        <w:rPr>
          <w:rFonts w:ascii="宋体" w:hAnsi="宋体" w:eastAsia="宋体" w:cs="宋体"/>
          <w:b w:val="0"/>
          <w:bCs w:val="0"/>
          <w:kern w:val="0"/>
          <w:sz w:val="24"/>
          <w:szCs w:val="24"/>
          <w:lang w:val="en-US" w:eastAsia="zh-CN" w:bidi="ar"/>
        </w:rPr>
        <w:t>前</w:t>
      </w:r>
      <w:r>
        <w:rPr>
          <w:rStyle w:val="22"/>
          <w:rFonts w:ascii="宋体" w:hAnsi="宋体" w:eastAsia="宋体" w:cs="宋体"/>
          <w:b w:val="0"/>
          <w:bCs w:val="0"/>
          <w:kern w:val="0"/>
          <w:sz w:val="24"/>
          <w:szCs w:val="24"/>
          <w:lang w:val="en-US" w:eastAsia="zh-CN" w:bidi="ar"/>
        </w:rPr>
        <w:t>无任何在建施工项目</w:t>
      </w:r>
      <w:r>
        <w:rPr>
          <w:rFonts w:ascii="宋体" w:hAnsi="宋体" w:eastAsia="宋体" w:cs="宋体"/>
          <w:b w:val="0"/>
          <w:bCs w:val="0"/>
          <w:kern w:val="0"/>
          <w:sz w:val="24"/>
          <w:szCs w:val="24"/>
          <w:lang w:val="en-US" w:eastAsia="zh-CN" w:bidi="ar"/>
        </w:rPr>
        <w:t>，未在任何</w:t>
      </w:r>
      <w:r>
        <w:rPr>
          <w:rFonts w:hint="eastAsia" w:ascii="宋体" w:hAnsi="宋体" w:eastAsia="宋体" w:cs="宋体"/>
          <w:b w:val="0"/>
          <w:bCs w:val="0"/>
          <w:kern w:val="0"/>
          <w:sz w:val="24"/>
          <w:szCs w:val="24"/>
          <w:lang w:val="en-US" w:eastAsia="zh-CN" w:bidi="ar"/>
        </w:rPr>
        <w:t>已中标（成交）</w:t>
      </w:r>
      <w:r>
        <w:rPr>
          <w:rFonts w:ascii="宋体" w:hAnsi="宋体" w:eastAsia="宋体" w:cs="宋体"/>
          <w:b w:val="0"/>
          <w:bCs w:val="0"/>
          <w:kern w:val="0"/>
          <w:sz w:val="24"/>
          <w:szCs w:val="24"/>
          <w:lang w:val="en-US" w:eastAsia="zh-CN" w:bidi="ar"/>
        </w:rPr>
        <w:t>且尚未开工的工程项目中担任项目经理、项目负责人等在岗职务，不存在兼职多个项目、跨项目任职的情况。</w:t>
      </w:r>
    </w:p>
    <w:p w14:paraId="2B5C3B7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b w:val="0"/>
          <w:bCs w:val="0"/>
          <w:kern w:val="0"/>
          <w:sz w:val="24"/>
          <w:szCs w:val="24"/>
          <w:lang w:val="en-US" w:eastAsia="zh-CN" w:bidi="ar"/>
        </w:rPr>
        <w:t>二、本人截至本承诺书出具之日，</w:t>
      </w:r>
      <w:r>
        <w:rPr>
          <w:rStyle w:val="22"/>
          <w:rFonts w:ascii="宋体" w:hAnsi="宋体" w:eastAsia="宋体" w:cs="宋体"/>
          <w:b w:val="0"/>
          <w:bCs w:val="0"/>
          <w:kern w:val="0"/>
          <w:sz w:val="24"/>
          <w:szCs w:val="24"/>
          <w:lang w:val="en-US" w:eastAsia="zh-CN" w:bidi="ar"/>
        </w:rPr>
        <w:t>未被任何工程项目列为中标</w:t>
      </w:r>
      <w:r>
        <w:rPr>
          <w:rStyle w:val="22"/>
          <w:rFonts w:hint="eastAsia" w:ascii="宋体" w:hAnsi="宋体" w:eastAsia="宋体" w:cs="宋体"/>
          <w:b w:val="0"/>
          <w:bCs w:val="0"/>
          <w:kern w:val="0"/>
          <w:sz w:val="24"/>
          <w:szCs w:val="24"/>
          <w:lang w:val="en-US" w:eastAsia="zh-CN" w:bidi="ar"/>
        </w:rPr>
        <w:t>（成交）</w:t>
      </w:r>
      <w:r>
        <w:rPr>
          <w:rStyle w:val="22"/>
          <w:rFonts w:ascii="宋体" w:hAnsi="宋体" w:eastAsia="宋体" w:cs="宋体"/>
          <w:b w:val="0"/>
          <w:bCs w:val="0"/>
          <w:kern w:val="0"/>
          <w:sz w:val="24"/>
          <w:szCs w:val="24"/>
          <w:lang w:val="en-US" w:eastAsia="zh-CN" w:bidi="ar"/>
        </w:rPr>
        <w:t>候选人第一名</w:t>
      </w:r>
      <w:r>
        <w:rPr>
          <w:rFonts w:ascii="宋体" w:hAnsi="宋体" w:eastAsia="宋体" w:cs="宋体"/>
          <w:b w:val="0"/>
          <w:bCs w:val="0"/>
          <w:kern w:val="0"/>
          <w:sz w:val="24"/>
          <w:szCs w:val="24"/>
          <w:lang w:val="en-US" w:eastAsia="zh-CN" w:bidi="ar"/>
        </w:rPr>
        <w:t>，无其他项目中标</w:t>
      </w:r>
      <w:r>
        <w:rPr>
          <w:rFonts w:hint="eastAsia" w:ascii="宋体" w:hAnsi="宋体" w:eastAsia="宋体" w:cs="宋体"/>
          <w:b w:val="0"/>
          <w:bCs w:val="0"/>
          <w:kern w:val="0"/>
          <w:sz w:val="24"/>
          <w:szCs w:val="24"/>
          <w:lang w:val="en-US" w:eastAsia="zh-CN" w:bidi="ar"/>
        </w:rPr>
        <w:t>（成交）</w:t>
      </w:r>
      <w:r>
        <w:rPr>
          <w:rFonts w:ascii="宋体" w:hAnsi="宋体" w:eastAsia="宋体" w:cs="宋体"/>
          <w:b w:val="0"/>
          <w:bCs w:val="0"/>
          <w:kern w:val="0"/>
          <w:sz w:val="24"/>
          <w:szCs w:val="24"/>
          <w:lang w:val="en-US" w:eastAsia="zh-CN" w:bidi="ar"/>
        </w:rPr>
        <w:t>待公示、待签约、待开工情形，不存在影响本项目全职在岗履职的各类任职冲突情况。</w:t>
      </w:r>
    </w:p>
    <w:p w14:paraId="678CB65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三、本人所提交的注册建造师证书、任职资格、在岗状态等全部信息真实、合法、有效，无证书挂靠、资质造假、信息隐瞒、虚假申报等违规违法行为。</w:t>
      </w:r>
    </w:p>
    <w:p w14:paraId="571D2EB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四、若本人成功中标</w:t>
      </w:r>
      <w:r>
        <w:rPr>
          <w:rFonts w:hint="eastAsia" w:ascii="宋体" w:hAnsi="宋体" w:eastAsia="宋体" w:cs="宋体"/>
          <w:kern w:val="0"/>
          <w:sz w:val="24"/>
          <w:szCs w:val="24"/>
          <w:lang w:val="en-US" w:eastAsia="zh-CN" w:bidi="ar"/>
        </w:rPr>
        <w:t>（成交）</w:t>
      </w:r>
      <w:r>
        <w:rPr>
          <w:rFonts w:ascii="宋体" w:hAnsi="宋体" w:eastAsia="宋体" w:cs="宋体"/>
          <w:kern w:val="0"/>
          <w:sz w:val="24"/>
          <w:szCs w:val="24"/>
          <w:lang w:val="en-US" w:eastAsia="zh-CN" w:bidi="ar"/>
        </w:rPr>
        <w:t>本项目，将严格遵守工程建设相关法律法规及</w:t>
      </w:r>
      <w:r>
        <w:rPr>
          <w:rFonts w:hint="eastAsia" w:ascii="宋体" w:hAnsi="宋体" w:eastAsia="宋体" w:cs="宋体"/>
          <w:kern w:val="0"/>
          <w:sz w:val="24"/>
          <w:szCs w:val="24"/>
          <w:lang w:val="en-US" w:eastAsia="zh-CN" w:bidi="ar"/>
        </w:rPr>
        <w:t>采购</w:t>
      </w:r>
      <w:r>
        <w:rPr>
          <w:rFonts w:ascii="宋体" w:hAnsi="宋体" w:eastAsia="宋体" w:cs="宋体"/>
          <w:kern w:val="0"/>
          <w:sz w:val="24"/>
          <w:szCs w:val="24"/>
          <w:lang w:val="en-US" w:eastAsia="zh-CN" w:bidi="ar"/>
        </w:rPr>
        <w:t>文件要求，全职在岗履职，全程负责本项目施工管理、质量安全、进度管控、竣工验收等全部工作，不擅自离岗、不私自更换、不兼任其他任何工程项目职务。</w:t>
      </w:r>
    </w:p>
    <w:p w14:paraId="13300B41">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五、本人充分知晓，若本次承诺内容存在虚假、隐瞒、不实，本人自愿接受</w:t>
      </w:r>
      <w:r>
        <w:rPr>
          <w:rFonts w:hint="eastAsia" w:ascii="宋体" w:hAnsi="宋体" w:eastAsia="宋体" w:cs="宋体"/>
          <w:kern w:val="0"/>
          <w:sz w:val="24"/>
          <w:szCs w:val="24"/>
          <w:lang w:val="en-US" w:eastAsia="zh-CN" w:bidi="ar"/>
        </w:rPr>
        <w:t>采购单位</w:t>
      </w:r>
      <w:r>
        <w:rPr>
          <w:rFonts w:ascii="宋体" w:hAnsi="宋体" w:eastAsia="宋体" w:cs="宋体"/>
          <w:kern w:val="0"/>
          <w:sz w:val="24"/>
          <w:szCs w:val="24"/>
          <w:lang w:val="en-US" w:eastAsia="zh-CN" w:bidi="ar"/>
        </w:rPr>
        <w:t>、行业主管部门的相关处罚，自愿放弃本项目</w:t>
      </w:r>
      <w:r>
        <w:rPr>
          <w:rFonts w:hint="eastAsia" w:ascii="宋体" w:hAnsi="宋体" w:eastAsia="宋体" w:cs="宋体"/>
          <w:kern w:val="0"/>
          <w:sz w:val="24"/>
          <w:szCs w:val="24"/>
          <w:lang w:val="en-US" w:eastAsia="zh-CN" w:bidi="ar"/>
        </w:rPr>
        <w:t>中标（成交）</w:t>
      </w:r>
      <w:r>
        <w:rPr>
          <w:rFonts w:ascii="宋体" w:hAnsi="宋体" w:eastAsia="宋体" w:cs="宋体"/>
          <w:kern w:val="0"/>
          <w:sz w:val="24"/>
          <w:szCs w:val="24"/>
          <w:lang w:val="en-US" w:eastAsia="zh-CN" w:bidi="ar"/>
        </w:rPr>
        <w:t>资格、解除施工合同，承担由此产生的一切经济损失、违约责任及全部法律责任，并记入个人不良执业记录。</w:t>
      </w:r>
    </w:p>
    <w:p w14:paraId="3F40B54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本承诺书内容真实有效，一经出具即刻生效，可作为本项目</w:t>
      </w:r>
      <w:r>
        <w:rPr>
          <w:rFonts w:hint="eastAsia" w:ascii="宋体" w:hAnsi="宋体" w:eastAsia="宋体" w:cs="宋体"/>
          <w:kern w:val="0"/>
          <w:sz w:val="24"/>
          <w:szCs w:val="24"/>
          <w:lang w:val="en-US" w:eastAsia="zh-CN" w:bidi="ar"/>
        </w:rPr>
        <w:t>竞标</w:t>
      </w:r>
      <w:r>
        <w:rPr>
          <w:rFonts w:ascii="宋体" w:hAnsi="宋体" w:eastAsia="宋体" w:cs="宋体"/>
          <w:kern w:val="0"/>
          <w:sz w:val="24"/>
          <w:szCs w:val="24"/>
          <w:lang w:val="en-US" w:eastAsia="zh-CN" w:bidi="ar"/>
        </w:rPr>
        <w:t>、签约、施工备案的有效依据</w:t>
      </w:r>
      <w:r>
        <w:rPr>
          <w:rFonts w:hint="eastAsia" w:ascii="宋体" w:hAnsi="宋体" w:eastAsia="宋体" w:cs="宋体"/>
          <w:kern w:val="0"/>
          <w:sz w:val="24"/>
          <w:szCs w:val="24"/>
          <w:lang w:val="en-US" w:eastAsia="zh-CN" w:bidi="ar"/>
        </w:rPr>
        <w:t>。</w:t>
      </w:r>
    </w:p>
    <w:p w14:paraId="60E4F07C">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特此承诺！</w:t>
      </w:r>
    </w:p>
    <w:p w14:paraId="1E1FD4FD">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承诺人（项目经理签字）：__________</w:t>
      </w:r>
    </w:p>
    <w:p w14:paraId="34447E41">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lang w:val="en-US" w:eastAsia="zh-CN"/>
        </w:rPr>
        <w:t>）：_________________</w:t>
      </w:r>
    </w:p>
    <w:p w14:paraId="0D14B928">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日期：______年____月____日</w:t>
      </w: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3"/>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3"/>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7"/>
      <w:bookmarkStart w:id="101" w:name="OLE_LINK5"/>
      <w:bookmarkStart w:id="102" w:name="OLE_LINK6"/>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7355675">
      <w:pPr>
        <w:pStyle w:val="9"/>
        <w:rPr>
          <w:rFonts w:hint="eastAsia" w:ascii="宋体" w:hAnsi="宋体" w:eastAsia="宋体" w:cs="宋体"/>
          <w:color w:val="auto"/>
          <w:kern w:val="0"/>
          <w:sz w:val="24"/>
          <w:highlight w:val="none"/>
          <w:lang w:val="zh-CN"/>
        </w:rPr>
      </w:pPr>
    </w:p>
    <w:p w14:paraId="5B353E41">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3B66C8B7">
      <w:pPr>
        <w:pStyle w:val="31"/>
        <w:spacing w:line="360" w:lineRule="auto"/>
        <w:ind w:left="420" w:leftChars="200" w:firstLine="0" w:firstLineChars="0"/>
        <w:rPr>
          <w:rFonts w:hint="eastAsia" w:ascii="宋体" w:hAnsi="宋体" w:eastAsia="宋体" w:cs="宋体"/>
          <w:color w:val="auto"/>
          <w:highlight w:val="none"/>
        </w:rPr>
      </w:pPr>
    </w:p>
    <w:p w14:paraId="7B8E747F">
      <w:pPr>
        <w:pStyle w:val="31"/>
        <w:spacing w:line="360" w:lineRule="auto"/>
        <w:ind w:left="420" w:leftChars="200" w:firstLine="0" w:firstLineChars="0"/>
        <w:rPr>
          <w:rFonts w:hint="eastAsia" w:ascii="宋体" w:hAnsi="宋体" w:eastAsia="宋体" w:cs="宋体"/>
          <w:color w:val="auto"/>
          <w:highlight w:val="none"/>
        </w:rPr>
      </w:pPr>
    </w:p>
    <w:p w14:paraId="06379832">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供应商为其缴纳近1个月（2026年5月至响应文件提交截止时间止任意一个月社保）社会保险的证明材料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3"/>
        <w:jc w:val="center"/>
        <w:rPr>
          <w:rFonts w:hint="eastAsia" w:ascii="宋体" w:hAnsi="宋体" w:eastAsia="宋体" w:cs="宋体"/>
          <w:color w:val="auto"/>
          <w:highlight w:val="none"/>
        </w:rPr>
      </w:pPr>
      <w:bookmarkStart w:id="111" w:name="_Toc7327"/>
      <w:bookmarkStart w:id="112" w:name="_Toc12495"/>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2A636997">
      <w:pPr>
        <w:pStyle w:val="9"/>
        <w:rPr>
          <w:rFonts w:hint="eastAsia" w:ascii="宋体" w:hAnsi="宋体" w:eastAsia="宋体" w:cs="宋体"/>
          <w:b/>
          <w:color w:val="auto"/>
          <w:kern w:val="2"/>
          <w:sz w:val="30"/>
          <w:szCs w:val="30"/>
          <w:highlight w:val="none"/>
          <w:lang w:eastAsia="zh-CN"/>
        </w:rPr>
      </w:pPr>
    </w:p>
    <w:p w14:paraId="7D9E939C">
      <w:pPr>
        <w:pStyle w:val="9"/>
        <w:rPr>
          <w:rFonts w:hint="eastAsia" w:ascii="宋体" w:hAnsi="宋体" w:eastAsia="宋体" w:cs="宋体"/>
          <w:b/>
          <w:color w:val="auto"/>
          <w:kern w:val="2"/>
          <w:sz w:val="30"/>
          <w:szCs w:val="30"/>
          <w:highlight w:val="none"/>
          <w:lang w:eastAsia="zh-CN"/>
        </w:rPr>
      </w:pPr>
    </w:p>
    <w:p w14:paraId="150655D7">
      <w:pPr>
        <w:pStyle w:val="9"/>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5"/>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5"/>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5"/>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天等县向都镇定明村甘蔗种植配套项目</w:t>
      </w:r>
    </w:p>
    <w:p w14:paraId="2D178095">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天等县向都镇</w:t>
      </w:r>
    </w:p>
    <w:p w14:paraId="23AC8BD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建设水利渠道长3.061千米，泵房1座，蓄水池3座及附属配套设施等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3"/>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5"/>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5"/>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2"/>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5"/>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5"/>
        <w:rPr>
          <w:rFonts w:hint="eastAsia"/>
          <w:color w:val="auto"/>
          <w:highlight w:val="none"/>
          <w:lang w:eastAsia="zh-CN"/>
        </w:rPr>
      </w:pPr>
    </w:p>
    <w:p w14:paraId="303DF4FB">
      <w:pPr>
        <w:rPr>
          <w:rFonts w:hint="eastAsia"/>
          <w:color w:val="auto"/>
          <w:highlight w:val="none"/>
          <w:lang w:eastAsia="zh-CN"/>
        </w:rPr>
      </w:pPr>
    </w:p>
    <w:p w14:paraId="2F2EC495">
      <w:pPr>
        <w:pStyle w:val="2"/>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5"/>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6"/>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26B6505"/>
    <w:rsid w:val="03373706"/>
    <w:rsid w:val="03D96B6A"/>
    <w:rsid w:val="04A32B9D"/>
    <w:rsid w:val="0A93759F"/>
    <w:rsid w:val="0B470389"/>
    <w:rsid w:val="0BB07E2E"/>
    <w:rsid w:val="0BB8442B"/>
    <w:rsid w:val="0BBA0B5B"/>
    <w:rsid w:val="0BD3006E"/>
    <w:rsid w:val="0DB14B56"/>
    <w:rsid w:val="0E5D5C46"/>
    <w:rsid w:val="0EE71440"/>
    <w:rsid w:val="105918DD"/>
    <w:rsid w:val="10BE70C6"/>
    <w:rsid w:val="11FE30BE"/>
    <w:rsid w:val="137E0075"/>
    <w:rsid w:val="16353440"/>
    <w:rsid w:val="1683226E"/>
    <w:rsid w:val="176B6115"/>
    <w:rsid w:val="18115A33"/>
    <w:rsid w:val="1A182C26"/>
    <w:rsid w:val="1B846C34"/>
    <w:rsid w:val="1C1E15F1"/>
    <w:rsid w:val="1CC400CA"/>
    <w:rsid w:val="1E5C100C"/>
    <w:rsid w:val="1E8A2924"/>
    <w:rsid w:val="1F980369"/>
    <w:rsid w:val="20392737"/>
    <w:rsid w:val="20F10A60"/>
    <w:rsid w:val="21B31D5B"/>
    <w:rsid w:val="22421347"/>
    <w:rsid w:val="24594B3F"/>
    <w:rsid w:val="24883C2A"/>
    <w:rsid w:val="24D40547"/>
    <w:rsid w:val="25CB59E7"/>
    <w:rsid w:val="29875F70"/>
    <w:rsid w:val="29C7422F"/>
    <w:rsid w:val="2A87364D"/>
    <w:rsid w:val="2C55425C"/>
    <w:rsid w:val="2CB857F7"/>
    <w:rsid w:val="2CC67AD7"/>
    <w:rsid w:val="2DFD4BAB"/>
    <w:rsid w:val="2E604A2F"/>
    <w:rsid w:val="2ECC021A"/>
    <w:rsid w:val="2F910E4F"/>
    <w:rsid w:val="322E1CC9"/>
    <w:rsid w:val="32924054"/>
    <w:rsid w:val="32F87D99"/>
    <w:rsid w:val="335E60EC"/>
    <w:rsid w:val="33940A6F"/>
    <w:rsid w:val="339A3B74"/>
    <w:rsid w:val="36CE7E44"/>
    <w:rsid w:val="37DE7194"/>
    <w:rsid w:val="38E22C12"/>
    <w:rsid w:val="3A1931C7"/>
    <w:rsid w:val="3C077603"/>
    <w:rsid w:val="3EA437B1"/>
    <w:rsid w:val="407D2C19"/>
    <w:rsid w:val="40F163A6"/>
    <w:rsid w:val="414D45F9"/>
    <w:rsid w:val="41D450C6"/>
    <w:rsid w:val="41E97150"/>
    <w:rsid w:val="41EC7387"/>
    <w:rsid w:val="42B111F9"/>
    <w:rsid w:val="44450AE0"/>
    <w:rsid w:val="47DD6D45"/>
    <w:rsid w:val="49000B27"/>
    <w:rsid w:val="49EA0282"/>
    <w:rsid w:val="4A487DAD"/>
    <w:rsid w:val="4BC71CA7"/>
    <w:rsid w:val="4C72630D"/>
    <w:rsid w:val="4E6028B4"/>
    <w:rsid w:val="4FD035BF"/>
    <w:rsid w:val="51170852"/>
    <w:rsid w:val="51AC0039"/>
    <w:rsid w:val="51E43FB1"/>
    <w:rsid w:val="51FE3557"/>
    <w:rsid w:val="52940EBA"/>
    <w:rsid w:val="52F51705"/>
    <w:rsid w:val="53A472CF"/>
    <w:rsid w:val="54350128"/>
    <w:rsid w:val="54364FEB"/>
    <w:rsid w:val="57437223"/>
    <w:rsid w:val="57783E2E"/>
    <w:rsid w:val="57BC7353"/>
    <w:rsid w:val="57D76DD3"/>
    <w:rsid w:val="57EB09D9"/>
    <w:rsid w:val="5A31056B"/>
    <w:rsid w:val="5A5B7189"/>
    <w:rsid w:val="5D60528F"/>
    <w:rsid w:val="5DAF4C1B"/>
    <w:rsid w:val="603924A1"/>
    <w:rsid w:val="615C0B85"/>
    <w:rsid w:val="62743679"/>
    <w:rsid w:val="629149A0"/>
    <w:rsid w:val="6429154F"/>
    <w:rsid w:val="67102518"/>
    <w:rsid w:val="68156932"/>
    <w:rsid w:val="685F7C35"/>
    <w:rsid w:val="68C80010"/>
    <w:rsid w:val="6A0E1913"/>
    <w:rsid w:val="6A757A1F"/>
    <w:rsid w:val="6A823E5A"/>
    <w:rsid w:val="6A8D1B73"/>
    <w:rsid w:val="6B207CB8"/>
    <w:rsid w:val="6B3B6738"/>
    <w:rsid w:val="6B4936C1"/>
    <w:rsid w:val="6C7517D5"/>
    <w:rsid w:val="6D534EAA"/>
    <w:rsid w:val="6D545394"/>
    <w:rsid w:val="6D6F2AAD"/>
    <w:rsid w:val="6ED475FC"/>
    <w:rsid w:val="6FFC4284"/>
    <w:rsid w:val="70CB7386"/>
    <w:rsid w:val="718D7F2D"/>
    <w:rsid w:val="71AE7C98"/>
    <w:rsid w:val="73D01CDB"/>
    <w:rsid w:val="757E49E2"/>
    <w:rsid w:val="75BC279C"/>
    <w:rsid w:val="75D04967"/>
    <w:rsid w:val="76CB0A4C"/>
    <w:rsid w:val="76F86DCF"/>
    <w:rsid w:val="777F0DB7"/>
    <w:rsid w:val="78431638"/>
    <w:rsid w:val="78737BE6"/>
    <w:rsid w:val="7A877563"/>
    <w:rsid w:val="7B4055F8"/>
    <w:rsid w:val="7B523C86"/>
    <w:rsid w:val="7C38637B"/>
    <w:rsid w:val="7C64030F"/>
    <w:rsid w:val="7DF05F7C"/>
    <w:rsid w:val="7E506AA8"/>
    <w:rsid w:val="7F0A1900"/>
    <w:rsid w:val="7F2A11C9"/>
    <w:rsid w:val="7F425A2A"/>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5"/>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customStyle="1" w:styleId="25">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表格文字"/>
    <w:basedOn w:val="10"/>
    <w:next w:val="9"/>
    <w:qFormat/>
    <w:uiPriority w:val="0"/>
    <w:pPr>
      <w:adjustRightInd w:val="0"/>
      <w:spacing w:line="420" w:lineRule="atLeast"/>
      <w:jc w:val="left"/>
      <w:textAlignment w:val="baseline"/>
    </w:pPr>
    <w:rPr>
      <w:kern w:val="0"/>
    </w:rPr>
  </w:style>
  <w:style w:type="paragraph" w:customStyle="1" w:styleId="27">
    <w:name w:val="正文文本1"/>
    <w:basedOn w:val="25"/>
    <w:next w:val="25"/>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2"/>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20347</Words>
  <Characters>22050</Characters>
  <Lines>0</Lines>
  <Paragraphs>0</Paragraphs>
  <TotalTime>0</TotalTime>
  <ScaleCrop>false</ScaleCrop>
  <LinksUpToDate>false</LinksUpToDate>
  <CharactersWithSpaces>22402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2026-06-12T14:05:53Z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