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520A">
      <w:pPr>
        <w:bidi w:val="0"/>
        <w:jc w:val="center"/>
        <w:rPr>
          <w:rFonts w:hint="eastAsia"/>
          <w:sz w:val="28"/>
          <w:szCs w:val="28"/>
          <w:lang w:val="en-US" w:eastAsia="zh-CN"/>
        </w:rPr>
      </w:pPr>
      <w:r>
        <w:rPr>
          <w:rFonts w:hint="eastAsia"/>
          <w:sz w:val="28"/>
          <w:szCs w:val="28"/>
          <w:lang w:val="en-US" w:eastAsia="zh-CN"/>
        </w:rPr>
        <w:drawing>
          <wp:inline distT="0" distB="0" distL="114300" distR="114300">
            <wp:extent cx="6196965" cy="8764905"/>
            <wp:effectExtent l="0" t="0" r="13335" b="17145"/>
            <wp:docPr id="1" name="图片 1" descr="acf72090-0b56-409a-9a0e-6300ede5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f72090-0b56-409a-9a0e-6300ede58546"/>
                    <pic:cNvPicPr>
                      <a:picLocks noChangeAspect="1"/>
                    </pic:cNvPicPr>
                  </pic:nvPicPr>
                  <pic:blipFill>
                    <a:blip r:embed="rId16"/>
                    <a:stretch>
                      <a:fillRect/>
                    </a:stretch>
                  </pic:blipFill>
                  <pic:spPr>
                    <a:xfrm>
                      <a:off x="0" y="0"/>
                      <a:ext cx="6196965" cy="8764905"/>
                    </a:xfrm>
                    <a:prstGeom prst="rect">
                      <a:avLst/>
                    </a:prstGeom>
                  </pic:spPr>
                </pic:pic>
              </a:graphicData>
            </a:graphic>
          </wp:inline>
        </w:drawing>
      </w:r>
    </w:p>
    <w:p w14:paraId="6A34A16D">
      <w:pPr>
        <w:spacing w:line="360" w:lineRule="auto"/>
        <w:jc w:val="center"/>
        <w:rPr>
          <w:rFonts w:hint="eastAsia" w:ascii="宋体" w:hAnsi="宋体" w:eastAsia="宋体" w:cs="宋体"/>
          <w:b/>
          <w:color w:val="auto"/>
          <w:sz w:val="44"/>
          <w:szCs w:val="44"/>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start="0"/>
          <w:cols w:space="720" w:num="1"/>
          <w:titlePg/>
          <w:rtlGutter w:val="1"/>
          <w:docGrid w:type="lines" w:linePitch="312" w:charSpace="0"/>
        </w:sectPr>
      </w:pPr>
    </w:p>
    <w:p w14:paraId="1FA7969C">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41120350">
      <w:pPr>
        <w:spacing w:line="400" w:lineRule="exact"/>
        <w:jc w:val="center"/>
        <w:rPr>
          <w:rFonts w:hint="eastAsia" w:ascii="宋体" w:hAnsi="宋体" w:eastAsia="宋体" w:cs="宋体"/>
          <w:b/>
          <w:color w:val="auto"/>
          <w:sz w:val="44"/>
          <w:szCs w:val="44"/>
        </w:rPr>
      </w:pPr>
    </w:p>
    <w:p w14:paraId="02DD8E2B">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TOC \o "1-3" \h \z \u </w:instrText>
      </w:r>
      <w:r>
        <w:rPr>
          <w:rFonts w:hint="eastAsia" w:ascii="宋体" w:hAnsi="宋体" w:eastAsia="宋体" w:cs="宋体"/>
          <w:b/>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_Toc21228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 xml:space="preserve">第一章 </w:t>
      </w:r>
      <w:r>
        <w:rPr>
          <w:rFonts w:hint="eastAsia" w:ascii="宋体" w:hAnsi="宋体" w:cs="宋体"/>
          <w:bCs/>
          <w:color w:val="auto"/>
          <w:kern w:val="44"/>
          <w:sz w:val="24"/>
          <w:szCs w:val="24"/>
          <w:lang w:val="en-US" w:eastAsia="zh-CN"/>
        </w:rPr>
        <w:t xml:space="preserve"> </w:t>
      </w:r>
      <w:r>
        <w:rPr>
          <w:rFonts w:hint="eastAsia" w:ascii="宋体" w:hAnsi="宋体" w:eastAsia="宋体" w:cs="宋体"/>
          <w:bCs/>
          <w:color w:val="auto"/>
          <w:kern w:val="44"/>
          <w:sz w:val="24"/>
          <w:szCs w:val="24"/>
        </w:rPr>
        <w:t>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F6532A">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_Toc5857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 xml:space="preserve">第二章 </w:t>
      </w:r>
      <w:r>
        <w:rPr>
          <w:rFonts w:hint="eastAsia" w:ascii="宋体" w:hAnsi="宋体" w:cs="宋体"/>
          <w:color w:val="auto"/>
          <w:kern w:val="44"/>
          <w:sz w:val="24"/>
          <w:szCs w:val="24"/>
          <w:lang w:val="en-US" w:eastAsia="zh-CN"/>
        </w:rPr>
        <w:t xml:space="preserve"> </w:t>
      </w:r>
      <w:r>
        <w:rPr>
          <w:rFonts w:hint="eastAsia" w:ascii="宋体" w:hAnsi="宋体" w:eastAsia="宋体" w:cs="宋体"/>
          <w:color w:val="auto"/>
          <w:kern w:val="44"/>
          <w:sz w:val="24"/>
          <w:szCs w:val="24"/>
        </w:rPr>
        <w:t>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FC59212">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_Toc9125 </w:instrText>
      </w:r>
      <w:r>
        <w:rPr>
          <w:rFonts w:hint="eastAsia" w:ascii="宋体" w:hAnsi="宋体" w:eastAsia="宋体" w:cs="宋体"/>
          <w:color w:val="auto"/>
          <w:sz w:val="24"/>
          <w:szCs w:val="24"/>
        </w:rPr>
        <w:fldChar w:fldCharType="separate"/>
      </w:r>
      <w:r>
        <w:rPr>
          <w:rFonts w:hint="eastAsia" w:ascii="宋体" w:hAnsi="宋体" w:eastAsia="宋体" w:cs="宋体"/>
          <w:color w:val="auto"/>
          <w:kern w:val="44"/>
          <w:sz w:val="24"/>
          <w:szCs w:val="24"/>
        </w:rPr>
        <w:t xml:space="preserve">第三章 </w:t>
      </w:r>
      <w:r>
        <w:rPr>
          <w:rFonts w:hint="eastAsia" w:ascii="宋体" w:hAnsi="宋体" w:cs="宋体"/>
          <w:color w:val="auto"/>
          <w:kern w:val="44"/>
          <w:sz w:val="24"/>
          <w:szCs w:val="24"/>
          <w:lang w:val="en-US" w:eastAsia="zh-CN"/>
        </w:rPr>
        <w:t xml:space="preserve"> </w:t>
      </w:r>
      <w:r>
        <w:rPr>
          <w:rFonts w:hint="eastAsia" w:ascii="宋体" w:hAnsi="宋体" w:eastAsia="宋体" w:cs="宋体"/>
          <w:color w:val="auto"/>
          <w:kern w:val="44"/>
          <w:sz w:val="24"/>
          <w:szCs w:val="24"/>
        </w:rPr>
        <w:t>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_Toc9125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3C6D8F4">
      <w:pPr>
        <w:pStyle w:val="14"/>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_Toc15583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第一节 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_Toc15583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8F5CDF2">
      <w:pPr>
        <w:pStyle w:val="14"/>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_Toc5715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第二节 供应商须知正文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D51B28F">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_Toc12165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_Toc12165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E7BE63B">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_Toc29811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二、磋商文件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_Toc29811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70FC0CA">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_Toc12429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三、响应文件的编制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_Toc12429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7FB7232">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_Toc26182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四、评审及磋商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_Toc26182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B4D5990">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_Toc9972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五、成交及合同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9BC943C">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_Toc8074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六、验收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_Toc8074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725128C">
      <w:pPr>
        <w:pStyle w:val="10"/>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_Toc9558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七、其他事项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_Toc9558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AA1288A">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_Toc9978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第四章  评审程序、评审方法和评审标准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08BC13F">
      <w:pPr>
        <w:pStyle w:val="14"/>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第一节 评审程序和评审方法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A83B1A">
      <w:pPr>
        <w:pStyle w:val="14"/>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_Toc14052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第二节 评标报告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_Toc14052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D29FB68">
      <w:pPr>
        <w:pStyle w:val="14"/>
        <w:keepNext w:val="0"/>
        <w:keepLines w:val="0"/>
        <w:pageBreakBefore w:val="0"/>
        <w:widowControl w:val="0"/>
        <w:tabs>
          <w:tab w:val="right" w:leader="dot" w:pos="9638"/>
          <w:tab w:val="clear" w:pos="829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_Toc13089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第三节 评审过程的保密与录像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_Toc13089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197F8E8">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 xml:space="preserve">第五章 </w:t>
      </w:r>
      <w:r>
        <w:rPr>
          <w:rFonts w:hint="eastAsia" w:ascii="宋体" w:hAnsi="宋体" w:cs="宋体"/>
          <w:bCs/>
          <w:color w:val="auto"/>
          <w:kern w:val="44"/>
          <w:sz w:val="24"/>
          <w:szCs w:val="24"/>
          <w:lang w:val="en-US" w:eastAsia="zh-CN"/>
        </w:rPr>
        <w:t xml:space="preserve"> </w:t>
      </w:r>
      <w:r>
        <w:rPr>
          <w:rFonts w:hint="eastAsia" w:ascii="宋体" w:hAnsi="宋体" w:eastAsia="宋体" w:cs="宋体"/>
          <w:bCs/>
          <w:color w:val="auto"/>
          <w:kern w:val="44"/>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BE036">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_Toc25338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第六章  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_Toc25338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7DC44D9">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_Toc3113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kern w:val="44"/>
          <w:sz w:val="24"/>
          <w:szCs w:val="24"/>
        </w:rPr>
        <w:t xml:space="preserve">第七章 </w:t>
      </w:r>
      <w:r>
        <w:rPr>
          <w:rFonts w:hint="eastAsia" w:ascii="宋体" w:hAnsi="宋体" w:cs="宋体"/>
          <w:bCs w:val="0"/>
          <w:color w:val="auto"/>
          <w:kern w:val="44"/>
          <w:sz w:val="24"/>
          <w:szCs w:val="24"/>
          <w:lang w:val="en-US" w:eastAsia="zh-CN"/>
        </w:rPr>
        <w:t xml:space="preserve"> </w:t>
      </w:r>
      <w:r>
        <w:rPr>
          <w:rFonts w:hint="eastAsia" w:ascii="宋体" w:hAnsi="宋体" w:eastAsia="宋体" w:cs="宋体"/>
          <w:bCs w:val="0"/>
          <w:color w:val="auto"/>
          <w:kern w:val="44"/>
          <w:sz w:val="24"/>
          <w:szCs w:val="24"/>
        </w:rPr>
        <w:t>质疑、投诉材料格式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F72EE9F">
      <w:pPr>
        <w:pStyle w:val="13"/>
        <w:keepNext w:val="0"/>
        <w:keepLines w:val="0"/>
        <w:pageBreakBefore w:val="0"/>
        <w:widowControl w:val="0"/>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_Toc15064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lang w:val="en-US" w:eastAsia="zh-CN" w:bidi="ar-SA"/>
        </w:rPr>
        <w:t xml:space="preserve">第八章 </w:t>
      </w:r>
      <w:r>
        <w:rPr>
          <w:rFonts w:hint="eastAsia" w:ascii="宋体" w:hAnsi="宋体" w:cs="宋体"/>
          <w:bCs/>
          <w:color w:val="auto"/>
          <w:kern w:val="44"/>
          <w:sz w:val="24"/>
          <w:szCs w:val="24"/>
          <w:lang w:val="en-US" w:eastAsia="zh-CN" w:bidi="ar-SA"/>
        </w:rPr>
        <w:t xml:space="preserve"> </w:t>
      </w:r>
      <w:r>
        <w:rPr>
          <w:rFonts w:hint="eastAsia" w:ascii="宋体" w:hAnsi="宋体" w:eastAsia="宋体" w:cs="宋体"/>
          <w:bCs/>
          <w:color w:val="auto"/>
          <w:kern w:val="44"/>
          <w:sz w:val="24"/>
          <w:szCs w:val="24"/>
          <w:lang w:val="en-US" w:eastAsia="zh-CN" w:bidi="ar-SA"/>
        </w:rPr>
        <w:t>政府采购合同验收书范本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_Toc15064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35F5BF9">
      <w:pPr>
        <w:keepNext w:val="0"/>
        <w:keepLines w:val="0"/>
        <w:pageBreakBefore w:val="0"/>
        <w:widowControl w:val="0"/>
        <w:tabs>
          <w:tab w:val="right" w:leader="dot" w:pos="8296"/>
          <w:tab w:val="right" w:leader="dot" w:pos="8647"/>
        </w:tabs>
        <w:kinsoku/>
        <w:wordWrap/>
        <w:overflowPunct/>
        <w:topLinePunct w:val="0"/>
        <w:autoSpaceDE/>
        <w:autoSpaceDN/>
        <w:bidi w:val="0"/>
        <w:adjustRightInd/>
        <w:snapToGrid w:val="0"/>
        <w:spacing w:line="360" w:lineRule="auto"/>
        <w:ind w:right="231" w:rightChars="110"/>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fldChar w:fldCharType="end"/>
      </w:r>
    </w:p>
    <w:p w14:paraId="6172A872">
      <w:pPr>
        <w:spacing w:line="400" w:lineRule="exact"/>
        <w:jc w:val="left"/>
        <w:rPr>
          <w:rFonts w:hint="eastAsia" w:ascii="宋体" w:hAnsi="宋体" w:eastAsia="宋体" w:cs="宋体"/>
          <w:b/>
          <w:color w:val="auto"/>
          <w:sz w:val="32"/>
          <w:szCs w:val="32"/>
        </w:rPr>
      </w:pPr>
    </w:p>
    <w:p w14:paraId="5D2CF597">
      <w:pPr>
        <w:spacing w:line="400" w:lineRule="exact"/>
        <w:rPr>
          <w:rFonts w:hint="eastAsia" w:ascii="宋体" w:hAnsi="宋体" w:eastAsia="宋体" w:cs="宋体"/>
          <w:b/>
          <w:color w:val="auto"/>
          <w:sz w:val="32"/>
          <w:szCs w:val="32"/>
        </w:rPr>
        <w:sectPr>
          <w:footerReference r:id="rId8" w:type="first"/>
          <w:footerReference r:id="rId7" w:type="default"/>
          <w:pgSz w:w="11906" w:h="16838"/>
          <w:pgMar w:top="1440" w:right="1080" w:bottom="1440" w:left="1080" w:header="851" w:footer="992" w:gutter="0"/>
          <w:pgNumType w:fmt="decimal" w:start="1"/>
          <w:cols w:space="720" w:num="1"/>
          <w:rtlGutter w:val="1"/>
          <w:docGrid w:type="lines" w:linePitch="312" w:charSpace="0"/>
        </w:sectPr>
      </w:pPr>
    </w:p>
    <w:p w14:paraId="45CB05D6">
      <w:pPr>
        <w:spacing w:line="360" w:lineRule="auto"/>
        <w:ind w:firstLine="643" w:firstLineChars="200"/>
        <w:jc w:val="center"/>
        <w:outlineLvl w:val="0"/>
        <w:rPr>
          <w:rFonts w:hint="eastAsia" w:ascii="宋体" w:hAnsi="宋体" w:eastAsia="宋体" w:cs="宋体"/>
          <w:b/>
          <w:color w:val="auto"/>
          <w:kern w:val="44"/>
          <w:sz w:val="32"/>
          <w:szCs w:val="32"/>
        </w:rPr>
      </w:pPr>
      <w:bookmarkStart w:id="0" w:name="_Toc21228"/>
      <w:r>
        <w:rPr>
          <w:rFonts w:hint="eastAsia" w:ascii="宋体" w:hAnsi="宋体" w:eastAsia="宋体" w:cs="宋体"/>
          <w:b/>
          <w:color w:val="auto"/>
          <w:kern w:val="44"/>
          <w:sz w:val="32"/>
          <w:szCs w:val="32"/>
        </w:rPr>
        <w:t xml:space="preserve">第一章 </w:t>
      </w:r>
      <w:r>
        <w:rPr>
          <w:rFonts w:hint="eastAsia" w:ascii="宋体" w:hAnsi="宋体" w:cs="宋体"/>
          <w:b/>
          <w:color w:val="auto"/>
          <w:kern w:val="44"/>
          <w:sz w:val="32"/>
          <w:szCs w:val="32"/>
          <w:lang w:val="en-US" w:eastAsia="zh-CN"/>
        </w:rPr>
        <w:t xml:space="preserve"> </w:t>
      </w:r>
      <w:r>
        <w:rPr>
          <w:rFonts w:hint="eastAsia" w:ascii="宋体" w:hAnsi="宋体" w:eastAsia="宋体" w:cs="宋体"/>
          <w:b/>
          <w:color w:val="auto"/>
          <w:kern w:val="44"/>
          <w:sz w:val="32"/>
          <w:szCs w:val="32"/>
        </w:rPr>
        <w:t>竞争性磋商公告</w:t>
      </w:r>
      <w:bookmarkEnd w:id="0"/>
      <w:bookmarkStart w:id="1" w:name="_Toc35393798"/>
      <w:bookmarkStart w:id="2" w:name="_Toc44229878"/>
      <w:bookmarkStart w:id="3" w:name="_Toc28359012"/>
      <w:bookmarkStart w:id="4" w:name="_Toc35393629"/>
      <w:bookmarkStart w:id="5" w:name="_Toc28359089"/>
      <w:bookmarkStart w:id="6" w:name="_Toc35393792"/>
      <w:bookmarkStart w:id="7" w:name="_Toc35393623"/>
      <w:bookmarkStart w:id="8" w:name="_Toc28359081"/>
      <w:bookmarkStart w:id="9" w:name="_Toc28359004"/>
    </w:p>
    <w:p w14:paraId="75EB559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项目概况</w:t>
      </w:r>
    </w:p>
    <w:p w14:paraId="4464DB0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550" w:firstLineChars="250"/>
        <w:textAlignment w:val="auto"/>
        <w:rPr>
          <w:rFonts w:hint="eastAsia" w:ascii="宋体" w:hAnsi="宋体" w:eastAsia="宋体" w:cs="宋体"/>
          <w:color w:val="auto"/>
          <w:sz w:val="22"/>
          <w:szCs w:val="22"/>
          <w:u w:val="single"/>
        </w:rPr>
      </w:pPr>
      <w:r>
        <w:rPr>
          <w:rFonts w:hint="eastAsia" w:ascii="宋体" w:hAnsi="宋体" w:cs="宋体"/>
          <w:color w:val="auto"/>
          <w:sz w:val="22"/>
          <w:szCs w:val="22"/>
          <w:u w:val="single"/>
          <w:lang w:eastAsia="zh-CN"/>
        </w:rPr>
        <w:t>泵站、堤防护坡清理维护工程 (2026年度)</w:t>
      </w:r>
      <w:r>
        <w:rPr>
          <w:rFonts w:hint="eastAsia" w:ascii="宋体" w:hAnsi="宋体" w:eastAsia="宋体" w:cs="宋体"/>
          <w:color w:val="auto"/>
          <w:sz w:val="22"/>
          <w:szCs w:val="22"/>
        </w:rPr>
        <w:t>的潜在供应商应在广西政府采购云平台（</w:t>
      </w:r>
      <w:r>
        <w:rPr>
          <w:rFonts w:hint="eastAsia" w:ascii="宋体" w:hAnsi="宋体" w:cs="宋体"/>
          <w:color w:val="auto"/>
          <w:sz w:val="22"/>
          <w:szCs w:val="22"/>
          <w:lang w:eastAsia="zh-CN"/>
        </w:rPr>
        <w:t>http://www.ccgp-guangxi.gov.cn/</w:t>
      </w:r>
      <w:r>
        <w:rPr>
          <w:rFonts w:hint="eastAsia" w:ascii="宋体" w:hAnsi="宋体" w:eastAsia="宋体" w:cs="宋体"/>
          <w:color w:val="auto"/>
          <w:sz w:val="22"/>
          <w:szCs w:val="22"/>
        </w:rPr>
        <w:t>）获取采购文件</w:t>
      </w:r>
      <w:r>
        <w:rPr>
          <w:rFonts w:hint="eastAsia" w:ascii="宋体" w:hAnsi="宋体" w:eastAsia="宋体" w:cs="宋体"/>
          <w:color w:val="auto"/>
          <w:sz w:val="22"/>
          <w:szCs w:val="22"/>
          <w:u w:val="none"/>
        </w:rPr>
        <w:t>，并于</w:t>
      </w:r>
      <w:r>
        <w:rPr>
          <w:rFonts w:hint="eastAsia" w:ascii="宋体" w:hAnsi="宋体" w:cs="宋体"/>
          <w:color w:val="auto"/>
          <w:sz w:val="22"/>
          <w:szCs w:val="22"/>
          <w:u w:val="single"/>
          <w:lang w:val="en-US" w:eastAsia="zh-CN"/>
        </w:rPr>
        <w:t>2026</w:t>
      </w:r>
      <w:r>
        <w:rPr>
          <w:rFonts w:hint="eastAsia" w:ascii="宋体" w:hAnsi="宋体" w:cs="宋体"/>
          <w:color w:val="auto"/>
          <w:sz w:val="22"/>
          <w:szCs w:val="22"/>
          <w:u w:val="single"/>
          <w:lang w:eastAsia="zh-CN"/>
        </w:rPr>
        <w:t>年</w:t>
      </w:r>
      <w:r>
        <w:rPr>
          <w:rFonts w:hint="eastAsia" w:ascii="宋体" w:hAnsi="宋体" w:cs="宋体"/>
          <w:color w:val="auto"/>
          <w:sz w:val="22"/>
          <w:szCs w:val="22"/>
          <w:u w:val="single"/>
          <w:lang w:val="en-US" w:eastAsia="zh-CN"/>
        </w:rPr>
        <w:t>5</w:t>
      </w:r>
      <w:r>
        <w:rPr>
          <w:rFonts w:hint="eastAsia" w:ascii="宋体" w:hAnsi="宋体" w:cs="宋体"/>
          <w:color w:val="auto"/>
          <w:sz w:val="22"/>
          <w:szCs w:val="22"/>
          <w:u w:val="single"/>
          <w:lang w:eastAsia="zh-CN"/>
        </w:rPr>
        <w:t>月</w:t>
      </w:r>
      <w:r>
        <w:rPr>
          <w:rFonts w:hint="eastAsia" w:ascii="宋体" w:hAnsi="宋体" w:cs="宋体"/>
          <w:color w:val="auto"/>
          <w:sz w:val="22"/>
          <w:szCs w:val="22"/>
          <w:u w:val="single"/>
          <w:lang w:val="en-US" w:eastAsia="zh-CN"/>
        </w:rPr>
        <w:t>11</w:t>
      </w:r>
      <w:r>
        <w:rPr>
          <w:rFonts w:hint="eastAsia" w:ascii="宋体" w:hAnsi="宋体" w:cs="宋体"/>
          <w:color w:val="auto"/>
          <w:sz w:val="22"/>
          <w:szCs w:val="22"/>
          <w:u w:val="single"/>
          <w:lang w:eastAsia="zh-CN"/>
        </w:rPr>
        <w:t>日</w:t>
      </w:r>
      <w:r>
        <w:rPr>
          <w:rFonts w:hint="eastAsia" w:ascii="宋体" w:hAnsi="宋体" w:eastAsia="宋体" w:cs="宋体"/>
          <w:color w:val="auto"/>
          <w:sz w:val="22"/>
          <w:szCs w:val="22"/>
          <w:u w:val="single"/>
        </w:rPr>
        <w:t>09</w:t>
      </w:r>
      <w:r>
        <w:rPr>
          <w:rFonts w:hint="eastAsia" w:ascii="宋体" w:hAnsi="宋体" w:cs="宋体"/>
          <w:color w:val="auto"/>
          <w:sz w:val="22"/>
          <w:szCs w:val="22"/>
          <w:u w:val="single"/>
          <w:lang w:eastAsia="zh-CN"/>
        </w:rPr>
        <w:t>：</w:t>
      </w:r>
      <w:r>
        <w:rPr>
          <w:rFonts w:hint="eastAsia" w:ascii="宋体" w:hAnsi="宋体" w:cs="宋体"/>
          <w:color w:val="auto"/>
          <w:sz w:val="22"/>
          <w:szCs w:val="22"/>
          <w:u w:val="single"/>
          <w:lang w:val="en-US" w:eastAsia="zh-CN"/>
        </w:rPr>
        <w:t>20</w:t>
      </w:r>
      <w:r>
        <w:rPr>
          <w:rFonts w:hint="eastAsia" w:ascii="宋体" w:hAnsi="宋体" w:eastAsia="宋体" w:cs="宋体"/>
          <w:bCs/>
          <w:color w:val="auto"/>
          <w:sz w:val="22"/>
          <w:szCs w:val="22"/>
        </w:rPr>
        <w:t>（北京时间）前</w:t>
      </w:r>
      <w:r>
        <w:rPr>
          <w:rFonts w:hint="eastAsia" w:ascii="宋体" w:hAnsi="宋体" w:eastAsia="宋体" w:cs="宋体"/>
          <w:color w:val="auto"/>
          <w:sz w:val="22"/>
          <w:szCs w:val="22"/>
        </w:rPr>
        <w:t>递交（上传）响应文件。</w:t>
      </w:r>
    </w:p>
    <w:p w14:paraId="2991940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一、项目基本情况</w:t>
      </w:r>
      <w:bookmarkEnd w:id="1"/>
      <w:bookmarkEnd w:id="2"/>
      <w:bookmarkEnd w:id="3"/>
      <w:bookmarkEnd w:id="4"/>
      <w:bookmarkEnd w:id="5"/>
    </w:p>
    <w:p w14:paraId="26BAE2E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项目编号：LZZC2026-C2-990128-QJZX</w:t>
      </w:r>
    </w:p>
    <w:p w14:paraId="4BC8E42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u w:val="single"/>
          <w:lang w:eastAsia="zh-CN"/>
        </w:rPr>
      </w:pPr>
      <w:r>
        <w:rPr>
          <w:rFonts w:hint="eastAsia" w:ascii="宋体" w:hAnsi="宋体" w:eastAsia="宋体" w:cs="宋体"/>
          <w:color w:val="auto"/>
          <w:sz w:val="22"/>
          <w:szCs w:val="22"/>
        </w:rPr>
        <w:t>项目名称：</w:t>
      </w:r>
      <w:r>
        <w:rPr>
          <w:rFonts w:hint="eastAsia" w:ascii="宋体" w:hAnsi="宋体" w:cs="宋体"/>
          <w:color w:val="auto"/>
          <w:sz w:val="22"/>
          <w:szCs w:val="22"/>
          <w:lang w:eastAsia="zh-CN"/>
        </w:rPr>
        <w:t>泵站、堤防护坡清理维护工程 (2026年度)</w:t>
      </w:r>
    </w:p>
    <w:p w14:paraId="5D8BC8B3">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采购方式：竞争性磋商</w:t>
      </w:r>
    </w:p>
    <w:p w14:paraId="5C59456A">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eastAsia="宋体" w:cs="宋体"/>
          <w:color w:val="auto"/>
          <w:sz w:val="22"/>
          <w:szCs w:val="22"/>
          <w:lang w:val="en-US" w:eastAsia="zh-CN"/>
        </w:rPr>
      </w:pPr>
      <w:r>
        <w:rPr>
          <w:rFonts w:hint="eastAsia" w:ascii="宋体" w:hAnsi="宋体" w:eastAsia="宋体" w:cs="宋体"/>
          <w:color w:val="auto"/>
          <w:sz w:val="22"/>
          <w:szCs w:val="22"/>
        </w:rPr>
        <w:t>预算总金额（元）：</w:t>
      </w:r>
      <w:r>
        <w:rPr>
          <w:rFonts w:hint="eastAsia" w:ascii="宋体" w:hAnsi="宋体" w:cs="宋体"/>
          <w:color w:val="auto"/>
          <w:sz w:val="22"/>
          <w:szCs w:val="22"/>
          <w:lang w:val="en-US" w:eastAsia="zh-CN"/>
        </w:rPr>
        <w:t>1979500.00</w:t>
      </w:r>
    </w:p>
    <w:p w14:paraId="3317EAF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采购需求：</w:t>
      </w:r>
    </w:p>
    <w:p w14:paraId="01833A4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标项名称</w:t>
      </w:r>
      <w:r>
        <w:rPr>
          <w:rFonts w:hint="eastAsia" w:ascii="仿宋" w:hAnsi="仿宋" w:eastAsia="仿宋" w:cs="仿宋"/>
          <w:color w:val="auto"/>
          <w:sz w:val="22"/>
          <w:szCs w:val="22"/>
          <w:lang w:eastAsia="zh-CN"/>
        </w:rPr>
        <w:t>：泵站、堤防护坡清理维护工程 (2026年度)</w:t>
      </w:r>
    </w:p>
    <w:p w14:paraId="6ABD2D5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数量：1项</w:t>
      </w:r>
    </w:p>
    <w:p w14:paraId="1754FF9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预算金额（元）：</w:t>
      </w:r>
      <w:r>
        <w:rPr>
          <w:rFonts w:hint="eastAsia" w:ascii="宋体" w:hAnsi="宋体" w:cs="宋体"/>
          <w:color w:val="auto"/>
          <w:sz w:val="22"/>
          <w:szCs w:val="22"/>
          <w:lang w:val="en-US" w:eastAsia="zh-CN"/>
        </w:rPr>
        <w:t>1979500.00</w:t>
      </w:r>
    </w:p>
    <w:p w14:paraId="5D7510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rPr>
        <w:t>简要规格描述或项目基本概况介绍、用途：泵站、堤防护坡清理维护工程，详见“第二章  采购需求”。质量要求：合格；安全要求：无安全事故。</w:t>
      </w:r>
    </w:p>
    <w:p w14:paraId="1AD5105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仿宋" w:hAnsi="仿宋" w:eastAsia="仿宋" w:cs="仿宋"/>
          <w:color w:val="auto"/>
          <w:sz w:val="22"/>
          <w:szCs w:val="22"/>
          <w:lang w:val="en-US" w:eastAsia="zh-CN"/>
        </w:rPr>
      </w:pPr>
      <w:r>
        <w:rPr>
          <w:rFonts w:hint="eastAsia" w:ascii="仿宋" w:hAnsi="仿宋" w:eastAsia="仿宋" w:cs="仿宋"/>
          <w:color w:val="auto"/>
          <w:sz w:val="22"/>
          <w:szCs w:val="22"/>
        </w:rPr>
        <w:t>最高限价</w:t>
      </w:r>
      <w:r>
        <w:rPr>
          <w:rFonts w:hint="eastAsia" w:ascii="仿宋" w:hAnsi="仿宋" w:eastAsia="仿宋" w:cs="仿宋"/>
          <w:color w:val="auto"/>
          <w:sz w:val="22"/>
          <w:szCs w:val="22"/>
          <w:lang w:val="en-US" w:eastAsia="zh-CN"/>
        </w:rPr>
        <w:t>(如有)</w:t>
      </w:r>
      <w:r>
        <w:rPr>
          <w:rFonts w:hint="eastAsia" w:ascii="仿宋" w:hAnsi="仿宋" w:eastAsia="仿宋" w:cs="仿宋"/>
          <w:color w:val="auto"/>
          <w:sz w:val="22"/>
          <w:szCs w:val="22"/>
        </w:rPr>
        <w:t>：</w:t>
      </w:r>
      <w:r>
        <w:rPr>
          <w:rFonts w:hint="eastAsia" w:ascii="宋体" w:hAnsi="宋体" w:cs="宋体"/>
          <w:color w:val="auto"/>
          <w:sz w:val="22"/>
          <w:szCs w:val="22"/>
          <w:lang w:val="en-US" w:eastAsia="zh-CN"/>
        </w:rPr>
        <w:t>1979500.00</w:t>
      </w:r>
    </w:p>
    <w:p w14:paraId="488C82E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u w:val="single"/>
        </w:rPr>
      </w:pPr>
      <w:r>
        <w:rPr>
          <w:rFonts w:hint="eastAsia" w:ascii="仿宋" w:hAnsi="仿宋" w:eastAsia="仿宋" w:cs="仿宋"/>
          <w:color w:val="auto"/>
          <w:sz w:val="22"/>
          <w:szCs w:val="22"/>
        </w:rPr>
        <w:t>合同履行期限：</w:t>
      </w:r>
      <w:r>
        <w:rPr>
          <w:rFonts w:hint="eastAsia" w:ascii="仿宋" w:hAnsi="仿宋" w:eastAsia="仿宋" w:cs="仿宋"/>
          <w:color w:val="auto"/>
          <w:sz w:val="22"/>
          <w:szCs w:val="22"/>
          <w:lang w:eastAsia="zh-CN"/>
        </w:rPr>
        <w:t>合同签订之日起至2027年6月30日</w:t>
      </w:r>
      <w:r>
        <w:rPr>
          <w:rFonts w:hint="eastAsia" w:ascii="仿宋" w:hAnsi="仿宋" w:eastAsia="仿宋" w:cs="仿宋"/>
          <w:color w:val="auto"/>
          <w:sz w:val="22"/>
          <w:szCs w:val="22"/>
        </w:rPr>
        <w:t>。</w:t>
      </w:r>
    </w:p>
    <w:p w14:paraId="30772B6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u w:val="none"/>
        </w:rPr>
      </w:pPr>
      <w:r>
        <w:rPr>
          <w:rFonts w:hint="eastAsia" w:ascii="仿宋" w:hAnsi="仿宋" w:eastAsia="仿宋" w:cs="仿宋"/>
          <w:color w:val="auto"/>
          <w:sz w:val="22"/>
          <w:szCs w:val="22"/>
        </w:rPr>
        <w:t>本标项</w:t>
      </w:r>
      <w:r>
        <w:rPr>
          <w:rFonts w:hint="eastAsia" w:ascii="仿宋" w:hAnsi="仿宋" w:eastAsia="仿宋" w:cs="仿宋"/>
          <w:color w:val="auto"/>
          <w:sz w:val="22"/>
          <w:szCs w:val="22"/>
          <w:u w:val="none"/>
        </w:rPr>
        <w:t>（否）接受联合体投标</w:t>
      </w:r>
    </w:p>
    <w:p w14:paraId="5D1924FE">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2"/>
          <w:szCs w:val="22"/>
          <w:lang w:val="en-US" w:eastAsia="zh-CN"/>
        </w:rPr>
      </w:pPr>
      <w:r>
        <w:rPr>
          <w:rFonts w:hint="eastAsia" w:ascii="仿宋" w:hAnsi="仿宋" w:eastAsia="仿宋" w:cs="仿宋"/>
          <w:color w:val="auto"/>
          <w:sz w:val="22"/>
          <w:szCs w:val="22"/>
          <w:u w:val="none"/>
          <w:lang w:val="en-US" w:eastAsia="zh-CN"/>
        </w:rPr>
        <w:t>备注：</w:t>
      </w:r>
      <w:r>
        <w:rPr>
          <w:rFonts w:hint="eastAsia" w:ascii="宋体" w:hAnsi="宋体" w:eastAsia="宋体" w:cs="宋体"/>
          <w:b/>
          <w:bCs/>
          <w:i w:val="0"/>
          <w:iCs w:val="0"/>
          <w:caps w:val="0"/>
          <w:smallCaps w:val="0"/>
          <w:color w:val="333333"/>
          <w:spacing w:val="0"/>
          <w:sz w:val="21"/>
          <w:szCs w:val="21"/>
          <w:shd w:val="clear" w:color="auto" w:fill="FFFFFF"/>
        </w:rPr>
        <w:t>本项目为线上电子招标项目，采用远程异地评标，有意向参与本项目的供应商应当做好参与全流程电子招投标交易的充分准备</w:t>
      </w:r>
      <w:r>
        <w:rPr>
          <w:rFonts w:hint="eastAsia" w:ascii="宋体" w:hAnsi="宋体" w:eastAsia="宋体" w:cs="宋体"/>
          <w:i w:val="0"/>
          <w:iCs w:val="0"/>
          <w:caps w:val="0"/>
          <w:smallCaps w:val="0"/>
          <w:color w:val="333333"/>
          <w:spacing w:val="0"/>
          <w:sz w:val="21"/>
          <w:szCs w:val="21"/>
          <w:shd w:val="clear" w:color="auto" w:fill="FFFFFF"/>
        </w:rPr>
        <w:t>。</w:t>
      </w:r>
    </w:p>
    <w:p w14:paraId="41FC5B4C">
      <w:pPr>
        <w:rPr>
          <w:rFonts w:hint="eastAsia" w:ascii="宋体" w:hAnsi="宋体" w:eastAsia="宋体" w:cs="宋体"/>
          <w:sz w:val="22"/>
          <w:szCs w:val="22"/>
        </w:rPr>
      </w:pPr>
      <w:bookmarkStart w:id="10" w:name="_Toc28359090"/>
      <w:bookmarkStart w:id="11" w:name="_Toc35393799"/>
      <w:bookmarkStart w:id="12" w:name="_Toc44229879"/>
      <w:bookmarkStart w:id="13" w:name="_Toc28359013"/>
      <w:bookmarkStart w:id="14" w:name="_Toc35393630"/>
    </w:p>
    <w:p w14:paraId="3BABE5A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rPr>
      </w:pPr>
      <w:r>
        <w:rPr>
          <w:rFonts w:hint="eastAsia" w:ascii="宋体" w:hAnsi="宋体" w:eastAsia="宋体" w:cs="宋体"/>
          <w:b/>
          <w:color w:val="auto"/>
          <w:kern w:val="44"/>
          <w:sz w:val="22"/>
          <w:szCs w:val="22"/>
        </w:rPr>
        <w:t>二、申请人的资格条件</w:t>
      </w:r>
      <w:bookmarkEnd w:id="10"/>
      <w:bookmarkEnd w:id="11"/>
      <w:bookmarkEnd w:id="12"/>
      <w:bookmarkEnd w:id="13"/>
      <w:bookmarkEnd w:id="14"/>
    </w:p>
    <w:p w14:paraId="462BDD1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366DC3CD">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eastAsia="宋体" w:cs="宋体"/>
          <w:color w:val="auto"/>
          <w:sz w:val="22"/>
          <w:szCs w:val="22"/>
          <w:lang w:val="en-US" w:eastAsia="zh-CN"/>
        </w:rPr>
      </w:pPr>
      <w:r>
        <w:rPr>
          <w:rFonts w:hint="eastAsia" w:ascii="宋体" w:hAnsi="宋体" w:eastAsia="宋体" w:cs="宋体"/>
          <w:color w:val="auto"/>
          <w:sz w:val="22"/>
          <w:szCs w:val="22"/>
        </w:rPr>
        <w:t>2.落实政府采购政策需满足的资格要求：本项目属于</w:t>
      </w:r>
      <w:r>
        <w:rPr>
          <w:rFonts w:hint="eastAsia" w:ascii="宋体" w:hAnsi="宋体" w:cs="宋体"/>
          <w:color w:val="auto"/>
          <w:sz w:val="22"/>
          <w:szCs w:val="22"/>
          <w:lang w:eastAsia="zh-CN"/>
        </w:rPr>
        <w:t>专门面向中小</w:t>
      </w:r>
      <w:r>
        <w:rPr>
          <w:rFonts w:hint="eastAsia" w:ascii="宋体" w:hAnsi="宋体" w:eastAsia="宋体" w:cs="宋体"/>
          <w:color w:val="auto"/>
          <w:sz w:val="22"/>
          <w:szCs w:val="22"/>
        </w:rPr>
        <w:t>企业采购的项目（供应商应为</w:t>
      </w:r>
      <w:r>
        <w:rPr>
          <w:rFonts w:hint="eastAsia" w:ascii="宋体" w:hAnsi="宋体" w:cs="宋体"/>
          <w:color w:val="auto"/>
          <w:sz w:val="22"/>
          <w:szCs w:val="22"/>
          <w:lang w:val="en-US" w:eastAsia="zh-CN"/>
        </w:rPr>
        <w:t>中小</w:t>
      </w:r>
      <w:r>
        <w:rPr>
          <w:rFonts w:hint="eastAsia" w:ascii="宋体" w:hAnsi="宋体" w:eastAsia="宋体" w:cs="宋体"/>
          <w:color w:val="auto"/>
          <w:sz w:val="22"/>
          <w:szCs w:val="22"/>
        </w:rPr>
        <w:t>企业/监狱企业/残疾人福利性单位，监狱企业、残疾人福利单位视同小型、微型企业)；</w:t>
      </w:r>
      <w:r>
        <w:rPr>
          <w:rFonts w:hint="eastAsia" w:ascii="宋体" w:hAnsi="宋体" w:cs="宋体"/>
          <w:color w:val="auto"/>
          <w:sz w:val="22"/>
          <w:szCs w:val="22"/>
          <w:lang w:val="en-US" w:eastAsia="zh-CN"/>
        </w:rPr>
        <w:t>中小</w:t>
      </w:r>
      <w:r>
        <w:rPr>
          <w:rFonts w:hint="eastAsia" w:ascii="宋体" w:hAnsi="宋体" w:eastAsia="宋体" w:cs="宋体"/>
          <w:color w:val="auto"/>
          <w:sz w:val="22"/>
          <w:szCs w:val="22"/>
        </w:rPr>
        <w:t>企业须符合本项目采购标的所属行业对应的</w:t>
      </w:r>
      <w:r>
        <w:rPr>
          <w:rFonts w:hint="eastAsia" w:ascii="宋体" w:hAnsi="宋体" w:cs="宋体"/>
          <w:color w:val="auto"/>
          <w:sz w:val="22"/>
          <w:szCs w:val="22"/>
          <w:lang w:val="en-US" w:eastAsia="zh-CN"/>
        </w:rPr>
        <w:t>中小</w:t>
      </w:r>
      <w:r>
        <w:rPr>
          <w:rFonts w:hint="eastAsia" w:ascii="宋体" w:hAnsi="宋体" w:eastAsia="宋体" w:cs="宋体"/>
          <w:color w:val="auto"/>
          <w:sz w:val="22"/>
          <w:szCs w:val="22"/>
        </w:rPr>
        <w:t>企业划分标准</w:t>
      </w:r>
      <w:r>
        <w:rPr>
          <w:rFonts w:hint="eastAsia" w:ascii="宋体" w:hAnsi="宋体" w:cs="宋体"/>
          <w:color w:val="auto"/>
          <w:sz w:val="22"/>
          <w:szCs w:val="22"/>
          <w:lang w:val="en-US" w:eastAsia="zh-CN"/>
        </w:rPr>
        <w:t>。</w:t>
      </w:r>
    </w:p>
    <w:p w14:paraId="1B67733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3.本项目的特定资格要求：(1)供应商应具备有效的水利水电工程施工总承包叁级以上(含叁级)资质</w:t>
      </w:r>
      <w:r>
        <w:rPr>
          <w:rFonts w:hint="eastAsia" w:ascii="宋体" w:hAnsi="宋体" w:cs="宋体"/>
          <w:color w:val="auto"/>
          <w:sz w:val="22"/>
          <w:szCs w:val="22"/>
          <w:lang w:eastAsia="zh-CN"/>
        </w:rPr>
        <w:t>；</w:t>
      </w:r>
      <w:r>
        <w:rPr>
          <w:rFonts w:hint="eastAsia" w:ascii="宋体" w:hAnsi="宋体" w:eastAsia="宋体" w:cs="宋体"/>
          <w:color w:val="auto"/>
          <w:sz w:val="22"/>
          <w:szCs w:val="22"/>
        </w:rPr>
        <w:t>(2)供应商具有省级或以上建设行政主管部门颁发的建筑施工企业安全生产许可证</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3</w:t>
      </w:r>
      <w:r>
        <w:rPr>
          <w:rFonts w:hint="eastAsia" w:ascii="宋体" w:hAnsi="宋体" w:cs="宋体"/>
          <w:color w:val="auto"/>
          <w:sz w:val="22"/>
          <w:szCs w:val="22"/>
          <w:lang w:eastAsia="zh-CN"/>
        </w:rPr>
        <w:t>）拟派项目经理须具备水利水电工程专业贰级及以上注册建造师执业资格</w:t>
      </w:r>
      <w:r>
        <w:rPr>
          <w:rFonts w:hint="eastAsia" w:ascii="宋体" w:hAnsi="宋体" w:eastAsia="宋体" w:cs="宋体"/>
          <w:color w:val="auto"/>
          <w:sz w:val="22"/>
          <w:szCs w:val="22"/>
        </w:rPr>
        <w:t>。</w:t>
      </w:r>
    </w:p>
    <w:p w14:paraId="5C36F0C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三、获取竞争性磋商文件</w:t>
      </w:r>
      <w:bookmarkEnd w:id="6"/>
      <w:bookmarkEnd w:id="7"/>
      <w:bookmarkEnd w:id="8"/>
      <w:bookmarkEnd w:id="9"/>
    </w:p>
    <w:p w14:paraId="33BA6D9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bookmarkStart w:id="15" w:name="_Toc35393793"/>
      <w:bookmarkStart w:id="16" w:name="_Toc28359005"/>
      <w:bookmarkStart w:id="17" w:name="_Toc28359082"/>
      <w:bookmarkStart w:id="18" w:name="_Toc35393624"/>
      <w:r>
        <w:rPr>
          <w:rFonts w:hint="eastAsia" w:ascii="宋体" w:hAnsi="宋体" w:eastAsia="宋体" w:cs="宋体"/>
          <w:color w:val="auto"/>
          <w:sz w:val="22"/>
          <w:szCs w:val="22"/>
        </w:rPr>
        <w:t>时间：</w:t>
      </w:r>
      <w:r>
        <w:rPr>
          <w:rFonts w:hint="eastAsia" w:ascii="宋体" w:hAnsi="宋体" w:cs="宋体"/>
          <w:color w:val="auto"/>
          <w:sz w:val="22"/>
          <w:szCs w:val="22"/>
          <w:u w:val="none"/>
          <w:lang w:val="en-US" w:eastAsia="zh-CN"/>
        </w:rPr>
        <w:t>2026</w:t>
      </w:r>
      <w:r>
        <w:rPr>
          <w:rFonts w:hint="eastAsia" w:ascii="宋体" w:hAnsi="宋体" w:eastAsia="宋体" w:cs="宋体"/>
          <w:color w:val="auto"/>
          <w:sz w:val="22"/>
          <w:szCs w:val="22"/>
          <w:u w:val="none"/>
        </w:rPr>
        <w:t>年</w:t>
      </w:r>
      <w:r>
        <w:rPr>
          <w:rFonts w:hint="eastAsia" w:ascii="宋体" w:hAnsi="宋体" w:cs="宋体"/>
          <w:color w:val="auto"/>
          <w:sz w:val="22"/>
          <w:szCs w:val="22"/>
          <w:u w:val="none"/>
          <w:lang w:val="en-US" w:eastAsia="zh-CN"/>
        </w:rPr>
        <w:t>4</w:t>
      </w:r>
      <w:r>
        <w:rPr>
          <w:rFonts w:hint="eastAsia" w:ascii="宋体" w:hAnsi="宋体" w:eastAsia="宋体" w:cs="宋体"/>
          <w:color w:val="auto"/>
          <w:sz w:val="22"/>
          <w:szCs w:val="22"/>
          <w:u w:val="none"/>
          <w:lang w:val="en-US" w:eastAsia="zh-CN"/>
        </w:rPr>
        <w:t>月</w:t>
      </w:r>
      <w:r>
        <w:rPr>
          <w:rFonts w:hint="eastAsia" w:ascii="宋体" w:hAnsi="宋体" w:cs="宋体"/>
          <w:color w:val="auto"/>
          <w:sz w:val="22"/>
          <w:szCs w:val="22"/>
          <w:u w:val="none"/>
          <w:lang w:val="en-US" w:eastAsia="zh-CN"/>
        </w:rPr>
        <w:t>28</w:t>
      </w:r>
      <w:r>
        <w:rPr>
          <w:rFonts w:hint="eastAsia" w:ascii="宋体" w:hAnsi="宋体" w:eastAsia="宋体" w:cs="宋体"/>
          <w:color w:val="auto"/>
          <w:sz w:val="22"/>
          <w:szCs w:val="22"/>
          <w:u w:val="none"/>
        </w:rPr>
        <w:t>日至</w:t>
      </w:r>
      <w:r>
        <w:rPr>
          <w:rFonts w:hint="eastAsia" w:ascii="宋体" w:hAnsi="宋体" w:cs="宋体"/>
          <w:color w:val="auto"/>
          <w:sz w:val="22"/>
          <w:szCs w:val="22"/>
          <w:u w:val="none"/>
          <w:lang w:val="en-US" w:eastAsia="zh-CN"/>
        </w:rPr>
        <w:t>2026</w:t>
      </w:r>
      <w:r>
        <w:rPr>
          <w:rFonts w:hint="eastAsia" w:ascii="宋体" w:hAnsi="宋体" w:eastAsia="宋体" w:cs="宋体"/>
          <w:color w:val="auto"/>
          <w:sz w:val="22"/>
          <w:szCs w:val="22"/>
          <w:u w:val="none"/>
        </w:rPr>
        <w:t>年</w:t>
      </w:r>
      <w:r>
        <w:rPr>
          <w:rFonts w:hint="eastAsia" w:ascii="宋体" w:hAnsi="宋体" w:cs="宋体"/>
          <w:color w:val="auto"/>
          <w:sz w:val="22"/>
          <w:szCs w:val="22"/>
          <w:u w:val="none"/>
          <w:lang w:val="en-US" w:eastAsia="zh-CN"/>
        </w:rPr>
        <w:t>5</w:t>
      </w:r>
      <w:r>
        <w:rPr>
          <w:rFonts w:hint="eastAsia" w:ascii="宋体" w:hAnsi="宋体" w:eastAsia="宋体" w:cs="宋体"/>
          <w:color w:val="auto"/>
          <w:sz w:val="22"/>
          <w:szCs w:val="22"/>
          <w:u w:val="none"/>
          <w:lang w:val="en-US" w:eastAsia="zh-CN"/>
        </w:rPr>
        <w:t>月</w:t>
      </w:r>
      <w:r>
        <w:rPr>
          <w:rFonts w:hint="eastAsia" w:ascii="宋体" w:hAnsi="宋体" w:cs="宋体"/>
          <w:color w:val="auto"/>
          <w:sz w:val="22"/>
          <w:szCs w:val="22"/>
          <w:u w:val="none"/>
          <w:lang w:val="en-US" w:eastAsia="zh-CN"/>
        </w:rPr>
        <w:t>8</w:t>
      </w:r>
      <w:r>
        <w:rPr>
          <w:rFonts w:hint="eastAsia" w:ascii="宋体" w:hAnsi="宋体" w:eastAsia="宋体" w:cs="宋体"/>
          <w:color w:val="auto"/>
          <w:sz w:val="22"/>
          <w:szCs w:val="22"/>
          <w:u w:val="none"/>
        </w:rPr>
        <w:t>日，每天上</w:t>
      </w:r>
      <w:r>
        <w:rPr>
          <w:rFonts w:hint="eastAsia" w:ascii="宋体" w:hAnsi="宋体" w:eastAsia="宋体" w:cs="宋体"/>
          <w:color w:val="auto"/>
          <w:sz w:val="22"/>
          <w:szCs w:val="22"/>
        </w:rPr>
        <w:t>午00</w:t>
      </w:r>
      <w:r>
        <w:rPr>
          <w:rFonts w:hint="eastAsia" w:ascii="宋体" w:hAnsi="宋体" w:cs="宋体"/>
          <w:color w:val="auto"/>
          <w:sz w:val="22"/>
          <w:szCs w:val="22"/>
          <w:lang w:eastAsia="zh-CN"/>
        </w:rPr>
        <w:t>：</w:t>
      </w:r>
      <w:r>
        <w:rPr>
          <w:rFonts w:hint="eastAsia" w:ascii="宋体" w:hAnsi="宋体" w:eastAsia="宋体" w:cs="宋体"/>
          <w:color w:val="auto"/>
          <w:sz w:val="22"/>
          <w:szCs w:val="22"/>
        </w:rPr>
        <w:t>00至12</w:t>
      </w:r>
      <w:r>
        <w:rPr>
          <w:rFonts w:hint="eastAsia" w:ascii="宋体" w:hAnsi="宋体" w:cs="宋体"/>
          <w:color w:val="auto"/>
          <w:sz w:val="22"/>
          <w:szCs w:val="22"/>
          <w:lang w:eastAsia="zh-CN"/>
        </w:rPr>
        <w:t>：</w:t>
      </w:r>
      <w:r>
        <w:rPr>
          <w:rFonts w:hint="eastAsia" w:ascii="宋体" w:hAnsi="宋体" w:eastAsia="宋体" w:cs="宋体"/>
          <w:color w:val="auto"/>
          <w:sz w:val="22"/>
          <w:szCs w:val="22"/>
        </w:rPr>
        <w:t>00，下午12</w:t>
      </w:r>
      <w:r>
        <w:rPr>
          <w:rFonts w:hint="eastAsia" w:ascii="宋体" w:hAnsi="宋体" w:cs="宋体"/>
          <w:color w:val="auto"/>
          <w:sz w:val="22"/>
          <w:szCs w:val="22"/>
          <w:lang w:eastAsia="zh-CN"/>
        </w:rPr>
        <w:t>：</w:t>
      </w:r>
      <w:r>
        <w:rPr>
          <w:rFonts w:hint="eastAsia" w:ascii="宋体" w:hAnsi="宋体" w:eastAsia="宋体" w:cs="宋体"/>
          <w:color w:val="auto"/>
          <w:sz w:val="22"/>
          <w:szCs w:val="22"/>
        </w:rPr>
        <w:t>00至23</w:t>
      </w:r>
      <w:r>
        <w:rPr>
          <w:rFonts w:hint="eastAsia" w:ascii="宋体" w:hAnsi="宋体" w:cs="宋体"/>
          <w:color w:val="auto"/>
          <w:sz w:val="22"/>
          <w:szCs w:val="22"/>
          <w:lang w:eastAsia="zh-CN"/>
        </w:rPr>
        <w:t>：</w:t>
      </w:r>
      <w:r>
        <w:rPr>
          <w:rFonts w:hint="eastAsia" w:ascii="宋体" w:hAnsi="宋体" w:eastAsia="宋体" w:cs="宋体"/>
          <w:color w:val="auto"/>
          <w:sz w:val="22"/>
          <w:szCs w:val="22"/>
        </w:rPr>
        <w:t>59（北京时间，法定节假日除外）。</w:t>
      </w:r>
    </w:p>
    <w:p w14:paraId="0BD67EB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地点（网址）：广西政府采购云平台线上获取</w:t>
      </w:r>
    </w:p>
    <w:p w14:paraId="512C9DC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lang w:val="en-US"/>
        </w:rPr>
      </w:pPr>
      <w:r>
        <w:rPr>
          <w:rFonts w:hint="eastAsia" w:ascii="宋体" w:hAnsi="宋体" w:eastAsia="宋体" w:cs="宋体"/>
          <w:color w:val="auto"/>
          <w:sz w:val="22"/>
          <w:szCs w:val="22"/>
        </w:rPr>
        <w:t>方式</w:t>
      </w:r>
      <w:r>
        <w:rPr>
          <w:rFonts w:hint="eastAsia" w:ascii="宋体" w:hAnsi="宋体" w:eastAsia="宋体" w:cs="宋体"/>
          <w:color w:val="auto"/>
          <w:sz w:val="22"/>
          <w:szCs w:val="22"/>
          <w:lang w:eastAsia="zh-CN"/>
        </w:rPr>
        <w:t>：供应商登录广西政府采购云平台</w:t>
      </w:r>
      <w:r>
        <w:rPr>
          <w:rFonts w:hint="eastAsia" w:ascii="宋体" w:hAnsi="宋体" w:cs="宋体"/>
          <w:color w:val="auto"/>
          <w:sz w:val="22"/>
          <w:szCs w:val="22"/>
          <w:lang w:eastAsia="zh-CN"/>
        </w:rPr>
        <w:t>http://www.ccgp-guangxi.gov.cn/</w:t>
      </w:r>
      <w:r>
        <w:rPr>
          <w:rFonts w:hint="eastAsia" w:ascii="宋体" w:hAnsi="宋体" w:eastAsia="宋体" w:cs="宋体"/>
          <w:color w:val="auto"/>
          <w:sz w:val="22"/>
          <w:szCs w:val="22"/>
          <w:lang w:eastAsia="zh-CN"/>
        </w:rPr>
        <w:t>在线申请获取采购文件（进入“项目采购”应用，在获取采购文件菜单中选择项目，申请获取采购文件）</w:t>
      </w:r>
    </w:p>
    <w:p w14:paraId="292991EC">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售价</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元</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：0</w:t>
      </w:r>
    </w:p>
    <w:p w14:paraId="1972E5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四、</w:t>
      </w:r>
      <w:bookmarkEnd w:id="15"/>
      <w:bookmarkEnd w:id="16"/>
      <w:bookmarkEnd w:id="17"/>
      <w:bookmarkEnd w:id="18"/>
      <w:r>
        <w:rPr>
          <w:rFonts w:hint="eastAsia" w:ascii="宋体" w:hAnsi="宋体" w:eastAsia="宋体" w:cs="宋体"/>
          <w:b/>
          <w:bCs/>
          <w:color w:val="auto"/>
          <w:sz w:val="22"/>
          <w:szCs w:val="22"/>
        </w:rPr>
        <w:t>响应文件提交</w:t>
      </w:r>
    </w:p>
    <w:p w14:paraId="4C0A8CEF">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截止时间：</w:t>
      </w:r>
      <w:r>
        <w:rPr>
          <w:rFonts w:hint="eastAsia" w:ascii="宋体" w:hAnsi="宋体" w:cs="宋体"/>
          <w:color w:val="auto"/>
          <w:kern w:val="0"/>
          <w:sz w:val="22"/>
          <w:szCs w:val="22"/>
          <w:lang w:val="en-US" w:eastAsia="zh-CN"/>
        </w:rPr>
        <w:t>2026</w:t>
      </w:r>
      <w:r>
        <w:rPr>
          <w:rFonts w:hint="eastAsia" w:ascii="宋体" w:hAnsi="宋体" w:cs="宋体"/>
          <w:color w:val="auto"/>
          <w:kern w:val="0"/>
          <w:sz w:val="22"/>
          <w:szCs w:val="22"/>
          <w:lang w:eastAsia="zh-CN"/>
        </w:rPr>
        <w:t>年</w:t>
      </w: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lang w:eastAsia="zh-CN"/>
        </w:rPr>
        <w:t>月</w:t>
      </w:r>
      <w:r>
        <w:rPr>
          <w:rFonts w:hint="eastAsia" w:ascii="宋体" w:hAnsi="宋体" w:cs="宋体"/>
          <w:color w:val="auto"/>
          <w:kern w:val="0"/>
          <w:sz w:val="22"/>
          <w:szCs w:val="22"/>
          <w:lang w:val="en-US" w:eastAsia="zh-CN"/>
        </w:rPr>
        <w:t>11</w:t>
      </w:r>
      <w:r>
        <w:rPr>
          <w:rFonts w:hint="eastAsia" w:ascii="宋体" w:hAnsi="宋体" w:cs="宋体"/>
          <w:color w:val="auto"/>
          <w:kern w:val="0"/>
          <w:sz w:val="22"/>
          <w:szCs w:val="22"/>
          <w:lang w:eastAsia="zh-CN"/>
        </w:rPr>
        <w:t>日</w:t>
      </w:r>
      <w:r>
        <w:rPr>
          <w:rFonts w:hint="eastAsia" w:ascii="宋体" w:hAnsi="宋体" w:eastAsia="宋体" w:cs="宋体"/>
          <w:color w:val="auto"/>
          <w:kern w:val="0"/>
          <w:sz w:val="22"/>
          <w:szCs w:val="22"/>
          <w:lang w:eastAsia="zh-CN"/>
        </w:rPr>
        <w:t>09</w:t>
      </w:r>
      <w:r>
        <w:rPr>
          <w:rFonts w:hint="eastAsia" w:ascii="宋体" w:hAnsi="宋体" w:cs="宋体"/>
          <w:color w:val="auto"/>
          <w:kern w:val="0"/>
          <w:sz w:val="22"/>
          <w:szCs w:val="22"/>
          <w:lang w:eastAsia="zh-CN"/>
        </w:rPr>
        <w:t>：20</w:t>
      </w:r>
      <w:r>
        <w:rPr>
          <w:rFonts w:hint="eastAsia" w:ascii="宋体" w:hAnsi="宋体" w:eastAsia="宋体" w:cs="宋体"/>
          <w:color w:val="auto"/>
          <w:kern w:val="0"/>
          <w:sz w:val="22"/>
          <w:szCs w:val="22"/>
          <w:lang w:eastAsia="zh-CN"/>
        </w:rPr>
        <w:t>（北京时间）</w:t>
      </w:r>
    </w:p>
    <w:p w14:paraId="0165AE0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地点（网址）：请登录广西政府采购云平台投标客户端投标</w:t>
      </w:r>
    </w:p>
    <w:p w14:paraId="203AFA9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五、响应文件开启</w:t>
      </w:r>
    </w:p>
    <w:p w14:paraId="255B944C">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u w:val="none"/>
        </w:rPr>
      </w:pPr>
      <w:r>
        <w:rPr>
          <w:rFonts w:hint="eastAsia" w:ascii="宋体" w:hAnsi="宋体" w:eastAsia="宋体" w:cs="宋体"/>
          <w:bCs/>
          <w:color w:val="auto"/>
          <w:sz w:val="22"/>
          <w:szCs w:val="22"/>
          <w:u w:val="none"/>
        </w:rPr>
        <w:t>开启时间：</w:t>
      </w:r>
      <w:r>
        <w:rPr>
          <w:rFonts w:hint="eastAsia" w:ascii="宋体" w:hAnsi="宋体" w:cs="宋体"/>
          <w:bCs/>
          <w:color w:val="auto"/>
          <w:sz w:val="22"/>
          <w:szCs w:val="22"/>
          <w:u w:val="none"/>
          <w:lang w:val="en-US" w:eastAsia="zh-CN"/>
        </w:rPr>
        <w:t>2026</w:t>
      </w:r>
      <w:r>
        <w:rPr>
          <w:rFonts w:hint="eastAsia" w:ascii="宋体" w:hAnsi="宋体" w:cs="宋体"/>
          <w:bCs/>
          <w:color w:val="auto"/>
          <w:sz w:val="22"/>
          <w:szCs w:val="22"/>
          <w:u w:val="none"/>
          <w:lang w:eastAsia="zh-CN"/>
        </w:rPr>
        <w:t>年</w:t>
      </w:r>
      <w:r>
        <w:rPr>
          <w:rFonts w:hint="eastAsia" w:ascii="宋体" w:hAnsi="宋体" w:cs="宋体"/>
          <w:bCs/>
          <w:color w:val="auto"/>
          <w:sz w:val="22"/>
          <w:szCs w:val="22"/>
          <w:u w:val="none"/>
          <w:lang w:val="en-US" w:eastAsia="zh-CN"/>
        </w:rPr>
        <w:t>5</w:t>
      </w:r>
      <w:r>
        <w:rPr>
          <w:rFonts w:hint="eastAsia" w:ascii="宋体" w:hAnsi="宋体" w:cs="宋体"/>
          <w:bCs/>
          <w:color w:val="auto"/>
          <w:sz w:val="22"/>
          <w:szCs w:val="22"/>
          <w:u w:val="none"/>
          <w:lang w:eastAsia="zh-CN"/>
        </w:rPr>
        <w:t>月</w:t>
      </w:r>
      <w:r>
        <w:rPr>
          <w:rFonts w:hint="eastAsia" w:ascii="宋体" w:hAnsi="宋体" w:cs="宋体"/>
          <w:bCs/>
          <w:color w:val="auto"/>
          <w:sz w:val="22"/>
          <w:szCs w:val="22"/>
          <w:u w:val="none"/>
          <w:lang w:val="en-US" w:eastAsia="zh-CN"/>
        </w:rPr>
        <w:t>11</w:t>
      </w:r>
      <w:r>
        <w:rPr>
          <w:rFonts w:hint="eastAsia" w:ascii="宋体" w:hAnsi="宋体" w:cs="宋体"/>
          <w:bCs/>
          <w:color w:val="auto"/>
          <w:sz w:val="22"/>
          <w:szCs w:val="22"/>
          <w:u w:val="none"/>
          <w:lang w:eastAsia="zh-CN"/>
        </w:rPr>
        <w:t>日</w:t>
      </w:r>
      <w:r>
        <w:rPr>
          <w:rFonts w:hint="eastAsia" w:ascii="宋体" w:hAnsi="宋体" w:eastAsia="宋体" w:cs="宋体"/>
          <w:bCs/>
          <w:color w:val="auto"/>
          <w:sz w:val="22"/>
          <w:szCs w:val="22"/>
          <w:u w:val="none"/>
        </w:rPr>
        <w:t>09</w:t>
      </w:r>
      <w:r>
        <w:rPr>
          <w:rFonts w:hint="eastAsia" w:ascii="宋体" w:hAnsi="宋体" w:cs="宋体"/>
          <w:bCs/>
          <w:color w:val="auto"/>
          <w:sz w:val="22"/>
          <w:szCs w:val="22"/>
          <w:u w:val="none"/>
          <w:lang w:eastAsia="zh-CN"/>
        </w:rPr>
        <w:t>：20</w:t>
      </w:r>
      <w:r>
        <w:rPr>
          <w:rFonts w:hint="eastAsia" w:ascii="宋体" w:hAnsi="宋体" w:eastAsia="宋体" w:cs="宋体"/>
          <w:spacing w:val="3"/>
          <w:sz w:val="22"/>
          <w:szCs w:val="22"/>
        </w:rPr>
        <w:t>（北京时间）</w:t>
      </w:r>
    </w:p>
    <w:p w14:paraId="7A7273D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u w:val="none"/>
        </w:rPr>
      </w:pPr>
      <w:r>
        <w:rPr>
          <w:rFonts w:hint="eastAsia" w:ascii="宋体" w:hAnsi="宋体" w:eastAsia="宋体" w:cs="宋体"/>
          <w:bCs/>
          <w:color w:val="auto"/>
          <w:sz w:val="22"/>
          <w:szCs w:val="22"/>
          <w:u w:val="none"/>
        </w:rPr>
        <w:t>开标地点：请登录广西政府采购云平台投标客户端投标</w:t>
      </w:r>
      <w:r>
        <w:rPr>
          <w:rFonts w:hint="eastAsia" w:ascii="宋体" w:hAnsi="宋体" w:eastAsia="宋体" w:cs="宋体"/>
          <w:spacing w:val="10"/>
          <w:sz w:val="22"/>
          <w:szCs w:val="22"/>
        </w:rPr>
        <w:t>。</w:t>
      </w:r>
    </w:p>
    <w:p w14:paraId="3CD630C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rPr>
      </w:pPr>
      <w:bookmarkStart w:id="19" w:name="_Toc28359084"/>
      <w:bookmarkStart w:id="20" w:name="_Toc28359007"/>
      <w:bookmarkStart w:id="21" w:name="_Toc35393625"/>
      <w:bookmarkStart w:id="22" w:name="_Toc35393794"/>
      <w:r>
        <w:rPr>
          <w:rFonts w:hint="eastAsia" w:ascii="宋体" w:hAnsi="宋体" w:eastAsia="宋体" w:cs="宋体"/>
          <w:b/>
          <w:bCs/>
          <w:color w:val="auto"/>
          <w:sz w:val="22"/>
          <w:szCs w:val="22"/>
        </w:rPr>
        <w:t>六、公告期限</w:t>
      </w:r>
      <w:bookmarkEnd w:id="19"/>
      <w:bookmarkEnd w:id="20"/>
      <w:bookmarkEnd w:id="21"/>
      <w:bookmarkEnd w:id="22"/>
    </w:p>
    <w:p w14:paraId="64138BA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自本公告发布之日起</w:t>
      </w:r>
      <w:r>
        <w:rPr>
          <w:rFonts w:hint="eastAsia" w:ascii="宋体" w:hAnsi="宋体" w:cs="宋体"/>
          <w:color w:val="auto"/>
          <w:kern w:val="0"/>
          <w:sz w:val="22"/>
          <w:szCs w:val="22"/>
          <w:u w:val="none"/>
          <w:lang w:val="en-US" w:eastAsia="zh-CN"/>
        </w:rPr>
        <w:t>5</w:t>
      </w:r>
      <w:r>
        <w:rPr>
          <w:rFonts w:hint="eastAsia" w:ascii="宋体" w:hAnsi="宋体" w:eastAsia="宋体" w:cs="宋体"/>
          <w:color w:val="auto"/>
          <w:kern w:val="0"/>
          <w:sz w:val="22"/>
          <w:szCs w:val="22"/>
        </w:rPr>
        <w:t>个工作日。</w:t>
      </w:r>
    </w:p>
    <w:p w14:paraId="6DE4D27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2"/>
          <w:szCs w:val="22"/>
        </w:rPr>
      </w:pPr>
      <w:bookmarkStart w:id="23" w:name="_Toc35393626"/>
      <w:bookmarkStart w:id="24" w:name="_Toc35393795"/>
      <w:r>
        <w:rPr>
          <w:rFonts w:hint="eastAsia" w:ascii="宋体" w:hAnsi="宋体" w:eastAsia="宋体" w:cs="宋体"/>
          <w:b/>
          <w:bCs/>
          <w:color w:val="auto"/>
          <w:sz w:val="22"/>
          <w:szCs w:val="22"/>
        </w:rPr>
        <w:t>七、其他补充事宜</w:t>
      </w:r>
      <w:bookmarkEnd w:id="23"/>
      <w:bookmarkEnd w:id="24"/>
    </w:p>
    <w:p w14:paraId="1DD37EB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eastAsia="zh-CN"/>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磋商</w:t>
      </w:r>
      <w:r>
        <w:rPr>
          <w:rFonts w:hint="eastAsia" w:ascii="宋体" w:hAnsi="宋体" w:eastAsia="宋体" w:cs="宋体"/>
          <w:color w:val="auto"/>
          <w:sz w:val="22"/>
          <w:szCs w:val="22"/>
        </w:rPr>
        <w:t>保证金：</w:t>
      </w:r>
      <w:r>
        <w:rPr>
          <w:rFonts w:hint="eastAsia" w:ascii="宋体" w:hAnsi="宋体" w:eastAsia="宋体" w:cs="宋体"/>
          <w:color w:val="auto"/>
          <w:sz w:val="22"/>
          <w:szCs w:val="22"/>
          <w:lang w:val="en-US" w:eastAsia="zh-CN"/>
        </w:rPr>
        <w:t>本项目不收取磋商保证金</w:t>
      </w:r>
      <w:r>
        <w:rPr>
          <w:rFonts w:hint="eastAsia" w:ascii="宋体" w:hAnsi="宋体" w:eastAsia="宋体" w:cs="宋体"/>
          <w:color w:val="auto"/>
          <w:sz w:val="22"/>
          <w:szCs w:val="22"/>
        </w:rPr>
        <w:t>。</w:t>
      </w:r>
    </w:p>
    <w:p w14:paraId="1F39827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lang w:eastAsia="zh-CN"/>
        </w:rPr>
        <w:t>.</w:t>
      </w:r>
      <w:bookmarkStart w:id="25" w:name="_Hlk37429595"/>
      <w:bookmarkStart w:id="26" w:name="_Hlk37429585"/>
      <w:r>
        <w:rPr>
          <w:rFonts w:hint="eastAsia" w:ascii="宋体" w:hAnsi="宋体" w:eastAsia="宋体" w:cs="宋体"/>
          <w:color w:val="auto"/>
          <w:kern w:val="0"/>
          <w:sz w:val="22"/>
          <w:szCs w:val="22"/>
        </w:rPr>
        <w:t>网上查询地址</w:t>
      </w:r>
      <w:r>
        <w:rPr>
          <w:rFonts w:hint="eastAsia" w:ascii="宋体" w:hAnsi="宋体" w:cs="宋体"/>
          <w:color w:val="auto"/>
          <w:kern w:val="0"/>
          <w:sz w:val="22"/>
          <w:szCs w:val="22"/>
          <w:lang w:eastAsia="zh-CN"/>
        </w:rPr>
        <w:t>：</w:t>
      </w:r>
      <w:bookmarkEnd w:id="25"/>
      <w:bookmarkEnd w:id="26"/>
      <w:bookmarkStart w:id="27" w:name="_Hlk37429674"/>
      <w:r>
        <w:rPr>
          <w:rFonts w:hint="eastAsia" w:ascii="宋体" w:hAnsi="宋体" w:cs="宋体"/>
          <w:color w:val="auto"/>
          <w:kern w:val="0"/>
          <w:szCs w:val="21"/>
        </w:rPr>
        <w:t xml:space="preserve"> 广西政府采购网(http://zfcg.gxzf.gov.cn)、</w:t>
      </w:r>
      <w:r>
        <w:rPr>
          <w:rFonts w:hint="eastAsia" w:ascii="宋体" w:hAnsi="宋体" w:cs="宋体"/>
          <w:bCs/>
          <w:color w:val="auto"/>
          <w:kern w:val="0"/>
          <w:szCs w:val="21"/>
        </w:rPr>
        <w:t>中国政府采购网（http:/</w:t>
      </w:r>
      <w:r>
        <w:rPr>
          <w:rFonts w:hint="eastAsia" w:ascii="宋体" w:hAnsi="宋体" w:eastAsia="宋体" w:cs="宋体"/>
          <w:bCs/>
          <w:color w:val="auto"/>
          <w:kern w:val="0"/>
          <w:szCs w:val="21"/>
        </w:rPr>
        <w:t>/www.ccgp.gov.cn）、(</w:t>
      </w:r>
      <w:r>
        <w:rPr>
          <w:rFonts w:hint="eastAsia" w:ascii="宋体" w:hAnsi="宋体" w:eastAsia="宋体" w:cs="宋体"/>
          <w:bCs/>
          <w:color w:val="auto"/>
          <w:kern w:val="0"/>
          <w:szCs w:val="21"/>
        </w:rPr>
        <w:fldChar w:fldCharType="begin"/>
      </w:r>
      <w:r>
        <w:instrText xml:space="preserve">HYPERLINK "http://ggzy.jgswj.gxzf.gov.cn/lzggzy/"</w:instrText>
      </w:r>
      <w:r>
        <w:rPr>
          <w:rFonts w:hint="eastAsia" w:ascii="宋体" w:hAnsi="宋体" w:eastAsia="宋体" w:cs="宋体"/>
          <w:bCs/>
          <w:color w:val="auto"/>
          <w:kern w:val="0"/>
          <w:szCs w:val="21"/>
        </w:rPr>
        <w:fldChar w:fldCharType="separate"/>
      </w:r>
      <w:r>
        <w:rPr>
          <w:rFonts w:hint="eastAsia" w:ascii="宋体" w:hAnsi="宋体" w:eastAsia="宋体" w:cs="宋体"/>
          <w:bCs/>
          <w:color w:val="auto"/>
          <w:kern w:val="0"/>
          <w:szCs w:val="21"/>
        </w:rPr>
        <w:t>全国公共资源交易平台(广西.柳州) (http://ggzy.jgswj.gxzf.gov.cn/lzggzy/)</w:t>
      </w:r>
      <w:r>
        <w:rPr>
          <w:rFonts w:hint="eastAsia" w:ascii="宋体" w:hAnsi="宋体" w:eastAsia="宋体" w:cs="宋体"/>
          <w:bCs/>
          <w:color w:val="auto"/>
          <w:kern w:val="0"/>
          <w:szCs w:val="21"/>
        </w:rPr>
        <w:fldChar w:fldCharType="end"/>
      </w:r>
      <w:r>
        <w:rPr>
          <w:rFonts w:hint="eastAsia" w:ascii="宋体" w:hAnsi="宋体" w:eastAsia="宋体" w:cs="宋体"/>
          <w:bCs/>
          <w:color w:val="auto"/>
          <w:kern w:val="0"/>
          <w:szCs w:val="21"/>
        </w:rPr>
        <w:fldChar w:fldCharType="begin"/>
      </w:r>
      <w:r>
        <w:instrText xml:space="preserve">HYPERLINK "http://ggzy.jgswj.gxzf.gov.cn/"</w:instrText>
      </w:r>
      <w:r>
        <w:rPr>
          <w:rFonts w:hint="eastAsia" w:ascii="宋体" w:hAnsi="宋体" w:eastAsia="宋体" w:cs="宋体"/>
          <w:bCs/>
          <w:color w:val="auto"/>
          <w:kern w:val="0"/>
          <w:szCs w:val="21"/>
        </w:rPr>
        <w:fldChar w:fldCharType="separate"/>
      </w:r>
      <w:r>
        <w:rPr>
          <w:rFonts w:hint="eastAsia" w:ascii="宋体" w:hAnsi="宋体" w:eastAsia="宋体" w:cs="宋体"/>
          <w:bCs/>
          <w:color w:val="auto"/>
          <w:kern w:val="0"/>
          <w:szCs w:val="21"/>
        </w:rPr>
        <w:t>)</w:t>
      </w:r>
      <w:r>
        <w:rPr>
          <w:rFonts w:hint="eastAsia" w:ascii="宋体" w:hAnsi="宋体" w:eastAsia="宋体" w:cs="宋体"/>
          <w:bCs/>
          <w:color w:val="auto"/>
          <w:kern w:val="0"/>
          <w:szCs w:val="21"/>
        </w:rPr>
        <w:fldChar w:fldCharType="end"/>
      </w:r>
      <w:r>
        <w:rPr>
          <w:rFonts w:hint="eastAsia" w:ascii="宋体" w:hAnsi="宋体" w:eastAsia="宋体" w:cs="宋体"/>
          <w:color w:val="auto"/>
          <w:sz w:val="22"/>
          <w:szCs w:val="22"/>
          <w:lang w:val="en-US" w:eastAsia="zh-CN"/>
        </w:rPr>
        <w:t>。</w:t>
      </w:r>
    </w:p>
    <w:p w14:paraId="6294BB87">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w:t>
      </w:r>
      <w:r>
        <w:rPr>
          <w:rFonts w:hint="eastAsia" w:ascii="宋体" w:hAnsi="宋体" w:eastAsia="宋体" w:cs="宋体"/>
          <w:color w:val="auto"/>
          <w:kern w:val="0"/>
          <w:sz w:val="22"/>
          <w:szCs w:val="22"/>
        </w:rPr>
        <w:t>本项目需要落实的政府采购政策</w:t>
      </w:r>
    </w:p>
    <w:p w14:paraId="4199A2D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（1）政府采购促进中小企业发展。</w:t>
      </w:r>
    </w:p>
    <w:p w14:paraId="6B99AF6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（2）政府采购促进残疾人就业政策。</w:t>
      </w:r>
    </w:p>
    <w:p w14:paraId="0C59087C">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）政府采购支持监狱企业发展。</w:t>
      </w:r>
      <w:bookmarkEnd w:id="27"/>
    </w:p>
    <w:p w14:paraId="35FC8534">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lang w:val="en-US" w:eastAsia="zh-CN"/>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554457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r>
        <w:rPr>
          <w:rFonts w:hint="eastAsia" w:ascii="宋体" w:hAnsi="宋体" w:eastAsia="宋体" w:cs="宋体"/>
          <w:color w:val="auto"/>
          <w:kern w:val="0"/>
          <w:sz w:val="22"/>
          <w:szCs w:val="22"/>
          <w:lang w:val="en-US" w:eastAsia="zh-CN"/>
        </w:rPr>
        <w:t>.若对项目采购电子交易系统操作有疑问，可登录“广西政府采购云平台”平台（</w:t>
      </w:r>
      <w:r>
        <w:rPr>
          <w:rFonts w:hint="eastAsia" w:ascii="宋体" w:hAnsi="宋体" w:cs="宋体"/>
          <w:color w:val="auto"/>
          <w:kern w:val="0"/>
          <w:sz w:val="22"/>
          <w:szCs w:val="22"/>
          <w:lang w:val="en-US" w:eastAsia="zh-CN"/>
        </w:rPr>
        <w:t>http://www.ccgp-guangxi.gov.cn/</w:t>
      </w:r>
      <w:r>
        <w:rPr>
          <w:rFonts w:hint="eastAsia" w:ascii="宋体" w:hAnsi="宋体" w:eastAsia="宋体" w:cs="宋体"/>
          <w:color w:val="auto"/>
          <w:kern w:val="0"/>
          <w:sz w:val="22"/>
          <w:szCs w:val="22"/>
          <w:lang w:val="en-US" w:eastAsia="zh-CN"/>
        </w:rPr>
        <w:t>），点击右侧咨询小采，获取采小蜜智能服务管家帮助，或拨打广西政府采购云平台服务热线95763获取热线服务帮助。</w:t>
      </w:r>
    </w:p>
    <w:p w14:paraId="2B9A25D2">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lang w:val="en-US" w:eastAsia="zh-CN"/>
        </w:rPr>
        <w:t>.关于申请人资格要求的其它说明</w:t>
      </w:r>
    </w:p>
    <w:p w14:paraId="03BE0D9B">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89E475">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3A554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rPr>
      </w:pPr>
      <w:r>
        <w:rPr>
          <w:rFonts w:hint="eastAsia" w:ascii="宋体" w:hAnsi="宋体" w:eastAsia="宋体" w:cs="宋体"/>
          <w:b/>
          <w:color w:val="auto"/>
          <w:kern w:val="44"/>
          <w:sz w:val="22"/>
          <w:szCs w:val="22"/>
        </w:rPr>
        <w:t>八、凡对本次采购提出询问，请按以下方式联系</w:t>
      </w:r>
    </w:p>
    <w:p w14:paraId="7D6711AF">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1.采购人信息</w:t>
      </w:r>
    </w:p>
    <w:p w14:paraId="2280CB6C">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名称：</w:t>
      </w:r>
      <w:r>
        <w:rPr>
          <w:rFonts w:hint="eastAsia" w:ascii="宋体" w:hAnsi="宋体" w:cs="宋体"/>
          <w:color w:val="auto"/>
          <w:sz w:val="22"/>
          <w:szCs w:val="22"/>
          <w:u w:val="none"/>
          <w:lang w:eastAsia="zh-CN"/>
        </w:rPr>
        <w:t>柳州市防洪排涝工程管理处</w:t>
      </w:r>
    </w:p>
    <w:p w14:paraId="7D51E1AC">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地址：</w:t>
      </w:r>
      <w:r>
        <w:rPr>
          <w:rFonts w:hint="eastAsia" w:ascii="宋体" w:hAnsi="宋体" w:cs="宋体"/>
          <w:color w:val="auto"/>
          <w:sz w:val="22"/>
          <w:szCs w:val="22"/>
          <w:u w:val="none"/>
          <w:lang w:eastAsia="zh-CN"/>
        </w:rPr>
        <w:t>柳州市柳北区长风路 1-2</w:t>
      </w:r>
    </w:p>
    <w:p w14:paraId="777F8298">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cs="宋体"/>
          <w:color w:val="auto"/>
          <w:sz w:val="22"/>
          <w:szCs w:val="22"/>
          <w:u w:val="none"/>
          <w:lang w:eastAsia="zh-CN"/>
        </w:rPr>
      </w:pPr>
      <w:r>
        <w:rPr>
          <w:rFonts w:hint="eastAsia" w:ascii="宋体" w:hAnsi="宋体" w:cs="宋体"/>
          <w:color w:val="auto"/>
          <w:sz w:val="22"/>
          <w:szCs w:val="22"/>
          <w:u w:val="none"/>
          <w:lang w:eastAsia="zh-CN"/>
        </w:rPr>
        <w:t>项目联系人：曾慧玲</w:t>
      </w:r>
    </w:p>
    <w:p w14:paraId="33F01E40">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cs="宋体"/>
          <w:color w:val="auto"/>
          <w:sz w:val="22"/>
          <w:szCs w:val="22"/>
          <w:u w:val="none"/>
          <w:lang w:val="en-US" w:eastAsia="zh-CN"/>
        </w:rPr>
      </w:pPr>
      <w:r>
        <w:rPr>
          <w:rFonts w:hint="eastAsia" w:ascii="宋体" w:hAnsi="宋体" w:cs="宋体"/>
          <w:color w:val="auto"/>
          <w:sz w:val="22"/>
          <w:szCs w:val="22"/>
          <w:u w:val="none"/>
          <w:lang w:eastAsia="zh-CN"/>
        </w:rPr>
        <w:t>项目联系方式：0772-</w:t>
      </w:r>
      <w:r>
        <w:rPr>
          <w:rFonts w:ascii="宋体" w:hAnsi="宋体" w:cs="宋体"/>
          <w:color w:val="auto"/>
          <w:sz w:val="22"/>
          <w:szCs w:val="22"/>
          <w:u w:val="none"/>
          <w:lang w:eastAsia="zh-CN"/>
        </w:rPr>
        <w:t>2550831</w:t>
      </w:r>
    </w:p>
    <w:p w14:paraId="244885DC">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jc w:val="lef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2.采购代理机构信息</w:t>
      </w:r>
    </w:p>
    <w:p w14:paraId="2022703B">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名称：</w:t>
      </w:r>
      <w:r>
        <w:rPr>
          <w:rFonts w:hint="eastAsia" w:ascii="宋体" w:hAnsi="宋体" w:cs="宋体"/>
          <w:color w:val="auto"/>
          <w:sz w:val="22"/>
          <w:szCs w:val="22"/>
          <w:u w:val="none"/>
          <w:lang w:eastAsia="zh-CN"/>
        </w:rPr>
        <w:t>广西全捷工程咨询有限公司</w:t>
      </w:r>
    </w:p>
    <w:p w14:paraId="2B30266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地址：</w:t>
      </w:r>
      <w:r>
        <w:rPr>
          <w:rFonts w:hint="eastAsia" w:ascii="宋体" w:hAnsi="宋体" w:cs="宋体"/>
          <w:color w:val="auto"/>
          <w:sz w:val="22"/>
          <w:szCs w:val="22"/>
          <w:u w:val="none"/>
          <w:lang w:eastAsia="zh-CN"/>
        </w:rPr>
        <w:t>柳州市河东路1号秀景园低层住宅区1-5号</w:t>
      </w:r>
    </w:p>
    <w:p w14:paraId="6FD7C1B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项目联系人：</w:t>
      </w:r>
      <w:r>
        <w:rPr>
          <w:rFonts w:hint="eastAsia" w:ascii="宋体" w:hAnsi="宋体" w:cs="宋体"/>
          <w:color w:val="auto"/>
          <w:sz w:val="22"/>
          <w:szCs w:val="22"/>
          <w:u w:val="none"/>
          <w:lang w:eastAsia="zh-CN"/>
        </w:rPr>
        <w:t>黄工</w:t>
      </w:r>
    </w:p>
    <w:p w14:paraId="402CBA48">
      <w:pPr>
        <w:keepNext w:val="0"/>
        <w:keepLines w:val="0"/>
        <w:pageBreakBefore w:val="0"/>
        <w:widowControl w:val="0"/>
        <w:kinsoku/>
        <w:wordWrap/>
        <w:overflowPunct/>
        <w:topLinePunct w:val="0"/>
        <w:autoSpaceDE/>
        <w:autoSpaceDN/>
        <w:bidi w:val="0"/>
        <w:adjustRightInd/>
        <w:snapToGrid w:val="0"/>
        <w:spacing w:line="360" w:lineRule="auto"/>
        <w:ind w:left="0" w:firstLine="440" w:firstLineChars="200"/>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项目联系方式：</w:t>
      </w:r>
      <w:r>
        <w:rPr>
          <w:rFonts w:hint="eastAsia" w:ascii="宋体" w:hAnsi="宋体" w:cs="宋体"/>
          <w:color w:val="auto"/>
          <w:sz w:val="22"/>
          <w:szCs w:val="22"/>
          <w:u w:val="none"/>
          <w:lang w:eastAsia="zh-CN"/>
        </w:rPr>
        <w:t>0772-2882112、13557717138</w:t>
      </w:r>
    </w:p>
    <w:p w14:paraId="39246926">
      <w:pPr>
        <w:keepNext w:val="0"/>
        <w:keepLines w:val="0"/>
        <w:pageBreakBefore w:val="0"/>
        <w:kinsoku/>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u w:val="none"/>
        </w:rPr>
      </w:pPr>
    </w:p>
    <w:p w14:paraId="1D8B7B25">
      <w:pPr>
        <w:spacing w:line="360" w:lineRule="auto"/>
        <w:ind w:firstLine="480" w:firstLineChars="200"/>
        <w:jc w:val="right"/>
        <w:outlineLvl w:val="0"/>
        <w:rPr>
          <w:rFonts w:hint="eastAsia" w:ascii="宋体" w:hAnsi="宋体" w:eastAsia="宋体" w:cs="宋体"/>
          <w:color w:val="auto"/>
          <w:sz w:val="24"/>
          <w:szCs w:val="24"/>
        </w:rPr>
      </w:pPr>
    </w:p>
    <w:p w14:paraId="7C87D410">
      <w:pPr>
        <w:spacing w:line="360" w:lineRule="auto"/>
        <w:ind w:firstLine="480" w:firstLineChars="200"/>
        <w:jc w:val="center"/>
        <w:outlineLvl w:val="0"/>
        <w:rPr>
          <w:rFonts w:hint="eastAsia" w:ascii="宋体" w:hAnsi="宋体" w:eastAsia="宋体" w:cs="宋体"/>
          <w:b/>
          <w:bCs/>
          <w:color w:val="auto"/>
          <w:kern w:val="44"/>
          <w:sz w:val="32"/>
          <w:szCs w:val="32"/>
        </w:rPr>
      </w:pPr>
      <w:r>
        <w:rPr>
          <w:rFonts w:hint="eastAsia" w:ascii="宋体" w:hAnsi="宋体" w:eastAsia="宋体" w:cs="宋体"/>
          <w:color w:val="auto"/>
          <w:sz w:val="24"/>
          <w:szCs w:val="24"/>
        </w:rPr>
        <w:br w:type="page"/>
      </w:r>
      <w:bookmarkStart w:id="28" w:name="_Toc5857"/>
      <w:r>
        <w:rPr>
          <w:rFonts w:hint="eastAsia" w:ascii="宋体" w:hAnsi="宋体" w:eastAsia="宋体" w:cs="宋体"/>
          <w:b/>
          <w:color w:val="auto"/>
          <w:kern w:val="44"/>
          <w:sz w:val="32"/>
          <w:szCs w:val="32"/>
        </w:rPr>
        <w:t xml:space="preserve">第二章 </w:t>
      </w:r>
      <w:r>
        <w:rPr>
          <w:rFonts w:hint="eastAsia" w:ascii="宋体" w:hAnsi="宋体" w:cs="宋体"/>
          <w:b/>
          <w:color w:val="auto"/>
          <w:kern w:val="44"/>
          <w:sz w:val="32"/>
          <w:szCs w:val="32"/>
          <w:lang w:val="en-US" w:eastAsia="zh-CN"/>
        </w:rPr>
        <w:t xml:space="preserve"> </w:t>
      </w:r>
      <w:r>
        <w:rPr>
          <w:rFonts w:hint="eastAsia" w:ascii="宋体" w:hAnsi="宋体" w:eastAsia="宋体" w:cs="宋体"/>
          <w:b/>
          <w:color w:val="auto"/>
          <w:kern w:val="44"/>
          <w:sz w:val="32"/>
          <w:szCs w:val="32"/>
        </w:rPr>
        <w:t>采购需求</w:t>
      </w:r>
      <w:bookmarkEnd w:id="28"/>
    </w:p>
    <w:p w14:paraId="4A3D417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说明：</w:t>
      </w:r>
    </w:p>
    <w:p w14:paraId="458DDF6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本项目需求表中带有“▲”的技术参数或要求为实质性要求，必须满足，竞标响应不得低于该技术指标或要求。</w:t>
      </w:r>
    </w:p>
    <w:p w14:paraId="1B08E0F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40" w:firstLineChars="200"/>
        <w:jc w:val="lef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供应商所竞标货物或服务如国家有强制性要求的按国家规定执行，若执行标准有修改或更新按最新版本执行。</w:t>
      </w:r>
    </w:p>
    <w:p w14:paraId="599D3948">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采购标的对应的中小企业划分标准所属行业：根据《关于印发中小企业划型标准规定的通知》（工信部联企业〔2011〕300号），本次采购标的属于</w:t>
      </w:r>
      <w:r>
        <w:rPr>
          <w:rFonts w:hint="eastAsia" w:ascii="仿宋" w:hAnsi="仿宋" w:eastAsia="仿宋" w:cs="仿宋"/>
          <w:b/>
          <w:bCs/>
          <w:color w:val="auto"/>
          <w:sz w:val="22"/>
          <w:szCs w:val="22"/>
          <w:u w:val="single"/>
        </w:rPr>
        <w:t>其他未列明行业</w:t>
      </w:r>
    </w:p>
    <w:tbl>
      <w:tblPr>
        <w:tblStyle w:val="16"/>
        <w:tblpPr w:leftFromText="180" w:rightFromText="180" w:vertAnchor="text" w:tblpXSpec="left" w:tblpY="1"/>
        <w:tblOverlap w:val="never"/>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1291"/>
        <w:gridCol w:w="44"/>
        <w:gridCol w:w="680"/>
        <w:gridCol w:w="810"/>
        <w:gridCol w:w="6677"/>
      </w:tblGrid>
      <w:tr w14:paraId="63C6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205" w:type="dxa"/>
            <w:gridSpan w:val="6"/>
            <w:tcBorders>
              <w:top w:val="single" w:color="auto" w:sz="4" w:space="0"/>
              <w:left w:val="single" w:color="auto" w:sz="4" w:space="0"/>
              <w:bottom w:val="single" w:color="auto" w:sz="4" w:space="0"/>
              <w:right w:val="single" w:color="auto" w:sz="4" w:space="0"/>
            </w:tcBorders>
            <w:vAlign w:val="center"/>
          </w:tcPr>
          <w:p w14:paraId="1C7723D5">
            <w:pPr>
              <w:keepNext w:val="0"/>
              <w:keepLines w:val="0"/>
              <w:pageBreakBefore w:val="0"/>
              <w:widowControl/>
              <w:kinsoku/>
              <w:overflowPunct/>
              <w:topLinePunct w:val="0"/>
              <w:autoSpaceDE/>
              <w:autoSpaceDN/>
              <w:bidi w:val="0"/>
              <w:adjustRightInd/>
              <w:snapToGrid/>
              <w:spacing w:line="360" w:lineRule="auto"/>
              <w:jc w:val="left"/>
              <w:rPr>
                <w:rFonts w:hint="eastAsia" w:ascii="宋体" w:hAnsi="宋体" w:eastAsia="宋体" w:cs="宋体"/>
                <w:b/>
                <w:bCs/>
                <w:kern w:val="0"/>
                <w:sz w:val="22"/>
                <w:szCs w:val="22"/>
              </w:rPr>
            </w:pPr>
            <w:r>
              <w:rPr>
                <w:rFonts w:hint="eastAsia" w:ascii="宋体" w:hAnsi="宋体" w:eastAsia="宋体" w:cs="宋体"/>
                <w:b/>
                <w:sz w:val="22"/>
                <w:szCs w:val="22"/>
              </w:rPr>
              <w:t>▲</w:t>
            </w:r>
            <w:r>
              <w:rPr>
                <w:rFonts w:hint="eastAsia" w:ascii="宋体" w:hAnsi="宋体" w:eastAsia="宋体" w:cs="宋体"/>
                <w:b/>
                <w:bCs/>
                <w:kern w:val="0"/>
                <w:sz w:val="22"/>
                <w:szCs w:val="22"/>
              </w:rPr>
              <w:t>一、采购项目需求一览表</w:t>
            </w:r>
          </w:p>
        </w:tc>
      </w:tr>
      <w:tr w14:paraId="69D5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03" w:type="dxa"/>
            <w:tcBorders>
              <w:top w:val="single" w:color="auto" w:sz="4" w:space="0"/>
              <w:left w:val="single" w:color="auto" w:sz="4" w:space="0"/>
              <w:bottom w:val="single" w:color="auto" w:sz="4" w:space="0"/>
              <w:right w:val="single" w:color="auto" w:sz="4" w:space="0"/>
            </w:tcBorders>
            <w:vAlign w:val="center"/>
          </w:tcPr>
          <w:p w14:paraId="79AB554D">
            <w:pPr>
              <w:keepNext w:val="0"/>
              <w:keepLines w:val="0"/>
              <w:pageBreakBefore w:val="0"/>
              <w:widowControl/>
              <w:kinsoku/>
              <w:overflowPunct/>
              <w:topLinePunct w:val="0"/>
              <w:autoSpaceDE/>
              <w:autoSpaceDN/>
              <w:bidi w:val="0"/>
              <w:adjustRightInd/>
              <w:snapToGrid/>
              <w:spacing w:line="360" w:lineRule="auto"/>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291" w:type="dxa"/>
            <w:tcBorders>
              <w:top w:val="single" w:color="auto" w:sz="4" w:space="0"/>
              <w:left w:val="single" w:color="auto" w:sz="4" w:space="0"/>
              <w:bottom w:val="single" w:color="auto" w:sz="4" w:space="0"/>
              <w:right w:val="single" w:color="auto" w:sz="4" w:space="0"/>
            </w:tcBorders>
            <w:vAlign w:val="center"/>
          </w:tcPr>
          <w:p w14:paraId="5C59F787">
            <w:pPr>
              <w:keepNext w:val="0"/>
              <w:keepLines w:val="0"/>
              <w:pageBreakBefore w:val="0"/>
              <w:widowControl/>
              <w:kinsoku/>
              <w:overflowPunct/>
              <w:topLinePunct w:val="0"/>
              <w:autoSpaceDE/>
              <w:autoSpaceDN/>
              <w:bidi w:val="0"/>
              <w:adjustRightInd/>
              <w:snapToGrid/>
              <w:spacing w:line="360" w:lineRule="auto"/>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val="en-US" w:eastAsia="zh-CN"/>
              </w:rPr>
              <w:t>工程</w:t>
            </w:r>
            <w:r>
              <w:rPr>
                <w:rFonts w:hint="eastAsia" w:ascii="宋体" w:hAnsi="宋体" w:eastAsia="宋体" w:cs="宋体"/>
                <w:b/>
                <w:bCs/>
                <w:color w:val="auto"/>
                <w:kern w:val="0"/>
                <w:sz w:val="22"/>
                <w:szCs w:val="22"/>
              </w:rPr>
              <w:t>名称</w:t>
            </w: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33B5AAFF">
            <w:pPr>
              <w:keepNext w:val="0"/>
              <w:keepLines w:val="0"/>
              <w:pageBreakBefore w:val="0"/>
              <w:widowControl/>
              <w:kinsoku/>
              <w:overflowPunct/>
              <w:topLinePunct w:val="0"/>
              <w:autoSpaceDE/>
              <w:autoSpaceDN/>
              <w:bidi w:val="0"/>
              <w:adjustRightInd/>
              <w:snapToGrid/>
              <w:spacing w:line="360" w:lineRule="auto"/>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756E155A">
            <w:pPr>
              <w:keepNext w:val="0"/>
              <w:keepLines w:val="0"/>
              <w:pageBreakBefore w:val="0"/>
              <w:widowControl/>
              <w:kinsoku/>
              <w:overflowPunct/>
              <w:topLinePunct w:val="0"/>
              <w:autoSpaceDE/>
              <w:autoSpaceDN/>
              <w:bidi w:val="0"/>
              <w:adjustRightInd/>
              <w:snapToGrid/>
              <w:spacing w:line="360" w:lineRule="auto"/>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单位</w:t>
            </w:r>
          </w:p>
        </w:tc>
        <w:tc>
          <w:tcPr>
            <w:tcW w:w="6677" w:type="dxa"/>
            <w:tcBorders>
              <w:top w:val="single" w:color="auto" w:sz="4" w:space="0"/>
              <w:left w:val="single" w:color="auto" w:sz="4" w:space="0"/>
              <w:bottom w:val="single" w:color="auto" w:sz="4" w:space="0"/>
              <w:right w:val="single" w:color="auto" w:sz="4" w:space="0"/>
            </w:tcBorders>
            <w:vAlign w:val="center"/>
          </w:tcPr>
          <w:p w14:paraId="0A47CA39">
            <w:pPr>
              <w:keepNext w:val="0"/>
              <w:keepLines w:val="0"/>
              <w:pageBreakBefore w:val="0"/>
              <w:widowControl/>
              <w:kinsoku/>
              <w:overflowPunct/>
              <w:topLinePunct w:val="0"/>
              <w:autoSpaceDE/>
              <w:autoSpaceDN/>
              <w:bidi w:val="0"/>
              <w:adjustRightInd/>
              <w:snapToGrid/>
              <w:spacing w:line="360" w:lineRule="auto"/>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技术参数要求</w:t>
            </w:r>
          </w:p>
        </w:tc>
      </w:tr>
      <w:tr w14:paraId="0E3D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auto" w:sz="4" w:space="0"/>
              <w:left w:val="single" w:color="auto" w:sz="4" w:space="0"/>
              <w:bottom w:val="single" w:color="auto" w:sz="4" w:space="0"/>
              <w:right w:val="single" w:color="auto" w:sz="4" w:space="0"/>
            </w:tcBorders>
            <w:vAlign w:val="center"/>
          </w:tcPr>
          <w:p w14:paraId="2F523AE5">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1</w:t>
            </w:r>
          </w:p>
        </w:tc>
        <w:tc>
          <w:tcPr>
            <w:tcW w:w="1291" w:type="dxa"/>
            <w:tcBorders>
              <w:top w:val="single" w:color="auto" w:sz="4" w:space="0"/>
              <w:left w:val="single" w:color="auto" w:sz="4" w:space="0"/>
              <w:bottom w:val="single" w:color="auto" w:sz="4" w:space="0"/>
              <w:right w:val="single" w:color="auto" w:sz="4" w:space="0"/>
            </w:tcBorders>
            <w:vAlign w:val="center"/>
          </w:tcPr>
          <w:p w14:paraId="08D41E51">
            <w:pPr>
              <w:pStyle w:val="6"/>
              <w:keepNext w:val="0"/>
              <w:keepLines w:val="0"/>
              <w:pageBreakBefore w:val="0"/>
              <w:widowControl w:val="0"/>
              <w:kinsoku/>
              <w:wordWrap w:val="0"/>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泵站、堤防护坡清理维护工程(202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年度)</w:t>
            </w: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43C896CB">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1</w:t>
            </w:r>
          </w:p>
        </w:tc>
        <w:tc>
          <w:tcPr>
            <w:tcW w:w="810" w:type="dxa"/>
            <w:tcBorders>
              <w:top w:val="single" w:color="auto" w:sz="4" w:space="0"/>
              <w:left w:val="single" w:color="auto" w:sz="4" w:space="0"/>
              <w:bottom w:val="single" w:color="auto" w:sz="4" w:space="0"/>
              <w:right w:val="single" w:color="auto" w:sz="4" w:space="0"/>
            </w:tcBorders>
            <w:vAlign w:val="center"/>
          </w:tcPr>
          <w:p w14:paraId="109D46B2">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项</w:t>
            </w:r>
          </w:p>
        </w:tc>
        <w:tc>
          <w:tcPr>
            <w:tcW w:w="6677" w:type="dxa"/>
            <w:tcBorders>
              <w:top w:val="single" w:color="auto" w:sz="4" w:space="0"/>
              <w:left w:val="single" w:color="auto" w:sz="4" w:space="0"/>
              <w:bottom w:val="single" w:color="auto" w:sz="4" w:space="0"/>
              <w:right w:val="single" w:color="auto" w:sz="4" w:space="0"/>
            </w:tcBorders>
            <w:vAlign w:val="bottom"/>
          </w:tcPr>
          <w:p w14:paraId="51234AD1">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一、主要内容：</w:t>
            </w:r>
          </w:p>
          <w:p w14:paraId="42B6D7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泵站、堤防清理：</w:t>
            </w:r>
          </w:p>
          <w:p w14:paraId="518E2DAA">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对柳州市柳北区香兰、新江泵站管辖的鹧鸪江堤段的杂树修枝砍伐及杂草割除并做好日常维护，按业主要求随时将杂树杂草清理干净；</w:t>
            </w:r>
          </w:p>
          <w:p w14:paraId="5D43F89A">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对柳州市柳北区回龙冲泵站管辖的白沙堤段的杂树修枝砍伐及杂草割除并做好日常维护，按业主要求随时将杂树杂草清理干净；</w:t>
            </w:r>
          </w:p>
          <w:p w14:paraId="74B1F0EA">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auto"/>
                <w:sz w:val="24"/>
                <w:szCs w:val="24"/>
                <w:lang w:eastAsia="zh-CN"/>
              </w:rPr>
            </w:pPr>
            <w:bookmarkStart w:id="100" w:name="_GoBack"/>
            <w:bookmarkEnd w:id="100"/>
            <w:r>
              <w:rPr>
                <w:rFonts w:hint="eastAsia" w:ascii="宋体" w:hAnsi="宋体" w:eastAsia="宋体" w:cs="宋体"/>
                <w:color w:val="auto"/>
                <w:sz w:val="24"/>
                <w:szCs w:val="24"/>
                <w:lang w:val="en-US" w:eastAsia="zh-CN"/>
              </w:rPr>
              <w:t>3、对柳州市柳北区云头溪泵站管辖的白露堤段的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65D94161">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4、对</w:t>
            </w:r>
            <w:r>
              <w:rPr>
                <w:rFonts w:hint="eastAsia" w:ascii="宋体" w:hAnsi="宋体" w:eastAsia="宋体" w:cs="宋体"/>
                <w:color w:val="auto"/>
                <w:spacing w:val="-4"/>
                <w:kern w:val="2"/>
                <w:sz w:val="24"/>
                <w:szCs w:val="24"/>
                <w:lang w:val="en-US" w:eastAsia="zh-CN" w:bidi="ar-SA"/>
              </w:rPr>
              <w:t>柳州市柳南区航道、崩冲、水电段、竹鹅溪泵站管辖的河西堤段的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487B2AD7">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64"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kern w:val="2"/>
                <w:sz w:val="24"/>
                <w:szCs w:val="24"/>
                <w:lang w:val="en-US" w:eastAsia="zh-CN" w:bidi="ar-SA"/>
              </w:rPr>
              <w:t xml:space="preserve">    </w:t>
            </w:r>
            <w:r>
              <w:rPr>
                <w:rFonts w:hint="eastAsia" w:ascii="宋体" w:hAnsi="宋体" w:eastAsia="宋体" w:cs="宋体"/>
                <w:color w:val="auto"/>
                <w:sz w:val="24"/>
                <w:szCs w:val="24"/>
                <w:lang w:val="en-US" w:eastAsia="zh-CN"/>
              </w:rPr>
              <w:t>5、对</w:t>
            </w:r>
            <w:r>
              <w:rPr>
                <w:rFonts w:hint="eastAsia" w:ascii="宋体" w:hAnsi="宋体" w:eastAsia="宋体" w:cs="宋体"/>
                <w:color w:val="auto"/>
                <w:spacing w:val="-4"/>
                <w:kern w:val="2"/>
                <w:sz w:val="24"/>
                <w:szCs w:val="24"/>
                <w:lang w:val="en-US" w:eastAsia="zh-CN" w:bidi="ar-SA"/>
              </w:rPr>
              <w:t>柳州市城中区静兰下泵站管辖的静兰堤段的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0DD0A8F5">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64"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kern w:val="2"/>
                <w:sz w:val="24"/>
                <w:szCs w:val="24"/>
                <w:lang w:val="en-US" w:eastAsia="zh-CN" w:bidi="ar-SA"/>
              </w:rPr>
              <w:t xml:space="preserve">    </w:t>
            </w:r>
            <w:r>
              <w:rPr>
                <w:rFonts w:hint="eastAsia" w:ascii="宋体" w:hAnsi="宋体" w:eastAsia="宋体" w:cs="宋体"/>
                <w:color w:val="auto"/>
                <w:sz w:val="24"/>
                <w:szCs w:val="24"/>
                <w:lang w:val="en-US" w:eastAsia="zh-CN"/>
              </w:rPr>
              <w:t>6、对</w:t>
            </w:r>
            <w:r>
              <w:rPr>
                <w:rFonts w:hint="eastAsia" w:ascii="宋体" w:hAnsi="宋体" w:eastAsia="宋体" w:cs="宋体"/>
                <w:color w:val="auto"/>
                <w:spacing w:val="-4"/>
                <w:kern w:val="2"/>
                <w:sz w:val="24"/>
                <w:szCs w:val="24"/>
                <w:lang w:val="en-US" w:eastAsia="zh-CN" w:bidi="ar-SA"/>
              </w:rPr>
              <w:t>柳州市鱼峰区福利院、冷水冲、莲花泵站管辖的鸡喇堤段的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0979ACC3">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0" w:firstLineChars="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 xml:space="preserve">    </w:t>
            </w:r>
            <w:r>
              <w:rPr>
                <w:rFonts w:hint="eastAsia" w:ascii="宋体" w:hAnsi="宋体" w:eastAsia="宋体" w:cs="宋体"/>
                <w:color w:val="auto"/>
                <w:sz w:val="24"/>
                <w:szCs w:val="24"/>
                <w:lang w:val="en-US" w:eastAsia="zh-CN"/>
              </w:rPr>
              <w:t>7、对</w:t>
            </w:r>
            <w:r>
              <w:rPr>
                <w:rFonts w:hint="eastAsia" w:ascii="宋体" w:hAnsi="宋体" w:eastAsia="宋体" w:cs="宋体"/>
                <w:color w:val="auto"/>
                <w:spacing w:val="-4"/>
                <w:kern w:val="2"/>
                <w:sz w:val="24"/>
                <w:szCs w:val="24"/>
                <w:lang w:val="en-US" w:eastAsia="zh-CN" w:bidi="ar-SA"/>
              </w:rPr>
              <w:t>柳州市鱼峰区大塘、封木、董家、犁头咀泵站管辖的阳和堤段的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3AC2C1D8">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80" w:firstLineChars="20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z w:val="24"/>
                <w:szCs w:val="24"/>
                <w:lang w:val="en-US" w:eastAsia="zh-CN"/>
              </w:rPr>
              <w:t>8、对</w:t>
            </w:r>
            <w:r>
              <w:rPr>
                <w:rFonts w:hint="eastAsia" w:ascii="宋体" w:hAnsi="宋体" w:eastAsia="宋体" w:cs="宋体"/>
                <w:color w:val="auto"/>
                <w:spacing w:val="-4"/>
                <w:kern w:val="2"/>
                <w:sz w:val="24"/>
                <w:szCs w:val="24"/>
                <w:lang w:val="en-US" w:eastAsia="zh-CN" w:bidi="ar-SA"/>
              </w:rPr>
              <w:t>柳州市鱼峰区官塘冲泵站管辖的官塘堤下段的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79E1542C">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64" w:firstLineChars="20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9、对柳州市鱼峰区洛埠沟、莫道江泵站管辖的官塘堤上段的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260FD827">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64" w:firstLineChars="20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10、对柳州市鱼峰区龙珠泵站管辖的乐龙堤的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1440B532">
            <w:pPr>
              <w:spacing w:line="360" w:lineRule="auto"/>
              <w:ind w:firstLine="480" w:firstLineChars="200"/>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z w:val="24"/>
                <w:szCs w:val="24"/>
                <w:lang w:val="en-US" w:eastAsia="zh-CN"/>
              </w:rPr>
              <w:t>11.</w:t>
            </w:r>
            <w:r>
              <w:rPr>
                <w:rFonts w:hint="eastAsia" w:ascii="宋体" w:hAnsi="宋体" w:eastAsia="宋体" w:cs="宋体"/>
                <w:color w:val="auto"/>
                <w:spacing w:val="-4"/>
                <w:kern w:val="2"/>
                <w:sz w:val="24"/>
                <w:szCs w:val="24"/>
                <w:lang w:val="en-US" w:eastAsia="zh-CN" w:bidi="ar-SA"/>
              </w:rPr>
              <w:t>对柳州市鱼峰区交雍沟泵站管辖的官塘堤</w:t>
            </w:r>
            <w:r>
              <w:rPr>
                <w:rFonts w:hint="eastAsia" w:ascii="宋体" w:hAnsi="宋体" w:cs="宋体"/>
                <w:color w:val="auto"/>
                <w:spacing w:val="-4"/>
                <w:kern w:val="2"/>
                <w:sz w:val="24"/>
                <w:szCs w:val="24"/>
                <w:lang w:val="en-US" w:eastAsia="zh-CN" w:bidi="ar-SA"/>
              </w:rPr>
              <w:t>下</w:t>
            </w:r>
            <w:r>
              <w:rPr>
                <w:rFonts w:hint="eastAsia" w:ascii="宋体" w:hAnsi="宋体" w:eastAsia="宋体" w:cs="宋体"/>
                <w:color w:val="auto"/>
                <w:spacing w:val="-4"/>
                <w:kern w:val="2"/>
                <w:sz w:val="24"/>
                <w:szCs w:val="24"/>
                <w:lang w:val="en-US" w:eastAsia="zh-CN" w:bidi="ar-SA"/>
              </w:rPr>
              <w:t>段的</w:t>
            </w:r>
            <w:r>
              <w:rPr>
                <w:rFonts w:hint="eastAsia" w:ascii="宋体" w:hAnsi="宋体" w:eastAsia="宋体" w:cs="宋体"/>
                <w:color w:val="auto"/>
                <w:sz w:val="24"/>
                <w:szCs w:val="24"/>
                <w:lang w:eastAsia="zh-CN"/>
              </w:rPr>
              <w:t>杂树修枝砍伐及杂草割除并做好日常维护，按业主要求随时将杂树杂草清理干净；</w:t>
            </w:r>
          </w:p>
          <w:p w14:paraId="473E6C8C">
            <w:pPr>
              <w:spacing w:line="360" w:lineRule="auto"/>
              <w:ind w:firstLine="464" w:firstLineChars="200"/>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12.对柳州市鱼峰区洛维泵站管辖的</w:t>
            </w:r>
            <w:r>
              <w:rPr>
                <w:rFonts w:hint="eastAsia" w:ascii="宋体" w:hAnsi="宋体" w:cs="宋体"/>
                <w:color w:val="auto"/>
                <w:spacing w:val="-4"/>
                <w:kern w:val="2"/>
                <w:sz w:val="24"/>
                <w:szCs w:val="24"/>
                <w:lang w:val="en-US" w:eastAsia="zh-CN" w:bidi="ar-SA"/>
              </w:rPr>
              <w:t>洛维堤</w:t>
            </w:r>
            <w:r>
              <w:rPr>
                <w:rFonts w:hint="eastAsia" w:ascii="宋体" w:hAnsi="宋体" w:eastAsia="宋体" w:cs="宋体"/>
                <w:color w:val="auto"/>
                <w:spacing w:val="-4"/>
                <w:kern w:val="2"/>
                <w:sz w:val="24"/>
                <w:szCs w:val="24"/>
                <w:lang w:val="en-US" w:eastAsia="zh-CN" w:bidi="ar-SA"/>
              </w:rPr>
              <w:t>的</w:t>
            </w:r>
            <w:r>
              <w:rPr>
                <w:rFonts w:hint="eastAsia" w:ascii="宋体" w:hAnsi="宋体" w:eastAsia="宋体" w:cs="宋体"/>
                <w:color w:val="auto"/>
                <w:sz w:val="24"/>
                <w:szCs w:val="24"/>
                <w:lang w:eastAsia="zh-CN"/>
              </w:rPr>
              <w:t>杂树修枝砍伐及杂草割除并做好日常维护，按业主要求随时将杂树杂草清理干净</w:t>
            </w:r>
            <w:r>
              <w:rPr>
                <w:rFonts w:hint="eastAsia" w:ascii="宋体" w:hAnsi="宋体" w:cs="宋体"/>
                <w:color w:val="auto"/>
                <w:sz w:val="24"/>
                <w:szCs w:val="24"/>
                <w:lang w:eastAsia="zh-CN"/>
              </w:rPr>
              <w:t>。</w:t>
            </w:r>
          </w:p>
          <w:p w14:paraId="15251036">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二、具体要求：</w:t>
            </w:r>
          </w:p>
          <w:p w14:paraId="4ED88111">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64" w:firstLineChars="20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按照业主对本项目的要求：</w:t>
            </w:r>
          </w:p>
          <w:p w14:paraId="2BF54506">
            <w:pPr>
              <w:pStyle w:val="15"/>
              <w:keepNext w:val="0"/>
              <w:keepLines w:val="0"/>
              <w:pageBreakBefore w:val="0"/>
              <w:widowControl w:val="0"/>
              <w:tabs>
                <w:tab w:val="left" w:pos="0"/>
              </w:tabs>
              <w:kinsoku/>
              <w:wordWrap/>
              <w:overflowPunct/>
              <w:topLinePunct w:val="0"/>
              <w:autoSpaceDE/>
              <w:autoSpaceDN/>
              <w:bidi w:val="0"/>
              <w:adjustRightInd w:val="0"/>
              <w:snapToGrid w:val="0"/>
              <w:spacing w:after="0" w:line="360" w:lineRule="auto"/>
              <w:ind w:lef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kern w:val="2"/>
                <w:sz w:val="24"/>
                <w:szCs w:val="24"/>
                <w:lang w:val="en-US" w:eastAsia="zh-CN" w:bidi="ar-SA"/>
              </w:rPr>
              <w:t>1、施工方需时刻保持30名机</w:t>
            </w:r>
            <w:r>
              <w:rPr>
                <w:rFonts w:hint="eastAsia" w:ascii="宋体" w:hAnsi="宋体" w:eastAsia="宋体" w:cs="宋体"/>
                <w:color w:val="auto"/>
                <w:sz w:val="24"/>
                <w:szCs w:val="24"/>
                <w:lang w:val="en-US" w:eastAsia="zh-CN"/>
              </w:rPr>
              <w:t>动人员已应对甲方应急情况的调动。2、</w:t>
            </w:r>
            <w:r>
              <w:rPr>
                <w:rFonts w:hint="eastAsia" w:ascii="宋体" w:hAnsi="宋体" w:eastAsia="宋体" w:cs="宋体"/>
                <w:color w:val="auto"/>
                <w:sz w:val="24"/>
                <w:szCs w:val="24"/>
                <w:lang w:eastAsia="zh-CN"/>
              </w:rPr>
              <w:t>施工方应随时调配</w:t>
            </w:r>
            <w:r>
              <w:rPr>
                <w:rFonts w:hint="eastAsia" w:ascii="宋体" w:hAnsi="宋体" w:eastAsia="宋体" w:cs="宋体"/>
                <w:color w:val="auto"/>
                <w:sz w:val="24"/>
                <w:szCs w:val="24"/>
                <w:lang w:val="en-US" w:eastAsia="zh-CN"/>
              </w:rPr>
              <w:t>10辆小型绿色环保渣土车应对甲方应急情况的调动。3、</w:t>
            </w:r>
            <w:r>
              <w:rPr>
                <w:rFonts w:hint="eastAsia" w:ascii="宋体" w:hAnsi="宋体" w:eastAsia="宋体" w:cs="宋体"/>
                <w:color w:val="auto"/>
                <w:sz w:val="24"/>
                <w:szCs w:val="24"/>
                <w:lang w:eastAsia="zh-CN"/>
              </w:rPr>
              <w:t>泵站、堤防清理项目接到通知后</w:t>
            </w:r>
            <w:r>
              <w:rPr>
                <w:rFonts w:hint="eastAsia" w:ascii="宋体" w:hAnsi="宋体" w:eastAsia="宋体" w:cs="宋体"/>
                <w:color w:val="auto"/>
                <w:sz w:val="24"/>
                <w:szCs w:val="24"/>
                <w:lang w:val="en-US" w:eastAsia="zh-CN"/>
              </w:rPr>
              <w:t>3小时内组织人员进场施工，1天内完成，并通过管辖区域泵站人员确认验收。</w:t>
            </w:r>
          </w:p>
          <w:p w14:paraId="4EF5A201">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三、技术需求：</w:t>
            </w:r>
          </w:p>
          <w:p w14:paraId="6B8D9733">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确保产品符合现行国家、建设部（或水利部或其相关部门）颁布现行的有关规程规范以及合同的要求，并通过相关部门或采购方组织的审查与评审（若有）。</w:t>
            </w:r>
          </w:p>
          <w:p w14:paraId="23C8EFD7">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四、成果报告数量要求：</w:t>
            </w:r>
          </w:p>
          <w:p w14:paraId="34C9C23F">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套纸质版成果报告。</w:t>
            </w:r>
          </w:p>
          <w:p w14:paraId="21EACCCF">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PDF电子版成果报告。 </w:t>
            </w:r>
          </w:p>
          <w:p w14:paraId="350217BD">
            <w:pPr>
              <w:pStyle w:val="15"/>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五、交付时限：</w:t>
            </w:r>
          </w:p>
          <w:p w14:paraId="2AA7D770">
            <w:pPr>
              <w:pStyle w:val="15"/>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4"/>
                <w:szCs w:val="24"/>
                <w:lang w:eastAsia="zh-CN"/>
              </w:rPr>
              <w:t>合同签订</w:t>
            </w:r>
            <w:r>
              <w:rPr>
                <w:rFonts w:hint="eastAsia" w:ascii="宋体" w:hAnsi="宋体" w:eastAsia="宋体" w:cs="宋体"/>
                <w:color w:val="auto"/>
                <w:sz w:val="24"/>
                <w:szCs w:val="24"/>
                <w:lang w:val="en-US" w:eastAsia="zh-CN"/>
              </w:rPr>
              <w:t>之日起至2027年6月30日</w:t>
            </w:r>
            <w:r>
              <w:rPr>
                <w:rFonts w:hint="eastAsia" w:ascii="宋体" w:hAnsi="宋体" w:eastAsia="宋体" w:cs="宋体"/>
                <w:color w:val="auto"/>
                <w:sz w:val="24"/>
                <w:szCs w:val="24"/>
              </w:rPr>
              <w:t>。</w:t>
            </w:r>
          </w:p>
        </w:tc>
      </w:tr>
      <w:tr w14:paraId="6620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205" w:type="dxa"/>
            <w:gridSpan w:val="6"/>
            <w:tcBorders>
              <w:top w:val="single" w:color="auto" w:sz="4" w:space="0"/>
              <w:left w:val="single" w:color="auto" w:sz="4" w:space="0"/>
              <w:bottom w:val="single" w:color="auto" w:sz="4" w:space="0"/>
              <w:right w:val="single" w:color="auto" w:sz="4" w:space="0"/>
            </w:tcBorders>
            <w:vAlign w:val="center"/>
          </w:tcPr>
          <w:p w14:paraId="68D3DFD6">
            <w:pPr>
              <w:keepNext w:val="0"/>
              <w:keepLines w:val="0"/>
              <w:pageBreakBefore w:val="0"/>
              <w:widowControl/>
              <w:kinsoku/>
              <w:overflowPunct/>
              <w:topLinePunct w:val="0"/>
              <w:autoSpaceDE/>
              <w:autoSpaceDN/>
              <w:bidi w:val="0"/>
              <w:adjustRightInd/>
              <w:snapToGrid/>
              <w:spacing w:line="360" w:lineRule="auto"/>
              <w:jc w:val="left"/>
              <w:rPr>
                <w:rFonts w:hint="eastAsia" w:ascii="宋体" w:hAnsi="宋体" w:eastAsia="宋体" w:cs="宋体"/>
                <w:b/>
                <w:color w:val="auto"/>
                <w:sz w:val="22"/>
                <w:szCs w:val="22"/>
              </w:rPr>
            </w:pPr>
            <w:r>
              <w:rPr>
                <w:rFonts w:hint="eastAsia" w:ascii="宋体" w:hAnsi="宋体" w:eastAsia="宋体" w:cs="宋体"/>
                <w:b/>
                <w:color w:val="auto"/>
                <w:sz w:val="22"/>
                <w:szCs w:val="22"/>
              </w:rPr>
              <w:t>▲二、商务要求</w:t>
            </w:r>
          </w:p>
        </w:tc>
      </w:tr>
      <w:tr w14:paraId="7F75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38" w:type="dxa"/>
            <w:gridSpan w:val="3"/>
            <w:tcBorders>
              <w:top w:val="single" w:color="auto" w:sz="4" w:space="0"/>
              <w:left w:val="single" w:color="auto" w:sz="4" w:space="0"/>
              <w:bottom w:val="single" w:color="auto" w:sz="4" w:space="0"/>
              <w:right w:val="single" w:color="auto" w:sz="4" w:space="0"/>
            </w:tcBorders>
            <w:vAlign w:val="center"/>
          </w:tcPr>
          <w:p w14:paraId="0568B674">
            <w:pPr>
              <w:spacing w:line="3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4"/>
              </w:rPr>
              <w:t>交付时间及地点</w:t>
            </w:r>
          </w:p>
        </w:tc>
        <w:tc>
          <w:tcPr>
            <w:tcW w:w="8167" w:type="dxa"/>
            <w:gridSpan w:val="3"/>
            <w:tcBorders>
              <w:top w:val="single" w:color="auto" w:sz="4" w:space="0"/>
              <w:left w:val="single" w:color="auto" w:sz="4" w:space="0"/>
              <w:bottom w:val="single" w:color="auto" w:sz="4" w:space="0"/>
              <w:right w:val="single" w:color="auto" w:sz="4" w:space="0"/>
            </w:tcBorders>
            <w:vAlign w:val="center"/>
          </w:tcPr>
          <w:p w14:paraId="6BCC52F0">
            <w:pPr>
              <w:spacing w:line="380" w:lineRule="exact"/>
              <w:rPr>
                <w:rFonts w:hint="eastAsia" w:ascii="宋体" w:hAnsi="宋体" w:eastAsia="宋体" w:cs="宋体"/>
                <w:color w:val="auto"/>
                <w:sz w:val="24"/>
              </w:rPr>
            </w:pPr>
            <w:r>
              <w:rPr>
                <w:rFonts w:hint="eastAsia" w:ascii="宋体" w:hAnsi="宋体" w:eastAsia="宋体" w:cs="宋体"/>
                <w:b/>
                <w:color w:val="auto"/>
                <w:sz w:val="24"/>
              </w:rPr>
              <w:t>交付时间：</w:t>
            </w:r>
            <w:r>
              <w:rPr>
                <w:rFonts w:hint="eastAsia" w:ascii="宋体" w:hAnsi="宋体" w:eastAsia="宋体" w:cs="宋体"/>
                <w:color w:val="auto"/>
                <w:spacing w:val="-4"/>
                <w:szCs w:val="21"/>
              </w:rPr>
              <w:t>自合同签订之日起</w:t>
            </w:r>
            <w:r>
              <w:rPr>
                <w:rFonts w:hint="eastAsia" w:ascii="宋体" w:hAnsi="宋体" w:eastAsia="宋体" w:cs="宋体"/>
                <w:color w:val="auto"/>
                <w:spacing w:val="-4"/>
                <w:szCs w:val="21"/>
                <w:lang w:val="en-US" w:eastAsia="zh-CN"/>
              </w:rPr>
              <w:t>5</w:t>
            </w:r>
            <w:r>
              <w:rPr>
                <w:rFonts w:hint="eastAsia" w:ascii="宋体" w:hAnsi="宋体" w:eastAsia="宋体" w:cs="宋体"/>
                <w:color w:val="auto"/>
                <w:spacing w:val="-4"/>
                <w:szCs w:val="21"/>
              </w:rPr>
              <w:t>日内向业主提交</w:t>
            </w:r>
            <w:r>
              <w:rPr>
                <w:rFonts w:hint="eastAsia" w:ascii="宋体" w:hAnsi="宋体" w:eastAsia="宋体" w:cs="宋体"/>
                <w:color w:val="auto"/>
                <w:spacing w:val="-4"/>
                <w:szCs w:val="21"/>
                <w:lang w:eastAsia="zh-CN"/>
              </w:rPr>
              <w:t>施工</w:t>
            </w:r>
            <w:r>
              <w:rPr>
                <w:rFonts w:hint="eastAsia" w:ascii="宋体" w:hAnsi="宋体" w:eastAsia="宋体" w:cs="宋体"/>
                <w:color w:val="auto"/>
                <w:spacing w:val="-4"/>
                <w:szCs w:val="21"/>
              </w:rPr>
              <w:t>方案，</w:t>
            </w:r>
            <w:r>
              <w:rPr>
                <w:rFonts w:hint="eastAsia" w:ascii="宋体" w:hAnsi="宋体" w:eastAsia="宋体" w:cs="宋体"/>
                <w:color w:val="auto"/>
                <w:spacing w:val="-4"/>
                <w:szCs w:val="21"/>
                <w:lang w:eastAsia="zh-CN"/>
              </w:rPr>
              <w:t>按照</w:t>
            </w:r>
            <w:r>
              <w:rPr>
                <w:rFonts w:hint="eastAsia" w:ascii="宋体" w:hAnsi="宋体" w:eastAsia="宋体" w:cs="宋体"/>
                <w:color w:val="auto"/>
                <w:spacing w:val="-4"/>
                <w:szCs w:val="21"/>
              </w:rPr>
              <w:t>业主批复完成</w:t>
            </w:r>
            <w:r>
              <w:rPr>
                <w:rFonts w:hint="eastAsia" w:ascii="宋体" w:hAnsi="宋体" w:eastAsia="宋体" w:cs="宋体"/>
                <w:color w:val="auto"/>
                <w:spacing w:val="-4"/>
                <w:szCs w:val="21"/>
                <w:lang w:eastAsia="zh-CN"/>
              </w:rPr>
              <w:t>施工</w:t>
            </w:r>
            <w:r>
              <w:rPr>
                <w:rFonts w:hint="eastAsia" w:ascii="宋体" w:hAnsi="宋体" w:eastAsia="宋体" w:cs="宋体"/>
                <w:color w:val="auto"/>
                <w:spacing w:val="-4"/>
                <w:szCs w:val="21"/>
              </w:rPr>
              <w:t>并提交报告成果。</w:t>
            </w:r>
          </w:p>
          <w:p w14:paraId="69498E0F">
            <w:pPr>
              <w:spacing w:line="380" w:lineRule="exact"/>
              <w:rPr>
                <w:rFonts w:hint="eastAsia" w:ascii="宋体" w:hAnsi="宋体" w:eastAsia="宋体" w:cs="宋体"/>
                <w:color w:val="auto"/>
                <w:sz w:val="22"/>
                <w:szCs w:val="22"/>
              </w:rPr>
            </w:pPr>
            <w:r>
              <w:rPr>
                <w:rFonts w:hint="eastAsia" w:ascii="宋体" w:hAnsi="宋体" w:eastAsia="宋体" w:cs="宋体"/>
                <w:b/>
                <w:color w:val="auto"/>
                <w:sz w:val="24"/>
              </w:rPr>
              <w:t>交付地点：</w:t>
            </w:r>
            <w:r>
              <w:rPr>
                <w:rFonts w:hint="eastAsia" w:ascii="宋体" w:hAnsi="宋体" w:eastAsia="宋体" w:cs="宋体"/>
                <w:color w:val="auto"/>
                <w:spacing w:val="-4"/>
                <w:szCs w:val="21"/>
                <w:lang w:val="zh-CN"/>
              </w:rPr>
              <w:t>采购人指定地点</w:t>
            </w:r>
            <w:r>
              <w:rPr>
                <w:rFonts w:hint="eastAsia" w:ascii="宋体" w:hAnsi="宋体" w:eastAsia="宋体" w:cs="宋体"/>
                <w:color w:val="auto"/>
                <w:spacing w:val="-4"/>
                <w:szCs w:val="21"/>
              </w:rPr>
              <w:t>。</w:t>
            </w:r>
          </w:p>
        </w:tc>
      </w:tr>
      <w:tr w14:paraId="133E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038" w:type="dxa"/>
            <w:gridSpan w:val="3"/>
            <w:tcBorders>
              <w:top w:val="single" w:color="auto" w:sz="4" w:space="0"/>
              <w:left w:val="single" w:color="auto" w:sz="4" w:space="0"/>
              <w:bottom w:val="single" w:color="auto" w:sz="4" w:space="0"/>
              <w:right w:val="single" w:color="auto" w:sz="4" w:space="0"/>
            </w:tcBorders>
            <w:vAlign w:val="center"/>
          </w:tcPr>
          <w:p w14:paraId="36074ABB">
            <w:pPr>
              <w:spacing w:line="3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4"/>
              </w:rPr>
              <w:t>付款方式</w:t>
            </w:r>
          </w:p>
        </w:tc>
        <w:tc>
          <w:tcPr>
            <w:tcW w:w="8167" w:type="dxa"/>
            <w:gridSpan w:val="3"/>
            <w:tcBorders>
              <w:top w:val="single" w:color="auto" w:sz="4" w:space="0"/>
              <w:left w:val="single" w:color="auto" w:sz="4" w:space="0"/>
              <w:bottom w:val="single" w:color="auto" w:sz="4" w:space="0"/>
              <w:right w:val="single" w:color="auto" w:sz="4" w:space="0"/>
            </w:tcBorders>
            <w:vAlign w:val="center"/>
          </w:tcPr>
          <w:p w14:paraId="562B1903">
            <w:pPr>
              <w:widowControl/>
              <w:spacing w:line="380" w:lineRule="exact"/>
              <w:rPr>
                <w:rFonts w:hint="eastAsia" w:ascii="宋体" w:hAnsi="宋体" w:eastAsia="宋体" w:cs="宋体"/>
                <w:color w:val="auto"/>
                <w:spacing w:val="-4"/>
                <w:szCs w:val="21"/>
                <w:lang w:val="zh-CN"/>
              </w:rPr>
            </w:pPr>
            <w:r>
              <w:rPr>
                <w:rFonts w:hint="eastAsia" w:ascii="宋体" w:hAnsi="宋体" w:eastAsia="宋体" w:cs="宋体"/>
                <w:color w:val="auto"/>
                <w:spacing w:val="-4"/>
                <w:szCs w:val="21"/>
                <w:lang w:val="zh-CN"/>
              </w:rPr>
              <w:t>（1）合同签订后，甲方</w:t>
            </w:r>
            <w:r>
              <w:rPr>
                <w:rFonts w:hint="eastAsia" w:ascii="宋体" w:hAnsi="宋体" w:cs="宋体"/>
                <w:color w:val="auto"/>
                <w:spacing w:val="-4"/>
                <w:sz w:val="21"/>
                <w:szCs w:val="21"/>
                <w:lang w:val="zh-CN"/>
              </w:rPr>
              <w:t>视资金到位情况向</w:t>
            </w:r>
            <w:r>
              <w:rPr>
                <w:rFonts w:hint="eastAsia" w:ascii="宋体" w:hAnsi="宋体" w:cs="宋体"/>
                <w:color w:val="auto"/>
                <w:spacing w:val="-4"/>
                <w:sz w:val="21"/>
                <w:szCs w:val="21"/>
                <w:lang w:val="zh-CN" w:eastAsia="zh-CN"/>
              </w:rPr>
              <w:t>乙方</w:t>
            </w:r>
            <w:r>
              <w:rPr>
                <w:rFonts w:hint="eastAsia" w:ascii="宋体" w:hAnsi="宋体" w:eastAsia="宋体" w:cs="宋体"/>
                <w:color w:val="auto"/>
                <w:spacing w:val="-4"/>
                <w:sz w:val="21"/>
                <w:szCs w:val="21"/>
                <w:lang w:val="zh-CN"/>
              </w:rPr>
              <w:t>支付预付款，预付款金额为合同价的 30%</w:t>
            </w:r>
            <w:r>
              <w:rPr>
                <w:rFonts w:hint="eastAsia" w:ascii="宋体" w:hAnsi="宋体" w:cs="宋体"/>
                <w:color w:val="auto"/>
                <w:spacing w:val="-4"/>
                <w:sz w:val="21"/>
                <w:szCs w:val="21"/>
                <w:lang w:val="en-US" w:eastAsia="zh-CN"/>
              </w:rPr>
              <w:t>；</w:t>
            </w:r>
            <w:r>
              <w:rPr>
                <w:rFonts w:hint="eastAsia" w:ascii="宋体" w:hAnsi="宋体" w:eastAsia="宋体" w:cs="宋体"/>
                <w:color w:val="auto"/>
                <w:spacing w:val="-4"/>
                <w:sz w:val="21"/>
                <w:szCs w:val="21"/>
                <w:lang w:val="zh-CN"/>
              </w:rPr>
              <w:t>经甲方审核后</w:t>
            </w:r>
            <w:r>
              <w:rPr>
                <w:rFonts w:hint="eastAsia" w:ascii="宋体" w:hAnsi="宋体" w:eastAsia="宋体" w:cs="宋体"/>
                <w:color w:val="auto"/>
                <w:spacing w:val="-4"/>
                <w:szCs w:val="21"/>
                <w:lang w:val="zh-CN"/>
              </w:rPr>
              <w:t>，向乙方支付合同进度款，不超过合同金额的80%。</w:t>
            </w:r>
          </w:p>
          <w:p w14:paraId="69816F51">
            <w:pPr>
              <w:widowControl/>
              <w:spacing w:line="380" w:lineRule="exact"/>
              <w:rPr>
                <w:rFonts w:hint="eastAsia" w:ascii="宋体" w:hAnsi="宋体" w:eastAsia="宋体" w:cs="宋体"/>
                <w:color w:val="auto"/>
                <w:spacing w:val="-4"/>
                <w:sz w:val="22"/>
                <w:szCs w:val="22"/>
                <w:lang w:val="zh-CN"/>
              </w:rPr>
            </w:pPr>
            <w:r>
              <w:rPr>
                <w:rFonts w:hint="eastAsia" w:ascii="宋体" w:hAnsi="宋体" w:eastAsia="宋体" w:cs="宋体"/>
                <w:color w:val="auto"/>
                <w:spacing w:val="-4"/>
                <w:szCs w:val="21"/>
                <w:lang w:val="zh-CN"/>
              </w:rPr>
              <w:t>（2）完成合同履约验收后并通过柳州市财政评审中心或甲方结算审核后，甲方向乙方支付剩余合同结算价款。</w:t>
            </w:r>
          </w:p>
        </w:tc>
      </w:tr>
      <w:tr w14:paraId="6275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2038" w:type="dxa"/>
            <w:gridSpan w:val="3"/>
            <w:tcBorders>
              <w:top w:val="single" w:color="auto" w:sz="4" w:space="0"/>
              <w:left w:val="single" w:color="auto" w:sz="4" w:space="0"/>
              <w:bottom w:val="single" w:color="auto" w:sz="4" w:space="0"/>
              <w:right w:val="single" w:color="auto" w:sz="4" w:space="0"/>
            </w:tcBorders>
            <w:vAlign w:val="center"/>
          </w:tcPr>
          <w:p w14:paraId="37AE4CB0">
            <w:pPr>
              <w:spacing w:line="380" w:lineRule="exact"/>
              <w:jc w:val="center"/>
              <w:rPr>
                <w:rFonts w:hint="eastAsia" w:ascii="宋体" w:hAnsi="宋体" w:eastAsia="宋体" w:cs="宋体"/>
                <w:b/>
                <w:bCs/>
                <w:color w:val="auto"/>
                <w:sz w:val="22"/>
                <w:szCs w:val="22"/>
              </w:rPr>
            </w:pPr>
            <w:r>
              <w:rPr>
                <w:rFonts w:hint="eastAsia" w:ascii="宋体" w:hAnsi="宋体" w:eastAsia="宋体" w:cs="宋体"/>
                <w:b/>
                <w:bCs/>
                <w:color w:val="auto"/>
                <w:sz w:val="24"/>
              </w:rPr>
              <w:t>验收标准</w:t>
            </w:r>
          </w:p>
        </w:tc>
        <w:tc>
          <w:tcPr>
            <w:tcW w:w="8167" w:type="dxa"/>
            <w:gridSpan w:val="3"/>
            <w:tcBorders>
              <w:top w:val="single" w:color="auto" w:sz="4" w:space="0"/>
              <w:left w:val="single" w:color="auto" w:sz="4" w:space="0"/>
              <w:bottom w:val="single" w:color="auto" w:sz="4" w:space="0"/>
              <w:right w:val="single" w:color="auto" w:sz="4" w:space="0"/>
            </w:tcBorders>
            <w:vAlign w:val="center"/>
          </w:tcPr>
          <w:p w14:paraId="28D0408F">
            <w:pPr>
              <w:widowControl/>
              <w:spacing w:line="380" w:lineRule="exact"/>
              <w:rPr>
                <w:rFonts w:hint="eastAsia" w:ascii="宋体" w:hAnsi="宋体" w:eastAsia="宋体" w:cs="宋体"/>
                <w:color w:val="auto"/>
                <w:spacing w:val="-4"/>
                <w:szCs w:val="21"/>
                <w:lang w:val="zh-CN"/>
              </w:rPr>
            </w:pPr>
            <w:r>
              <w:rPr>
                <w:rFonts w:hint="eastAsia" w:ascii="宋体" w:hAnsi="宋体" w:eastAsia="宋体" w:cs="宋体"/>
                <w:color w:val="auto"/>
                <w:spacing w:val="-4"/>
                <w:szCs w:val="21"/>
                <w:lang w:val="zh-CN"/>
              </w:rPr>
              <w:t>(1)工程质量必须符合国家或专业的质量检验评定规范标准，满足国家相关规程规范要求并通过验收。</w:t>
            </w:r>
          </w:p>
          <w:p w14:paraId="5F86EC26">
            <w:pPr>
              <w:widowControl/>
              <w:spacing w:line="380" w:lineRule="exact"/>
              <w:rPr>
                <w:rFonts w:hint="eastAsia" w:ascii="宋体" w:hAnsi="宋体" w:eastAsia="宋体" w:cs="宋体"/>
                <w:color w:val="auto"/>
                <w:sz w:val="22"/>
                <w:szCs w:val="22"/>
                <w:lang w:val="zh-CN"/>
              </w:rPr>
            </w:pPr>
            <w:r>
              <w:rPr>
                <w:rFonts w:hint="eastAsia" w:ascii="宋体" w:hAnsi="宋体" w:eastAsia="宋体" w:cs="宋体"/>
                <w:color w:val="auto"/>
                <w:spacing w:val="-4"/>
                <w:szCs w:val="21"/>
                <w:lang w:val="zh-CN"/>
              </w:rPr>
              <w:t>(2)乙方完成的每一处施工项目均需通过甲方负责该区域管辖的泵站人员确认。</w:t>
            </w:r>
          </w:p>
        </w:tc>
      </w:tr>
    </w:tbl>
    <w:p w14:paraId="3B9E04B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3A39B7F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399C0D4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15861684">
      <w:pPr>
        <w:keepNext w:val="0"/>
        <w:keepLines w:val="0"/>
        <w:pageBreakBefore w:val="0"/>
        <w:widowControl w:val="0"/>
        <w:kinsoku/>
        <w:wordWrap/>
        <w:overflowPunct/>
        <w:topLinePunct w:val="0"/>
        <w:autoSpaceDE/>
        <w:autoSpaceDN/>
        <w:bidi w:val="0"/>
        <w:adjustRightInd/>
        <w:snapToGrid w:val="0"/>
        <w:spacing w:line="480" w:lineRule="auto"/>
        <w:ind w:firstLine="643" w:firstLineChars="200"/>
        <w:jc w:val="center"/>
        <w:textAlignment w:val="auto"/>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工程量清单</w:t>
      </w:r>
    </w:p>
    <w:p w14:paraId="5D9BDD58">
      <w:pPr>
        <w:keepNext w:val="0"/>
        <w:keepLines w:val="0"/>
        <w:pageBreakBefore w:val="0"/>
        <w:widowControl w:val="0"/>
        <w:kinsoku/>
        <w:wordWrap/>
        <w:overflowPunct/>
        <w:topLinePunct w:val="0"/>
        <w:autoSpaceDE/>
        <w:autoSpaceDN/>
        <w:bidi w:val="0"/>
        <w:adjustRightInd/>
        <w:snapToGrid w:val="0"/>
        <w:spacing w:line="480" w:lineRule="auto"/>
        <w:ind w:firstLine="643" w:firstLineChars="200"/>
        <w:jc w:val="center"/>
        <w:textAlignment w:val="auto"/>
        <w:rPr>
          <w:rFonts w:hint="eastAsia" w:ascii="宋体" w:hAnsi="宋体" w:eastAsia="宋体" w:cs="宋体"/>
          <w:color w:val="auto"/>
          <w:sz w:val="24"/>
          <w:szCs w:val="24"/>
        </w:rPr>
      </w:pP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工程量清单格式按照</w:t>
      </w:r>
      <w:r>
        <w:rPr>
          <w:rFonts w:hint="eastAsia" w:ascii="宋体" w:hAnsi="宋体" w:eastAsia="宋体" w:cs="宋体"/>
          <w:b/>
          <w:bCs/>
          <w:color w:val="auto"/>
          <w:sz w:val="32"/>
          <w:szCs w:val="32"/>
        </w:rPr>
        <w:t>“广西政府采购云平台”网上下载</w:t>
      </w:r>
      <w:r>
        <w:rPr>
          <w:rFonts w:hint="eastAsia" w:ascii="宋体" w:hAnsi="宋体" w:cs="宋体"/>
          <w:b/>
          <w:bCs/>
          <w:color w:val="auto"/>
          <w:sz w:val="32"/>
          <w:szCs w:val="32"/>
          <w:lang w:val="en-US" w:eastAsia="zh-CN"/>
        </w:rPr>
        <w:t>内容</w:t>
      </w:r>
      <w:r>
        <w:rPr>
          <w:rFonts w:hint="eastAsia" w:ascii="宋体" w:hAnsi="宋体" w:cs="宋体"/>
          <w:b/>
          <w:bCs/>
          <w:color w:val="auto"/>
          <w:sz w:val="32"/>
          <w:szCs w:val="32"/>
          <w:lang w:eastAsia="zh-CN"/>
        </w:rPr>
        <w:t>）</w:t>
      </w:r>
    </w:p>
    <w:p w14:paraId="14E7B0F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0184A24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7A7ED62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66A35D9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0D65501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auto"/>
          <w:sz w:val="24"/>
          <w:szCs w:val="24"/>
        </w:rPr>
      </w:pPr>
    </w:p>
    <w:p w14:paraId="4045AED7">
      <w:pPr>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color w:val="auto"/>
          <w:kern w:val="44"/>
          <w:sz w:val="24"/>
          <w:szCs w:val="24"/>
        </w:rPr>
      </w:pPr>
      <w:r>
        <w:rPr>
          <w:rFonts w:hint="eastAsia" w:ascii="宋体" w:hAnsi="宋体" w:eastAsia="宋体" w:cs="宋体"/>
          <w:b/>
          <w:bCs/>
          <w:color w:val="auto"/>
          <w:sz w:val="24"/>
          <w:szCs w:val="24"/>
        </w:rPr>
        <w:br w:type="page"/>
      </w:r>
      <w:bookmarkStart w:id="29" w:name="_Toc9125"/>
      <w:r>
        <w:rPr>
          <w:rFonts w:hint="eastAsia" w:ascii="宋体" w:hAnsi="宋体" w:eastAsia="宋体" w:cs="宋体"/>
          <w:b/>
          <w:color w:val="auto"/>
          <w:kern w:val="44"/>
          <w:sz w:val="32"/>
          <w:szCs w:val="32"/>
        </w:rPr>
        <w:t xml:space="preserve">第三章 </w:t>
      </w:r>
      <w:r>
        <w:rPr>
          <w:rFonts w:hint="eastAsia" w:ascii="宋体" w:hAnsi="宋体" w:cs="宋体"/>
          <w:b/>
          <w:color w:val="auto"/>
          <w:kern w:val="44"/>
          <w:sz w:val="32"/>
          <w:szCs w:val="32"/>
          <w:lang w:val="en-US" w:eastAsia="zh-CN"/>
        </w:rPr>
        <w:t xml:space="preserve"> </w:t>
      </w:r>
      <w:r>
        <w:rPr>
          <w:rFonts w:hint="eastAsia" w:ascii="宋体" w:hAnsi="宋体" w:eastAsia="宋体" w:cs="宋体"/>
          <w:b/>
          <w:color w:val="auto"/>
          <w:kern w:val="44"/>
          <w:sz w:val="32"/>
          <w:szCs w:val="32"/>
        </w:rPr>
        <w:t>供应商须知</w:t>
      </w:r>
      <w:bookmarkEnd w:id="29"/>
    </w:p>
    <w:p w14:paraId="02A614C1">
      <w:pPr>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color w:val="auto"/>
          <w:sz w:val="24"/>
          <w:szCs w:val="24"/>
        </w:rPr>
      </w:pPr>
      <w:bookmarkStart w:id="30" w:name="_Toc15583"/>
      <w:r>
        <w:rPr>
          <w:rFonts w:hint="eastAsia" w:ascii="宋体" w:hAnsi="宋体" w:eastAsia="宋体" w:cs="宋体"/>
          <w:b/>
          <w:bCs w:val="0"/>
          <w:color w:val="auto"/>
          <w:sz w:val="24"/>
          <w:szCs w:val="24"/>
        </w:rPr>
        <w:t>第一节 供应商须知前附表</w:t>
      </w:r>
      <w:bookmarkEnd w:id="30"/>
    </w:p>
    <w:tbl>
      <w:tblPr>
        <w:tblStyle w:val="16"/>
        <w:tblW w:w="517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1333"/>
        <w:gridCol w:w="8027"/>
      </w:tblGrid>
      <w:tr w14:paraId="394D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2D259BD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条款号</w:t>
            </w:r>
          </w:p>
        </w:tc>
        <w:tc>
          <w:tcPr>
            <w:tcW w:w="646" w:type="pct"/>
            <w:vAlign w:val="center"/>
          </w:tcPr>
          <w:p w14:paraId="1D11CCD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条款内容</w:t>
            </w:r>
          </w:p>
        </w:tc>
        <w:tc>
          <w:tcPr>
            <w:tcW w:w="3890" w:type="pct"/>
            <w:vAlign w:val="center"/>
          </w:tcPr>
          <w:p w14:paraId="7B889FC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具体要求</w:t>
            </w:r>
          </w:p>
        </w:tc>
      </w:tr>
      <w:tr w14:paraId="1D48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041B0CF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w:t>
            </w:r>
          </w:p>
        </w:tc>
        <w:tc>
          <w:tcPr>
            <w:tcW w:w="646" w:type="pct"/>
            <w:tcBorders>
              <w:left w:val="single" w:color="000000" w:sz="4" w:space="0"/>
            </w:tcBorders>
            <w:vAlign w:val="center"/>
          </w:tcPr>
          <w:p w14:paraId="4FAF80A7">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供应商资格条件</w:t>
            </w:r>
          </w:p>
        </w:tc>
        <w:tc>
          <w:tcPr>
            <w:tcW w:w="3890" w:type="pct"/>
            <w:tcBorders>
              <w:left w:val="single" w:color="000000" w:sz="4" w:space="0"/>
            </w:tcBorders>
            <w:vAlign w:val="center"/>
          </w:tcPr>
          <w:p w14:paraId="6A6BB956">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供应商资格条件要求详见公告。</w:t>
            </w:r>
          </w:p>
        </w:tc>
      </w:tr>
      <w:tr w14:paraId="467B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293FBD92">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w:t>
            </w:r>
          </w:p>
        </w:tc>
        <w:tc>
          <w:tcPr>
            <w:tcW w:w="646" w:type="pct"/>
            <w:tcBorders>
              <w:left w:val="single" w:color="000000" w:sz="4" w:space="0"/>
            </w:tcBorders>
            <w:vAlign w:val="center"/>
          </w:tcPr>
          <w:p w14:paraId="49AE57B7">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是否接受联合体竞标</w:t>
            </w:r>
          </w:p>
        </w:tc>
        <w:tc>
          <w:tcPr>
            <w:tcW w:w="3890" w:type="pct"/>
            <w:tcBorders>
              <w:left w:val="single" w:color="000000" w:sz="4" w:space="0"/>
            </w:tcBorders>
            <w:vAlign w:val="center"/>
          </w:tcPr>
          <w:p w14:paraId="77D951F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否。</w:t>
            </w:r>
          </w:p>
        </w:tc>
      </w:tr>
      <w:tr w14:paraId="6B1A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3AD99058">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5.2</w:t>
            </w:r>
          </w:p>
        </w:tc>
        <w:tc>
          <w:tcPr>
            <w:tcW w:w="646" w:type="pct"/>
            <w:tcBorders>
              <w:left w:val="single" w:color="000000" w:sz="4" w:space="0"/>
            </w:tcBorders>
            <w:vAlign w:val="center"/>
          </w:tcPr>
          <w:p w14:paraId="6630957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联合体竞标要求</w:t>
            </w:r>
          </w:p>
        </w:tc>
        <w:tc>
          <w:tcPr>
            <w:tcW w:w="3890" w:type="pct"/>
            <w:tcBorders>
              <w:left w:val="single" w:color="000000" w:sz="4" w:space="0"/>
            </w:tcBorders>
            <w:vAlign w:val="center"/>
          </w:tcPr>
          <w:p w14:paraId="6688F2D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无</w:t>
            </w:r>
          </w:p>
        </w:tc>
      </w:tr>
      <w:tr w14:paraId="1DC7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704BDE1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w:t>
            </w:r>
          </w:p>
        </w:tc>
        <w:tc>
          <w:tcPr>
            <w:tcW w:w="646" w:type="pct"/>
            <w:tcBorders>
              <w:left w:val="single" w:color="000000" w:sz="4" w:space="0"/>
            </w:tcBorders>
            <w:vAlign w:val="center"/>
          </w:tcPr>
          <w:p w14:paraId="25FD455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是否允许分包</w:t>
            </w:r>
          </w:p>
        </w:tc>
        <w:tc>
          <w:tcPr>
            <w:tcW w:w="3890" w:type="pct"/>
            <w:tcBorders>
              <w:left w:val="single" w:color="000000" w:sz="4" w:space="0"/>
            </w:tcBorders>
            <w:vAlign w:val="center"/>
          </w:tcPr>
          <w:p w14:paraId="238145B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不允许分包</w:t>
            </w:r>
          </w:p>
          <w:p w14:paraId="51534B09">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分包内容：</w:t>
            </w:r>
            <w:r>
              <w:rPr>
                <w:rFonts w:hint="eastAsia" w:ascii="宋体" w:hAnsi="宋体" w:eastAsia="宋体" w:cs="宋体"/>
                <w:color w:val="auto"/>
                <w:sz w:val="22"/>
                <w:szCs w:val="22"/>
                <w:u w:val="single"/>
              </w:rPr>
              <w:t xml:space="preserve">       /       。</w:t>
            </w:r>
          </w:p>
          <w:p w14:paraId="7C759E82">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分包金额或者比例：</w:t>
            </w:r>
            <w:r>
              <w:rPr>
                <w:rFonts w:hint="eastAsia" w:ascii="宋体" w:hAnsi="宋体" w:eastAsia="宋体" w:cs="宋体"/>
                <w:color w:val="auto"/>
                <w:sz w:val="22"/>
                <w:szCs w:val="22"/>
                <w:u w:val="single"/>
              </w:rPr>
              <w:t xml:space="preserve">      /        。</w:t>
            </w:r>
          </w:p>
        </w:tc>
      </w:tr>
      <w:tr w14:paraId="5FC7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56DC6D5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12.1.1</w:t>
            </w:r>
          </w:p>
        </w:tc>
        <w:tc>
          <w:tcPr>
            <w:tcW w:w="646" w:type="pct"/>
            <w:tcBorders>
              <w:left w:val="single" w:color="000000" w:sz="4" w:space="0"/>
            </w:tcBorders>
            <w:vAlign w:val="center"/>
          </w:tcPr>
          <w:p w14:paraId="53B8966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资格证明文件组成</w:t>
            </w:r>
          </w:p>
        </w:tc>
        <w:tc>
          <w:tcPr>
            <w:tcW w:w="3890" w:type="pct"/>
            <w:tcBorders>
              <w:left w:val="single" w:color="000000" w:sz="4" w:space="0"/>
            </w:tcBorders>
            <w:vAlign w:val="center"/>
          </w:tcPr>
          <w:p w14:paraId="7755A71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bCs/>
                <w:color w:val="auto"/>
                <w:sz w:val="22"/>
                <w:szCs w:val="22"/>
              </w:rPr>
            </w:pPr>
            <w:r>
              <w:rPr>
                <w:rFonts w:hint="eastAsia" w:ascii="宋体" w:hAnsi="宋体" w:eastAsia="宋体" w:cs="宋体"/>
                <w:color w:val="auto"/>
                <w:sz w:val="22"/>
                <w:szCs w:val="22"/>
              </w:rPr>
              <w:t>1.磋商供应商有效的“主体资格证明文件”复印件（如营业执照、事业单位法人证书、执业许可证、自然人身份证等）；</w:t>
            </w:r>
            <w:r>
              <w:rPr>
                <w:rFonts w:hint="eastAsia" w:ascii="宋体" w:hAnsi="宋体" w:eastAsia="宋体" w:cs="宋体"/>
                <w:b/>
                <w:bCs/>
                <w:color w:val="auto"/>
                <w:sz w:val="22"/>
                <w:szCs w:val="22"/>
              </w:rPr>
              <w:t>（必须提供，否则响应文件按无效响应处理）</w:t>
            </w:r>
          </w:p>
          <w:p w14:paraId="7F3CCA4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ascii="宋体" w:hAnsi="宋体" w:eastAsia="宋体" w:cs="宋体"/>
                <w:color w:val="auto"/>
                <w:sz w:val="22"/>
                <w:szCs w:val="22"/>
                <w:lang w:val="en-US" w:eastAsia="zh-CN"/>
              </w:rPr>
            </w:pPr>
            <w:r>
              <w:rPr>
                <w:rFonts w:hint="eastAsia" w:ascii="宋体" w:hAnsi="宋体" w:cs="宋体"/>
                <w:color w:val="auto"/>
                <w:sz w:val="22"/>
                <w:szCs w:val="22"/>
                <w:lang w:val="en-US" w:eastAsia="zh-CN"/>
              </w:rPr>
              <w:t>2.供应商</w:t>
            </w:r>
            <w:r>
              <w:rPr>
                <w:rFonts w:hint="eastAsia" w:ascii="宋体" w:hAnsi="宋体" w:eastAsia="宋体" w:cs="宋体"/>
                <w:color w:val="auto"/>
                <w:sz w:val="22"/>
                <w:szCs w:val="22"/>
              </w:rPr>
              <w:t>资格</w:t>
            </w:r>
            <w:r>
              <w:rPr>
                <w:rFonts w:hint="eastAsia" w:ascii="宋体" w:hAnsi="宋体" w:cs="宋体"/>
                <w:color w:val="auto"/>
                <w:sz w:val="22"/>
                <w:szCs w:val="22"/>
                <w:lang w:val="en-US" w:eastAsia="zh-CN"/>
              </w:rPr>
              <w:t>证明：(1)供应商应具备有效的水利水电工程施工总承包叁级以上(含叁级)资质；(2)供应商具有省级或以上建设行政主管部门颁发的建筑施工企业安全生产许可证；（3）拟派项目经理须具备水利水电工程专业贰级及以上注册建造师执业资格</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42507D1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bCs/>
                <w:color w:val="auto"/>
                <w:sz w:val="22"/>
                <w:szCs w:val="22"/>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政府采购供应商资格信用承诺函</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b/>
                <w:bCs/>
                <w:color w:val="auto"/>
                <w:sz w:val="22"/>
                <w:szCs w:val="22"/>
              </w:rPr>
              <w:t>（必须提供，否则响应文件按无效响应处理）</w:t>
            </w:r>
          </w:p>
          <w:p w14:paraId="20364B4E">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.供应商直接控股、管理关系信息表</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262AE0A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i w:val="0"/>
                <w:iCs w:val="0"/>
                <w:color w:val="auto"/>
                <w:sz w:val="22"/>
                <w:szCs w:val="22"/>
                <w:lang w:val="en-US" w:eastAsia="zh-CN"/>
              </w:rPr>
            </w:pPr>
            <w:r>
              <w:rPr>
                <w:rFonts w:hint="eastAsia" w:ascii="宋体" w:hAnsi="宋体" w:cs="宋体"/>
                <w:i w:val="0"/>
                <w:iCs w:val="0"/>
                <w:color w:val="auto"/>
                <w:sz w:val="22"/>
                <w:szCs w:val="22"/>
                <w:lang w:val="en-US" w:eastAsia="zh-CN"/>
              </w:rPr>
              <w:t>5</w:t>
            </w:r>
            <w:r>
              <w:rPr>
                <w:rFonts w:hint="eastAsia" w:ascii="宋体" w:hAnsi="宋体" w:eastAsia="宋体" w:cs="宋体"/>
                <w:i w:val="0"/>
                <w:iCs w:val="0"/>
                <w:color w:val="auto"/>
                <w:sz w:val="22"/>
                <w:szCs w:val="22"/>
                <w:lang w:val="en-US" w:eastAsia="zh-CN"/>
              </w:rPr>
              <w:t>.中小企业声明函（或残疾人福利性单位声明</w:t>
            </w:r>
            <w:r>
              <w:rPr>
                <w:rFonts w:hint="eastAsia" w:ascii="宋体" w:hAnsi="宋体" w:eastAsia="宋体" w:cs="宋体"/>
                <w:i w:val="0"/>
                <w:iCs w:val="0"/>
                <w:color w:val="auto"/>
                <w:sz w:val="22"/>
                <w:szCs w:val="22"/>
                <w:u w:val="none"/>
                <w:lang w:val="en-US" w:eastAsia="zh-CN"/>
              </w:rPr>
              <w:t>函或监狱企业证明文件）</w:t>
            </w:r>
            <w:r>
              <w:rPr>
                <w:rFonts w:hint="eastAsia" w:ascii="宋体" w:hAnsi="宋体" w:cs="宋体"/>
                <w:i w:val="0"/>
                <w:iCs w:val="0"/>
                <w:color w:val="auto"/>
                <w:sz w:val="22"/>
                <w:szCs w:val="22"/>
                <w:lang w:eastAsia="zh-CN"/>
              </w:rPr>
              <w:t>（</w:t>
            </w:r>
            <w:r>
              <w:rPr>
                <w:rFonts w:hint="eastAsia" w:ascii="宋体" w:hAnsi="宋体" w:cs="宋体"/>
                <w:i w:val="0"/>
                <w:iCs w:val="0"/>
                <w:color w:val="auto"/>
                <w:sz w:val="22"/>
                <w:szCs w:val="22"/>
                <w:lang w:val="en-US" w:eastAsia="zh-CN"/>
              </w:rPr>
              <w:t>格式后附</w:t>
            </w:r>
            <w:r>
              <w:rPr>
                <w:rFonts w:hint="eastAsia" w:ascii="宋体" w:hAnsi="宋体" w:cs="宋体"/>
                <w:i w:val="0"/>
                <w:iCs w:val="0"/>
                <w:color w:val="auto"/>
                <w:sz w:val="22"/>
                <w:szCs w:val="22"/>
                <w:lang w:eastAsia="zh-CN"/>
              </w:rPr>
              <w:t>）</w:t>
            </w:r>
            <w:r>
              <w:rPr>
                <w:rFonts w:hint="eastAsia" w:ascii="宋体" w:hAnsi="宋体" w:eastAsia="宋体" w:cs="宋体"/>
                <w:i w:val="0"/>
                <w:iCs w:val="0"/>
                <w:color w:val="auto"/>
                <w:sz w:val="22"/>
                <w:szCs w:val="22"/>
                <w:u w:val="none"/>
                <w:lang w:val="en-US" w:eastAsia="zh-CN"/>
              </w:rPr>
              <w:t>；</w:t>
            </w:r>
            <w:r>
              <w:rPr>
                <w:rFonts w:hint="eastAsia" w:ascii="宋体" w:hAnsi="宋体" w:eastAsia="宋体" w:cs="宋体"/>
                <w:b/>
                <w:bCs/>
                <w:i w:val="0"/>
                <w:iCs w:val="0"/>
                <w:color w:val="auto"/>
                <w:sz w:val="22"/>
                <w:szCs w:val="22"/>
                <w:lang w:val="en-US" w:eastAsia="zh-CN"/>
              </w:rPr>
              <w:t>（必须提供，否则作无效投标处理）</w:t>
            </w:r>
          </w:p>
          <w:p w14:paraId="4A97CBB6">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bCs/>
                <w:color w:val="auto"/>
                <w:sz w:val="22"/>
                <w:szCs w:val="22"/>
                <w:lang w:val="en-US" w:eastAsia="zh-CN"/>
              </w:rPr>
            </w:pPr>
            <w:r>
              <w:rPr>
                <w:rFonts w:hint="eastAsia" w:ascii="宋体" w:hAnsi="宋体" w:cs="宋体"/>
                <w:color w:val="auto"/>
                <w:sz w:val="22"/>
                <w:szCs w:val="22"/>
                <w:lang w:val="en-US" w:eastAsia="zh-CN"/>
              </w:rPr>
              <w:t>8</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除磋商文件规定必须提供以外，供应商认为需要提供的其他证明材料；</w:t>
            </w:r>
          </w:p>
          <w:p w14:paraId="05EE41C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注：以上标明“必须提供”的材料属于复印件的扫描件的，必须加盖供应商</w:t>
            </w:r>
            <w:r>
              <w:rPr>
                <w:rFonts w:hint="eastAsia" w:ascii="宋体" w:hAnsi="宋体" w:eastAsia="宋体" w:cs="宋体"/>
                <w:b/>
                <w:color w:val="auto"/>
                <w:sz w:val="22"/>
                <w:szCs w:val="22"/>
                <w:lang w:eastAsia="zh-CN"/>
              </w:rPr>
              <w:t>公章（或电子签章）</w:t>
            </w:r>
            <w:r>
              <w:rPr>
                <w:rFonts w:hint="eastAsia" w:ascii="宋体" w:hAnsi="宋体" w:eastAsia="宋体" w:cs="宋体"/>
                <w:b/>
                <w:color w:val="auto"/>
                <w:sz w:val="22"/>
                <w:szCs w:val="22"/>
              </w:rPr>
              <w:t>，否则响应文件按无效响应处理。</w:t>
            </w:r>
          </w:p>
        </w:tc>
      </w:tr>
      <w:tr w14:paraId="135C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vAlign w:val="center"/>
          </w:tcPr>
          <w:p w14:paraId="70141D4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12.1.2</w:t>
            </w:r>
          </w:p>
        </w:tc>
        <w:tc>
          <w:tcPr>
            <w:tcW w:w="646" w:type="pct"/>
            <w:tcBorders>
              <w:left w:val="single" w:color="000000" w:sz="4" w:space="0"/>
            </w:tcBorders>
            <w:vAlign w:val="center"/>
          </w:tcPr>
          <w:p w14:paraId="62BCE32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商务文件组成</w:t>
            </w:r>
          </w:p>
        </w:tc>
        <w:tc>
          <w:tcPr>
            <w:tcW w:w="3890" w:type="pct"/>
            <w:tcBorders>
              <w:left w:val="single" w:color="000000" w:sz="4" w:space="0"/>
            </w:tcBorders>
            <w:vAlign w:val="center"/>
          </w:tcPr>
          <w:p w14:paraId="7A4E771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1.无串通竞标行为的承诺函</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41F15E2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2.法定代表人身份证明书及法定代表人有效身份证正反面复印件</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除自然人竞标外</w:t>
            </w:r>
            <w:r>
              <w:rPr>
                <w:rFonts w:hint="eastAsia" w:ascii="宋体" w:hAnsi="宋体" w:eastAsia="宋体" w:cs="宋体"/>
                <w:b/>
                <w:color w:val="auto"/>
                <w:sz w:val="22"/>
                <w:szCs w:val="22"/>
              </w:rPr>
              <w:t>必须提供，否则响应文件按无效响应处理</w:t>
            </w:r>
            <w:r>
              <w:rPr>
                <w:rFonts w:hint="eastAsia" w:ascii="宋体" w:hAnsi="宋体" w:eastAsia="宋体" w:cs="宋体"/>
                <w:color w:val="auto"/>
                <w:sz w:val="22"/>
                <w:szCs w:val="22"/>
              </w:rPr>
              <w:t>）</w:t>
            </w:r>
          </w:p>
          <w:p w14:paraId="7D02E5D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color w:val="auto"/>
                <w:sz w:val="22"/>
                <w:szCs w:val="22"/>
              </w:rPr>
              <w:t>3.法定代表人授权委托书及委托代理人有效身份证正反面复印件</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color w:val="auto"/>
                <w:sz w:val="22"/>
                <w:szCs w:val="22"/>
              </w:rPr>
              <w:t>委托时必须提供，否则响应文件按无效响应处理</w:t>
            </w:r>
            <w:r>
              <w:rPr>
                <w:rFonts w:hint="eastAsia" w:ascii="宋体" w:hAnsi="宋体" w:eastAsia="宋体" w:cs="宋体"/>
                <w:color w:val="auto"/>
                <w:sz w:val="22"/>
                <w:szCs w:val="22"/>
              </w:rPr>
              <w:t>）</w:t>
            </w:r>
          </w:p>
          <w:p w14:paraId="6D3BCF7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.商务条款偏离表</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67CA9C2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.竞标人情况介绍；</w:t>
            </w:r>
          </w:p>
          <w:p w14:paraId="6E934F8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.供应商认为需要提供的其他有关资料。</w:t>
            </w:r>
          </w:p>
          <w:p w14:paraId="45AC452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注：1.法定代表人授权委托书必须由法定代表人及委托代理人签字，并加盖供应商公章</w:t>
            </w:r>
            <w:r>
              <w:rPr>
                <w:rFonts w:hint="eastAsia" w:ascii="宋体" w:hAnsi="宋体" w:eastAsia="宋体" w:cs="宋体"/>
                <w:b/>
                <w:color w:val="auto"/>
                <w:sz w:val="22"/>
                <w:szCs w:val="22"/>
                <w:lang w:eastAsia="zh-CN"/>
              </w:rPr>
              <w:t>（或电子签章）</w:t>
            </w:r>
            <w:r>
              <w:rPr>
                <w:rFonts w:hint="eastAsia" w:ascii="宋体" w:hAnsi="宋体" w:eastAsia="宋体" w:cs="宋体"/>
                <w:b/>
                <w:color w:val="auto"/>
                <w:sz w:val="22"/>
                <w:szCs w:val="22"/>
              </w:rPr>
              <w:t>，否则响应文件按无效响应处理。</w:t>
            </w:r>
          </w:p>
          <w:p w14:paraId="65AD52C5">
            <w:pPr>
              <w:keepNext w:val="0"/>
              <w:keepLines w:val="0"/>
              <w:pageBreakBefore w:val="0"/>
              <w:widowControl w:val="0"/>
              <w:kinsoku/>
              <w:wordWrap/>
              <w:overflowPunct/>
              <w:topLinePunct w:val="0"/>
              <w:autoSpaceDE/>
              <w:autoSpaceDN/>
              <w:bidi w:val="0"/>
              <w:adjustRightInd/>
              <w:snapToGrid w:val="0"/>
              <w:spacing w:line="360" w:lineRule="auto"/>
              <w:ind w:left="0" w:firstLine="433" w:firstLineChars="196"/>
              <w:jc w:val="both"/>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2.以上标明“必须提供”的材料属于复印件的扫描件的，必须加盖供应商</w:t>
            </w:r>
            <w:r>
              <w:rPr>
                <w:rFonts w:hint="eastAsia" w:ascii="宋体" w:hAnsi="宋体" w:eastAsia="宋体" w:cs="宋体"/>
                <w:b/>
                <w:color w:val="auto"/>
                <w:sz w:val="22"/>
                <w:szCs w:val="22"/>
                <w:lang w:eastAsia="zh-CN"/>
              </w:rPr>
              <w:t>公章（或电子签章）</w:t>
            </w:r>
            <w:r>
              <w:rPr>
                <w:rFonts w:hint="eastAsia" w:ascii="宋体" w:hAnsi="宋体" w:eastAsia="宋体" w:cs="宋体"/>
                <w:b/>
                <w:color w:val="auto"/>
                <w:sz w:val="22"/>
                <w:szCs w:val="22"/>
              </w:rPr>
              <w:t>，否则响应文件按无效响应处理。</w:t>
            </w:r>
          </w:p>
        </w:tc>
      </w:tr>
      <w:tr w14:paraId="4408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vAlign w:val="center"/>
          </w:tcPr>
          <w:p w14:paraId="6DA70D12"/>
        </w:tc>
        <w:tc>
          <w:tcPr>
            <w:tcW w:w="646" w:type="pct"/>
            <w:tcBorders>
              <w:left w:val="single" w:color="000000" w:sz="4" w:space="0"/>
            </w:tcBorders>
            <w:vAlign w:val="center"/>
          </w:tcPr>
          <w:p w14:paraId="6B6608D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技术文件组成</w:t>
            </w:r>
          </w:p>
        </w:tc>
        <w:tc>
          <w:tcPr>
            <w:tcW w:w="3890" w:type="pct"/>
            <w:tcBorders>
              <w:left w:val="single" w:color="000000" w:sz="4" w:space="0"/>
            </w:tcBorders>
            <w:vAlign w:val="center"/>
          </w:tcPr>
          <w:p w14:paraId="4B2A1C5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技术</w:t>
            </w:r>
            <w:r>
              <w:rPr>
                <w:rFonts w:hint="eastAsia" w:ascii="宋体" w:hAnsi="宋体" w:eastAsia="宋体" w:cs="宋体"/>
                <w:color w:val="auto"/>
                <w:sz w:val="22"/>
                <w:szCs w:val="22"/>
              </w:rPr>
              <w:t>需求偏离表</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3F7FE7E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2.服务方案（由竞标人</w:t>
            </w:r>
            <w:r>
              <w:rPr>
                <w:rFonts w:hint="eastAsia" w:ascii="宋体" w:hAnsi="宋体" w:cs="宋体"/>
                <w:color w:val="auto"/>
                <w:sz w:val="22"/>
                <w:szCs w:val="22"/>
                <w:lang w:val="en-US" w:eastAsia="zh-CN"/>
              </w:rPr>
              <w:t>可</w:t>
            </w:r>
            <w:r>
              <w:rPr>
                <w:rFonts w:hint="eastAsia" w:ascii="宋体" w:hAnsi="宋体" w:eastAsia="宋体" w:cs="宋体"/>
                <w:color w:val="auto"/>
                <w:sz w:val="22"/>
                <w:szCs w:val="22"/>
              </w:rPr>
              <w:t>根据</w:t>
            </w:r>
            <w:r>
              <w:rPr>
                <w:rFonts w:hint="eastAsia" w:ascii="宋体" w:hAnsi="宋体" w:cs="宋体"/>
                <w:color w:val="auto"/>
                <w:sz w:val="22"/>
                <w:szCs w:val="22"/>
                <w:lang w:eastAsia="zh-CN"/>
              </w:rPr>
              <w:t>“</w:t>
            </w:r>
            <w:r>
              <w:rPr>
                <w:rFonts w:hint="eastAsia" w:ascii="宋体" w:hAnsi="宋体" w:eastAsia="宋体" w:cs="宋体"/>
                <w:color w:val="auto"/>
                <w:sz w:val="22"/>
                <w:szCs w:val="22"/>
              </w:rPr>
              <w:t>第四章  评标方法及评分标准</w:t>
            </w:r>
            <w:r>
              <w:rPr>
                <w:rFonts w:hint="eastAsia" w:ascii="宋体" w:hAnsi="宋体" w:cs="宋体"/>
                <w:color w:val="auto"/>
                <w:sz w:val="22"/>
                <w:szCs w:val="22"/>
                <w:lang w:eastAsia="zh-CN"/>
              </w:rPr>
              <w:t>”</w:t>
            </w:r>
            <w:r>
              <w:rPr>
                <w:rFonts w:hint="eastAsia" w:ascii="宋体" w:hAnsi="宋体" w:eastAsia="宋体" w:cs="宋体"/>
                <w:color w:val="auto"/>
                <w:sz w:val="22"/>
                <w:szCs w:val="22"/>
              </w:rPr>
              <w:t>要求编制）；</w:t>
            </w:r>
          </w:p>
          <w:p w14:paraId="60C9C51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lang w:eastAsia="zh-CN"/>
              </w:rPr>
            </w:pPr>
            <w:r>
              <w:rPr>
                <w:rFonts w:hint="eastAsia" w:ascii="宋体" w:hAnsi="宋体" w:eastAsia="宋体" w:cs="宋体"/>
                <w:color w:val="auto"/>
                <w:sz w:val="22"/>
                <w:szCs w:val="22"/>
              </w:rPr>
              <w:t>3.售后服务方案；</w:t>
            </w:r>
            <w:r>
              <w:rPr>
                <w:rFonts w:hint="eastAsia" w:ascii="宋体" w:hAnsi="宋体" w:eastAsia="宋体" w:cs="宋体"/>
                <w:b/>
                <w:color w:val="auto"/>
                <w:sz w:val="22"/>
                <w:szCs w:val="22"/>
              </w:rPr>
              <w:t>（必须提供，否则作无效投标处理）</w:t>
            </w:r>
            <w:r>
              <w:rPr>
                <w:rFonts w:hint="eastAsia" w:ascii="宋体" w:hAnsi="宋体" w:eastAsia="宋体" w:cs="宋体"/>
                <w:b/>
                <w:color w:val="auto"/>
                <w:sz w:val="22"/>
                <w:szCs w:val="22"/>
                <w:lang w:eastAsia="zh-CN"/>
              </w:rPr>
              <w:t>；</w:t>
            </w:r>
          </w:p>
          <w:p w14:paraId="3D74B07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lang w:eastAsia="zh-CN"/>
              </w:rPr>
            </w:pPr>
            <w:r>
              <w:rPr>
                <w:rFonts w:hint="eastAsia" w:ascii="宋体" w:hAnsi="宋体" w:eastAsia="宋体" w:cs="宋体"/>
                <w:b w:val="0"/>
                <w:color w:val="auto"/>
                <w:sz w:val="22"/>
                <w:szCs w:val="22"/>
                <w:lang w:val="en-US" w:eastAsia="zh-CN"/>
              </w:rPr>
              <w:t>4.</w:t>
            </w:r>
            <w:r>
              <w:rPr>
                <w:rFonts w:hint="eastAsia" w:ascii="宋体" w:hAnsi="宋体" w:eastAsia="宋体" w:cs="宋体"/>
                <w:b w:val="0"/>
                <w:color w:val="auto"/>
                <w:sz w:val="22"/>
                <w:szCs w:val="22"/>
                <w:lang w:eastAsia="zh-CN"/>
              </w:rPr>
              <w:t>项目实施人员一览表；</w:t>
            </w:r>
            <w:r>
              <w:rPr>
                <w:rFonts w:hint="eastAsia" w:ascii="宋体" w:hAnsi="宋体" w:eastAsia="宋体" w:cs="宋体"/>
                <w:b/>
                <w:color w:val="auto"/>
                <w:sz w:val="22"/>
                <w:szCs w:val="22"/>
                <w:lang w:eastAsia="zh-CN"/>
              </w:rPr>
              <w:t>（必须提供，否则作无效投标处理）；</w:t>
            </w:r>
          </w:p>
          <w:p w14:paraId="4C06C28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val="0"/>
                <w:color w:val="auto"/>
                <w:sz w:val="22"/>
                <w:szCs w:val="22"/>
                <w:lang w:eastAsia="zh-CN"/>
              </w:rPr>
            </w:pPr>
            <w:r>
              <w:rPr>
                <w:rFonts w:hint="eastAsia" w:ascii="宋体" w:hAnsi="宋体" w:eastAsia="宋体" w:cs="宋体"/>
                <w:b w:val="0"/>
                <w:color w:val="auto"/>
                <w:sz w:val="22"/>
                <w:szCs w:val="22"/>
                <w:lang w:eastAsia="zh-CN"/>
              </w:rPr>
              <w:t>5.</w:t>
            </w:r>
            <w:r>
              <w:rPr>
                <w:rFonts w:hint="eastAsia" w:ascii="宋体" w:hAnsi="宋体" w:eastAsia="宋体" w:cs="宋体"/>
                <w:b w:val="0"/>
                <w:bCs w:val="0"/>
                <w:color w:val="auto"/>
                <w:spacing w:val="0"/>
                <w:sz w:val="22"/>
                <w:szCs w:val="22"/>
                <w:lang w:val="en-US" w:eastAsia="zh-CN"/>
              </w:rPr>
              <w:t>供应商</w:t>
            </w:r>
            <w:r>
              <w:rPr>
                <w:rFonts w:hint="eastAsia" w:ascii="宋体" w:hAnsi="宋体" w:eastAsia="宋体" w:cs="宋体"/>
                <w:b w:val="0"/>
                <w:color w:val="auto"/>
                <w:sz w:val="22"/>
                <w:szCs w:val="22"/>
                <w:lang w:eastAsia="zh-CN"/>
              </w:rPr>
              <w:t>对本项目的合理化建议和改进措施；</w:t>
            </w:r>
          </w:p>
          <w:p w14:paraId="0D3A7D0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.供应商认为需要提供的其他有关资料。</w:t>
            </w:r>
          </w:p>
          <w:p w14:paraId="587B8B86">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注：以上标明“必须提供”的材料属于复印件的扫描件的，必须加盖供应商</w:t>
            </w:r>
            <w:r>
              <w:rPr>
                <w:rFonts w:hint="eastAsia" w:ascii="宋体" w:hAnsi="宋体" w:eastAsia="宋体" w:cs="宋体"/>
                <w:b/>
                <w:color w:val="auto"/>
                <w:sz w:val="22"/>
                <w:szCs w:val="22"/>
                <w:lang w:eastAsia="zh-CN"/>
              </w:rPr>
              <w:t>公章（或电子签章）</w:t>
            </w:r>
            <w:r>
              <w:rPr>
                <w:rFonts w:hint="eastAsia" w:ascii="宋体" w:hAnsi="宋体" w:eastAsia="宋体" w:cs="宋体"/>
                <w:b/>
                <w:color w:val="auto"/>
                <w:sz w:val="22"/>
                <w:szCs w:val="22"/>
              </w:rPr>
              <w:t>，否则响应文件按无效响应处理。</w:t>
            </w:r>
          </w:p>
        </w:tc>
      </w:tr>
      <w:tr w14:paraId="2005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18D5BC2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12.1.2</w:t>
            </w:r>
          </w:p>
        </w:tc>
        <w:tc>
          <w:tcPr>
            <w:tcW w:w="646" w:type="pct"/>
            <w:tcBorders>
              <w:left w:val="single" w:color="000000" w:sz="4" w:space="0"/>
            </w:tcBorders>
            <w:vAlign w:val="center"/>
          </w:tcPr>
          <w:p w14:paraId="427A1B18">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报价文件组成</w:t>
            </w:r>
          </w:p>
        </w:tc>
        <w:tc>
          <w:tcPr>
            <w:tcW w:w="3890" w:type="pct"/>
            <w:tcBorders>
              <w:left w:val="single" w:color="000000" w:sz="4" w:space="0"/>
            </w:tcBorders>
            <w:vAlign w:val="center"/>
          </w:tcPr>
          <w:p w14:paraId="1B9DD4D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1.响应函</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4A96CA5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ascii="宋体" w:hAnsi="宋体" w:cs="宋体"/>
                <w:color w:val="auto"/>
                <w:sz w:val="22"/>
                <w:szCs w:val="22"/>
                <w:lang w:val="en-US" w:eastAsia="zh-CN"/>
              </w:rPr>
            </w:pPr>
            <w:r>
              <w:rPr>
                <w:rFonts w:hint="eastAsia" w:ascii="宋体" w:hAnsi="宋体" w:eastAsia="宋体" w:cs="宋体"/>
                <w:color w:val="auto"/>
                <w:sz w:val="22"/>
                <w:szCs w:val="22"/>
              </w:rPr>
              <w:t>2.响应报价表</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格式后附</w:t>
            </w:r>
            <w:r>
              <w:rPr>
                <w:rFonts w:hint="eastAsia" w:ascii="宋体" w:hAnsi="宋体" w:cs="宋体"/>
                <w:color w:val="auto"/>
                <w:sz w:val="22"/>
                <w:szCs w:val="22"/>
                <w:lang w:eastAsia="zh-CN"/>
              </w:rPr>
              <w:t>）</w:t>
            </w:r>
            <w:r>
              <w:rPr>
                <w:rFonts w:hint="eastAsia" w:ascii="宋体" w:hAnsi="宋体" w:eastAsia="宋体" w:cs="宋体"/>
                <w:color w:val="auto"/>
                <w:sz w:val="22"/>
                <w:szCs w:val="22"/>
              </w:rPr>
              <w:t>；</w:t>
            </w:r>
            <w:r>
              <w:rPr>
                <w:rFonts w:hint="eastAsia" w:ascii="宋体" w:hAnsi="宋体" w:eastAsia="宋体" w:cs="宋体"/>
                <w:b/>
                <w:bCs/>
                <w:color w:val="auto"/>
                <w:sz w:val="22"/>
                <w:szCs w:val="22"/>
              </w:rPr>
              <w:t>（必须提供，否则响应文件按无效响应处理）</w:t>
            </w:r>
          </w:p>
          <w:p w14:paraId="4194379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ascii="宋体" w:hAnsi="宋体" w:cs="宋体"/>
                <w:color w:val="auto"/>
                <w:sz w:val="22"/>
                <w:szCs w:val="22"/>
                <w:lang w:val="en-US" w:eastAsia="zh-CN"/>
              </w:rPr>
            </w:pPr>
            <w:r>
              <w:rPr>
                <w:rFonts w:hint="eastAsia" w:ascii="宋体" w:hAnsi="宋体" w:cs="宋体"/>
                <w:color w:val="auto"/>
                <w:sz w:val="22"/>
                <w:szCs w:val="22"/>
                <w:lang w:val="en-US" w:eastAsia="zh-CN"/>
              </w:rPr>
              <w:t>3.已标价的工程量清单；</w:t>
            </w:r>
            <w:r>
              <w:rPr>
                <w:rFonts w:hint="eastAsia" w:ascii="宋体" w:hAnsi="宋体" w:cs="宋体"/>
                <w:b/>
                <w:bCs/>
                <w:color w:val="auto"/>
                <w:sz w:val="22"/>
                <w:szCs w:val="22"/>
                <w:lang w:val="en-US" w:eastAsia="zh-CN"/>
              </w:rPr>
              <w:t>(必须提供，否则响应文件按无效响应处理)</w:t>
            </w:r>
          </w:p>
          <w:p w14:paraId="499B757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.供应商针对报价需要说明的其他文件和说明。</w:t>
            </w:r>
          </w:p>
          <w:p w14:paraId="4CC0D29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注：以上标明“必须提供”的材料属于复印件的扫描件的，必须加盖供应商</w:t>
            </w:r>
            <w:r>
              <w:rPr>
                <w:rFonts w:hint="eastAsia" w:ascii="宋体" w:hAnsi="宋体" w:eastAsia="宋体" w:cs="宋体"/>
                <w:b/>
                <w:color w:val="auto"/>
                <w:sz w:val="22"/>
                <w:szCs w:val="22"/>
                <w:lang w:eastAsia="zh-CN"/>
              </w:rPr>
              <w:t>公章（或电子签章）</w:t>
            </w:r>
            <w:r>
              <w:rPr>
                <w:rFonts w:hint="eastAsia" w:ascii="宋体" w:hAnsi="宋体" w:eastAsia="宋体" w:cs="宋体"/>
                <w:b/>
                <w:color w:val="auto"/>
                <w:sz w:val="22"/>
                <w:szCs w:val="22"/>
              </w:rPr>
              <w:t>，否则响应文件按无效响应处理。</w:t>
            </w:r>
          </w:p>
        </w:tc>
      </w:tr>
      <w:tr w14:paraId="73A72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1E83424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15.2</w:t>
            </w:r>
          </w:p>
        </w:tc>
        <w:tc>
          <w:tcPr>
            <w:tcW w:w="646" w:type="pct"/>
            <w:tcBorders>
              <w:left w:val="single" w:color="000000" w:sz="4" w:space="0"/>
            </w:tcBorders>
            <w:vAlign w:val="center"/>
          </w:tcPr>
          <w:p w14:paraId="035E00B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响应报价要求</w:t>
            </w:r>
          </w:p>
        </w:tc>
        <w:tc>
          <w:tcPr>
            <w:tcW w:w="3890" w:type="pct"/>
            <w:tcBorders>
              <w:left w:val="single" w:color="000000" w:sz="4" w:space="0"/>
            </w:tcBorders>
            <w:vAlign w:val="center"/>
          </w:tcPr>
          <w:p w14:paraId="278A77C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p w14:paraId="2D534DD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b/>
                <w:color w:val="auto"/>
                <w:sz w:val="22"/>
                <w:szCs w:val="22"/>
                <w:lang w:val="en-US" w:eastAsia="zh-CN"/>
              </w:rPr>
              <w:t>本采购文件</w:t>
            </w:r>
            <w:r>
              <w:rPr>
                <w:rFonts w:hint="eastAsia" w:ascii="宋体" w:hAnsi="宋体" w:eastAsia="宋体" w:cs="宋体"/>
                <w:b/>
                <w:color w:val="auto"/>
                <w:sz w:val="22"/>
                <w:szCs w:val="22"/>
              </w:rPr>
              <w:t>第二章</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rPr>
              <w:t>采购需求</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rPr>
              <w:t>另有约定的，从其约定</w:t>
            </w:r>
            <w:r>
              <w:rPr>
                <w:rFonts w:hint="eastAsia" w:ascii="宋体" w:hAnsi="宋体" w:eastAsia="宋体" w:cs="宋体"/>
                <w:b/>
                <w:color w:val="auto"/>
                <w:sz w:val="22"/>
                <w:szCs w:val="22"/>
                <w:lang w:eastAsia="zh-CN"/>
              </w:rPr>
              <w:t>；响应报价</w:t>
            </w:r>
            <w:r>
              <w:rPr>
                <w:rFonts w:hint="eastAsia" w:ascii="宋体" w:hAnsi="宋体" w:eastAsia="宋体" w:cs="宋体"/>
                <w:b/>
                <w:color w:val="auto"/>
                <w:sz w:val="22"/>
                <w:szCs w:val="22"/>
                <w:lang w:val="en-US" w:eastAsia="zh-CN"/>
              </w:rPr>
              <w:t>范围如有不完整，</w:t>
            </w:r>
            <w:r>
              <w:rPr>
                <w:rFonts w:hint="eastAsia" w:ascii="宋体" w:hAnsi="宋体" w:eastAsia="宋体" w:cs="宋体"/>
                <w:b/>
                <w:color w:val="auto"/>
                <w:sz w:val="22"/>
                <w:szCs w:val="22"/>
              </w:rPr>
              <w:t>响应文件按无效响应处理</w:t>
            </w:r>
            <w:r>
              <w:rPr>
                <w:rFonts w:hint="eastAsia" w:ascii="宋体" w:hAnsi="宋体" w:eastAsia="宋体" w:cs="宋体"/>
                <w:b/>
                <w:color w:val="auto"/>
                <w:sz w:val="22"/>
                <w:szCs w:val="22"/>
                <w:lang w:eastAsia="zh-CN"/>
              </w:rPr>
              <w:t>）</w:t>
            </w:r>
          </w:p>
        </w:tc>
      </w:tr>
      <w:tr w14:paraId="5936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7AD4B3C0">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16.2</w:t>
            </w:r>
          </w:p>
        </w:tc>
        <w:tc>
          <w:tcPr>
            <w:tcW w:w="646" w:type="pct"/>
            <w:tcBorders>
              <w:left w:val="single" w:color="000000" w:sz="4" w:space="0"/>
            </w:tcBorders>
            <w:vAlign w:val="center"/>
          </w:tcPr>
          <w:p w14:paraId="2BA0C6E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竞标有效期</w:t>
            </w:r>
          </w:p>
        </w:tc>
        <w:tc>
          <w:tcPr>
            <w:tcW w:w="3890" w:type="pct"/>
            <w:tcBorders>
              <w:left w:val="single" w:color="000000" w:sz="4" w:space="0"/>
            </w:tcBorders>
            <w:vAlign w:val="center"/>
          </w:tcPr>
          <w:p w14:paraId="7A15DB57">
            <w:pPr>
              <w:keepNext w:val="0"/>
              <w:keepLines w:val="0"/>
              <w:pageBreakBefore w:val="0"/>
              <w:widowControl w:val="0"/>
              <w:tabs>
                <w:tab w:val="left" w:pos="720"/>
                <w:tab w:val="left" w:pos="840"/>
              </w:tabs>
              <w:kinsoku/>
              <w:wordWrap/>
              <w:overflowPunct/>
              <w:topLinePunct w:val="0"/>
              <w:autoSpaceDE/>
              <w:autoSpaceDN/>
              <w:bidi w:val="0"/>
              <w:adjustRightInd/>
              <w:snapToGrid w:val="0"/>
              <w:spacing w:line="360" w:lineRule="auto"/>
              <w:ind w:left="297" w:hanging="297" w:hangingChars="135"/>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自首次响应文件提交截止之日起</w:t>
            </w:r>
            <w:r>
              <w:rPr>
                <w:rFonts w:hint="eastAsia" w:ascii="宋体" w:hAnsi="宋体" w:eastAsia="宋体" w:cs="宋体"/>
                <w:color w:val="auto"/>
                <w:sz w:val="22"/>
                <w:szCs w:val="22"/>
                <w:u w:val="single"/>
              </w:rPr>
              <w:t xml:space="preserve"> 90 </w:t>
            </w:r>
            <w:r>
              <w:rPr>
                <w:rFonts w:hint="eastAsia" w:ascii="宋体" w:hAnsi="宋体" w:eastAsia="宋体" w:cs="宋体"/>
                <w:color w:val="auto"/>
                <w:sz w:val="22"/>
                <w:szCs w:val="22"/>
              </w:rPr>
              <w:t>日。</w:t>
            </w:r>
          </w:p>
        </w:tc>
      </w:tr>
      <w:tr w14:paraId="01C7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471A2E85">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17.1</w:t>
            </w:r>
          </w:p>
        </w:tc>
        <w:tc>
          <w:tcPr>
            <w:tcW w:w="646" w:type="pct"/>
            <w:tcBorders>
              <w:left w:val="single" w:color="000000" w:sz="4" w:space="0"/>
            </w:tcBorders>
            <w:vAlign w:val="center"/>
          </w:tcPr>
          <w:p w14:paraId="134FABE8">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磋商保证金</w:t>
            </w:r>
          </w:p>
        </w:tc>
        <w:tc>
          <w:tcPr>
            <w:tcW w:w="3890" w:type="pct"/>
            <w:tcBorders>
              <w:left w:val="single" w:color="000000" w:sz="4" w:space="0"/>
            </w:tcBorders>
            <w:vAlign w:val="center"/>
          </w:tcPr>
          <w:p w14:paraId="25802C4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不收取</w:t>
            </w:r>
            <w:r>
              <w:rPr>
                <w:rFonts w:hint="eastAsia" w:ascii="宋体" w:hAnsi="宋体" w:eastAsia="宋体" w:cs="宋体"/>
                <w:color w:val="auto"/>
                <w:sz w:val="22"/>
                <w:szCs w:val="22"/>
                <w:lang w:val="en-US" w:eastAsia="zh-CN"/>
              </w:rPr>
              <w:t>磋商保证金</w:t>
            </w:r>
            <w:r>
              <w:rPr>
                <w:rFonts w:hint="eastAsia" w:ascii="宋体" w:hAnsi="宋体" w:eastAsia="宋体" w:cs="宋体"/>
                <w:color w:val="auto"/>
                <w:sz w:val="22"/>
                <w:szCs w:val="22"/>
              </w:rPr>
              <w:t>。</w:t>
            </w:r>
          </w:p>
        </w:tc>
      </w:tr>
      <w:tr w14:paraId="5540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vAlign w:val="center"/>
          </w:tcPr>
          <w:p w14:paraId="458C948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20.1</w:t>
            </w:r>
          </w:p>
        </w:tc>
        <w:tc>
          <w:tcPr>
            <w:tcW w:w="646" w:type="pct"/>
            <w:tcBorders>
              <w:left w:val="single" w:color="000000" w:sz="4" w:space="0"/>
            </w:tcBorders>
            <w:vAlign w:val="center"/>
          </w:tcPr>
          <w:p w14:paraId="20A2D8A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首次响应文件提交</w:t>
            </w:r>
            <w:r>
              <w:rPr>
                <w:rFonts w:hint="eastAsia" w:ascii="宋体" w:hAnsi="宋体" w:eastAsia="宋体" w:cs="宋体"/>
                <w:color w:val="auto"/>
                <w:sz w:val="22"/>
                <w:szCs w:val="22"/>
                <w:lang w:val="en-US" w:eastAsia="zh-CN"/>
              </w:rPr>
              <w:t>截止</w:t>
            </w:r>
            <w:r>
              <w:rPr>
                <w:rFonts w:hint="eastAsia" w:ascii="宋体" w:hAnsi="宋体" w:eastAsia="宋体" w:cs="宋体"/>
                <w:color w:val="auto"/>
                <w:sz w:val="22"/>
                <w:szCs w:val="22"/>
              </w:rPr>
              <w:t>时间</w:t>
            </w:r>
          </w:p>
        </w:tc>
        <w:tc>
          <w:tcPr>
            <w:tcW w:w="3890" w:type="pct"/>
            <w:tcBorders>
              <w:left w:val="single" w:color="000000" w:sz="4" w:space="0"/>
            </w:tcBorders>
            <w:vAlign w:val="center"/>
          </w:tcPr>
          <w:p w14:paraId="70AADC4E">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详见竞争性磋商公告。</w:t>
            </w:r>
          </w:p>
        </w:tc>
      </w:tr>
      <w:tr w14:paraId="1F1E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vAlign w:val="center"/>
          </w:tcPr>
          <w:p w14:paraId="5C197D99"/>
        </w:tc>
        <w:tc>
          <w:tcPr>
            <w:tcW w:w="646" w:type="pct"/>
            <w:tcBorders>
              <w:left w:val="single" w:color="000000" w:sz="4" w:space="0"/>
            </w:tcBorders>
            <w:vAlign w:val="center"/>
          </w:tcPr>
          <w:p w14:paraId="61E23BA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首次响应文件提交地点</w:t>
            </w:r>
          </w:p>
        </w:tc>
        <w:tc>
          <w:tcPr>
            <w:tcW w:w="3890" w:type="pct"/>
            <w:tcBorders>
              <w:left w:val="single" w:color="000000" w:sz="4" w:space="0"/>
            </w:tcBorders>
            <w:vAlign w:val="center"/>
          </w:tcPr>
          <w:p w14:paraId="5ADAAFA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u w:val="single"/>
              </w:rPr>
            </w:pPr>
            <w:r>
              <w:rPr>
                <w:rFonts w:hint="eastAsia" w:ascii="宋体" w:hAnsi="宋体" w:eastAsia="宋体" w:cs="宋体"/>
                <w:color w:val="auto"/>
                <w:sz w:val="22"/>
                <w:szCs w:val="22"/>
              </w:rPr>
              <w:t>详见竞争性磋商公告。</w:t>
            </w:r>
          </w:p>
        </w:tc>
      </w:tr>
      <w:tr w14:paraId="51C4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2758166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20.6</w:t>
            </w:r>
          </w:p>
        </w:tc>
        <w:tc>
          <w:tcPr>
            <w:tcW w:w="646" w:type="pct"/>
            <w:tcBorders>
              <w:left w:val="single" w:color="000000" w:sz="4" w:space="0"/>
            </w:tcBorders>
            <w:vAlign w:val="center"/>
          </w:tcPr>
          <w:p w14:paraId="31B7658C">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备份响应文件</w:t>
            </w:r>
          </w:p>
        </w:tc>
        <w:tc>
          <w:tcPr>
            <w:tcW w:w="3890" w:type="pct"/>
            <w:tcBorders>
              <w:left w:val="single" w:color="000000" w:sz="4" w:space="0"/>
            </w:tcBorders>
            <w:vAlign w:val="center"/>
          </w:tcPr>
          <w:p w14:paraId="25BBE519">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rPr>
              <w:t>供应商在在线上传加密文件后可以在开标前向代理机构提供加密副本文件（与加密文件同时生成的），当解密时间内供应商由于非人为操作导致无法解密的，可以由代理机构用备份文件进行异常处理</w:t>
            </w:r>
            <w:r>
              <w:rPr>
                <w:rFonts w:hint="eastAsia" w:ascii="宋体" w:hAnsi="宋体" w:eastAsia="宋体" w:cs="宋体"/>
                <w:color w:val="auto"/>
                <w:sz w:val="22"/>
                <w:szCs w:val="22"/>
              </w:rPr>
              <w:t>。</w:t>
            </w:r>
          </w:p>
        </w:tc>
      </w:tr>
      <w:tr w14:paraId="231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vAlign w:val="center"/>
          </w:tcPr>
          <w:p w14:paraId="34C68F7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26.2</w:t>
            </w:r>
          </w:p>
        </w:tc>
        <w:tc>
          <w:tcPr>
            <w:tcW w:w="646" w:type="pct"/>
            <w:tcBorders>
              <w:left w:val="single" w:color="000000" w:sz="4" w:space="0"/>
            </w:tcBorders>
            <w:vAlign w:val="center"/>
          </w:tcPr>
          <w:p w14:paraId="30C110F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b w:val="0"/>
                <w:bCs/>
                <w:color w:val="auto"/>
                <w:sz w:val="22"/>
                <w:szCs w:val="22"/>
              </w:rPr>
              <w:t>负偏离要求</w:t>
            </w:r>
          </w:p>
        </w:tc>
        <w:tc>
          <w:tcPr>
            <w:tcW w:w="3890" w:type="pct"/>
            <w:tcBorders>
              <w:left w:val="single" w:color="000000" w:sz="4" w:space="0"/>
            </w:tcBorders>
            <w:vAlign w:val="center"/>
          </w:tcPr>
          <w:p w14:paraId="7DFE3DF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商务条款评审中允许负偏离的条款数为 </w:t>
            </w:r>
            <w:r>
              <w:rPr>
                <w:rFonts w:hint="eastAsia" w:ascii="宋体" w:hAnsi="宋体" w:eastAsia="宋体" w:cs="宋体"/>
                <w:b/>
                <w:color w:val="auto"/>
                <w:sz w:val="22"/>
                <w:szCs w:val="22"/>
                <w:lang w:val="en-US" w:eastAsia="zh-CN"/>
              </w:rPr>
              <w:t>0</w:t>
            </w:r>
            <w:r>
              <w:rPr>
                <w:rFonts w:hint="eastAsia" w:ascii="宋体" w:hAnsi="宋体" w:eastAsia="宋体" w:cs="宋体"/>
                <w:b/>
                <w:color w:val="auto"/>
                <w:sz w:val="22"/>
                <w:szCs w:val="22"/>
              </w:rPr>
              <w:t xml:space="preserve"> 项</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若超出，</w:t>
            </w:r>
            <w:r>
              <w:rPr>
                <w:rFonts w:hint="eastAsia" w:ascii="宋体" w:hAnsi="宋体" w:eastAsia="宋体" w:cs="宋体"/>
                <w:b/>
                <w:color w:val="auto"/>
                <w:sz w:val="22"/>
                <w:szCs w:val="22"/>
              </w:rPr>
              <w:t>作无效响应处理。</w:t>
            </w:r>
          </w:p>
          <w:p w14:paraId="68DB7D0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服务需求评审中允许负偏离的条款数为 </w:t>
            </w:r>
            <w:r>
              <w:rPr>
                <w:rFonts w:hint="eastAsia" w:ascii="宋体" w:hAnsi="宋体" w:cs="宋体"/>
                <w:b/>
                <w:color w:val="auto"/>
                <w:sz w:val="22"/>
                <w:szCs w:val="22"/>
                <w:lang w:val="en-US" w:eastAsia="zh-CN"/>
              </w:rPr>
              <w:t>0</w:t>
            </w:r>
            <w:r>
              <w:rPr>
                <w:rFonts w:hint="eastAsia" w:ascii="宋体" w:hAnsi="宋体" w:eastAsia="宋体" w:cs="宋体"/>
                <w:b/>
                <w:color w:val="auto"/>
                <w:sz w:val="22"/>
                <w:szCs w:val="22"/>
              </w:rPr>
              <w:t xml:space="preserve"> 项</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lang w:val="en-US" w:eastAsia="zh-CN"/>
              </w:rPr>
              <w:t>若超出，</w:t>
            </w:r>
            <w:r>
              <w:rPr>
                <w:rFonts w:hint="eastAsia" w:ascii="宋体" w:hAnsi="宋体" w:eastAsia="宋体" w:cs="宋体"/>
                <w:b/>
                <w:color w:val="auto"/>
                <w:sz w:val="22"/>
                <w:szCs w:val="22"/>
              </w:rPr>
              <w:t>作无效响应处理。</w:t>
            </w:r>
          </w:p>
        </w:tc>
      </w:tr>
      <w:tr w14:paraId="2F4B8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vAlign w:val="center"/>
          </w:tcPr>
          <w:p w14:paraId="390054CB"/>
        </w:tc>
        <w:tc>
          <w:tcPr>
            <w:tcW w:w="646" w:type="pct"/>
            <w:tcBorders>
              <w:left w:val="single" w:color="000000" w:sz="4" w:space="0"/>
            </w:tcBorders>
            <w:vAlign w:val="center"/>
          </w:tcPr>
          <w:p w14:paraId="2230520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磋商的顺序</w:t>
            </w:r>
          </w:p>
        </w:tc>
        <w:tc>
          <w:tcPr>
            <w:tcW w:w="3890" w:type="pct"/>
            <w:tcBorders>
              <w:left w:val="single" w:color="000000" w:sz="4" w:space="0"/>
            </w:tcBorders>
            <w:vAlign w:val="center"/>
          </w:tcPr>
          <w:p w14:paraId="67C0B32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rPr>
              <w:t>按照提交首次响应文件的顺序，通知磋商时，若某供应商不在通知现场时，该供应商排序到最后磋商，按照签到的顺序由其下一位供应商先参与磋商。</w:t>
            </w:r>
          </w:p>
          <w:p w14:paraId="2772D69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随机排序。</w:t>
            </w:r>
          </w:p>
        </w:tc>
      </w:tr>
      <w:tr w14:paraId="3418B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14AC4B0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28</w:t>
            </w:r>
          </w:p>
        </w:tc>
        <w:tc>
          <w:tcPr>
            <w:tcW w:w="646" w:type="pct"/>
            <w:tcBorders>
              <w:left w:val="single" w:color="000000" w:sz="4" w:space="0"/>
            </w:tcBorders>
            <w:vAlign w:val="center"/>
          </w:tcPr>
          <w:p w14:paraId="3BA3D6B7">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履约保证金</w:t>
            </w:r>
          </w:p>
        </w:tc>
        <w:tc>
          <w:tcPr>
            <w:tcW w:w="3890" w:type="pct"/>
            <w:tcBorders>
              <w:left w:val="single" w:color="000000" w:sz="4" w:space="0"/>
            </w:tcBorders>
            <w:vAlign w:val="center"/>
          </w:tcPr>
          <w:p w14:paraId="4DDC6706">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本项目不收取履约保证金</w:t>
            </w:r>
          </w:p>
        </w:tc>
      </w:tr>
      <w:tr w14:paraId="31D9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1AD34AC9">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29.5</w:t>
            </w:r>
          </w:p>
        </w:tc>
        <w:tc>
          <w:tcPr>
            <w:tcW w:w="646" w:type="pct"/>
            <w:tcBorders>
              <w:left w:val="single" w:color="000000" w:sz="4" w:space="0"/>
            </w:tcBorders>
            <w:vAlign w:val="center"/>
          </w:tcPr>
          <w:p w14:paraId="71D0769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签订电子采购合同</w:t>
            </w:r>
          </w:p>
        </w:tc>
        <w:tc>
          <w:tcPr>
            <w:tcW w:w="3890" w:type="pct"/>
            <w:tcBorders>
              <w:left w:val="single" w:color="000000" w:sz="4" w:space="0"/>
            </w:tcBorders>
            <w:vAlign w:val="center"/>
          </w:tcPr>
          <w:p w14:paraId="54D54AFE">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成交供应商领取电子成交通知书后，在规定的日期、时间、地点，由法定代表人或其授权代表与采购人代表签订电子采购合同。</w:t>
            </w:r>
          </w:p>
        </w:tc>
      </w:tr>
      <w:tr w14:paraId="4634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restart"/>
            <w:vAlign w:val="center"/>
          </w:tcPr>
          <w:p w14:paraId="716D99E1">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31.2</w:t>
            </w:r>
          </w:p>
        </w:tc>
        <w:tc>
          <w:tcPr>
            <w:tcW w:w="646" w:type="pct"/>
            <w:tcBorders>
              <w:left w:val="single" w:color="000000" w:sz="4" w:space="0"/>
            </w:tcBorders>
            <w:vAlign w:val="center"/>
          </w:tcPr>
          <w:p w14:paraId="597E2BD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接收质疑函方式</w:t>
            </w:r>
          </w:p>
        </w:tc>
        <w:tc>
          <w:tcPr>
            <w:tcW w:w="3890" w:type="pct"/>
            <w:tcBorders>
              <w:left w:val="single" w:color="000000" w:sz="4" w:space="0"/>
            </w:tcBorders>
            <w:vAlign w:val="center"/>
          </w:tcPr>
          <w:p w14:paraId="799B4B7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以书面形式</w:t>
            </w:r>
          </w:p>
        </w:tc>
      </w:tr>
      <w:tr w14:paraId="5CBE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vAlign w:val="center"/>
          </w:tcPr>
          <w:p w14:paraId="20D35430"/>
        </w:tc>
        <w:tc>
          <w:tcPr>
            <w:tcW w:w="646" w:type="pct"/>
            <w:tcBorders>
              <w:left w:val="single" w:color="000000" w:sz="4" w:space="0"/>
            </w:tcBorders>
            <w:vAlign w:val="center"/>
          </w:tcPr>
          <w:p w14:paraId="43B3ECC1">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质疑联系部门及联系方式</w:t>
            </w:r>
          </w:p>
        </w:tc>
        <w:tc>
          <w:tcPr>
            <w:tcW w:w="3890" w:type="pct"/>
            <w:tcBorders>
              <w:left w:val="single" w:color="000000" w:sz="4" w:space="0"/>
            </w:tcBorders>
            <w:vAlign w:val="center"/>
          </w:tcPr>
          <w:p w14:paraId="4C1A4DD6">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u w:val="none"/>
              </w:rPr>
            </w:pPr>
            <w:r>
              <w:rPr>
                <w:rFonts w:hint="eastAsia" w:ascii="宋体" w:hAnsi="宋体" w:cs="宋体"/>
                <w:color w:val="auto"/>
                <w:sz w:val="22"/>
                <w:szCs w:val="22"/>
                <w:u w:val="none"/>
                <w:lang w:eastAsia="zh-CN"/>
              </w:rPr>
              <w:t>广西全捷工程咨询有限公司</w:t>
            </w:r>
          </w:p>
          <w:p w14:paraId="30CCEF9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u w:val="none"/>
                <w:lang w:eastAsia="zh-CN"/>
              </w:rPr>
            </w:pPr>
            <w:r>
              <w:rPr>
                <w:rFonts w:hint="eastAsia" w:ascii="宋体" w:hAnsi="宋体" w:eastAsia="宋体" w:cs="宋体"/>
                <w:color w:val="auto"/>
                <w:sz w:val="22"/>
                <w:szCs w:val="22"/>
                <w:u w:val="none"/>
              </w:rPr>
              <w:t>联系电话：</w:t>
            </w:r>
            <w:r>
              <w:rPr>
                <w:rFonts w:hint="eastAsia" w:ascii="宋体" w:hAnsi="宋体" w:cs="宋体"/>
                <w:color w:val="auto"/>
                <w:sz w:val="22"/>
                <w:szCs w:val="22"/>
                <w:u w:val="none"/>
                <w:lang w:eastAsia="zh-CN"/>
              </w:rPr>
              <w:t>0772-2882112、13557717138</w:t>
            </w:r>
          </w:p>
          <w:p w14:paraId="5CC04CA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u w:val="none"/>
              </w:rPr>
              <w:t>通讯地址：</w:t>
            </w:r>
            <w:r>
              <w:rPr>
                <w:rFonts w:hint="eastAsia" w:ascii="宋体" w:hAnsi="宋体" w:cs="宋体"/>
                <w:color w:val="auto"/>
                <w:sz w:val="22"/>
                <w:szCs w:val="22"/>
                <w:u w:val="none"/>
                <w:lang w:eastAsia="zh-CN"/>
              </w:rPr>
              <w:t>柳州市河东路1号秀景园低层住宅区1-5号</w:t>
            </w:r>
          </w:p>
        </w:tc>
      </w:tr>
      <w:tr w14:paraId="2C06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Merge w:val="continue"/>
            <w:vAlign w:val="center"/>
          </w:tcPr>
          <w:p w14:paraId="5C8634F7"/>
        </w:tc>
        <w:tc>
          <w:tcPr>
            <w:tcW w:w="646" w:type="pct"/>
            <w:tcBorders>
              <w:left w:val="single" w:color="000000" w:sz="4" w:space="0"/>
            </w:tcBorders>
            <w:vAlign w:val="center"/>
          </w:tcPr>
          <w:p w14:paraId="3868ADEA">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现场提交质疑办理业务时间</w:t>
            </w:r>
          </w:p>
        </w:tc>
        <w:tc>
          <w:tcPr>
            <w:tcW w:w="3890" w:type="pct"/>
            <w:tcBorders>
              <w:left w:val="single" w:color="000000" w:sz="4" w:space="0"/>
            </w:tcBorders>
            <w:vAlign w:val="center"/>
          </w:tcPr>
          <w:p w14:paraId="09692EE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质疑期内每个工作日</w:t>
            </w:r>
            <w:r>
              <w:rPr>
                <w:rFonts w:hint="eastAsia" w:ascii="宋体" w:hAnsi="宋体" w:eastAsia="宋体" w:cs="宋体"/>
                <w:color w:val="auto"/>
                <w:sz w:val="22"/>
                <w:szCs w:val="22"/>
                <w:u w:val="single"/>
              </w:rPr>
              <w:t>0</w:t>
            </w:r>
            <w:r>
              <w:rPr>
                <w:rFonts w:hint="eastAsia" w:ascii="宋体" w:hAnsi="宋体" w:eastAsia="宋体" w:cs="宋体"/>
                <w:color w:val="auto"/>
                <w:sz w:val="22"/>
                <w:szCs w:val="22"/>
                <w:u w:val="single"/>
                <w:lang w:val="en-US" w:eastAsia="zh-CN"/>
              </w:rPr>
              <w:t>9</w:t>
            </w:r>
            <w:r>
              <w:rPr>
                <w:rFonts w:hint="eastAsia" w:ascii="宋体" w:hAnsi="宋体" w:eastAsia="宋体" w:cs="宋体"/>
                <w:color w:val="auto"/>
                <w:sz w:val="22"/>
                <w:szCs w:val="22"/>
              </w:rPr>
              <w:t>时</w:t>
            </w:r>
            <w:r>
              <w:rPr>
                <w:rFonts w:hint="eastAsia" w:ascii="宋体" w:hAnsi="宋体" w:eastAsia="宋体" w:cs="宋体"/>
                <w:color w:val="auto"/>
                <w:sz w:val="22"/>
                <w:szCs w:val="22"/>
                <w:u w:val="single"/>
              </w:rPr>
              <w:t>00</w:t>
            </w:r>
            <w:r>
              <w:rPr>
                <w:rFonts w:hint="eastAsia" w:ascii="宋体" w:hAnsi="宋体" w:eastAsia="宋体" w:cs="宋体"/>
                <w:color w:val="auto"/>
                <w:sz w:val="22"/>
                <w:szCs w:val="22"/>
              </w:rPr>
              <w:t>分到</w:t>
            </w:r>
            <w:r>
              <w:rPr>
                <w:rFonts w:hint="eastAsia" w:ascii="宋体" w:hAnsi="宋体" w:eastAsia="宋体" w:cs="宋体"/>
                <w:color w:val="auto"/>
                <w:sz w:val="22"/>
                <w:szCs w:val="22"/>
                <w:u w:val="single"/>
              </w:rPr>
              <w:t>12</w:t>
            </w:r>
            <w:r>
              <w:rPr>
                <w:rFonts w:hint="eastAsia" w:ascii="宋体" w:hAnsi="宋体" w:eastAsia="宋体" w:cs="宋体"/>
                <w:color w:val="auto"/>
                <w:sz w:val="22"/>
                <w:szCs w:val="22"/>
              </w:rPr>
              <w:t>时</w:t>
            </w:r>
            <w:r>
              <w:rPr>
                <w:rFonts w:hint="eastAsia" w:ascii="宋体" w:hAnsi="宋体" w:eastAsia="宋体" w:cs="宋体"/>
                <w:color w:val="auto"/>
                <w:sz w:val="22"/>
                <w:szCs w:val="22"/>
                <w:u w:val="single"/>
              </w:rPr>
              <w:t>00</w:t>
            </w:r>
            <w:r>
              <w:rPr>
                <w:rFonts w:hint="eastAsia" w:ascii="宋体" w:hAnsi="宋体" w:eastAsia="宋体" w:cs="宋体"/>
                <w:color w:val="auto"/>
                <w:sz w:val="22"/>
                <w:szCs w:val="22"/>
              </w:rPr>
              <w:t>分，</w:t>
            </w:r>
            <w:r>
              <w:rPr>
                <w:rFonts w:hint="eastAsia" w:ascii="宋体" w:hAnsi="宋体" w:eastAsia="宋体" w:cs="宋体"/>
                <w:color w:val="auto"/>
                <w:sz w:val="22"/>
                <w:szCs w:val="22"/>
                <w:u w:val="single"/>
              </w:rPr>
              <w:t>15</w:t>
            </w:r>
            <w:r>
              <w:rPr>
                <w:rFonts w:hint="eastAsia" w:ascii="宋体" w:hAnsi="宋体" w:eastAsia="宋体" w:cs="宋体"/>
                <w:color w:val="auto"/>
                <w:sz w:val="22"/>
                <w:szCs w:val="22"/>
              </w:rPr>
              <w:t>时</w:t>
            </w:r>
            <w:r>
              <w:rPr>
                <w:rFonts w:hint="eastAsia" w:ascii="宋体" w:hAnsi="宋体" w:eastAsia="宋体" w:cs="宋体"/>
                <w:color w:val="auto"/>
                <w:sz w:val="22"/>
                <w:szCs w:val="22"/>
                <w:u w:val="single"/>
              </w:rPr>
              <w:t>00</w:t>
            </w:r>
            <w:r>
              <w:rPr>
                <w:rFonts w:hint="eastAsia" w:ascii="宋体" w:hAnsi="宋体" w:eastAsia="宋体" w:cs="宋体"/>
                <w:color w:val="auto"/>
                <w:sz w:val="22"/>
                <w:szCs w:val="22"/>
              </w:rPr>
              <w:t>分到</w:t>
            </w:r>
            <w:r>
              <w:rPr>
                <w:rFonts w:hint="eastAsia" w:ascii="宋体" w:hAnsi="宋体" w:eastAsia="宋体" w:cs="宋体"/>
                <w:color w:val="auto"/>
                <w:sz w:val="22"/>
                <w:szCs w:val="22"/>
                <w:u w:val="single"/>
              </w:rPr>
              <w:t>18</w:t>
            </w:r>
            <w:r>
              <w:rPr>
                <w:rFonts w:hint="eastAsia" w:ascii="宋体" w:hAnsi="宋体" w:eastAsia="宋体" w:cs="宋体"/>
                <w:color w:val="auto"/>
                <w:sz w:val="22"/>
                <w:szCs w:val="22"/>
              </w:rPr>
              <w:t>时</w:t>
            </w:r>
            <w:r>
              <w:rPr>
                <w:rFonts w:hint="eastAsia" w:ascii="宋体" w:hAnsi="宋体" w:eastAsia="宋体" w:cs="宋体"/>
                <w:color w:val="auto"/>
                <w:sz w:val="22"/>
                <w:szCs w:val="22"/>
                <w:u w:val="single"/>
              </w:rPr>
              <w:t>00</w:t>
            </w:r>
            <w:r>
              <w:rPr>
                <w:rFonts w:hint="eastAsia" w:ascii="宋体" w:hAnsi="宋体" w:eastAsia="宋体" w:cs="宋体"/>
                <w:color w:val="auto"/>
                <w:sz w:val="22"/>
                <w:szCs w:val="22"/>
              </w:rPr>
              <w:t>分</w:t>
            </w:r>
          </w:p>
        </w:tc>
      </w:tr>
      <w:tr w14:paraId="689D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462" w:type="pct"/>
            <w:vAlign w:val="center"/>
          </w:tcPr>
          <w:p w14:paraId="168673D1">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31.6</w:t>
            </w:r>
          </w:p>
        </w:tc>
        <w:tc>
          <w:tcPr>
            <w:tcW w:w="646" w:type="pct"/>
            <w:tcBorders>
              <w:left w:val="single" w:color="000000" w:sz="4" w:space="0"/>
            </w:tcBorders>
            <w:vAlign w:val="center"/>
          </w:tcPr>
          <w:p w14:paraId="6CEF3CDB">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受理投诉方式</w:t>
            </w:r>
          </w:p>
        </w:tc>
        <w:tc>
          <w:tcPr>
            <w:tcW w:w="3890" w:type="pct"/>
            <w:tcBorders>
              <w:left w:val="single" w:color="000000" w:sz="4" w:space="0"/>
            </w:tcBorders>
            <w:vAlign w:val="center"/>
          </w:tcPr>
          <w:p w14:paraId="72170864">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1、受理方式：纸质方式受理，投诉书正、副本（经过质疑的事项才可投诉）。</w:t>
            </w:r>
          </w:p>
          <w:p w14:paraId="6DC53CC0">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受理单位：</w:t>
            </w:r>
            <w:r>
              <w:rPr>
                <w:rFonts w:hint="eastAsia" w:ascii="宋体" w:hAnsi="宋体" w:cs="宋体"/>
                <w:color w:val="auto"/>
                <w:sz w:val="22"/>
                <w:szCs w:val="22"/>
                <w:lang w:val="en-US" w:eastAsia="zh-CN"/>
              </w:rPr>
              <w:t>柳州市财政局</w:t>
            </w:r>
          </w:p>
        </w:tc>
      </w:tr>
      <w:tr w14:paraId="33F3D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3F05E834">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w:t>
            </w:r>
          </w:p>
        </w:tc>
        <w:tc>
          <w:tcPr>
            <w:tcW w:w="646" w:type="pct"/>
            <w:tcBorders>
              <w:left w:val="single" w:color="000000" w:sz="4" w:space="0"/>
            </w:tcBorders>
            <w:vAlign w:val="center"/>
          </w:tcPr>
          <w:p w14:paraId="7238B3B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采购代理费</w:t>
            </w:r>
          </w:p>
        </w:tc>
        <w:tc>
          <w:tcPr>
            <w:tcW w:w="3890" w:type="pct"/>
            <w:tcBorders>
              <w:left w:val="single" w:color="000000" w:sz="4" w:space="0"/>
            </w:tcBorders>
            <w:vAlign w:val="center"/>
          </w:tcPr>
          <w:p w14:paraId="3833D8C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 是否收取采购代理费：</w:t>
            </w:r>
          </w:p>
          <w:p w14:paraId="2E204A3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sym w:font="Wingdings 2" w:char="F052"/>
            </w:r>
            <w:r>
              <w:rPr>
                <w:rFonts w:hint="eastAsia" w:ascii="宋体" w:hAnsi="宋体" w:eastAsia="宋体" w:cs="宋体"/>
                <w:color w:val="auto"/>
                <w:kern w:val="0"/>
                <w:sz w:val="22"/>
                <w:szCs w:val="22"/>
              </w:rPr>
              <w:t>是    □ 否</w:t>
            </w:r>
          </w:p>
          <w:p w14:paraId="64D5F768">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2.采购代理费支付方式：</w:t>
            </w:r>
          </w:p>
          <w:p w14:paraId="0D999312">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sym w:font="Wingdings 2" w:char="F052"/>
            </w:r>
            <w:r>
              <w:rPr>
                <w:rFonts w:hint="eastAsia" w:ascii="宋体" w:hAnsi="宋体" w:eastAsia="宋体" w:cs="宋体"/>
                <w:color w:val="auto"/>
                <w:kern w:val="0"/>
                <w:sz w:val="22"/>
                <w:szCs w:val="22"/>
              </w:rPr>
              <w:t>本项目代理服务费由</w:t>
            </w:r>
            <w:r>
              <w:rPr>
                <w:rFonts w:hint="eastAsia" w:ascii="宋体" w:hAnsi="宋体" w:eastAsia="宋体" w:cs="宋体"/>
                <w:color w:val="auto"/>
                <w:kern w:val="0"/>
                <w:sz w:val="22"/>
                <w:szCs w:val="22"/>
                <w:u w:val="single"/>
              </w:rPr>
              <w:t>成交供应商</w:t>
            </w:r>
            <w:r>
              <w:rPr>
                <w:rFonts w:hint="eastAsia" w:ascii="宋体" w:hAnsi="宋体" w:eastAsia="宋体" w:cs="宋体"/>
                <w:color w:val="auto"/>
                <w:kern w:val="0"/>
                <w:sz w:val="22"/>
                <w:szCs w:val="22"/>
              </w:rPr>
              <w:t>领取成交通知书前，一次性向采购代理机构支付。</w:t>
            </w:r>
          </w:p>
          <w:p w14:paraId="207218B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□采购人支付。</w:t>
            </w:r>
          </w:p>
          <w:p w14:paraId="271A34D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3.采购代理费收取标准：</w:t>
            </w:r>
          </w:p>
          <w:p w14:paraId="18E2A1F3">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sym w:font="Wingdings 2" w:char="F052"/>
            </w:r>
            <w:r>
              <w:rPr>
                <w:rFonts w:hint="eastAsia" w:ascii="宋体" w:hAnsi="宋体" w:eastAsia="宋体" w:cs="宋体"/>
                <w:color w:val="auto"/>
                <w:kern w:val="0"/>
                <w:sz w:val="22"/>
                <w:szCs w:val="22"/>
              </w:rPr>
              <w:t>以分标（</w:t>
            </w:r>
            <w:r>
              <w:rPr>
                <w:rFonts w:hint="eastAsia" w:ascii="宋体" w:hAnsi="宋体" w:eastAsia="宋体" w:cs="宋体"/>
                <w:color w:val="auto"/>
                <w:kern w:val="0"/>
                <w:sz w:val="22"/>
                <w:szCs w:val="22"/>
              </w:rPr>
              <w:sym w:font="Wingdings 2" w:char="0052"/>
            </w:r>
            <w:r>
              <w:rPr>
                <w:rFonts w:hint="eastAsia" w:ascii="宋体" w:hAnsi="宋体" w:eastAsia="宋体" w:cs="宋体"/>
                <w:color w:val="auto"/>
                <w:kern w:val="0"/>
                <w:sz w:val="22"/>
                <w:szCs w:val="22"/>
              </w:rPr>
              <w:t>成交金额/</w:t>
            </w:r>
            <w:r>
              <w:rPr>
                <w:rFonts w:hint="eastAsia" w:ascii="宋体" w:hAnsi="宋体" w:cs="宋体"/>
                <w:color w:val="auto"/>
                <w:kern w:val="0"/>
                <w:sz w:val="22"/>
                <w:szCs w:val="22"/>
                <w:lang w:eastAsia="zh-CN"/>
              </w:rPr>
              <w:t>□</w:t>
            </w:r>
            <w:r>
              <w:rPr>
                <w:rFonts w:hint="eastAsia" w:ascii="宋体" w:hAnsi="宋体" w:eastAsia="宋体" w:cs="宋体"/>
                <w:color w:val="auto"/>
                <w:kern w:val="0"/>
                <w:sz w:val="22"/>
                <w:szCs w:val="22"/>
              </w:rPr>
              <w:t>采购预算/□暂定成交金额/□其他</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）为计费额，按</w:t>
            </w:r>
            <w:r>
              <w:rPr>
                <w:rFonts w:ascii="宋体" w:hAnsi="宋体" w:eastAsia="宋体" w:cs="宋体"/>
                <w:color w:val="auto"/>
                <w:kern w:val="0"/>
                <w:sz w:val="22"/>
                <w:szCs w:val="22"/>
                <w:u w:val="single"/>
              </w:rPr>
              <w:t>工程</w:t>
            </w:r>
            <w:r>
              <w:rPr>
                <w:rFonts w:hint="eastAsia" w:ascii="宋体" w:hAnsi="宋体" w:eastAsia="宋体" w:cs="宋体"/>
                <w:color w:val="auto"/>
                <w:kern w:val="0"/>
                <w:sz w:val="22"/>
                <w:szCs w:val="22"/>
                <w:u w:val="single"/>
              </w:rPr>
              <w:t>类</w:t>
            </w:r>
            <w:r>
              <w:rPr>
                <w:rFonts w:hint="eastAsia" w:ascii="宋体" w:hAnsi="宋体" w:eastAsia="宋体" w:cs="宋体"/>
                <w:color w:val="auto"/>
                <w:kern w:val="0"/>
                <w:sz w:val="22"/>
                <w:szCs w:val="22"/>
              </w:rPr>
              <w:t>采用差额定率累进法计算出收费基准价格，采购代理收费以（</w:t>
            </w:r>
            <w:r>
              <w:rPr>
                <w:rFonts w:hint="eastAsia" w:ascii="宋体" w:hAnsi="宋体" w:eastAsia="宋体" w:cs="宋体"/>
                <w:color w:val="auto"/>
                <w:kern w:val="0"/>
                <w:sz w:val="22"/>
                <w:szCs w:val="22"/>
              </w:rPr>
              <w:sym w:font="Wingdings 2" w:char="0052"/>
            </w:r>
            <w:r>
              <w:rPr>
                <w:rFonts w:hint="eastAsia" w:ascii="宋体" w:hAnsi="宋体" w:eastAsia="宋体" w:cs="宋体"/>
                <w:color w:val="auto"/>
                <w:kern w:val="0"/>
                <w:sz w:val="22"/>
                <w:szCs w:val="22"/>
              </w:rPr>
              <w:t>收费基准价格/</w:t>
            </w:r>
            <w:r>
              <w:rPr>
                <w:rFonts w:hint="eastAsia" w:ascii="宋体" w:hAnsi="宋体" w:cs="宋体"/>
                <w:color w:val="auto"/>
                <w:kern w:val="0"/>
                <w:sz w:val="22"/>
                <w:szCs w:val="22"/>
                <w:lang w:eastAsia="zh-CN"/>
              </w:rPr>
              <w:t>□</w:t>
            </w:r>
            <w:r>
              <w:rPr>
                <w:rFonts w:hint="eastAsia" w:ascii="宋体" w:hAnsi="宋体" w:eastAsia="宋体" w:cs="宋体"/>
                <w:color w:val="auto"/>
                <w:kern w:val="0"/>
                <w:sz w:val="22"/>
                <w:szCs w:val="22"/>
              </w:rPr>
              <w:t>收费基准价格下浮</w:t>
            </w:r>
            <w:r>
              <w:rPr>
                <w:rFonts w:hint="eastAsia" w:ascii="宋体" w:hAnsi="宋体" w:eastAsia="宋体" w:cs="宋体"/>
                <w:color w:val="auto"/>
                <w:kern w:val="0"/>
                <w:sz w:val="22"/>
                <w:szCs w:val="22"/>
                <w:u w:val="single"/>
              </w:rPr>
              <w:t xml:space="preserve"> </w:t>
            </w:r>
            <w:r>
              <w:rPr>
                <w:rFonts w:hint="eastAsia" w:ascii="宋体" w:hAnsi="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/□收费基准价格上浮</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rPr>
              <w:t>）收取。</w:t>
            </w:r>
          </w:p>
          <w:p w14:paraId="52DB8C4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kern w:val="0"/>
                <w:sz w:val="22"/>
                <w:szCs w:val="22"/>
                <w:u w:val="none"/>
              </w:rPr>
            </w:pP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固定采购代理收费</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single"/>
              </w:rPr>
              <w:t xml:space="preserve"> 。</w:t>
            </w:r>
          </w:p>
        </w:tc>
      </w:tr>
      <w:tr w14:paraId="1B01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2C71EEB0">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34.1</w:t>
            </w:r>
          </w:p>
        </w:tc>
        <w:tc>
          <w:tcPr>
            <w:tcW w:w="646" w:type="pct"/>
            <w:tcBorders>
              <w:left w:val="single" w:color="000000" w:sz="4" w:space="0"/>
            </w:tcBorders>
            <w:vAlign w:val="center"/>
          </w:tcPr>
          <w:p w14:paraId="1CE7A42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解释</w:t>
            </w:r>
          </w:p>
        </w:tc>
        <w:tc>
          <w:tcPr>
            <w:tcW w:w="3890" w:type="pct"/>
            <w:tcBorders>
              <w:left w:val="single" w:color="000000" w:sz="4" w:space="0"/>
            </w:tcBorders>
            <w:vAlign w:val="center"/>
          </w:tcPr>
          <w:p w14:paraId="1A506231">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b/>
                <w:color w:val="auto"/>
                <w:kern w:val="0"/>
                <w:sz w:val="22"/>
                <w:szCs w:val="22"/>
              </w:rPr>
            </w:pPr>
            <w:r>
              <w:rPr>
                <w:rFonts w:hint="eastAsia" w:ascii="宋体" w:hAnsi="宋体" w:eastAsia="宋体" w:cs="宋体"/>
                <w:b/>
                <w:color w:val="auto"/>
                <w:kern w:val="0"/>
                <w:sz w:val="22"/>
                <w:szCs w:val="22"/>
              </w:rPr>
              <w:t>解释权：</w:t>
            </w:r>
            <w:r>
              <w:rPr>
                <w:rFonts w:hint="eastAsia" w:ascii="宋体" w:hAnsi="宋体" w:eastAsia="宋体" w:cs="宋体"/>
                <w:color w:val="auto"/>
                <w:kern w:val="0"/>
                <w:sz w:val="22"/>
                <w:szCs w:val="22"/>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 w:val="22"/>
                <w:szCs w:val="22"/>
              </w:rPr>
              <w:t>由采购人或者采购代理机构负责解释。</w:t>
            </w:r>
          </w:p>
          <w:p w14:paraId="05C75DBC">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2"/>
                <w:szCs w:val="22"/>
              </w:rPr>
            </w:pPr>
            <w:r>
              <w:rPr>
                <w:rFonts w:hint="eastAsia" w:ascii="宋体" w:hAnsi="宋体" w:eastAsia="宋体" w:cs="宋体"/>
                <w:b/>
                <w:color w:val="auto"/>
                <w:kern w:val="0"/>
                <w:sz w:val="22"/>
                <w:szCs w:val="22"/>
              </w:rPr>
              <w:t>法律责任：</w:t>
            </w:r>
            <w:r>
              <w:rPr>
                <w:rFonts w:hint="eastAsia" w:ascii="宋体" w:hAnsi="宋体" w:eastAsia="宋体" w:cs="宋体"/>
                <w:color w:val="auto"/>
                <w:kern w:val="0"/>
                <w:sz w:val="22"/>
                <w:szCs w:val="22"/>
              </w:rPr>
              <w:t>本采购文件根据《中华人民共和国民法典》《中华人民共和国政府采购法》《中华人民共和国政府采购法实施条例》《政府采购竞争性磋商采购方式管理暂行办法》等有关法律、法规编制，参与本项目的各政府采购当事人依法享有上述法律法规所赋予的权利与义务。</w:t>
            </w:r>
          </w:p>
        </w:tc>
      </w:tr>
      <w:tr w14:paraId="7CD6E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62" w:type="pct"/>
            <w:vAlign w:val="center"/>
          </w:tcPr>
          <w:p w14:paraId="6F40EBD3">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34.2</w:t>
            </w:r>
          </w:p>
        </w:tc>
        <w:tc>
          <w:tcPr>
            <w:tcW w:w="646" w:type="pct"/>
            <w:tcBorders>
              <w:left w:val="single" w:color="000000" w:sz="4" w:space="0"/>
            </w:tcBorders>
            <w:vAlign w:val="center"/>
          </w:tcPr>
          <w:p w14:paraId="07DE393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其他</w:t>
            </w:r>
          </w:p>
        </w:tc>
        <w:tc>
          <w:tcPr>
            <w:tcW w:w="3890" w:type="pct"/>
            <w:tcBorders>
              <w:left w:val="single" w:color="000000" w:sz="4" w:space="0"/>
            </w:tcBorders>
            <w:vAlign w:val="center"/>
          </w:tcPr>
          <w:p w14:paraId="35F1E435">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380FBCF">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959A7D">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3.本磋商文件中描述供应商的“签字”是指供应商的法定代表人或者委托代理人亲自在文件规定签署处亲笔写上个人的名字的行为，私章、签字章、印鉴、影印等其他形式均不能代替亲笔签字。</w:t>
            </w:r>
          </w:p>
          <w:p w14:paraId="74AB484B">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4.自然人竞标的，磋商文件规定盖公章处由自然人摁手指指印。</w:t>
            </w:r>
          </w:p>
          <w:p w14:paraId="6DA9E83A">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5.本磋商文件所称的“以上”“以下”“以内”“届满”，包括本数；所称的“不满”“超过”“以外”，不包括本数。</w:t>
            </w:r>
          </w:p>
        </w:tc>
      </w:tr>
    </w:tbl>
    <w:p w14:paraId="1A72CB4C">
      <w:pPr>
        <w:keepNext/>
        <w:keepLines/>
        <w:spacing w:before="260" w:after="260" w:line="420" w:lineRule="exact"/>
        <w:jc w:val="center"/>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bookmarkStart w:id="31" w:name="_Toc5715"/>
      <w:r>
        <w:rPr>
          <w:rFonts w:hint="eastAsia" w:ascii="宋体" w:hAnsi="宋体" w:eastAsia="宋体" w:cs="宋体"/>
          <w:b/>
          <w:bCs w:val="0"/>
          <w:color w:val="auto"/>
          <w:sz w:val="24"/>
          <w:szCs w:val="24"/>
        </w:rPr>
        <w:t>第二节 供应商须知正文</w:t>
      </w:r>
      <w:bookmarkEnd w:id="31"/>
    </w:p>
    <w:p w14:paraId="17B2DDC6">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bCs/>
          <w:color w:val="auto"/>
          <w:sz w:val="22"/>
          <w:szCs w:val="22"/>
        </w:rPr>
      </w:pPr>
      <w:bookmarkStart w:id="32" w:name="_Toc12165"/>
      <w:r>
        <w:rPr>
          <w:rFonts w:hint="eastAsia" w:ascii="宋体" w:hAnsi="宋体" w:eastAsia="宋体" w:cs="宋体"/>
          <w:b/>
          <w:bCs w:val="0"/>
          <w:color w:val="auto"/>
          <w:sz w:val="24"/>
          <w:szCs w:val="24"/>
        </w:rPr>
        <w:t>一、总则</w:t>
      </w:r>
      <w:bookmarkEnd w:id="32"/>
    </w:p>
    <w:p w14:paraId="756313A8">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1.适用范围</w:t>
      </w:r>
    </w:p>
    <w:p w14:paraId="3E45612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BA3FA6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w:t>
      </w:r>
      <w:r>
        <w:rPr>
          <w:rFonts w:hint="eastAsia" w:ascii="宋体" w:hAnsi="宋体" w:eastAsia="宋体" w:cs="宋体"/>
          <w:color w:val="auto"/>
          <w:spacing w:val="-6"/>
          <w:sz w:val="22"/>
          <w:szCs w:val="22"/>
        </w:rPr>
        <w:t>本竞争性磋商文件（以下简称磋商文件）适用于本项目的所有采购程序和环节（法律、法规另有规定的，从其规定）。</w:t>
      </w:r>
    </w:p>
    <w:p w14:paraId="7E2ADD49">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2.定义</w:t>
      </w:r>
    </w:p>
    <w:p w14:paraId="68347D1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2.1“采购人”是指依法进行政府采购的国家机关、事业单位、团体组织。</w:t>
      </w:r>
    </w:p>
    <w:p w14:paraId="115DCDD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2.2“采购代理机构”是指政府采购集中采购机构和集中采购机构以外的采购代理机构。</w:t>
      </w:r>
    </w:p>
    <w:p w14:paraId="66F3A35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2.3“供应商”是指向采购人提供货物、工程或者服务的法人、其他组织或者自然人。</w:t>
      </w:r>
    </w:p>
    <w:p w14:paraId="2883FD2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2.4“服务”是指除货物和工程以外的其他政府采购对象。</w:t>
      </w:r>
    </w:p>
    <w:p w14:paraId="08D32A1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2.5“竞标”是指供应商按照本项目竞争性磋商公告或者邀请函规定的方式获取磋商文件、提交响应文件并希望获得标的的行为。</w:t>
      </w:r>
    </w:p>
    <w:p w14:paraId="444B884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2.6“响应文件”</w:t>
      </w:r>
      <w:r>
        <w:rPr>
          <w:rFonts w:hint="eastAsia" w:ascii="宋体" w:hAnsi="宋体" w:eastAsia="宋体" w:cs="宋体"/>
          <w:color w:val="auto"/>
          <w:spacing w:val="-6"/>
          <w:sz w:val="22"/>
          <w:szCs w:val="22"/>
        </w:rPr>
        <w:t>是指：供应商根据本磋商文件要求，编制包含资格证明、报价商务技术等所有内容的文件。</w:t>
      </w:r>
    </w:p>
    <w:p w14:paraId="0BA1324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2.7“实质性要求”是指磋商文件中已经指明不满足则响应文件按无效响应处理的条款，或者不能负偏离的条款，或者采购需求中带“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”的条款。</w:t>
      </w:r>
    </w:p>
    <w:p w14:paraId="4100956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2.8“正偏离”，是指响应文件对磋商文件“采购需求”中有关条款作出的响应优于条款要求并有利于采购人的情形。</w:t>
      </w:r>
    </w:p>
    <w:p w14:paraId="6BD09A6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2.9“负偏离”，是指响应文件对磋商文件“采购需求”中有关条款作出的响应不满足条款要求，导致采购人要求不能得到满足的情形。</w:t>
      </w:r>
    </w:p>
    <w:p w14:paraId="0725C92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2.10“允许负偏离的条款”是指采购需求中的不属于“实质性要求”的条款。</w:t>
      </w:r>
    </w:p>
    <w:p w14:paraId="084A83A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2.11“书面形式”是指合同书、信件和数据电文（包括电报、电传、传真、电子数据交换和电子邮件）等可以有形地表现所载内容的形式。</w:t>
      </w:r>
    </w:p>
    <w:p w14:paraId="02EDBFA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2.12“首次报价”是指供应商提交的首次响应文件中的报价。</w:t>
      </w:r>
    </w:p>
    <w:p w14:paraId="6F31CA2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2.13“评审报价”是指供应商提交的最后报价并经修正（如有）和政策功能价格扣除（如有）后的价格。</w:t>
      </w:r>
    </w:p>
    <w:p w14:paraId="20AA6665">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3.供应商的资格条件</w:t>
      </w:r>
    </w:p>
    <w:p w14:paraId="092F2A8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供应商的资格条件详见“供应商须知前附表”。</w:t>
      </w:r>
    </w:p>
    <w:p w14:paraId="18C4F6E8">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4.磋商费用</w:t>
      </w:r>
    </w:p>
    <w:p w14:paraId="1C29B89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供应商应承担参与本次采购活动有关的所有费用，包括但不限于、勘查现场、编制和提交响应文件、参加磋商与应答、签订合同等，不论竞标结果如何，均应自行承担。</w:t>
      </w:r>
    </w:p>
    <w:p w14:paraId="40993408">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5.联合体竞标</w:t>
      </w:r>
    </w:p>
    <w:p w14:paraId="4CE2F46A">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5.1本项目是否接受联合体竞标，详见“供应商须知前附表”。</w:t>
      </w:r>
    </w:p>
    <w:p w14:paraId="06D8A4C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5.2如接受联合体竞标，联合体竞标要求详见“供应商须知前附表”。</w:t>
      </w:r>
    </w:p>
    <w:p w14:paraId="79935FC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Cs/>
          <w:color w:val="auto"/>
          <w:sz w:val="22"/>
          <w:szCs w:val="22"/>
        </w:rPr>
      </w:pPr>
      <w:r>
        <w:rPr>
          <w:rFonts w:hint="eastAsia" w:ascii="宋体" w:hAnsi="宋体" w:eastAsia="宋体" w:cs="宋体"/>
          <w:color w:val="auto"/>
          <w:sz w:val="22"/>
          <w:szCs w:val="22"/>
        </w:rPr>
        <w:t>5.3</w:t>
      </w:r>
      <w:r>
        <w:rPr>
          <w:rFonts w:hint="eastAsia" w:ascii="宋体" w:hAnsi="宋体" w:eastAsia="宋体" w:cs="宋体"/>
          <w:bCs/>
          <w:color w:val="auto"/>
          <w:sz w:val="22"/>
          <w:szCs w:val="22"/>
        </w:rPr>
        <w:t>根据</w:t>
      </w:r>
      <w:r>
        <w:rPr>
          <w:rFonts w:hint="eastAsia" w:ascii="宋体" w:hAnsi="宋体" w:eastAsia="宋体" w:cs="宋体"/>
          <w:bCs/>
          <w:color w:val="auto"/>
          <w:sz w:val="22"/>
          <w:szCs w:val="22"/>
          <w:lang w:eastAsia="zh-CN"/>
        </w:rPr>
        <w:t>《政府采购促进中小企业发展管理办法》</w:t>
      </w:r>
      <w:r>
        <w:rPr>
          <w:rFonts w:hint="eastAsia" w:ascii="宋体" w:hAnsi="宋体" w:eastAsia="宋体" w:cs="宋体"/>
          <w:bCs/>
          <w:color w:val="auto"/>
          <w:sz w:val="22"/>
          <w:szCs w:val="22"/>
        </w:rPr>
        <w:t>（财库[2020]46号）第九条规定，</w:t>
      </w:r>
      <w:r>
        <w:rPr>
          <w:rFonts w:hint="eastAsia" w:ascii="宋体" w:hAnsi="宋体" w:eastAsia="宋体" w:cs="宋体"/>
          <w:bCs/>
          <w:color w:val="auto"/>
          <w:sz w:val="22"/>
          <w:szCs w:val="22"/>
          <w:lang w:val="en-US" w:eastAsia="zh-CN"/>
        </w:rPr>
        <w:t>结合</w:t>
      </w:r>
      <w:r>
        <w:rPr>
          <w:rFonts w:hint="eastAsia" w:ascii="宋体" w:hAnsi="宋体" w:eastAsia="宋体" w:cs="宋体"/>
          <w:color w:val="auto"/>
          <w:sz w:val="22"/>
          <w:szCs w:val="22"/>
          <w:lang w:eastAsia="zh-CN"/>
        </w:rPr>
        <w:t>《关于进一步加大政府采购支持中小企业力度的通知》（</w:t>
      </w:r>
      <w:r>
        <w:rPr>
          <w:rFonts w:hint="eastAsia" w:ascii="宋体" w:hAnsi="宋体" w:eastAsia="宋体" w:cs="宋体"/>
          <w:color w:val="auto"/>
          <w:sz w:val="22"/>
          <w:szCs w:val="22"/>
        </w:rPr>
        <w:t>财库〔2022〕19号</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的要求</w:t>
      </w:r>
      <w:r>
        <w:rPr>
          <w:rFonts w:hint="eastAsia" w:ascii="宋体" w:hAnsi="宋体" w:eastAsia="宋体" w:cs="宋体"/>
          <w:color w:val="auto"/>
          <w:sz w:val="22"/>
          <w:szCs w:val="22"/>
          <w:lang w:eastAsia="zh-CN"/>
        </w:rPr>
        <w:t>，</w:t>
      </w:r>
      <w:r>
        <w:rPr>
          <w:rFonts w:hint="eastAsia" w:ascii="宋体" w:hAnsi="宋体" w:eastAsia="宋体" w:cs="宋体"/>
          <w:bCs/>
          <w:color w:val="auto"/>
          <w:sz w:val="22"/>
          <w:szCs w:val="22"/>
        </w:rPr>
        <w:t xml:space="preserve">接受大中型企业与小微企业组成联合体的采购项目，对于联合协议约定小微企业的合同份额占到合同总金额 30%以上的，采购人、采购代理机构应当对联合体的报价给予 </w:t>
      </w:r>
      <w:r>
        <w:rPr>
          <w:rFonts w:hint="eastAsia" w:ascii="宋体" w:hAnsi="宋体" w:eastAsia="宋体" w:cs="宋体"/>
          <w:bCs/>
          <w:color w:val="auto"/>
          <w:sz w:val="22"/>
          <w:szCs w:val="22"/>
          <w:lang w:val="en-US" w:eastAsia="zh-CN"/>
        </w:rPr>
        <w:t>4</w:t>
      </w:r>
      <w:r>
        <w:rPr>
          <w:rFonts w:hint="eastAsia" w:ascii="宋体" w:hAnsi="宋体" w:eastAsia="宋体" w:cs="宋体"/>
          <w:bCs/>
          <w:color w:val="auto"/>
          <w:sz w:val="22"/>
          <w:szCs w:val="22"/>
        </w:rPr>
        <w:t>%-</w:t>
      </w:r>
      <w:r>
        <w:rPr>
          <w:rFonts w:hint="eastAsia" w:ascii="宋体" w:hAnsi="宋体" w:eastAsia="宋体" w:cs="宋体"/>
          <w:bCs/>
          <w:color w:val="auto"/>
          <w:sz w:val="22"/>
          <w:szCs w:val="22"/>
          <w:lang w:val="en-US" w:eastAsia="zh-CN"/>
        </w:rPr>
        <w:t>6</w:t>
      </w:r>
      <w:r>
        <w:rPr>
          <w:rFonts w:hint="eastAsia" w:ascii="宋体" w:hAnsi="宋体" w:eastAsia="宋体" w:cs="宋体"/>
          <w:bCs/>
          <w:color w:val="auto"/>
          <w:sz w:val="22"/>
          <w:szCs w:val="22"/>
        </w:rPr>
        <w:t>%（工程项目为 1%—2%）的扣除，用扣除后的价格参加评审。组成联合体的小微企业与联合体内其他企业、分包企业之间存在直接控股、管理关系的，不享受价格扣除优惠政策。</w:t>
      </w:r>
    </w:p>
    <w:p w14:paraId="0524D3AD">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6.转包与分包</w:t>
      </w:r>
    </w:p>
    <w:p w14:paraId="42767F29">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6.1本项目是否允许分包详见“供应商须知前附表”，本项目不允许违法分包。</w:t>
      </w:r>
    </w:p>
    <w:p w14:paraId="41BBC72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6.2</w:t>
      </w:r>
      <w:r>
        <w:rPr>
          <w:rFonts w:hint="eastAsia" w:ascii="宋体" w:hAnsi="宋体" w:eastAsia="宋体" w:cs="宋体"/>
          <w:bCs/>
          <w:color w:val="auto"/>
          <w:sz w:val="22"/>
          <w:szCs w:val="22"/>
        </w:rPr>
        <w:t>根据</w:t>
      </w:r>
      <w:r>
        <w:rPr>
          <w:rFonts w:hint="eastAsia" w:ascii="宋体" w:hAnsi="宋体" w:eastAsia="宋体" w:cs="宋体"/>
          <w:bCs/>
          <w:color w:val="auto"/>
          <w:sz w:val="22"/>
          <w:szCs w:val="22"/>
          <w:lang w:eastAsia="zh-CN"/>
        </w:rPr>
        <w:t>《政府采购促进中小企业发展管理办法》</w:t>
      </w:r>
      <w:r>
        <w:rPr>
          <w:rFonts w:hint="eastAsia" w:ascii="宋体" w:hAnsi="宋体" w:eastAsia="宋体" w:cs="宋体"/>
          <w:bCs/>
          <w:color w:val="auto"/>
          <w:sz w:val="22"/>
          <w:szCs w:val="22"/>
        </w:rPr>
        <w:t>（财库[2020]46号）第九条规定，</w:t>
      </w:r>
      <w:r>
        <w:rPr>
          <w:rFonts w:hint="eastAsia" w:ascii="宋体" w:hAnsi="宋体" w:eastAsia="宋体" w:cs="宋体"/>
          <w:bCs/>
          <w:color w:val="auto"/>
          <w:sz w:val="22"/>
          <w:szCs w:val="22"/>
          <w:lang w:val="en-US" w:eastAsia="zh-CN"/>
        </w:rPr>
        <w:t>结合</w:t>
      </w:r>
      <w:r>
        <w:rPr>
          <w:rFonts w:hint="eastAsia" w:ascii="宋体" w:hAnsi="宋体" w:eastAsia="宋体" w:cs="宋体"/>
          <w:color w:val="auto"/>
          <w:sz w:val="22"/>
          <w:szCs w:val="22"/>
          <w:lang w:eastAsia="zh-CN"/>
        </w:rPr>
        <w:t>《关于进一步加大政府采购支持中小企业力度的通知》（</w:t>
      </w:r>
      <w:r>
        <w:rPr>
          <w:rFonts w:hint="eastAsia" w:ascii="宋体" w:hAnsi="宋体" w:eastAsia="宋体" w:cs="宋体"/>
          <w:color w:val="auto"/>
          <w:sz w:val="22"/>
          <w:szCs w:val="22"/>
        </w:rPr>
        <w:t>财库〔2022〕19号</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的要求</w:t>
      </w:r>
      <w:r>
        <w:rPr>
          <w:rFonts w:hint="eastAsia" w:ascii="宋体" w:hAnsi="宋体" w:eastAsia="宋体" w:cs="宋体"/>
          <w:color w:val="auto"/>
          <w:sz w:val="22"/>
          <w:szCs w:val="22"/>
          <w:lang w:eastAsia="zh-CN"/>
        </w:rPr>
        <w:t>，</w:t>
      </w:r>
      <w:r>
        <w:rPr>
          <w:rFonts w:hint="eastAsia" w:ascii="宋体" w:hAnsi="宋体" w:eastAsia="宋体" w:cs="宋体"/>
          <w:bCs/>
          <w:color w:val="auto"/>
          <w:sz w:val="22"/>
          <w:szCs w:val="22"/>
        </w:rPr>
        <w:t>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eastAsia="宋体" w:cs="宋体"/>
          <w:bCs/>
          <w:color w:val="auto"/>
          <w:sz w:val="22"/>
          <w:szCs w:val="22"/>
          <w:lang w:val="en-US" w:eastAsia="zh-CN"/>
        </w:rPr>
        <w:t>4</w:t>
      </w:r>
      <w:r>
        <w:rPr>
          <w:rFonts w:hint="eastAsia" w:ascii="宋体" w:hAnsi="宋体" w:eastAsia="宋体" w:cs="宋体"/>
          <w:bCs/>
          <w:color w:val="auto"/>
          <w:sz w:val="22"/>
          <w:szCs w:val="22"/>
        </w:rPr>
        <w:t>%-</w:t>
      </w:r>
      <w:r>
        <w:rPr>
          <w:rFonts w:hint="eastAsia" w:ascii="宋体" w:hAnsi="宋体" w:eastAsia="宋体" w:cs="宋体"/>
          <w:bCs/>
          <w:color w:val="auto"/>
          <w:sz w:val="22"/>
          <w:szCs w:val="22"/>
          <w:lang w:val="en-US" w:eastAsia="zh-CN"/>
        </w:rPr>
        <w:t>6</w:t>
      </w:r>
      <w:r>
        <w:rPr>
          <w:rFonts w:hint="eastAsia" w:ascii="宋体" w:hAnsi="宋体" w:eastAsia="宋体" w:cs="宋体"/>
          <w:bCs/>
          <w:color w:val="auto"/>
          <w:sz w:val="22"/>
          <w:szCs w:val="22"/>
        </w:rPr>
        <w:t>%的扣除，用扣除后的价格参加评审。接受分包的小微企业与分包企业之间存在直接控股、管理关系的，不享受价格扣除优惠政策。</w:t>
      </w:r>
    </w:p>
    <w:p w14:paraId="6FDE59C7">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bookmarkStart w:id="33" w:name="_Toc254970673"/>
      <w:bookmarkStart w:id="34" w:name="_Toc254970532"/>
      <w:r>
        <w:rPr>
          <w:rFonts w:hint="eastAsia" w:ascii="宋体" w:hAnsi="宋体" w:eastAsia="宋体" w:cs="宋体"/>
          <w:b/>
          <w:bCs/>
          <w:color w:val="auto"/>
          <w:sz w:val="22"/>
          <w:szCs w:val="22"/>
        </w:rPr>
        <w:t>7.特别说明</w:t>
      </w:r>
      <w:bookmarkEnd w:id="33"/>
      <w:bookmarkEnd w:id="34"/>
    </w:p>
    <w:p w14:paraId="51A3F78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bookmarkStart w:id="35" w:name="_8.1提供相同品牌产品且通过资格审查、符合性审查的不同投标人参加同一合"/>
      <w:bookmarkEnd w:id="35"/>
      <w:r>
        <w:rPr>
          <w:rFonts w:hint="eastAsia" w:ascii="宋体" w:hAnsi="宋体" w:eastAsia="宋体" w:cs="宋体"/>
          <w:color w:val="auto"/>
          <w:sz w:val="22"/>
          <w:szCs w:val="22"/>
        </w:rPr>
        <w:t>7.1</w:t>
      </w:r>
      <w:bookmarkStart w:id="36" w:name="_Hlk65832145"/>
      <w:r>
        <w:rPr>
          <w:rFonts w:hint="eastAsia" w:ascii="宋体" w:hAnsi="宋体" w:eastAsia="宋体" w:cs="宋体"/>
          <w:color w:val="auto"/>
          <w:sz w:val="22"/>
          <w:szCs w:val="22"/>
        </w:rPr>
        <w:t>如果本磋商文件要求提供供应商或制造商的资格、信誉、荣誉、业绩与企业认证等材料的，资格、信誉、荣誉、业绩与企业认证等必须为供应商或者制造商所拥有或自身获得。</w:t>
      </w:r>
    </w:p>
    <w:bookmarkEnd w:id="36"/>
    <w:p w14:paraId="32AC5F0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7.2供应商应仔细阅读磋商文件的所有内容，按照磋商文件的要求提交响应文件，并对所提供的全部资料的真实性承担法律责任。</w:t>
      </w:r>
    </w:p>
    <w:p w14:paraId="7B087F1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7.3供应商在竞标活动中提供任何疑似虚假材料，将报监管部门查处；签订合同后发现的，成交供应商须依照《</w:t>
      </w:r>
      <w:r>
        <w:rPr>
          <w:rFonts w:hint="eastAsia" w:ascii="宋体" w:hAnsi="宋体" w:eastAsia="宋体" w:cs="宋体"/>
          <w:color w:val="auto"/>
          <w:sz w:val="22"/>
          <w:szCs w:val="22"/>
          <w:lang w:eastAsia="zh-CN"/>
        </w:rPr>
        <w:t>中华人民共和国民法典</w:t>
      </w:r>
      <w:r>
        <w:rPr>
          <w:rFonts w:hint="eastAsia" w:ascii="宋体" w:hAnsi="宋体" w:eastAsia="宋体" w:cs="宋体"/>
          <w:color w:val="auto"/>
          <w:sz w:val="22"/>
          <w:szCs w:val="22"/>
        </w:rPr>
        <w:t>》规定赔偿采购人，且民事赔偿并不免除违法供应商的行政与刑事责任。</w:t>
      </w:r>
    </w:p>
    <w:p w14:paraId="30DDDAB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7.4在政府采购活动中，采购人员及相关人员与供应商有下列利害关系之一的，应当回避：</w:t>
      </w:r>
    </w:p>
    <w:p w14:paraId="1A571DB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（1）参加采购活动前3年内与供应商存在劳动关系；</w:t>
      </w:r>
    </w:p>
    <w:p w14:paraId="7B962EB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（2）参加采购活动前3年内担任供应商的董事、监事；</w:t>
      </w:r>
    </w:p>
    <w:p w14:paraId="42F5E6B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（3）参加采购活动前3年内是供应商的控股股东或者实际控制人；</w:t>
      </w:r>
    </w:p>
    <w:p w14:paraId="7F4FC3D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（4）与供应商的法定代表人或者负责人有夫妻、直系血亲、三代以内旁系血亲或者近姻亲关系；</w:t>
      </w:r>
    </w:p>
    <w:p w14:paraId="0412E0B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（5）与供应商有其他可能影响政府采购活动公平、公正进行的关系。</w:t>
      </w:r>
    </w:p>
    <w:p w14:paraId="034779A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EB613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7.5有下列情形之一的视为供应商相互串通竞标，响应文件将被视为无效：</w:t>
      </w:r>
    </w:p>
    <w:p w14:paraId="1B7F04E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（1）不同供应商的响应文件由同一单位或者个人编制；或者不同供应商报名的IP地址一致的；或者编制响应文件硬件设备CPU编号、硬盘编号、网卡地址一致的情况。</w:t>
      </w:r>
    </w:p>
    <w:p w14:paraId="269FCE9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（2）不同供应商委托同一单位或者个人办理竞标事宜；</w:t>
      </w:r>
    </w:p>
    <w:p w14:paraId="743DC7C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（3）不同的供应商的响应文件载明的项目管理员为同一个人；</w:t>
      </w:r>
    </w:p>
    <w:p w14:paraId="312CDEC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（4）不同供应商的响应文件异常一致或者报价呈规律性差异；</w:t>
      </w:r>
    </w:p>
    <w:p w14:paraId="2427110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（5）不同供应商的响应文件相互混装；</w:t>
      </w:r>
    </w:p>
    <w:p w14:paraId="6B29502F">
      <w:pPr>
        <w:pageBreakBefore w:val="0"/>
        <w:widowControl w:val="0"/>
        <w:tabs>
          <w:tab w:val="left" w:pos="6931"/>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（6）不同供应商的磋商保证金从同一单位或者个人账户转出。</w:t>
      </w:r>
      <w:r>
        <w:rPr>
          <w:rFonts w:hint="eastAsia" w:ascii="宋体" w:hAnsi="宋体" w:eastAsia="宋体" w:cs="宋体"/>
          <w:color w:val="auto"/>
          <w:sz w:val="22"/>
          <w:szCs w:val="22"/>
        </w:rPr>
        <w:tab/>
      </w:r>
    </w:p>
    <w:p w14:paraId="210A955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7.6供应商有下列情形之一的，属于恶意串通行为，将报同级监督管理部门：</w:t>
      </w:r>
    </w:p>
    <w:p w14:paraId="7C68B3A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（1）供应商直接或者间接从采购人或者采购代理机构处获得其他供应商的相关信息并修改其响应文件；</w:t>
      </w:r>
    </w:p>
    <w:p w14:paraId="47F87379">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（2）供应商按照采购人或者采购代理机构的授意撤换、修改响应文件；</w:t>
      </w:r>
    </w:p>
    <w:p w14:paraId="6DD04EE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（3）供应商之间协商报价、技术方案等响应文件或者响应文件的实质性内容；</w:t>
      </w:r>
    </w:p>
    <w:p w14:paraId="71292BC7">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（4）属于同一集团、协会、商会等组织成员的供应商按照该组织要求协同参加政府采购活动；</w:t>
      </w:r>
    </w:p>
    <w:p w14:paraId="37587FE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（5）供应商之间事先约定一致抬高或者压低报价，或者在政府采购活动中事先约定轮流以高价位或者低价位成交，或者事先约定由某一特定供应商成交，然后再参加竞标；</w:t>
      </w:r>
    </w:p>
    <w:p w14:paraId="26F30FF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（6）供应商之间商定部分供应商放弃参加政府采购活动或者放弃成交；</w:t>
      </w:r>
    </w:p>
    <w:p w14:paraId="4C39E7E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（7）供应商与采购人或者采购代理机构之间、供应商相互之间，为谋求特定供应商成交或者排斥其他供应商的其他串通行为。</w:t>
      </w:r>
    </w:p>
    <w:p w14:paraId="18415770">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color w:val="auto"/>
          <w:sz w:val="22"/>
          <w:szCs w:val="22"/>
        </w:rPr>
      </w:pPr>
      <w:bookmarkStart w:id="37" w:name="_Toc254970534"/>
      <w:bookmarkStart w:id="38" w:name="_Toc254970675"/>
      <w:bookmarkStart w:id="39" w:name="_Toc29811"/>
      <w:r>
        <w:rPr>
          <w:rFonts w:hint="eastAsia" w:ascii="宋体" w:hAnsi="宋体" w:eastAsia="宋体" w:cs="宋体"/>
          <w:b/>
          <w:bCs/>
          <w:color w:val="auto"/>
          <w:sz w:val="24"/>
          <w:szCs w:val="24"/>
        </w:rPr>
        <w:t>二、磋商文件</w:t>
      </w:r>
      <w:bookmarkEnd w:id="37"/>
      <w:bookmarkEnd w:id="38"/>
      <w:bookmarkEnd w:id="39"/>
    </w:p>
    <w:p w14:paraId="37D5D450">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8.磋商文件的构成</w:t>
      </w:r>
    </w:p>
    <w:p w14:paraId="04CB4750">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第一章 竞争性磋商公告；</w:t>
      </w:r>
    </w:p>
    <w:p w14:paraId="10156937">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第二章 采购需求；</w:t>
      </w:r>
    </w:p>
    <w:p w14:paraId="308DE165">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 xml:space="preserve">第三章 供应商须知； </w:t>
      </w:r>
    </w:p>
    <w:p w14:paraId="27F13393">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第四章 评审程序、评审方法和评审标准；</w:t>
      </w:r>
    </w:p>
    <w:p w14:paraId="04670478">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第五章 响应文件格式；</w:t>
      </w:r>
    </w:p>
    <w:p w14:paraId="4BE142A9">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第六章 合同文本；</w:t>
      </w:r>
    </w:p>
    <w:p w14:paraId="550D96E4">
      <w:pPr>
        <w:pageBreakBefore w:val="0"/>
        <w:widowControl w:val="0"/>
        <w:kinsoku/>
        <w:wordWrap/>
        <w:overflowPunct/>
        <w:topLinePunct w:val="0"/>
        <w:autoSpaceDE/>
        <w:autoSpaceDN/>
        <w:bidi w:val="0"/>
        <w:adjustRightInd/>
        <w:snapToGrid/>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第七章 质疑、投诉材料格式。</w:t>
      </w:r>
    </w:p>
    <w:p w14:paraId="2C344F53">
      <w:pPr>
        <w:pStyle w:val="15"/>
        <w:pageBreakBefore w:val="0"/>
        <w:widowControl w:val="0"/>
        <w:kinsoku/>
        <w:wordWrap/>
        <w:overflowPunct/>
        <w:topLinePunct w:val="0"/>
        <w:autoSpaceDE/>
        <w:autoSpaceDN/>
        <w:bidi w:val="0"/>
        <w:adjustRightInd/>
        <w:snapToGrid/>
        <w:spacing w:line="360" w:lineRule="auto"/>
        <w:rPr>
          <w:rFonts w:hint="eastAsia" w:ascii="宋体" w:hAnsi="宋体" w:eastAsia="宋体" w:cs="宋体"/>
          <w:sz w:val="22"/>
          <w:szCs w:val="22"/>
          <w:lang w:val="en-US" w:eastAsia="zh-CN"/>
        </w:rPr>
      </w:pPr>
      <w:r>
        <w:rPr>
          <w:rFonts w:hint="eastAsia" w:ascii="宋体" w:hAnsi="宋体" w:eastAsia="宋体" w:cs="宋体"/>
          <w:color w:val="auto"/>
          <w:sz w:val="22"/>
          <w:szCs w:val="22"/>
          <w:lang w:val="en-US" w:eastAsia="zh-CN"/>
        </w:rPr>
        <w:t>第八章 政府采购合同验收书范本</w:t>
      </w:r>
    </w:p>
    <w:p w14:paraId="29D10784">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9.供应商的询问</w:t>
      </w:r>
    </w:p>
    <w:p w14:paraId="6A12B51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供应商应认真阅读磋商文件的采购需求，如供应商对磋商文件有疑问的，如要求采购人作出澄清或者修改的，供应商尽应在提交首次响应文件截止之日前，以书面形式向采购人、采购代理机构提出。</w:t>
      </w:r>
    </w:p>
    <w:p w14:paraId="3450B602">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10.磋商文件的澄清和修改</w:t>
      </w:r>
    </w:p>
    <w:p w14:paraId="2377C4C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10.1已获取磋商文件的潜在供应商，若有问题需要澄清，应于应标截止时间前，以书面形式向采购代理机构提出，采购代理机构与采购人研究后，对认为有必要回答的问题，按照本章10.3的内容处理。</w:t>
      </w:r>
    </w:p>
    <w:p w14:paraId="545A8D8C">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color w:val="auto"/>
          <w:sz w:val="22"/>
          <w:szCs w:val="22"/>
        </w:rPr>
      </w:pPr>
      <w:r>
        <w:rPr>
          <w:rFonts w:hint="eastAsia" w:ascii="宋体" w:hAnsi="宋体" w:eastAsia="宋体" w:cs="宋体"/>
          <w:b/>
          <w:color w:val="auto"/>
          <w:sz w:val="22"/>
          <w:szCs w:val="22"/>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9144DA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4B986C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10.4</w:t>
      </w:r>
      <w:r>
        <w:rPr>
          <w:rFonts w:hint="eastAsia" w:ascii="宋体" w:hAnsi="宋体" w:eastAsia="宋体" w:cs="宋体"/>
          <w:color w:val="auto"/>
          <w:sz w:val="22"/>
          <w:szCs w:val="22"/>
          <w:shd w:val="clear" w:color="auto" w:fill="FFFFFF"/>
        </w:rPr>
        <w:t>采购信息更正公告的内容应当包括采购人和采购代理机构名称、地址、联系方式，原公告的采购项目名称及首次公告日期，更正事项、内容及日期，采购项目联系人和电话。</w:t>
      </w:r>
    </w:p>
    <w:p w14:paraId="608E79E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10.5采购人和采购代理机构可以视采购具体情况，变更提交首次响应文件截止时间和</w:t>
      </w:r>
      <w:r>
        <w:rPr>
          <w:rFonts w:hint="eastAsia" w:ascii="宋体" w:hAnsi="宋体" w:eastAsia="宋体" w:cs="宋体"/>
          <w:color w:val="auto"/>
          <w:sz w:val="22"/>
          <w:szCs w:val="22"/>
          <w:lang w:val="en-US" w:eastAsia="zh-CN"/>
        </w:rPr>
        <w:t>磋商</w:t>
      </w:r>
      <w:r>
        <w:rPr>
          <w:rFonts w:hint="eastAsia" w:ascii="宋体" w:hAnsi="宋体" w:eastAsia="宋体" w:cs="宋体"/>
          <w:color w:val="auto"/>
          <w:sz w:val="22"/>
          <w:szCs w:val="22"/>
        </w:rPr>
        <w:t>时间，将变更时间将在“采购文件公告”中“七、其他补充事宜</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网上查询地址”规定的政府采购信息发布媒体上发布更正公告。</w:t>
      </w:r>
    </w:p>
    <w:p w14:paraId="75DAB4C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w:t>
      </w:r>
      <w:r>
        <w:rPr>
          <w:rFonts w:hint="eastAsia" w:ascii="宋体" w:hAnsi="宋体" w:eastAsia="宋体" w:cs="宋体"/>
          <w:b/>
          <w:color w:val="auto"/>
          <w:kern w:val="0"/>
          <w:sz w:val="22"/>
          <w:szCs w:val="22"/>
        </w:rPr>
        <w:t>响应文件未按磋商文件的澄清、修改的内容编制，又不符合实质性要求的，其响应文件作无效处理。</w:t>
      </w:r>
    </w:p>
    <w:p w14:paraId="2B4006AE">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color w:val="auto"/>
          <w:sz w:val="22"/>
          <w:szCs w:val="22"/>
        </w:rPr>
      </w:pPr>
      <w:bookmarkStart w:id="40" w:name="_Toc12429"/>
      <w:r>
        <w:rPr>
          <w:rFonts w:hint="eastAsia" w:ascii="宋体" w:hAnsi="宋体" w:eastAsia="宋体" w:cs="宋体"/>
          <w:b/>
          <w:bCs/>
          <w:color w:val="auto"/>
          <w:sz w:val="24"/>
          <w:szCs w:val="24"/>
        </w:rPr>
        <w:t>三、响应文件的编制</w:t>
      </w:r>
      <w:bookmarkEnd w:id="40"/>
    </w:p>
    <w:p w14:paraId="33984484">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11.响应文件的编制原则</w:t>
      </w:r>
    </w:p>
    <w:p w14:paraId="6B969A1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供应商必须按照磋商文件的要求编制响应文件，并对其提交的响应文件的真实性、合法性承担法律责任。响应文件必须对磋商文件作出实质性响应。</w:t>
      </w:r>
    </w:p>
    <w:p w14:paraId="12E847E8">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12.响应文件的组成</w:t>
      </w:r>
    </w:p>
    <w:p w14:paraId="7343A5E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12.1响应文件由资格证明文件、报价文件、商务技术文件三部分组成。</w:t>
      </w:r>
    </w:p>
    <w:p w14:paraId="7907AF0B">
      <w:pPr>
        <w:pageBreakBefore w:val="0"/>
        <w:widowControl w:val="0"/>
        <w:kinsoku/>
        <w:wordWrap/>
        <w:overflowPunct/>
        <w:topLinePunct w:val="0"/>
        <w:autoSpaceDE/>
        <w:autoSpaceDN/>
        <w:bidi w:val="0"/>
        <w:adjustRightInd/>
        <w:snapToGrid/>
        <w:spacing w:line="360" w:lineRule="auto"/>
        <w:ind w:left="420" w:leftChars="200"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12.1.1资格证明文件：详见须知前附表</w:t>
      </w:r>
    </w:p>
    <w:p w14:paraId="0908DC6F">
      <w:pPr>
        <w:pageBreakBefore w:val="0"/>
        <w:widowControl w:val="0"/>
        <w:kinsoku/>
        <w:wordWrap/>
        <w:overflowPunct/>
        <w:topLinePunct w:val="0"/>
        <w:autoSpaceDE/>
        <w:autoSpaceDN/>
        <w:bidi w:val="0"/>
        <w:adjustRightInd/>
        <w:snapToGrid/>
        <w:spacing w:line="360" w:lineRule="auto"/>
        <w:ind w:left="420" w:leftChars="200"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12.1.2商务技术文件：详见须知前附表</w:t>
      </w:r>
    </w:p>
    <w:p w14:paraId="7B28BC18">
      <w:pPr>
        <w:pageBreakBefore w:val="0"/>
        <w:widowControl w:val="0"/>
        <w:kinsoku/>
        <w:wordWrap/>
        <w:overflowPunct/>
        <w:topLinePunct w:val="0"/>
        <w:autoSpaceDE/>
        <w:autoSpaceDN/>
        <w:bidi w:val="0"/>
        <w:adjustRightInd/>
        <w:snapToGrid/>
        <w:spacing w:line="360" w:lineRule="auto"/>
        <w:ind w:left="420" w:leftChars="200"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12.1.3报价文件：详见须知前附表</w:t>
      </w:r>
    </w:p>
    <w:p w14:paraId="6E65C85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12.2响应文件电子版：详见须知前附表</w:t>
      </w:r>
    </w:p>
    <w:p w14:paraId="4C0ACF83">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13.计量单位</w:t>
      </w:r>
    </w:p>
    <w:p w14:paraId="6389E8F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磋商文件已有明确规定的，使用磋商文件规定的计量单位；磋商文件没有规定的，应采用中华人民共和国法定计量单位，货币种类为人民币，否则视同未响应。</w:t>
      </w:r>
    </w:p>
    <w:p w14:paraId="65F0BD7F">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14.竞标的风险</w:t>
      </w:r>
    </w:p>
    <w:p w14:paraId="1B89ED2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供应商没有按照磋商文件要求提供全部资料，或者供应商没有对磋商文件在各方面作出实质性响应可能导致其响应无效，是供应商应当考虑的风险。</w:t>
      </w:r>
    </w:p>
    <w:p w14:paraId="731F1F8C">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15.响应报价要求和构成</w:t>
      </w:r>
    </w:p>
    <w:p w14:paraId="73849719">
      <w:pPr>
        <w:pageBreakBefore w:val="0"/>
        <w:widowControl w:val="0"/>
        <w:tabs>
          <w:tab w:val="left" w:pos="2492"/>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15.1响应报价应按“第五章 响应文件格式”中“响应报价表”格式填写。</w:t>
      </w:r>
    </w:p>
    <w:p w14:paraId="27AF1CA2">
      <w:pPr>
        <w:pageBreakBefore w:val="0"/>
        <w:widowControl w:val="0"/>
        <w:tabs>
          <w:tab w:val="left" w:pos="2492"/>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15.2响应报价的价格构成见“供应商须知前附表”。</w:t>
      </w:r>
    </w:p>
    <w:p w14:paraId="18EA767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15.3响应报价要求</w:t>
      </w:r>
    </w:p>
    <w:p w14:paraId="3C71B57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15.3.1供应商的响应报价应符合以下要求，否则响应文件按无效响应处理：</w:t>
      </w:r>
    </w:p>
    <w:p w14:paraId="434EC6B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（1）供应商必须就“采购需求”中所竞标的全部内容分别作完整唯一总价报价，不得存在漏项报价；</w:t>
      </w:r>
    </w:p>
    <w:p w14:paraId="18520347">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（2）供应商必须就所竞标</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rPr>
        <w:t>内容作唯一报价。</w:t>
      </w:r>
    </w:p>
    <w:p w14:paraId="101A544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15.3.2响应报价（包含首次报价、最后报价）超过所竞标规定的采购预算金额或者最高限价的，其响应文件将作无效处理。</w:t>
      </w:r>
    </w:p>
    <w:p w14:paraId="1ECC02F9">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15.3.3</w:t>
      </w:r>
      <w:bookmarkStart w:id="41" w:name="_Hlk42592874"/>
      <w:r>
        <w:rPr>
          <w:rFonts w:hint="eastAsia" w:ascii="宋体" w:hAnsi="宋体" w:eastAsia="宋体" w:cs="宋体"/>
          <w:color w:val="auto"/>
          <w:sz w:val="22"/>
          <w:szCs w:val="22"/>
        </w:rPr>
        <w:t>响应报价（包含首次报价、最后报价）超过分项采购预算金额或者最高限价的，其响应文件将作无效处理。</w:t>
      </w:r>
    </w:p>
    <w:bookmarkEnd w:id="41"/>
    <w:p w14:paraId="0E966B35">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16.竞标有效期</w:t>
      </w:r>
    </w:p>
    <w:p w14:paraId="5BDAFEC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16.1竞标有效期是指为保证采购人有足够的时间在提交响应文件后完成评审、确定成交供应商、合同签订等工作而要求供应商提交的响应文件在一定时间内保持有效的期限。</w:t>
      </w:r>
    </w:p>
    <w:p w14:paraId="58ACD4F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16.2 竞标有效期应由供应商按“供应商须知前附表”规定的期限作出响应。</w:t>
      </w:r>
    </w:p>
    <w:p w14:paraId="2C0B900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16.3供应商的响应文件在竞标有效期内均保持有效。</w:t>
      </w:r>
    </w:p>
    <w:p w14:paraId="357F8BDF">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17.磋商保证金</w:t>
      </w:r>
    </w:p>
    <w:p w14:paraId="06E497A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17.1提交</w:t>
      </w:r>
      <w:r>
        <w:rPr>
          <w:rFonts w:hint="eastAsia" w:ascii="宋体" w:hAnsi="宋体" w:eastAsia="宋体" w:cs="宋体"/>
          <w:bCs/>
          <w:color w:val="auto"/>
          <w:sz w:val="22"/>
          <w:szCs w:val="22"/>
          <w:lang w:val="en-US" w:eastAsia="zh-CN"/>
        </w:rPr>
        <w:t>磋商</w:t>
      </w:r>
      <w:r>
        <w:rPr>
          <w:rFonts w:hint="eastAsia" w:ascii="宋体" w:hAnsi="宋体" w:eastAsia="宋体" w:cs="宋体"/>
          <w:bCs/>
          <w:color w:val="auto"/>
          <w:sz w:val="22"/>
          <w:szCs w:val="22"/>
          <w:lang w:eastAsia="zh-CN"/>
        </w:rPr>
        <w:t>保证金的要求详见采购文件“供应商须知前附表”。</w:t>
      </w:r>
    </w:p>
    <w:p w14:paraId="5E82316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17.2</w:t>
      </w:r>
      <w:r>
        <w:rPr>
          <w:rFonts w:hint="eastAsia" w:ascii="宋体" w:hAnsi="宋体" w:eastAsia="宋体" w:cs="宋体"/>
          <w:bCs/>
          <w:color w:val="auto"/>
          <w:sz w:val="22"/>
          <w:szCs w:val="22"/>
          <w:lang w:val="en-US" w:eastAsia="zh-CN"/>
        </w:rPr>
        <w:t>磋商</w:t>
      </w:r>
      <w:r>
        <w:rPr>
          <w:rFonts w:hint="eastAsia" w:ascii="宋体" w:hAnsi="宋体" w:eastAsia="宋体" w:cs="宋体"/>
          <w:bCs/>
          <w:color w:val="auto"/>
          <w:sz w:val="22"/>
          <w:szCs w:val="22"/>
          <w:lang w:eastAsia="zh-CN"/>
        </w:rPr>
        <w:t>保证金退还：除采购文件规定不予退还保证金的情形外，未成交供应商的</w:t>
      </w:r>
      <w:r>
        <w:rPr>
          <w:rFonts w:hint="eastAsia" w:ascii="宋体" w:hAnsi="宋体" w:eastAsia="宋体" w:cs="宋体"/>
          <w:bCs/>
          <w:color w:val="auto"/>
          <w:sz w:val="22"/>
          <w:szCs w:val="22"/>
          <w:lang w:val="en-US" w:eastAsia="zh-CN"/>
        </w:rPr>
        <w:t>磋商</w:t>
      </w:r>
      <w:r>
        <w:rPr>
          <w:rFonts w:hint="eastAsia" w:ascii="宋体" w:hAnsi="宋体" w:eastAsia="宋体" w:cs="宋体"/>
          <w:bCs/>
          <w:color w:val="auto"/>
          <w:sz w:val="22"/>
          <w:szCs w:val="22"/>
          <w:lang w:eastAsia="zh-CN"/>
        </w:rPr>
        <w:t>保证金在成交通知书发出后</w:t>
      </w:r>
      <w:r>
        <w:rPr>
          <w:rFonts w:hint="eastAsia" w:ascii="宋体" w:hAnsi="宋体" w:eastAsia="宋体" w:cs="宋体"/>
          <w:bCs/>
          <w:color w:val="auto"/>
          <w:sz w:val="22"/>
          <w:szCs w:val="22"/>
          <w:lang w:val="en-US" w:eastAsia="zh-CN"/>
        </w:rPr>
        <w:t>五</w:t>
      </w:r>
      <w:r>
        <w:rPr>
          <w:rFonts w:hint="eastAsia" w:ascii="宋体" w:hAnsi="宋体" w:eastAsia="宋体" w:cs="宋体"/>
          <w:bCs/>
          <w:color w:val="auto"/>
          <w:sz w:val="22"/>
          <w:szCs w:val="22"/>
          <w:lang w:eastAsia="zh-CN"/>
        </w:rPr>
        <w:t>个工作日内退还，成交供应商的</w:t>
      </w:r>
      <w:r>
        <w:rPr>
          <w:rFonts w:hint="eastAsia" w:ascii="宋体" w:hAnsi="宋体" w:eastAsia="宋体" w:cs="宋体"/>
          <w:bCs/>
          <w:color w:val="auto"/>
          <w:sz w:val="22"/>
          <w:szCs w:val="22"/>
          <w:lang w:val="en-US" w:eastAsia="zh-CN"/>
        </w:rPr>
        <w:t>磋商</w:t>
      </w:r>
      <w:r>
        <w:rPr>
          <w:rFonts w:hint="eastAsia" w:ascii="宋体" w:hAnsi="宋体" w:eastAsia="宋体" w:cs="宋体"/>
          <w:bCs/>
          <w:color w:val="auto"/>
          <w:sz w:val="22"/>
          <w:szCs w:val="22"/>
          <w:lang w:eastAsia="zh-CN"/>
        </w:rPr>
        <w:t>保证金在与采购人签订合同后</w:t>
      </w:r>
      <w:r>
        <w:rPr>
          <w:rFonts w:hint="eastAsia" w:ascii="宋体" w:hAnsi="宋体" w:eastAsia="宋体" w:cs="宋体"/>
          <w:bCs/>
          <w:color w:val="auto"/>
          <w:sz w:val="22"/>
          <w:szCs w:val="22"/>
          <w:lang w:val="en-US" w:eastAsia="zh-CN"/>
        </w:rPr>
        <w:t>五</w:t>
      </w:r>
      <w:r>
        <w:rPr>
          <w:rFonts w:hint="eastAsia" w:ascii="宋体" w:hAnsi="宋体" w:eastAsia="宋体" w:cs="宋体"/>
          <w:bCs/>
          <w:color w:val="auto"/>
          <w:sz w:val="22"/>
          <w:szCs w:val="22"/>
          <w:lang w:eastAsia="zh-CN"/>
        </w:rPr>
        <w:t>个工作日内退还。[支票、汇票、本票形式</w:t>
      </w:r>
      <w:r>
        <w:rPr>
          <w:rFonts w:hint="eastAsia" w:ascii="宋体" w:hAnsi="宋体" w:eastAsia="宋体" w:cs="宋体"/>
          <w:bCs/>
          <w:color w:val="auto"/>
          <w:sz w:val="22"/>
          <w:szCs w:val="22"/>
          <w:lang w:val="en-US" w:eastAsia="zh-CN"/>
        </w:rPr>
        <w:t>磋商</w:t>
      </w:r>
      <w:r>
        <w:rPr>
          <w:rFonts w:hint="eastAsia" w:ascii="宋体" w:hAnsi="宋体" w:eastAsia="宋体" w:cs="宋体"/>
          <w:bCs/>
          <w:color w:val="auto"/>
          <w:sz w:val="22"/>
          <w:szCs w:val="22"/>
          <w:lang w:eastAsia="zh-CN"/>
        </w:rPr>
        <w:t>保证金的退还方式：</w:t>
      </w:r>
      <w:r>
        <w:rPr>
          <w:rFonts w:hint="eastAsia" w:ascii="宋体" w:hAnsi="宋体" w:eastAsia="宋体" w:cs="宋体"/>
          <w:bCs/>
          <w:color w:val="auto"/>
          <w:sz w:val="22"/>
          <w:szCs w:val="22"/>
          <w:lang w:val="en-US" w:eastAsia="zh-CN"/>
        </w:rPr>
        <w:t>供应商</w:t>
      </w:r>
      <w:r>
        <w:rPr>
          <w:rFonts w:hint="eastAsia" w:ascii="宋体" w:hAnsi="宋体" w:eastAsia="宋体" w:cs="宋体"/>
          <w:bCs/>
          <w:color w:val="auto"/>
          <w:sz w:val="22"/>
          <w:szCs w:val="22"/>
          <w:lang w:eastAsia="zh-CN"/>
        </w:rPr>
        <w:t>应在自接到采购代理机构通知日起（成交通知书发出当日通知未成交供应商；与采购人签订合同当日通知成交供应商）的</w:t>
      </w:r>
      <w:r>
        <w:rPr>
          <w:rFonts w:hint="eastAsia" w:ascii="宋体" w:hAnsi="宋体" w:eastAsia="宋体" w:cs="宋体"/>
          <w:bCs/>
          <w:color w:val="auto"/>
          <w:sz w:val="22"/>
          <w:szCs w:val="22"/>
          <w:lang w:val="en-US" w:eastAsia="zh-CN"/>
        </w:rPr>
        <w:t>五</w:t>
      </w:r>
      <w:r>
        <w:rPr>
          <w:rFonts w:hint="eastAsia" w:ascii="宋体" w:hAnsi="宋体" w:eastAsia="宋体" w:cs="宋体"/>
          <w:bCs/>
          <w:color w:val="auto"/>
          <w:sz w:val="22"/>
          <w:szCs w:val="22"/>
          <w:lang w:eastAsia="zh-CN"/>
        </w:rPr>
        <w:t>个工作日内自行前往采购代理机构处领取原件。</w:t>
      </w:r>
      <w:r>
        <w:rPr>
          <w:rFonts w:hint="eastAsia" w:ascii="宋体" w:hAnsi="宋体" w:eastAsia="宋体" w:cs="宋体"/>
          <w:bCs/>
          <w:color w:val="auto"/>
          <w:sz w:val="22"/>
          <w:szCs w:val="22"/>
          <w:lang w:val="en-US" w:eastAsia="zh-CN"/>
        </w:rPr>
        <w:t>供应商</w:t>
      </w:r>
      <w:r>
        <w:rPr>
          <w:rFonts w:hint="eastAsia" w:ascii="宋体" w:hAnsi="宋体" w:eastAsia="宋体" w:cs="宋体"/>
          <w:bCs/>
          <w:color w:val="auto"/>
          <w:sz w:val="22"/>
          <w:szCs w:val="22"/>
          <w:lang w:eastAsia="zh-CN"/>
        </w:rPr>
        <w:t>因自身原因逾期领取所造成的后果由</w:t>
      </w:r>
      <w:r>
        <w:rPr>
          <w:rFonts w:hint="eastAsia" w:ascii="宋体" w:hAnsi="宋体" w:eastAsia="宋体" w:cs="宋体"/>
          <w:bCs/>
          <w:color w:val="auto"/>
          <w:sz w:val="22"/>
          <w:szCs w:val="22"/>
          <w:lang w:val="en-US" w:eastAsia="zh-CN"/>
        </w:rPr>
        <w:t>供应商</w:t>
      </w:r>
      <w:r>
        <w:rPr>
          <w:rFonts w:hint="eastAsia" w:ascii="宋体" w:hAnsi="宋体" w:eastAsia="宋体" w:cs="宋体"/>
          <w:bCs/>
          <w:color w:val="auto"/>
          <w:sz w:val="22"/>
          <w:szCs w:val="22"/>
          <w:lang w:eastAsia="zh-CN"/>
        </w:rPr>
        <w:t>自行承担。]</w:t>
      </w:r>
    </w:p>
    <w:p w14:paraId="7CD9717A">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17.3磋商保证金不计息。</w:t>
      </w:r>
    </w:p>
    <w:p w14:paraId="0F1AD70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 xml:space="preserve">17.4供应商有下列情形之一的，磋商保证金将不予退还： </w:t>
      </w:r>
    </w:p>
    <w:p w14:paraId="6022ECC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（1）供应商在提交响应文件截止时间后撤回响应文件的；</w:t>
      </w:r>
    </w:p>
    <w:p w14:paraId="4CB2B73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（2）供应商在响应文件中提供虚假材料的；</w:t>
      </w:r>
    </w:p>
    <w:p w14:paraId="420E6FE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（3）除因不可抗力或者磋商文件认可的情形以外，成交供应商不与采购人签订合同的；</w:t>
      </w:r>
    </w:p>
    <w:p w14:paraId="70DBC53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（4）供应商与采购人、其他供应商或者采购代理机构恶意串通的；</w:t>
      </w:r>
    </w:p>
    <w:p w14:paraId="2DACEBD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bCs/>
          <w:color w:val="auto"/>
          <w:sz w:val="22"/>
          <w:szCs w:val="22"/>
        </w:rPr>
      </w:pPr>
      <w:r>
        <w:rPr>
          <w:rFonts w:hint="eastAsia" w:ascii="宋体" w:hAnsi="宋体" w:eastAsia="宋体" w:cs="宋体"/>
          <w:b w:val="0"/>
          <w:bCs w:val="0"/>
          <w:color w:val="auto"/>
          <w:sz w:val="22"/>
          <w:szCs w:val="22"/>
        </w:rPr>
        <w:t>（5）磋商文件规定的其他情形。</w:t>
      </w:r>
    </w:p>
    <w:p w14:paraId="5A0721B8">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18.响应文件编制的要求</w:t>
      </w:r>
    </w:p>
    <w:p w14:paraId="5DCC522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5CF5DC37">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18.2响应文件应按资格证明、报价分别编制，商务技术文件合并编制，本磋商只接受电子版响应文件，要求见本章“12.2响应文件电子版要求”。</w:t>
      </w:r>
    </w:p>
    <w:p w14:paraId="2778D36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w:t>
      </w:r>
      <w:bookmarkStart w:id="42" w:name="_Hlk65832699"/>
      <w:r>
        <w:rPr>
          <w:rFonts w:hint="eastAsia" w:ascii="宋体" w:hAnsi="宋体" w:eastAsia="宋体" w:cs="宋体"/>
          <w:color w:val="auto"/>
          <w:sz w:val="22"/>
          <w:szCs w:val="22"/>
        </w:rPr>
        <w:t>3响应文件须由供应商在</w:t>
      </w:r>
      <w:r>
        <w:rPr>
          <w:rFonts w:hint="eastAsia" w:ascii="宋体" w:hAnsi="宋体" w:eastAsia="宋体" w:cs="宋体"/>
          <w:color w:val="auto"/>
          <w:kern w:val="0"/>
          <w:sz w:val="22"/>
          <w:szCs w:val="22"/>
          <w:lang w:val="zh-CN"/>
        </w:rPr>
        <w:t>“</w:t>
      </w:r>
      <w:r>
        <w:rPr>
          <w:rFonts w:hint="eastAsia" w:ascii="宋体" w:hAnsi="宋体" w:eastAsia="宋体" w:cs="宋体"/>
          <w:color w:val="auto"/>
          <w:sz w:val="22"/>
          <w:szCs w:val="22"/>
        </w:rPr>
        <w:t>第五章 响应文件格式</w:t>
      </w:r>
      <w:r>
        <w:rPr>
          <w:rFonts w:hint="eastAsia" w:ascii="宋体" w:hAnsi="宋体" w:eastAsia="宋体" w:cs="宋体"/>
          <w:color w:val="auto"/>
          <w:kern w:val="0"/>
          <w:sz w:val="22"/>
          <w:szCs w:val="22"/>
          <w:lang w:val="zh-CN"/>
        </w:rPr>
        <w:t>”</w:t>
      </w:r>
      <w:r>
        <w:rPr>
          <w:rFonts w:hint="eastAsia" w:ascii="宋体" w:hAnsi="宋体" w:eastAsia="宋体" w:cs="宋体"/>
          <w:color w:val="auto"/>
          <w:sz w:val="22"/>
          <w:szCs w:val="22"/>
        </w:rPr>
        <w:t>规定位置进行签署、盖章</w:t>
      </w:r>
      <w:bookmarkEnd w:id="42"/>
      <w:r>
        <w:rPr>
          <w:rFonts w:hint="eastAsia" w:ascii="宋体" w:hAnsi="宋体" w:eastAsia="宋体" w:cs="宋体"/>
          <w:color w:val="auto"/>
          <w:sz w:val="22"/>
          <w:szCs w:val="22"/>
        </w:rPr>
        <w:t>，否则其响应文件按无效响应处理。骑缝盖公章不视为在规定位置盖章。</w:t>
      </w:r>
    </w:p>
    <w:p w14:paraId="0D9229E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18.4响应文件中标注的供应商名称应与营业执照（事业单位法人证书、执业许可证、自然人身份证）及电子公章一致，否则其响应文件按无效响应处理。</w:t>
      </w:r>
    </w:p>
    <w:p w14:paraId="2B691C1A">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18.5响应文件应避免涂改、行间插字或者删除，否则其响应文件按无效响应处理。</w:t>
      </w:r>
    </w:p>
    <w:p w14:paraId="2E4106AF">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19.响应文件的密封和标记</w:t>
      </w:r>
    </w:p>
    <w:p w14:paraId="55FB3A1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lang w:val="zh-CN"/>
        </w:rPr>
      </w:pPr>
      <w:r>
        <w:rPr>
          <w:rFonts w:hint="eastAsia" w:ascii="宋体" w:hAnsi="宋体" w:eastAsia="宋体" w:cs="宋体"/>
          <w:color w:val="auto"/>
          <w:kern w:val="0"/>
          <w:sz w:val="22"/>
          <w:szCs w:val="22"/>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A39C37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lang w:val="zh-CN"/>
        </w:rPr>
      </w:pPr>
      <w:r>
        <w:rPr>
          <w:rFonts w:hint="eastAsia" w:ascii="宋体" w:hAnsi="宋体" w:eastAsia="宋体" w:cs="宋体"/>
          <w:color w:val="auto"/>
          <w:kern w:val="0"/>
          <w:sz w:val="22"/>
          <w:szCs w:val="22"/>
          <w:lang w:val="zh-CN"/>
        </w:rPr>
        <w:t>19.2使用“广西政府采购云平台电子交易客户端”需要提前申领CA数字证书，申领流程见该项目采购公告附件。</w:t>
      </w:r>
    </w:p>
    <w:p w14:paraId="453CF889">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19.3为确保网上操作合法、有效和安全，供应商应当在响应文件提交截止时间前完成在“政府采购云平台”的身份认证，确保在电子交易过程中能够对相关数据电文进行加密和使用电子签名。</w:t>
      </w:r>
    </w:p>
    <w:p w14:paraId="2BE00454">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20.响应文件的提交</w:t>
      </w:r>
    </w:p>
    <w:p w14:paraId="1E88C0B7">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20.1供应商必须在“供应商须知前附表”规定的时间和地点提交响应文件。</w:t>
      </w:r>
    </w:p>
    <w:p w14:paraId="0630AE2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20.2 在响应文件提交截止时间以后，不能补充、修改响应文件。</w:t>
      </w:r>
    </w:p>
    <w:p w14:paraId="4C84A84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20.3 在提交“最后报价”后，供应商不能退出</w:t>
      </w:r>
      <w:r>
        <w:rPr>
          <w:rFonts w:hint="eastAsia" w:ascii="宋体" w:hAnsi="宋体" w:eastAsia="宋体" w:cs="宋体"/>
          <w:color w:val="auto"/>
          <w:sz w:val="22"/>
          <w:szCs w:val="22"/>
          <w:lang w:val="en-US" w:eastAsia="zh-CN"/>
        </w:rPr>
        <w:t>磋商</w:t>
      </w:r>
      <w:r>
        <w:rPr>
          <w:rFonts w:hint="eastAsia" w:ascii="宋体" w:hAnsi="宋体" w:eastAsia="宋体" w:cs="宋体"/>
          <w:color w:val="auto"/>
          <w:sz w:val="22"/>
          <w:szCs w:val="22"/>
        </w:rPr>
        <w:t>。</w:t>
      </w:r>
    </w:p>
    <w:p w14:paraId="193E5B9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20.4 电子交易平台收到响应文件，将妥善保存并即时向供应商发出确认回执通知。在响应文件提交截止时间前，除供应商补充、修改或者撤回响应文件外，任何单位和个人不得解密或提取响应文件。</w:t>
      </w:r>
    </w:p>
    <w:p w14:paraId="65A93D7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20.5 采购机构不可视情况延长提交响应文件的截止时间。</w:t>
      </w:r>
    </w:p>
    <w:p w14:paraId="486095F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20.6备份响应文件。</w:t>
      </w:r>
      <w:r>
        <w:rPr>
          <w:rFonts w:hint="eastAsia" w:ascii="宋体" w:hAnsi="宋体" w:eastAsia="宋体" w:cs="宋体"/>
          <w:bCs/>
          <w:color w:val="auto"/>
          <w:sz w:val="22"/>
          <w:szCs w:val="22"/>
        </w:rPr>
        <w:t>详见在“供应商须知前附表”。</w:t>
      </w:r>
    </w:p>
    <w:p w14:paraId="14376DA7">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21.首次响应文件的补充、修改与撤回</w:t>
      </w:r>
    </w:p>
    <w:p w14:paraId="0A1DDD8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ED0202D">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bookmarkStart w:id="43" w:name="_Hlk45702405"/>
      <w:r>
        <w:rPr>
          <w:rFonts w:hint="eastAsia" w:ascii="宋体" w:hAnsi="宋体" w:eastAsia="宋体" w:cs="宋体"/>
          <w:b/>
          <w:bCs/>
          <w:color w:val="auto"/>
          <w:sz w:val="22"/>
          <w:szCs w:val="22"/>
        </w:rPr>
        <w:t>22.首次响应文件的退回</w:t>
      </w:r>
    </w:p>
    <w:p w14:paraId="0313004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在首次响应文件提交截止时间止提交响应文件的供应商不足3家时电子响应文件由代理机构在“</w:t>
      </w:r>
      <w:r>
        <w:rPr>
          <w:rFonts w:hint="eastAsia" w:ascii="宋体" w:hAnsi="宋体" w:eastAsia="宋体" w:cs="宋体"/>
          <w:color w:val="auto"/>
          <w:sz w:val="22"/>
          <w:szCs w:val="22"/>
          <w:lang w:eastAsia="zh-CN"/>
        </w:rPr>
        <w:t>广西政府采购云平台</w:t>
      </w:r>
      <w:r>
        <w:rPr>
          <w:rFonts w:hint="eastAsia" w:ascii="宋体" w:hAnsi="宋体" w:eastAsia="宋体" w:cs="宋体"/>
          <w:color w:val="auto"/>
          <w:sz w:val="22"/>
          <w:szCs w:val="22"/>
        </w:rPr>
        <w:t>”平台操作退回，除此之外采购人和采购代理机构对已提交的电子响应文件概不退回。</w:t>
      </w:r>
    </w:p>
    <w:p w14:paraId="1C3253BB">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23.截止时间后的撤回</w:t>
      </w:r>
    </w:p>
    <w:bookmarkEnd w:id="43"/>
    <w:p w14:paraId="1574ACE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供应商在首次响应文件提交截止时间后向采购人、采购代理机构书面申请撤回响应文件的，将根据本须知正文17.4的规定不予退还其磋商保证金。</w:t>
      </w:r>
    </w:p>
    <w:p w14:paraId="2741A6AE">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color w:val="auto"/>
          <w:sz w:val="22"/>
          <w:szCs w:val="22"/>
        </w:rPr>
      </w:pPr>
      <w:bookmarkStart w:id="44" w:name="_Toc26182"/>
      <w:r>
        <w:rPr>
          <w:rFonts w:hint="eastAsia" w:ascii="宋体" w:hAnsi="宋体" w:eastAsia="宋体" w:cs="宋体"/>
          <w:b/>
          <w:bCs/>
          <w:color w:val="auto"/>
          <w:sz w:val="24"/>
          <w:szCs w:val="24"/>
        </w:rPr>
        <w:t>四、评审及磋商</w:t>
      </w:r>
      <w:bookmarkEnd w:id="44"/>
    </w:p>
    <w:p w14:paraId="3A0DB042">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24.磋商小组成立</w:t>
      </w:r>
    </w:p>
    <w:p w14:paraId="3C059E7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28DC13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37FC5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24.3</w:t>
      </w:r>
      <w:r>
        <w:rPr>
          <w:rFonts w:hint="eastAsia" w:ascii="宋体" w:hAnsi="宋体" w:eastAsia="宋体" w:cs="宋体"/>
          <w:color w:val="auto"/>
          <w:sz w:val="22"/>
          <w:szCs w:val="22"/>
        </w:rPr>
        <w:t>本项目磋商小组由评审专家</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2</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人和采购人代表</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1 </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人，共</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3</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rPr>
        <w:t>人组成。</w:t>
      </w:r>
    </w:p>
    <w:p w14:paraId="7A99636D">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25.首次响应文件的开启</w:t>
      </w:r>
    </w:p>
    <w:p w14:paraId="2E5DB82A">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25.1首次响应文件由磋商小组或者采购代理机构在“供应商须知前附表”规定的时间开启。</w:t>
      </w:r>
    </w:p>
    <w:p w14:paraId="2D9F637A">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Cs/>
          <w:color w:val="auto"/>
          <w:kern w:val="0"/>
          <w:sz w:val="22"/>
          <w:szCs w:val="22"/>
        </w:rPr>
      </w:pPr>
      <w:r>
        <w:rPr>
          <w:rFonts w:hint="eastAsia" w:ascii="宋体" w:hAnsi="宋体" w:eastAsia="宋体" w:cs="宋体"/>
          <w:color w:val="auto"/>
          <w:kern w:val="0"/>
          <w:sz w:val="22"/>
          <w:szCs w:val="22"/>
        </w:rPr>
        <w:t xml:space="preserve">25.2 </w:t>
      </w:r>
      <w:r>
        <w:rPr>
          <w:rFonts w:hint="eastAsia" w:ascii="宋体" w:hAnsi="宋体" w:eastAsia="宋体" w:cs="宋体"/>
          <w:bCs/>
          <w:color w:val="auto"/>
          <w:kern w:val="0"/>
          <w:sz w:val="22"/>
          <w:szCs w:val="22"/>
        </w:rPr>
        <w:t>响应文件解密</w:t>
      </w:r>
    </w:p>
    <w:p w14:paraId="21B5F75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bCs/>
          <w:color w:val="auto"/>
          <w:kern w:val="0"/>
          <w:sz w:val="22"/>
          <w:szCs w:val="22"/>
        </w:rPr>
        <w:t>采购代理机构将在“供应商须知前附表”规定的时</w:t>
      </w:r>
      <w:r>
        <w:rPr>
          <w:rFonts w:hint="eastAsia" w:ascii="宋体" w:hAnsi="宋体" w:eastAsia="宋体" w:cs="宋体"/>
          <w:color w:val="auto"/>
          <w:kern w:val="0"/>
          <w:sz w:val="22"/>
          <w:szCs w:val="22"/>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 w:val="22"/>
          <w:szCs w:val="22"/>
        </w:rPr>
        <w:t>须携带加密时所用的CA锁按平台提示和采购文件的规定登录到“</w:t>
      </w:r>
      <w:r>
        <w:rPr>
          <w:rFonts w:hint="eastAsia" w:ascii="宋体" w:hAnsi="宋体" w:eastAsia="宋体" w:cs="宋体"/>
          <w:b/>
          <w:color w:val="auto"/>
          <w:kern w:val="0"/>
          <w:sz w:val="22"/>
          <w:szCs w:val="22"/>
          <w:lang w:eastAsia="zh-CN"/>
        </w:rPr>
        <w:t>广西政府采购云平台</w:t>
      </w:r>
      <w:r>
        <w:rPr>
          <w:rFonts w:hint="eastAsia" w:ascii="宋体" w:hAnsi="宋体" w:eastAsia="宋体" w:cs="宋体"/>
          <w:b/>
          <w:color w:val="auto"/>
          <w:kern w:val="0"/>
          <w:sz w:val="22"/>
          <w:szCs w:val="22"/>
        </w:rPr>
        <w:t>”平台电子开标大厅签到并在发起解密指令之时起30分钟内完成对电子响应文件在线解密</w:t>
      </w:r>
      <w:r>
        <w:rPr>
          <w:rFonts w:hint="eastAsia" w:ascii="宋体" w:hAnsi="宋体" w:eastAsia="宋体" w:cs="宋体"/>
          <w:color w:val="auto"/>
          <w:kern w:val="0"/>
          <w:sz w:val="22"/>
          <w:szCs w:val="22"/>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 w:val="22"/>
          <w:szCs w:val="22"/>
        </w:rPr>
        <w:t>视为响应文件无效。</w:t>
      </w:r>
      <w:r>
        <w:rPr>
          <w:rFonts w:hint="eastAsia" w:ascii="宋体" w:hAnsi="宋体" w:eastAsia="宋体" w:cs="宋体"/>
          <w:color w:val="auto"/>
          <w:kern w:val="0"/>
          <w:sz w:val="22"/>
          <w:szCs w:val="22"/>
        </w:rPr>
        <w:t>（解密</w:t>
      </w:r>
      <w:r>
        <w:rPr>
          <w:rFonts w:hint="eastAsia" w:ascii="宋体" w:hAnsi="宋体" w:eastAsia="宋体" w:cs="宋体"/>
          <w:bCs/>
          <w:color w:val="auto"/>
          <w:kern w:val="0"/>
          <w:sz w:val="22"/>
          <w:szCs w:val="22"/>
        </w:rPr>
        <w:t>异常情况处理：详见本章</w:t>
      </w:r>
      <w:r>
        <w:rPr>
          <w:rFonts w:hint="eastAsia" w:ascii="宋体" w:hAnsi="宋体" w:eastAsia="宋体" w:cs="宋体"/>
          <w:color w:val="auto"/>
          <w:kern w:val="0"/>
          <w:sz w:val="22"/>
          <w:szCs w:val="22"/>
        </w:rPr>
        <w:t>26.</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rPr>
        <w:t xml:space="preserve"> 电子交易活动的中止。）</w:t>
      </w:r>
    </w:p>
    <w:p w14:paraId="1692C0A9">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如</w:t>
      </w:r>
      <w:r>
        <w:rPr>
          <w:rFonts w:hint="eastAsia" w:ascii="宋体" w:hAnsi="宋体" w:eastAsia="宋体" w:cs="宋体"/>
          <w:bCs/>
          <w:color w:val="auto"/>
          <w:kern w:val="0"/>
          <w:sz w:val="22"/>
          <w:szCs w:val="22"/>
        </w:rPr>
        <w:t>供应商成功解密响应文件，但未在“</w:t>
      </w:r>
      <w:r>
        <w:rPr>
          <w:rFonts w:hint="eastAsia" w:ascii="宋体" w:hAnsi="宋体" w:eastAsia="宋体" w:cs="宋体"/>
          <w:bCs/>
          <w:color w:val="auto"/>
          <w:kern w:val="0"/>
          <w:sz w:val="22"/>
          <w:szCs w:val="22"/>
          <w:lang w:eastAsia="zh-CN"/>
        </w:rPr>
        <w:t>广西政府采购云平台</w:t>
      </w:r>
      <w:r>
        <w:rPr>
          <w:rFonts w:hint="eastAsia" w:ascii="宋体" w:hAnsi="宋体" w:eastAsia="宋体" w:cs="宋体"/>
          <w:bCs/>
          <w:color w:val="auto"/>
          <w:kern w:val="0"/>
          <w:sz w:val="22"/>
          <w:szCs w:val="22"/>
        </w:rPr>
        <w:t>”电子开标大厅参加</w:t>
      </w:r>
      <w:r>
        <w:rPr>
          <w:rFonts w:hint="eastAsia" w:ascii="宋体" w:hAnsi="宋体" w:eastAsia="宋体" w:cs="宋体"/>
          <w:bCs/>
          <w:color w:val="auto"/>
          <w:kern w:val="0"/>
          <w:sz w:val="22"/>
          <w:szCs w:val="22"/>
          <w:lang w:eastAsia="zh-CN"/>
        </w:rPr>
        <w:t>磋商</w:t>
      </w:r>
      <w:r>
        <w:rPr>
          <w:rFonts w:hint="eastAsia" w:ascii="宋体" w:hAnsi="宋体" w:eastAsia="宋体" w:cs="宋体"/>
          <w:bCs/>
          <w:color w:val="auto"/>
          <w:kern w:val="0"/>
          <w:sz w:val="22"/>
          <w:szCs w:val="22"/>
        </w:rPr>
        <w:t>的，视同认可</w:t>
      </w:r>
      <w:r>
        <w:rPr>
          <w:rFonts w:hint="eastAsia" w:ascii="宋体" w:hAnsi="宋体" w:eastAsia="宋体" w:cs="宋体"/>
          <w:bCs/>
          <w:color w:val="auto"/>
          <w:kern w:val="0"/>
          <w:sz w:val="22"/>
          <w:szCs w:val="22"/>
          <w:lang w:eastAsia="zh-CN"/>
        </w:rPr>
        <w:t>磋商</w:t>
      </w:r>
      <w:r>
        <w:rPr>
          <w:rFonts w:hint="eastAsia" w:ascii="宋体" w:hAnsi="宋体" w:eastAsia="宋体" w:cs="宋体"/>
          <w:bCs/>
          <w:color w:val="auto"/>
          <w:kern w:val="0"/>
          <w:sz w:val="22"/>
          <w:szCs w:val="22"/>
        </w:rPr>
        <w:t>过程和结果，</w:t>
      </w:r>
      <w:r>
        <w:rPr>
          <w:rFonts w:hint="eastAsia" w:ascii="宋体" w:hAnsi="宋体" w:eastAsia="宋体" w:cs="宋体"/>
          <w:color w:val="auto"/>
          <w:kern w:val="0"/>
          <w:sz w:val="22"/>
          <w:szCs w:val="22"/>
        </w:rPr>
        <w:t>由此产生的后果由供应商自行负责。参与</w:t>
      </w:r>
      <w:r>
        <w:rPr>
          <w:rFonts w:hint="eastAsia" w:ascii="宋体" w:hAnsi="宋体" w:eastAsia="宋体" w:cs="宋体"/>
          <w:color w:val="auto"/>
          <w:kern w:val="0"/>
          <w:sz w:val="22"/>
          <w:szCs w:val="22"/>
          <w:lang w:eastAsia="zh-CN"/>
        </w:rPr>
        <w:t>磋商</w:t>
      </w:r>
      <w:r>
        <w:rPr>
          <w:rFonts w:hint="eastAsia" w:ascii="宋体" w:hAnsi="宋体" w:eastAsia="宋体" w:cs="宋体"/>
          <w:color w:val="auto"/>
          <w:kern w:val="0"/>
          <w:sz w:val="22"/>
          <w:szCs w:val="22"/>
        </w:rPr>
        <w:t>的供应商不足3家的，不得</w:t>
      </w:r>
      <w:r>
        <w:rPr>
          <w:rFonts w:hint="eastAsia" w:ascii="宋体" w:hAnsi="宋体" w:eastAsia="宋体" w:cs="宋体"/>
          <w:color w:val="auto"/>
          <w:kern w:val="0"/>
          <w:sz w:val="22"/>
          <w:szCs w:val="22"/>
          <w:lang w:eastAsia="zh-CN"/>
        </w:rPr>
        <w:t>磋商</w:t>
      </w:r>
      <w:r>
        <w:rPr>
          <w:rFonts w:hint="eastAsia" w:ascii="宋体" w:hAnsi="宋体" w:eastAsia="宋体" w:cs="宋体"/>
          <w:color w:val="auto"/>
          <w:kern w:val="0"/>
          <w:sz w:val="22"/>
          <w:szCs w:val="22"/>
        </w:rPr>
        <w:t>。</w:t>
      </w:r>
    </w:p>
    <w:p w14:paraId="1ABF20E9">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26.评审程序、评审方法和评审标准</w:t>
      </w:r>
    </w:p>
    <w:p w14:paraId="6022CEC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26.1磋商小组按照“第四章 评审程序、评审方法和评审标准”规定的方法、评审因素、标准和程序对响应文件进行评审。</w:t>
      </w:r>
    </w:p>
    <w:p w14:paraId="2F23D97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26.2磋商文件内容违反国家有关强制性规定的，磋商小组应当停止评审并向采购人或者采购代理机构说明情况，并在评审报告中书面体现。</w:t>
      </w:r>
    </w:p>
    <w:p w14:paraId="07D9F71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26.</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采购需求负偏离要求及磋商顺序详见“供应商须知前附表”。</w:t>
      </w:r>
    </w:p>
    <w:p w14:paraId="17A24A0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26.</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电子交易活动的中止。采购过程中出现以下情形，导致电子交易平台无法正常运行，或者无法保证电子交易的公平、公正和安全时，采购机构可中止电子交易活动：</w:t>
      </w:r>
    </w:p>
    <w:p w14:paraId="30440EE5">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（1）电子交易平台发生故障而无法登录访问的； </w:t>
      </w:r>
    </w:p>
    <w:p w14:paraId="49DE738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（2）电子交易平台应用或数据库出现错误，不能进行正常操作的；</w:t>
      </w:r>
    </w:p>
    <w:p w14:paraId="2C789CB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（3）电子交易平台发现严重安全漏洞，有潜在泄密危险的；</w:t>
      </w:r>
    </w:p>
    <w:p w14:paraId="03AFEFC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（4）病毒发作导致不能进行正常操作的； </w:t>
      </w:r>
    </w:p>
    <w:p w14:paraId="674E6B1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）其他无法保证电子交易的公平、公正和安全的情况。</w:t>
      </w:r>
    </w:p>
    <w:p w14:paraId="2388C12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26.</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C0096C">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color w:val="auto"/>
          <w:sz w:val="22"/>
          <w:szCs w:val="22"/>
        </w:rPr>
      </w:pPr>
      <w:bookmarkStart w:id="45" w:name="_Toc9972"/>
      <w:r>
        <w:rPr>
          <w:rFonts w:hint="eastAsia" w:ascii="宋体" w:hAnsi="宋体" w:eastAsia="宋体" w:cs="宋体"/>
          <w:b/>
          <w:bCs/>
          <w:color w:val="auto"/>
          <w:sz w:val="24"/>
          <w:szCs w:val="24"/>
        </w:rPr>
        <w:t>五、成交及合同</w:t>
      </w:r>
      <w:bookmarkEnd w:id="45"/>
    </w:p>
    <w:p w14:paraId="4AC60637">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27.确定成交供应商及结果公告</w:t>
      </w:r>
    </w:p>
    <w:p w14:paraId="40BC70A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27.1确定成交供应商。</w:t>
      </w:r>
      <w:r>
        <w:rPr>
          <w:rFonts w:hint="eastAsia" w:ascii="宋体" w:hAnsi="宋体" w:cs="宋体"/>
          <w:color w:val="auto"/>
          <w:kern w:val="0"/>
          <w:szCs w:val="21"/>
          <w:u w:val="single"/>
        </w:rPr>
        <w:t>竞争性磋商小组根据磋商文件中确定的评分办法综合评定各供应商提交的竞标文件，按照评标得分由高到低推荐成交候选</w:t>
      </w:r>
      <w:r>
        <w:rPr>
          <w:rFonts w:hint="eastAsia" w:ascii="宋体" w:hAnsi="宋体" w:cs="宋体"/>
          <w:color w:val="auto"/>
          <w:kern w:val="0"/>
          <w:szCs w:val="21"/>
          <w:u w:val="single"/>
          <w:lang w:val="en-US" w:eastAsia="zh-CN"/>
        </w:rPr>
        <w:t>供应商</w:t>
      </w:r>
      <w:r>
        <w:rPr>
          <w:rFonts w:hint="eastAsia" w:ascii="宋体" w:hAnsi="宋体" w:cs="宋体"/>
          <w:color w:val="auto"/>
          <w:kern w:val="0"/>
          <w:szCs w:val="21"/>
          <w:u w:val="single"/>
        </w:rPr>
        <w:t>（或经招标人授权直接确定得分最高的竞标人作为成交</w:t>
      </w:r>
      <w:r>
        <w:rPr>
          <w:rFonts w:hint="eastAsia" w:ascii="宋体" w:hAnsi="宋体" w:cs="宋体"/>
          <w:color w:val="auto"/>
          <w:kern w:val="0"/>
          <w:szCs w:val="21"/>
          <w:u w:val="single"/>
          <w:lang w:val="en-US" w:eastAsia="zh-CN"/>
        </w:rPr>
        <w:t>供应商</w:t>
      </w:r>
      <w:r>
        <w:rPr>
          <w:rFonts w:hint="eastAsia" w:ascii="宋体" w:hAnsi="宋体" w:cs="宋体"/>
          <w:color w:val="auto"/>
          <w:kern w:val="0"/>
          <w:szCs w:val="21"/>
          <w:u w:val="single"/>
        </w:rPr>
        <w:t>）。</w:t>
      </w:r>
    </w:p>
    <w:p w14:paraId="519F548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27.2成交通知及成交结果公告。</w:t>
      </w:r>
      <w:r>
        <w:rPr>
          <w:rFonts w:hint="eastAsia" w:ascii="宋体" w:hAnsi="宋体" w:eastAsia="宋体" w:cs="宋体"/>
          <w:color w:val="auto"/>
          <w:kern w:val="0"/>
          <w:sz w:val="22"/>
          <w:szCs w:val="22"/>
        </w:rPr>
        <w:t>成交</w:t>
      </w:r>
      <w:r>
        <w:rPr>
          <w:rFonts w:hint="eastAsia" w:ascii="宋体" w:hAnsi="宋体" w:eastAsia="宋体" w:cs="宋体"/>
          <w:color w:val="auto"/>
          <w:sz w:val="22"/>
          <w:szCs w:val="22"/>
        </w:rPr>
        <w:t>供应商确定后2个工作日内，在省级以上财政部门指定的媒体上公</w:t>
      </w:r>
      <w:r>
        <w:rPr>
          <w:rFonts w:hint="eastAsia" w:ascii="宋体" w:hAnsi="宋体" w:eastAsia="宋体" w:cs="宋体"/>
          <w:color w:val="auto"/>
          <w:kern w:val="0"/>
          <w:sz w:val="22"/>
          <w:szCs w:val="22"/>
        </w:rPr>
        <w:t>告成交结果（成交通知及成交结果公告应使用</w:t>
      </w:r>
      <w:r>
        <w:rPr>
          <w:rFonts w:hint="eastAsia" w:ascii="宋体" w:hAnsi="宋体" w:eastAsia="宋体" w:cs="宋体"/>
          <w:color w:val="auto"/>
          <w:kern w:val="0"/>
          <w:sz w:val="22"/>
          <w:szCs w:val="22"/>
          <w:lang w:val="en-US" w:eastAsia="zh-CN"/>
        </w:rPr>
        <w:t>相应</w:t>
      </w:r>
      <w:r>
        <w:rPr>
          <w:rFonts w:hint="eastAsia" w:ascii="宋体" w:hAnsi="宋体" w:eastAsia="宋体" w:cs="宋体"/>
          <w:color w:val="auto"/>
          <w:kern w:val="0"/>
          <w:sz w:val="22"/>
          <w:szCs w:val="22"/>
        </w:rPr>
        <w:t>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2"/>
          <w:szCs w:val="22"/>
        </w:rPr>
        <w:t>同时向成交供应商发出成交通知书，成交通知书规定签订合同的时间不得超过25日。</w:t>
      </w:r>
    </w:p>
    <w:p w14:paraId="6313946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27.3采购人或者采购代理机构发出成交通知书前，应当对成交供应商信用进行查询核实，对列入失信被执行人、重大税收违法</w:t>
      </w:r>
      <w:r>
        <w:rPr>
          <w:rFonts w:hint="eastAsia" w:ascii="宋体" w:hAnsi="宋体" w:eastAsia="宋体" w:cs="宋体"/>
          <w:color w:val="auto"/>
          <w:sz w:val="22"/>
          <w:szCs w:val="22"/>
          <w:lang w:val="en-US" w:eastAsia="zh-CN"/>
        </w:rPr>
        <w:t>失信主体</w:t>
      </w:r>
      <w:r>
        <w:rPr>
          <w:rFonts w:hint="eastAsia" w:ascii="宋体" w:hAnsi="宋体" w:eastAsia="宋体" w:cs="宋体"/>
          <w:color w:val="auto"/>
          <w:sz w:val="22"/>
          <w:szCs w:val="22"/>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496583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9E5F8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bCs/>
          <w:color w:val="auto"/>
          <w:sz w:val="22"/>
          <w:szCs w:val="22"/>
        </w:rPr>
        <w:t>27.5</w:t>
      </w:r>
      <w:r>
        <w:rPr>
          <w:rFonts w:hint="eastAsia" w:ascii="宋体" w:hAnsi="宋体" w:eastAsia="宋体" w:cs="宋体"/>
          <w:color w:val="auto"/>
          <w:sz w:val="22"/>
          <w:szCs w:val="22"/>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257337D">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28.履约保证金</w:t>
      </w:r>
    </w:p>
    <w:p w14:paraId="03F5E5E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bCs/>
          <w:color w:val="auto"/>
          <w:sz w:val="22"/>
          <w:szCs w:val="22"/>
        </w:rPr>
      </w:pPr>
      <w:r>
        <w:rPr>
          <w:rFonts w:hint="eastAsia" w:ascii="宋体" w:hAnsi="宋体" w:eastAsia="宋体" w:cs="宋体"/>
          <w:color w:val="auto"/>
          <w:sz w:val="22"/>
          <w:szCs w:val="22"/>
        </w:rPr>
        <w:t>详见“供应商须知前附表”</w:t>
      </w:r>
    </w:p>
    <w:p w14:paraId="240C63AB">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29.签订合同</w:t>
      </w:r>
    </w:p>
    <w:p w14:paraId="40342CD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lang w:val="zh-CN"/>
        </w:rPr>
      </w:pPr>
      <w:r>
        <w:rPr>
          <w:rFonts w:hint="eastAsia" w:ascii="宋体" w:hAnsi="宋体" w:eastAsia="宋体" w:cs="宋体"/>
          <w:color w:val="auto"/>
          <w:kern w:val="0"/>
          <w:sz w:val="22"/>
          <w:szCs w:val="22"/>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 w:val="22"/>
          <w:szCs w:val="22"/>
          <w:lang w:val="zh-CN"/>
        </w:rPr>
        <w:t>如成交供应商为联合体的，由联合体成员各方法定代表人或其授权代表与采购人代表签订合同。</w:t>
      </w:r>
    </w:p>
    <w:p w14:paraId="3AD8B75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137D17E">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BEC84F">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29.4如签订合同并生效后，供应商无故拒绝或延期，除按照合同条款处理外，列入不良行为记录，并给予通报。</w:t>
      </w:r>
    </w:p>
    <w:p w14:paraId="3D2830F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29.5采购合同由采购人与成交供应商根据磋商文件、响应文件等内容通过政府采购电子交易平台在线签订，自动备案，在线签订须携带的材料见“供应商须知前附表”。</w:t>
      </w:r>
    </w:p>
    <w:p w14:paraId="452A0F7A">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30.政府采购合同公告</w:t>
      </w:r>
    </w:p>
    <w:p w14:paraId="4DF41E9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8481705">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31.询问、质疑和投诉</w:t>
      </w:r>
    </w:p>
    <w:p w14:paraId="3831734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31.1供应商对政府采购活动事项有疑问的，可以向采购人、采购代理机构提出询问，采购人或者采购代理机构应当在3个工作日内对供应商依法提出的询问作出答复。</w:t>
      </w:r>
    </w:p>
    <w:p w14:paraId="2FB9AC27">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
          <w:color w:val="auto"/>
          <w:sz w:val="22"/>
          <w:szCs w:val="22"/>
        </w:rPr>
      </w:pPr>
      <w:r>
        <w:rPr>
          <w:rFonts w:hint="eastAsia" w:ascii="宋体" w:hAnsi="宋体" w:eastAsia="宋体" w:cs="宋体"/>
          <w:color w:val="auto"/>
          <w:sz w:val="22"/>
          <w:szCs w:val="22"/>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2"/>
          <w:szCs w:val="22"/>
          <w:shd w:val="clear" w:color="auto" w:fill="FFFFFF"/>
        </w:rPr>
        <w:t>接收质疑函的方式、联系部门、联系电话和通讯地址等信息详见</w:t>
      </w:r>
      <w:r>
        <w:rPr>
          <w:rFonts w:hint="eastAsia" w:ascii="宋体" w:hAnsi="宋体" w:eastAsia="宋体" w:cs="宋体"/>
          <w:color w:val="auto"/>
          <w:sz w:val="22"/>
          <w:szCs w:val="22"/>
        </w:rPr>
        <w:t>“供应商须知前附表”。</w:t>
      </w:r>
      <w:r>
        <w:rPr>
          <w:rFonts w:hint="eastAsia" w:ascii="宋体" w:hAnsi="宋体" w:eastAsia="宋体" w:cs="宋体"/>
          <w:b/>
          <w:color w:val="auto"/>
          <w:sz w:val="22"/>
          <w:szCs w:val="22"/>
        </w:rPr>
        <w:t>具体质疑起算时间及处理方式如下：</w:t>
      </w:r>
    </w:p>
    <w:p w14:paraId="1A8ED02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sz w:val="22"/>
          <w:szCs w:val="22"/>
        </w:rPr>
        <w:t>委托代理协议无特殊约定的，</w:t>
      </w:r>
      <w:r>
        <w:rPr>
          <w:rFonts w:hint="eastAsia" w:ascii="宋体" w:hAnsi="宋体" w:eastAsia="宋体" w:cs="宋体"/>
          <w:bCs/>
          <w:color w:val="auto"/>
          <w:sz w:val="22"/>
          <w:szCs w:val="22"/>
        </w:rPr>
        <w:t>对竞争性磋商文件中采购需求（含资格要求、采购预算和评分办法）的质疑由采购人受理并负责答复；对竞争性磋商文件中的采购执行程序的质疑由采购代理机构受理并负责答复。</w:t>
      </w:r>
    </w:p>
    <w:p w14:paraId="754CFBE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CF153C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bCs/>
          <w:color w:val="auto"/>
          <w:sz w:val="22"/>
          <w:szCs w:val="22"/>
        </w:rPr>
      </w:pPr>
      <w:r>
        <w:rPr>
          <w:rFonts w:hint="eastAsia" w:ascii="宋体" w:hAnsi="宋体" w:eastAsia="宋体" w:cs="宋体"/>
          <w:bCs/>
          <w:color w:val="auto"/>
          <w:sz w:val="22"/>
          <w:szCs w:val="22"/>
        </w:rPr>
        <w:t>（3）供应商认为成交结果使自己的权益受到损害的，应当在成交结果公告期限届满之日起7个工作日内提出质疑，由采购人受理并负责答复。</w:t>
      </w:r>
    </w:p>
    <w:p w14:paraId="3B811F0B">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40803CC">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2"/>
          <w:szCs w:val="22"/>
        </w:rPr>
        <w:t>（质疑函格式后附）</w:t>
      </w:r>
      <w:r>
        <w:rPr>
          <w:rFonts w:hint="eastAsia" w:ascii="宋体" w:hAnsi="宋体" w:eastAsia="宋体" w:cs="宋体"/>
          <w:color w:val="auto"/>
          <w:sz w:val="22"/>
          <w:szCs w:val="22"/>
        </w:rPr>
        <w:t>：</w:t>
      </w:r>
    </w:p>
    <w:p w14:paraId="4BCD577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（1）供应商的姓名或者名称、地址、邮编、联系人及联系电话；</w:t>
      </w:r>
    </w:p>
    <w:p w14:paraId="0899CFE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（2）质疑项目的名称、编号；</w:t>
      </w:r>
    </w:p>
    <w:p w14:paraId="0B8B7C86">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（3）具体、明确的质疑事项和与质疑事项相关的请求；</w:t>
      </w:r>
    </w:p>
    <w:p w14:paraId="68D9B35D">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（4）事实依据；</w:t>
      </w:r>
    </w:p>
    <w:p w14:paraId="6DB3DBA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（5）必要的法律依据；</w:t>
      </w:r>
    </w:p>
    <w:p w14:paraId="2B55035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（6）提出质疑的日期。</w:t>
      </w:r>
    </w:p>
    <w:p w14:paraId="14A214E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供应商为自然人的，应当由本人签字；供应商为法人或者其他组织的，应当由法定代表人、主要负责人，或者其委托代理人签字或者盖章，并加盖公章。</w:t>
      </w:r>
    </w:p>
    <w:p w14:paraId="330EB421">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31.5采购人、采购代理机构认为供应商质疑不成立，或者成立但未对成交结果构成影响的，继续开展采购活动；认为供应商质疑成立且影响或者可能影响成交结果的，按照下列情况处理：</w:t>
      </w:r>
    </w:p>
    <w:p w14:paraId="4F5E215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（一）对采购文件提出的质疑，依法通过澄清或者修改可以继续开展采购活动的，澄清或者修改采购文件后继续开展采购活动；否则应当修改采购文件后重新开展采购活动。</w:t>
      </w:r>
    </w:p>
    <w:p w14:paraId="13542AB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（二）对采购过程或者成交结果提出的质疑，合格供应商符合法定数量时，可以从合格的成交候选人中另行确定成交供应商的，应当依法另行确定成交供应商；否则应当重新开展采购活动。</w:t>
      </w:r>
    </w:p>
    <w:p w14:paraId="04B7504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质疑答复导致成交结果改变的，采购人或者采购代理机构应当将有关情况书面报告本级财政部门。</w:t>
      </w:r>
    </w:p>
    <w:p w14:paraId="169CE05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125ACF54">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31.7</w:t>
      </w:r>
      <w:r>
        <w:rPr>
          <w:rFonts w:hint="eastAsia" w:ascii="宋体" w:hAnsi="宋体" w:eastAsia="宋体" w:cs="宋体"/>
          <w:color w:val="auto"/>
          <w:sz w:val="22"/>
          <w:szCs w:val="22"/>
        </w:rPr>
        <w:t>供应商应明确知悉投诉可能产生的后果并承担相应的责任：</w:t>
      </w:r>
    </w:p>
    <w:p w14:paraId="0DF14EE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按照《政府采购质疑和投诉办法》（中华人民共和国财政部令第94号）第三十七条：投诉人在全国范围12个月内三次以上投诉查无实据的，由财政部门列入不良行为记录名单。</w:t>
      </w:r>
    </w:p>
    <w:p w14:paraId="38B80853">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投诉人有下列行为之一的，属于虚假、恶意投诉，由财政部门列入不良行为记录名单，禁止其1至3年内参加政府采购活动：</w:t>
      </w:r>
    </w:p>
    <w:p w14:paraId="08EF4270">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（一）捏造事实</w:t>
      </w:r>
      <w:r>
        <w:rPr>
          <w:rFonts w:hint="eastAsia" w:ascii="宋体" w:hAnsi="宋体" w:eastAsia="宋体" w:cs="宋体"/>
          <w:color w:val="auto"/>
          <w:sz w:val="22"/>
          <w:szCs w:val="22"/>
          <w:lang w:eastAsia="zh-CN"/>
        </w:rPr>
        <w:t>；</w:t>
      </w:r>
    </w:p>
    <w:p w14:paraId="57088D42">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（二）提供虚假材料</w:t>
      </w:r>
      <w:r>
        <w:rPr>
          <w:rFonts w:hint="eastAsia" w:ascii="宋体" w:hAnsi="宋体" w:eastAsia="宋体" w:cs="宋体"/>
          <w:color w:val="auto"/>
          <w:sz w:val="22"/>
          <w:szCs w:val="22"/>
          <w:lang w:eastAsia="zh-CN"/>
        </w:rPr>
        <w:t>；</w:t>
      </w:r>
    </w:p>
    <w:p w14:paraId="603A84F8">
      <w:pPr>
        <w:pageBreakBefore w:val="0"/>
        <w:widowControl w:val="0"/>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以非法手段取得证明材料。证据来源的合法性存在明显疑问，投诉人无法证明其取得方式合法的，视为以非法手段取得证明材料。</w:t>
      </w:r>
    </w:p>
    <w:p w14:paraId="26268430">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color w:val="auto"/>
          <w:sz w:val="22"/>
          <w:szCs w:val="22"/>
        </w:rPr>
      </w:pPr>
      <w:bookmarkStart w:id="47" w:name="_Toc8074"/>
      <w:r>
        <w:rPr>
          <w:rFonts w:hint="eastAsia" w:ascii="宋体" w:hAnsi="宋体" w:eastAsia="宋体" w:cs="宋体"/>
          <w:b/>
          <w:bCs/>
          <w:color w:val="auto"/>
          <w:sz w:val="24"/>
          <w:szCs w:val="24"/>
        </w:rPr>
        <w:t>六、验收</w:t>
      </w:r>
      <w:bookmarkEnd w:id="46"/>
      <w:bookmarkEnd w:id="47"/>
    </w:p>
    <w:p w14:paraId="25C03842">
      <w:pPr>
        <w:pageBreakBefore w:val="0"/>
        <w:widowControl w:val="0"/>
        <w:tabs>
          <w:tab w:val="left" w:pos="0"/>
        </w:tabs>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32.验收</w:t>
      </w:r>
    </w:p>
    <w:p w14:paraId="519495DD">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15EAD88">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32.2采购人可以邀请参加本项目的其他供应商或者第三方机构参与验收。参与验收的供应商或者第三方机构的意见作为验收书的参考资料一并存档。</w:t>
      </w:r>
    </w:p>
    <w:p w14:paraId="2CC33162">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4E9255">
      <w:pPr>
        <w:pageBreakBefore w:val="0"/>
        <w:widowControl w:val="0"/>
        <w:tabs>
          <w:tab w:val="left" w:pos="0"/>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kern w:val="0"/>
          <w:sz w:val="22"/>
          <w:szCs w:val="22"/>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330B095">
      <w:pPr>
        <w:keepNext/>
        <w:keepLines/>
        <w:pageBreakBefore w:val="0"/>
        <w:widowControl w:val="0"/>
        <w:kinsoku/>
        <w:wordWrap/>
        <w:overflowPunct/>
        <w:topLinePunct w:val="0"/>
        <w:autoSpaceDE/>
        <w:autoSpaceDN/>
        <w:bidi w:val="0"/>
        <w:adjustRightInd/>
        <w:snapToGrid/>
        <w:spacing w:line="360" w:lineRule="auto"/>
        <w:ind w:firstLine="482" w:firstLineChars="200"/>
        <w:outlineLvl w:val="2"/>
        <w:rPr>
          <w:rFonts w:hint="eastAsia" w:ascii="宋体" w:hAnsi="宋体" w:eastAsia="宋体" w:cs="宋体"/>
          <w:color w:val="auto"/>
          <w:sz w:val="22"/>
          <w:szCs w:val="22"/>
        </w:rPr>
      </w:pPr>
      <w:bookmarkStart w:id="48" w:name="_Toc9558"/>
      <w:r>
        <w:rPr>
          <w:rFonts w:hint="eastAsia" w:ascii="宋体" w:hAnsi="宋体" w:eastAsia="宋体" w:cs="宋体"/>
          <w:b/>
          <w:bCs/>
          <w:color w:val="auto"/>
          <w:sz w:val="24"/>
          <w:szCs w:val="24"/>
        </w:rPr>
        <w:t>七、其他事项</w:t>
      </w:r>
      <w:bookmarkEnd w:id="48"/>
    </w:p>
    <w:p w14:paraId="6C765E9D">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33.代理服务费</w:t>
      </w:r>
    </w:p>
    <w:p w14:paraId="7FAEEC85">
      <w:pPr>
        <w:pageBreakBefore w:val="0"/>
        <w:widowControl w:val="0"/>
        <w:tabs>
          <w:tab w:val="left" w:pos="2835"/>
        </w:tabs>
        <w:kinsoku/>
        <w:wordWrap/>
        <w:overflowPunct/>
        <w:topLinePunct w:val="0"/>
        <w:autoSpaceDE/>
        <w:autoSpaceDN/>
        <w:bidi w:val="0"/>
        <w:adjustRightInd/>
        <w:snapToGrid/>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代理服务收费标准详见“供应商须知前附表”。</w:t>
      </w:r>
    </w:p>
    <w:p w14:paraId="64850A5A">
      <w:pPr>
        <w:pageBreakBefore w:val="0"/>
        <w:widowControl w:val="0"/>
        <w:kinsoku/>
        <w:wordWrap/>
        <w:overflowPunct/>
        <w:topLinePunct w:val="0"/>
        <w:autoSpaceDE/>
        <w:autoSpaceDN/>
        <w:bidi w:val="0"/>
        <w:adjustRightInd/>
        <w:snapToGrid/>
        <w:spacing w:line="360"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34.需要补充的其他内容</w:t>
      </w:r>
    </w:p>
    <w:p w14:paraId="0899EE02">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34.1本磋商文件解释规则详见“供应商须知前附表”。</w:t>
      </w:r>
    </w:p>
    <w:p w14:paraId="1D985EB6">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34.2其他事项详见“供应商须知前附表”。</w:t>
      </w:r>
    </w:p>
    <w:p w14:paraId="08B0F479">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 w:val="22"/>
          <w:szCs w:val="22"/>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 w:val="22"/>
          <w:szCs w:val="22"/>
        </w:rPr>
        <w:t>，享受本文件规定的中小企业扶持政策。</w:t>
      </w:r>
    </w:p>
    <w:p w14:paraId="45B11094">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以联合体形式参加政府采购活动，联合体各方均为中小企业的，联合体视同中小企业。其中，联合体各方均为小微企业的，联合体视同小微企业。</w:t>
      </w:r>
    </w:p>
    <w:p w14:paraId="7ED53C25">
      <w:pPr>
        <w:pageBreakBefore w:val="0"/>
        <w:widowControl w:val="0"/>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依据本文件规定享受扶持政策获得政府采购合同的，小微企业不得将合同分包给大中型企业，中型企业不得将合同分包给大型企业。</w:t>
      </w:r>
    </w:p>
    <w:p w14:paraId="4BAD526C">
      <w:pPr>
        <w:spacing w:line="360" w:lineRule="auto"/>
        <w:jc w:val="center"/>
        <w:textAlignment w:val="center"/>
        <w:outlineLvl w:val="0"/>
        <w:rPr>
          <w:rFonts w:hint="eastAsia" w:ascii="宋体" w:hAnsi="宋体" w:eastAsia="宋体" w:cs="宋体"/>
          <w:b/>
          <w:bCs/>
          <w:color w:val="auto"/>
          <w:kern w:val="44"/>
          <w:sz w:val="24"/>
          <w:szCs w:val="24"/>
        </w:rPr>
      </w:pPr>
      <w:r>
        <w:rPr>
          <w:rFonts w:hint="eastAsia" w:ascii="宋体" w:hAnsi="宋体" w:eastAsia="宋体" w:cs="宋体"/>
          <w:b/>
          <w:color w:val="auto"/>
          <w:kern w:val="0"/>
          <w:sz w:val="24"/>
          <w:szCs w:val="24"/>
        </w:rPr>
        <w:br w:type="page"/>
      </w:r>
      <w:bookmarkStart w:id="49" w:name="_Toc9978"/>
      <w:r>
        <w:rPr>
          <w:rFonts w:hint="eastAsia" w:ascii="宋体" w:hAnsi="宋体" w:eastAsia="宋体" w:cs="宋体"/>
          <w:b/>
          <w:color w:val="auto"/>
          <w:kern w:val="44"/>
          <w:sz w:val="32"/>
          <w:szCs w:val="32"/>
        </w:rPr>
        <w:t>第四章  评标方法及评分标准</w:t>
      </w:r>
    </w:p>
    <w:p w14:paraId="32AC506C">
      <w:pPr>
        <w:keepNext/>
        <w:keepLines/>
        <w:spacing w:before="260" w:after="260" w:line="415" w:lineRule="auto"/>
        <w:jc w:val="center"/>
        <w:outlineLvl w:val="1"/>
        <w:rPr>
          <w:rFonts w:hint="eastAsia" w:ascii="宋体" w:hAnsi="宋体" w:eastAsia="宋体" w:cs="宋体"/>
          <w:bCs/>
          <w:color w:val="auto"/>
          <w:sz w:val="32"/>
          <w:szCs w:val="32"/>
        </w:rPr>
      </w:pPr>
      <w:bookmarkStart w:id="50" w:name="_Toc994"/>
      <w:r>
        <w:rPr>
          <w:rFonts w:hint="eastAsia" w:ascii="宋体" w:hAnsi="宋体" w:eastAsia="宋体" w:cs="宋体"/>
          <w:bCs/>
          <w:color w:val="auto"/>
          <w:sz w:val="32"/>
          <w:szCs w:val="32"/>
        </w:rPr>
        <w:t>第一节 评审程序和评审方法</w:t>
      </w:r>
      <w:bookmarkEnd w:id="50"/>
    </w:p>
    <w:p w14:paraId="27C8F5CA">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1.确认磋商文件</w:t>
      </w:r>
    </w:p>
    <w:p w14:paraId="7E83FDE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由磋商小组确认磋商文件。</w:t>
      </w:r>
    </w:p>
    <w:p w14:paraId="19940449">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2.资格审查</w:t>
      </w:r>
    </w:p>
    <w:p w14:paraId="2376E73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2.1响应文件开启后，磋商小组依法对供应商的资格证明文件进行审查。</w:t>
      </w:r>
    </w:p>
    <w:p w14:paraId="6577F38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注：采购人代表或者采购代理机构在资格审查结束前，对供应商进行信用查询。</w:t>
      </w:r>
    </w:p>
    <w:p w14:paraId="5C37472F">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（1）查询渠道：“</w:t>
      </w:r>
      <w:r>
        <w:rPr>
          <w:rFonts w:hint="eastAsia" w:ascii="宋体" w:hAnsi="宋体" w:eastAsia="宋体" w:cs="宋体"/>
          <w:color w:val="auto"/>
          <w:sz w:val="22"/>
          <w:szCs w:val="22"/>
          <w:lang w:eastAsia="zh-CN"/>
        </w:rPr>
        <w:t>广西政府采购云平台</w:t>
      </w:r>
      <w:r>
        <w:rPr>
          <w:rFonts w:hint="eastAsia" w:ascii="宋体" w:hAnsi="宋体" w:eastAsia="宋体" w:cs="宋体"/>
          <w:color w:val="auto"/>
          <w:sz w:val="22"/>
          <w:szCs w:val="22"/>
        </w:rPr>
        <w:t>”平台“信用中国”网站(</w:t>
      </w:r>
      <w:r>
        <w:rPr>
          <w:rFonts w:hint="eastAsia" w:ascii="宋体" w:hAnsi="宋体" w:eastAsia="宋体" w:cs="宋体"/>
          <w:color w:val="auto"/>
          <w:sz w:val="22"/>
          <w:szCs w:val="22"/>
          <w:u w:val="single"/>
        </w:rPr>
        <w:fldChar w:fldCharType="begin"/>
      </w:r>
      <w:r>
        <w:instrText xml:space="preserve">HYPERLINK "http://www.creditchina.gov.cn"</w:instrText>
      </w:r>
      <w:r>
        <w:rPr>
          <w:rFonts w:hint="eastAsia" w:ascii="宋体" w:hAnsi="宋体" w:eastAsia="宋体" w:cs="宋体"/>
          <w:color w:val="auto"/>
          <w:sz w:val="22"/>
          <w:szCs w:val="22"/>
          <w:u w:val="single"/>
        </w:rPr>
        <w:fldChar w:fldCharType="separate"/>
      </w:r>
      <w:r>
        <w:rPr>
          <w:rFonts w:hint="eastAsia" w:ascii="宋体" w:hAnsi="宋体" w:eastAsia="宋体" w:cs="宋体"/>
          <w:color w:val="auto"/>
          <w:sz w:val="22"/>
          <w:szCs w:val="22"/>
          <w:u w:val="single"/>
        </w:rPr>
        <w:t>www.creditchina.gov.cn</w:t>
      </w:r>
      <w:r>
        <w:rPr>
          <w:rFonts w:hint="eastAsia" w:ascii="宋体" w:hAnsi="宋体" w:eastAsia="宋体" w:cs="宋体"/>
          <w:color w:val="auto"/>
          <w:sz w:val="22"/>
          <w:szCs w:val="22"/>
          <w:u w:val="single"/>
        </w:rPr>
        <w:fldChar w:fldCharType="end"/>
      </w:r>
      <w:r>
        <w:rPr>
          <w:rFonts w:hint="eastAsia" w:ascii="宋体" w:hAnsi="宋体" w:eastAsia="宋体" w:cs="宋体"/>
          <w:color w:val="auto"/>
          <w:sz w:val="22"/>
          <w:szCs w:val="22"/>
        </w:rPr>
        <w:t>)、中国政府采购网(</w:t>
      </w:r>
      <w:r>
        <w:rPr>
          <w:rFonts w:hint="eastAsia" w:ascii="宋体" w:hAnsi="宋体" w:eastAsia="宋体" w:cs="宋体"/>
          <w:color w:val="auto"/>
          <w:sz w:val="22"/>
          <w:szCs w:val="22"/>
          <w:u w:val="single"/>
        </w:rPr>
        <w:fldChar w:fldCharType="begin"/>
      </w:r>
      <w:r>
        <w:instrText xml:space="preserve">HYPERLINK "http://www.ccgp.gov.cn"</w:instrText>
      </w:r>
      <w:r>
        <w:rPr>
          <w:rFonts w:hint="eastAsia" w:ascii="宋体" w:hAnsi="宋体" w:eastAsia="宋体" w:cs="宋体"/>
          <w:color w:val="auto"/>
          <w:sz w:val="22"/>
          <w:szCs w:val="22"/>
          <w:u w:val="single"/>
        </w:rPr>
        <w:fldChar w:fldCharType="separate"/>
      </w:r>
      <w:r>
        <w:rPr>
          <w:rFonts w:hint="eastAsia" w:ascii="宋体" w:hAnsi="宋体" w:eastAsia="宋体" w:cs="宋体"/>
          <w:color w:val="auto"/>
          <w:sz w:val="22"/>
          <w:szCs w:val="22"/>
          <w:u w:val="single"/>
        </w:rPr>
        <w:t>www.ccgp.gov.cn</w:t>
      </w:r>
      <w:r>
        <w:rPr>
          <w:rFonts w:hint="eastAsia" w:ascii="宋体" w:hAnsi="宋体" w:eastAsia="宋体" w:cs="宋体"/>
          <w:color w:val="auto"/>
          <w:sz w:val="22"/>
          <w:szCs w:val="22"/>
          <w:u w:val="single"/>
        </w:rPr>
        <w:fldChar w:fldCharType="end"/>
      </w:r>
      <w:r>
        <w:rPr>
          <w:rFonts w:hint="eastAsia" w:ascii="宋体" w:hAnsi="宋体" w:eastAsia="宋体" w:cs="宋体"/>
          <w:color w:val="auto"/>
          <w:sz w:val="22"/>
          <w:szCs w:val="22"/>
        </w:rPr>
        <w:t>)链接入口。</w:t>
      </w:r>
    </w:p>
    <w:p w14:paraId="65B37C2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（2）信用查询截止时点：资格审查结束前。</w:t>
      </w:r>
    </w:p>
    <w:p w14:paraId="7047CE4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查询记录和证据留存方式：在查询网站中直接打印查询记录，截图另存为电子文档作为评审资料保存。</w:t>
      </w:r>
    </w:p>
    <w:p w14:paraId="3106D11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（3）信用信息使用规则：对在“信用中国”网站(www.creditchina.gov.cn)、中国政府采购网(www.ccgp.gov.cn)被列入失信被执行人、重大税收违法</w:t>
      </w:r>
      <w:r>
        <w:rPr>
          <w:rFonts w:hint="eastAsia" w:ascii="宋体" w:hAnsi="宋体" w:eastAsia="宋体" w:cs="宋体"/>
          <w:color w:val="auto"/>
          <w:sz w:val="22"/>
          <w:szCs w:val="22"/>
          <w:lang w:val="en-US" w:eastAsia="zh-CN"/>
        </w:rPr>
        <w:t>失信主体</w:t>
      </w:r>
      <w:r>
        <w:rPr>
          <w:rFonts w:hint="eastAsia" w:ascii="宋体" w:hAnsi="宋体" w:eastAsia="宋体" w:cs="宋体"/>
          <w:color w:val="auto"/>
          <w:sz w:val="22"/>
          <w:szCs w:val="22"/>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C970E3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2.2资格审查标准为本磋商文件中载明对供应商资格要求的条件。资格审查采用合格制，凡符合磋商文件规定的供应商资格要求的响应文件均通过资格审查。</w:t>
      </w:r>
    </w:p>
    <w:p w14:paraId="3843688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2.3供应商有下列情形之一的，资格审查不通过，其响应文件按无效响应处理：</w:t>
      </w:r>
    </w:p>
    <w:p w14:paraId="455A118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（1）不具备磋商文件中规定的资格要求的；</w:t>
      </w:r>
    </w:p>
    <w:p w14:paraId="52DAD51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（2）响应文件未提供任一项“供应商须知前附表”资格证明文件规定的“必须提供”的文件资料的；</w:t>
      </w:r>
    </w:p>
    <w:p w14:paraId="3486204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（3）响应文件提供的资格证明文件出现任一项不符合“供应商须知前附表”资格证明文件规定的“必须提供”的文件资料要求或者无效的。</w:t>
      </w:r>
    </w:p>
    <w:p w14:paraId="25658F3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bookmarkStart w:id="51" w:name="_Hlk68601553"/>
      <w:r>
        <w:rPr>
          <w:rFonts w:hint="eastAsia" w:ascii="宋体" w:hAnsi="宋体" w:eastAsia="宋体" w:cs="宋体"/>
          <w:color w:val="auto"/>
          <w:sz w:val="22"/>
          <w:szCs w:val="22"/>
        </w:rPr>
        <w:t>（4）同一合同项下的不同供应商，单位负责人为同一人或者存在直接控股、管理关系的；为本项目提供过整体设计、规范编制或者项目管理、监理、检测等服务的。</w:t>
      </w:r>
      <w:bookmarkEnd w:id="51"/>
    </w:p>
    <w:p w14:paraId="7AD947F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2.4通过资格审查的合格供应商不足3家的，不得进入符合性审查环节，采购人或者采购代理机构应当重新开展采购活动。</w:t>
      </w:r>
    </w:p>
    <w:p w14:paraId="6519DEAF">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3.符合性审查</w:t>
      </w:r>
    </w:p>
    <w:p w14:paraId="4645B63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3.1由磋商小组对通过资格审查的合格供应商的响应文件的响应报价、商务、技术等实质性要求进行符合性审查，以确定其是否满足磋商文件的实质性要求。</w:t>
      </w:r>
    </w:p>
    <w:p w14:paraId="20A7C59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F027A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pacing w:val="-6"/>
          <w:sz w:val="22"/>
          <w:szCs w:val="22"/>
        </w:rPr>
      </w:pPr>
      <w:r>
        <w:rPr>
          <w:rFonts w:hint="eastAsia" w:ascii="宋体" w:hAnsi="宋体" w:eastAsia="宋体" w:cs="宋体"/>
          <w:color w:val="auto"/>
          <w:sz w:val="22"/>
          <w:szCs w:val="22"/>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2"/>
          <w:szCs w:val="22"/>
        </w:rPr>
        <w:t>。供应商为自然人的，必须由本人签字并附身份证明。</w:t>
      </w:r>
    </w:p>
    <w:p w14:paraId="0C5B551C">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color w:val="auto"/>
          <w:sz w:val="22"/>
          <w:szCs w:val="22"/>
        </w:rPr>
      </w:pPr>
      <w:r>
        <w:rPr>
          <w:rFonts w:hint="eastAsia" w:ascii="宋体" w:hAnsi="宋体" w:eastAsia="宋体" w:cs="宋体"/>
          <w:color w:val="auto"/>
          <w:spacing w:val="-6"/>
          <w:sz w:val="22"/>
          <w:szCs w:val="22"/>
        </w:rPr>
        <w:t>3.4</w:t>
      </w:r>
      <w:r>
        <w:rPr>
          <w:rFonts w:hint="eastAsia" w:ascii="宋体" w:hAnsi="宋体" w:eastAsia="宋体" w:cs="宋体"/>
          <w:color w:val="auto"/>
          <w:sz w:val="22"/>
          <w:szCs w:val="22"/>
        </w:rPr>
        <w:t xml:space="preserve">首次响应文件报价出现前后不一致的，按照下列规定修正： </w:t>
      </w:r>
    </w:p>
    <w:p w14:paraId="4DA306A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（1）响应文件中报价表内容与响应文件中相应内容不一致的，以报价表为准；</w:t>
      </w:r>
    </w:p>
    <w:p w14:paraId="442B81C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（2）大写金额和小写金额不一致的，以大写金额为准；</w:t>
      </w:r>
    </w:p>
    <w:p w14:paraId="4B89C2C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（3）单价金额小数点或者百分比有明显错位的，以报价表的总价为准，并修改单价；</w:t>
      </w:r>
    </w:p>
    <w:p w14:paraId="00FD691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（4）总价金额与按单价汇总金额不一致的，以单价金额计算结果为准。</w:t>
      </w:r>
    </w:p>
    <w:p w14:paraId="0B0C271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同时出现两种以上不一致的，按照以上（1）-（4）规定的顺序逐条进行修正。修正后的报价经供应商确认后产生约束力，供应商不确认的，其响应文件按无效响应处理。</w:t>
      </w:r>
    </w:p>
    <w:p w14:paraId="2B2B7F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3.5商务技术、报价评审</w:t>
      </w:r>
    </w:p>
    <w:p w14:paraId="30BD122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在评审时，如发现下列情形之一的，将被视为响应文件无效处理：</w:t>
      </w:r>
    </w:p>
    <w:p w14:paraId="7B02217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（1）商务技术评审</w:t>
      </w:r>
    </w:p>
    <w:p w14:paraId="0365F5F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1）响应文件未按磋商文件要求签署、盖章；</w:t>
      </w:r>
    </w:p>
    <w:p w14:paraId="56A4E22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2）委托代理人未能出具有效身份证明或者出具的身份证明与授权委托书中的信息不符；</w:t>
      </w:r>
    </w:p>
    <w:p w14:paraId="4E78116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03AD263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4）商务条款中标“</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”的条款发生负偏离的或者允许负偏离的条款数超过“供应商须知前附表”规定项数的或者标明实质性的要求发生负偏离；</w:t>
      </w:r>
    </w:p>
    <w:p w14:paraId="23AE5B5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5）未对竞标有效期作出响应或者响应文件承诺的竞标有效期不满足磋商文件要求；</w:t>
      </w:r>
    </w:p>
    <w:p w14:paraId="304B012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6）响应文件的实质性内容未使用中文表述、使用计量单位不符合磋商文件要求；</w:t>
      </w:r>
    </w:p>
    <w:p w14:paraId="6DDF4C4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7）响应文件中的文件资料因填写不齐全或者内容虚假或者出现其他情形而导致被磋商小组认定无效；</w:t>
      </w:r>
    </w:p>
    <w:p w14:paraId="5C94708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8）响应文件含有采购人不能接受的附加条件；</w:t>
      </w:r>
    </w:p>
    <w:p w14:paraId="429DA78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9）属于“供应商须知正文”第7.5条情形；</w:t>
      </w:r>
    </w:p>
    <w:p w14:paraId="5317F81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10）技术需求允许负偏离的条款数超过“供应商须知前附表”规定项数；</w:t>
      </w:r>
    </w:p>
    <w:p w14:paraId="352921B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11）虚假竞标，或者出现其他情形而导致被磋商小组认定无效；</w:t>
      </w:r>
    </w:p>
    <w:p w14:paraId="1A1186C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12）竞标技术方案不明确，磋商文件未允许但响应文件中存在一个或者一个以上备选（替代）竞标方案；</w:t>
      </w:r>
    </w:p>
    <w:p w14:paraId="667898D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13）响应文件标注的项目名称或者项目编号与竞争性磋商文件标注的项目名称或者项目编号不一致的；</w:t>
      </w:r>
    </w:p>
    <w:p w14:paraId="2EF5A32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14）未响应磋商文件实质性要求；</w:t>
      </w:r>
    </w:p>
    <w:p w14:paraId="7089C05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15）法律、法规和磋商文件规定的其他无效情形。</w:t>
      </w:r>
    </w:p>
    <w:p w14:paraId="369A36A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（2）报价评审</w:t>
      </w:r>
    </w:p>
    <w:p w14:paraId="1B8F205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1）响应文件未提供“供应商须知前附表”报价文件中规定的“响应报价表”；</w:t>
      </w:r>
    </w:p>
    <w:p w14:paraId="0313E9E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2）未采用人民币报价或者未按照磋商文件标明的币种报价；</w:t>
      </w:r>
    </w:p>
    <w:p w14:paraId="6CBAC8B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3）供应商未就所竞标</w:t>
      </w:r>
      <w:r>
        <w:rPr>
          <w:rFonts w:hint="eastAsia" w:ascii="宋体" w:hAnsi="宋体" w:eastAsia="宋体" w:cs="宋体"/>
          <w:color w:val="auto"/>
          <w:sz w:val="22"/>
          <w:szCs w:val="22"/>
          <w:lang w:val="en-US" w:eastAsia="zh-CN"/>
        </w:rPr>
        <w:t>内容</w:t>
      </w:r>
      <w:r>
        <w:rPr>
          <w:rFonts w:hint="eastAsia" w:ascii="宋体" w:hAnsi="宋体" w:eastAsia="宋体" w:cs="宋体"/>
          <w:color w:val="auto"/>
          <w:sz w:val="22"/>
          <w:szCs w:val="22"/>
        </w:rPr>
        <w:t>进行报价或者存在漏项报价；供应商未就所竞标单项内容作唯一报价；供应商未就所竞标的全部内容作唯一总价报价；供应商响应文件中存在有选择、有条件报价的（磋商文件允许有备选方案或者其他约定的除外）；</w:t>
      </w:r>
    </w:p>
    <w:p w14:paraId="5988FE7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响应报价（包含首次报价、最后报价）超过所竞标规定的采购预算金额或者最高限价的（如本项目公布了最高限价）；响应报价（包含首次报价、最后报价）超过磋商文件分项采购预算金额或者最高限价的（如本项目公布了最高限价）；</w:t>
      </w:r>
    </w:p>
    <w:p w14:paraId="7FE78D7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修正后的报价，供应商不确认的；或者经供应商确认修正后的响应报价（包含首次报价、最后报价）超过所竞标规定的采购预算金额或者最高限价（如本项目公布了最高限价）；或者经供应商确认修正后响应报价（包含首次报价、最后报价）超过磋商文件分项采购预算金额或者最高限价的（如本项目公布了最高限价）。</w:t>
      </w:r>
    </w:p>
    <w:p w14:paraId="547903B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6）响应文件响应的标的数量及单位与竞争性磋商采购文件要求实质性不一致的。</w:t>
      </w:r>
    </w:p>
    <w:p w14:paraId="605505B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E24C7A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6CCADB0">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4.磋商程序</w:t>
      </w:r>
    </w:p>
    <w:p w14:paraId="3B38302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4.1磋商小组按照“供应商须知前附表”确定的</w:t>
      </w:r>
      <w:r>
        <w:rPr>
          <w:rFonts w:hint="eastAsia" w:ascii="宋体" w:hAnsi="宋体" w:eastAsia="宋体" w:cs="宋体"/>
          <w:color w:val="auto"/>
          <w:sz w:val="22"/>
          <w:szCs w:val="22"/>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E81FB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5C431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4.3对磋商文件作出的实质性变动是磋商文件的有效组成部分，由磋商小组及时以电子澄清函形式同时通知所有参加磋商的供应商。</w:t>
      </w:r>
    </w:p>
    <w:p w14:paraId="2C3E62F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0E0821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4.5磋商中，</w:t>
      </w:r>
      <w:r>
        <w:rPr>
          <w:rFonts w:hint="eastAsia" w:ascii="宋体" w:hAnsi="宋体" w:eastAsia="宋体" w:cs="宋体"/>
          <w:color w:val="auto"/>
          <w:spacing w:val="-6"/>
          <w:sz w:val="22"/>
          <w:szCs w:val="22"/>
        </w:rPr>
        <w:t>磋商的任何一方不得透露与磋商有关的其他供应商的技术资料、价格和其他信息。</w:t>
      </w:r>
    </w:p>
    <w:p w14:paraId="2E06772F">
      <w:pPr>
        <w:keepNext w:val="0"/>
        <w:keepLines w:val="0"/>
        <w:pageBreakBefore w:val="0"/>
        <w:widowControl/>
        <w:tabs>
          <w:tab w:val="left" w:pos="540"/>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b/>
          <w:color w:val="auto"/>
          <w:sz w:val="22"/>
          <w:szCs w:val="22"/>
        </w:rPr>
      </w:pPr>
      <w:r>
        <w:rPr>
          <w:rFonts w:hint="eastAsia" w:ascii="宋体" w:hAnsi="宋体" w:eastAsia="宋体" w:cs="宋体"/>
          <w:color w:val="auto"/>
          <w:sz w:val="22"/>
          <w:szCs w:val="22"/>
        </w:rPr>
        <w:t>4.6磋商小组应对磋商过程和重要磋商内容进行记录，作为评标报告一部分，磋商小组在记录上签字确认。</w:t>
      </w:r>
      <w:r>
        <w:rPr>
          <w:rFonts w:hint="eastAsia" w:ascii="宋体" w:hAnsi="宋体" w:eastAsia="宋体" w:cs="宋体"/>
          <w:b/>
          <w:color w:val="auto"/>
          <w:sz w:val="22"/>
          <w:szCs w:val="22"/>
        </w:rPr>
        <w:t>主要内容包括：</w:t>
      </w:r>
    </w:p>
    <w:p w14:paraId="2CDC26D9">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color w:val="auto"/>
          <w:spacing w:val="-6"/>
          <w:sz w:val="22"/>
          <w:szCs w:val="22"/>
        </w:rPr>
      </w:pPr>
      <w:r>
        <w:rPr>
          <w:rFonts w:hint="eastAsia" w:ascii="宋体" w:hAnsi="宋体" w:eastAsia="宋体" w:cs="宋体"/>
          <w:color w:val="auto"/>
          <w:spacing w:val="-6"/>
          <w:sz w:val="22"/>
          <w:szCs w:val="22"/>
        </w:rPr>
        <w:t>（1）按照相关规定进行公示的，公示情况说明；</w:t>
      </w:r>
    </w:p>
    <w:p w14:paraId="69CC949F">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color w:val="auto"/>
          <w:spacing w:val="-6"/>
          <w:sz w:val="22"/>
          <w:szCs w:val="22"/>
        </w:rPr>
      </w:pPr>
      <w:r>
        <w:rPr>
          <w:rFonts w:hint="eastAsia" w:ascii="宋体" w:hAnsi="宋体" w:eastAsia="宋体" w:cs="宋体"/>
          <w:color w:val="auto"/>
          <w:spacing w:val="-6"/>
          <w:sz w:val="22"/>
          <w:szCs w:val="22"/>
        </w:rPr>
        <w:t>（2）磋商日期和地点，磋商人员名单；</w:t>
      </w:r>
    </w:p>
    <w:p w14:paraId="02C33A05">
      <w:pPr>
        <w:keepNext w:val="0"/>
        <w:keepLines w:val="0"/>
        <w:pageBreakBefore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color w:val="auto"/>
          <w:spacing w:val="-6"/>
          <w:sz w:val="22"/>
          <w:szCs w:val="22"/>
        </w:rPr>
      </w:pPr>
      <w:r>
        <w:rPr>
          <w:rFonts w:hint="eastAsia" w:ascii="宋体" w:hAnsi="宋体" w:eastAsia="宋体" w:cs="宋体"/>
          <w:color w:val="auto"/>
          <w:spacing w:val="-6"/>
          <w:sz w:val="22"/>
          <w:szCs w:val="22"/>
        </w:rPr>
        <w:t>（3）合同主要条款及价格商定情况。</w:t>
      </w:r>
    </w:p>
    <w:p w14:paraId="4E3E0E2A">
      <w:pPr>
        <w:keepNext w:val="0"/>
        <w:keepLines w:val="0"/>
        <w:pageBreakBefore w:val="0"/>
        <w:widowControl/>
        <w:tabs>
          <w:tab w:val="left" w:pos="540"/>
        </w:tabs>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4.7磋商过程中重新提交的响应文件，供应商可以在开启前补充、修改。</w:t>
      </w:r>
    </w:p>
    <w:p w14:paraId="516E8343">
      <w:pPr>
        <w:keepNext w:val="0"/>
        <w:keepLines w:val="0"/>
        <w:pageBreakBefore w:val="0"/>
        <w:tabs>
          <w:tab w:val="left" w:pos="2835"/>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4.8对磋商过程提交的响应文件进行有效性、完整性和响应程度审查，通过审查的合格供应商不足3家的，采购人或者采购代理机构应当重新开展采购活动。</w:t>
      </w:r>
    </w:p>
    <w:p w14:paraId="51830422">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color w:val="auto"/>
          <w:sz w:val="22"/>
          <w:szCs w:val="22"/>
        </w:rPr>
      </w:pPr>
      <w:r>
        <w:rPr>
          <w:rFonts w:hint="eastAsia" w:ascii="宋体" w:hAnsi="宋体" w:eastAsia="宋体" w:cs="宋体"/>
          <w:b/>
          <w:bCs/>
          <w:color w:val="auto"/>
          <w:sz w:val="22"/>
          <w:szCs w:val="22"/>
        </w:rPr>
        <w:t>5.最后报价</w:t>
      </w:r>
    </w:p>
    <w:p w14:paraId="2D8DA7D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C92E7D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5.2磋商文件不能详细列明采购标的的技术、</w:t>
      </w:r>
      <w:r>
        <w:rPr>
          <w:rFonts w:hint="eastAsia" w:ascii="宋体" w:hAnsi="宋体" w:eastAsia="宋体" w:cs="宋体"/>
          <w:color w:val="auto"/>
          <w:sz w:val="22"/>
          <w:szCs w:val="22"/>
          <w:lang w:val="en-US" w:eastAsia="zh-CN"/>
        </w:rPr>
        <w:t>服务</w:t>
      </w:r>
      <w:r>
        <w:rPr>
          <w:rFonts w:hint="eastAsia" w:ascii="宋体" w:hAnsi="宋体" w:eastAsia="宋体" w:cs="宋体"/>
          <w:color w:val="auto"/>
          <w:sz w:val="22"/>
          <w:szCs w:val="22"/>
        </w:rPr>
        <w:t>要求，需经磋商由供应商提供最后设计方案或者解决方案的，磋商结束后，由磋商小组按照少数服从多数的原则投票推荐3家以上供应商的设计方案或者解决方案，并要求其在规定时间内密封提交最后报价。</w:t>
      </w:r>
    </w:p>
    <w:p w14:paraId="6D57658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3DFB1F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5.4已经提交响应文件的供应商，在提交最后报价之前，可以根据磋商情况退出磋商，退出磋商的供应商的响应文件按无效响应处理。</w:t>
      </w:r>
    </w:p>
    <w:p w14:paraId="5692ABE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5.5供应商未在规定时间内提交最后报价的，视同退出磋商。</w:t>
      </w:r>
    </w:p>
    <w:p w14:paraId="3CC377F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5.6磋商小组收齐最后报价后统一开启，磋商小组对最后报价进行有效性、完整性和响应程度的审查。</w:t>
      </w:r>
    </w:p>
    <w:p w14:paraId="54A1CECD">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5.7最终响应文件的报价出现前后不一致的，按照本章第3.4条的规定修正。 </w:t>
      </w:r>
    </w:p>
    <w:p w14:paraId="15339B4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5.8修正后的最终报价出现下列情形的，按无效响应处理：</w:t>
      </w:r>
    </w:p>
    <w:p w14:paraId="29B64CE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（1）供应商不确认的（全流程电子化评标采取在线确认）；</w:t>
      </w:r>
    </w:p>
    <w:p w14:paraId="70C2988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（2）经供应商确认修正后的响应报价（包含首次报价、最后报价）超过所竞标规定的采购预算金额或者最高限价的（如本项目公布了最高限价）；</w:t>
      </w:r>
    </w:p>
    <w:p w14:paraId="5F5D031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（3）经供应商确认修正后的响应报价（包含首次报价、最后报价）超过分项采购预算金额或者最高限价的（如本项目公布了最高限价）。</w:t>
      </w:r>
    </w:p>
    <w:p w14:paraId="68C0ADC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5.9经供应商确认修正后的最后报价作为评审及签订合同的依据。</w:t>
      </w:r>
    </w:p>
    <w:p w14:paraId="6184550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5.10供应商出现最后报价按无效响应处理或者响应文件按无效处理时，磋商小组应当告知有关供应商。</w:t>
      </w:r>
    </w:p>
    <w:p w14:paraId="2240348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5.11最后报价结束后，磋商小组不得再与供应商进行任何形式的商谈。</w:t>
      </w:r>
    </w:p>
    <w:p w14:paraId="505542F1">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6.比较与评价</w:t>
      </w:r>
    </w:p>
    <w:p w14:paraId="56C83B4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6.1评审方法：综合评分法。</w:t>
      </w:r>
    </w:p>
    <w:p w14:paraId="49C314B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6.2经磋商确定最终采购需求和提交最后报价的供应商后，由磋商小组采用综合评分法对提交最后报价的供应商的响应文件和最后报价进行综合评分。</w:t>
      </w:r>
    </w:p>
    <w:p w14:paraId="789D17B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6.3评审时，磋商小组各成员应当独立对每个有效响应的文件进行评价、打分，然后汇总每个供应商每项评分因素的得分。</w:t>
      </w:r>
    </w:p>
    <w:p w14:paraId="089CDF9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BA5349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）磋商小组按照磋商文件中规定的评审标准计算各供应商的报价得分。项目评审过程中，不得去掉最后报价中的最高报价和最低报价。</w:t>
      </w:r>
    </w:p>
    <w:p w14:paraId="395EFF5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）各供应商的得分为磋商小组所有成员的有效评分的算术平均数。</w:t>
      </w:r>
    </w:p>
    <w:p w14:paraId="024B13D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6.4评审价为供应商的最后报价进行政策性扣除后的价格，评审价只是作为评审时使用。最终成交供应商的成交金额等于最后报价（如有修正，以确认修正后的最后报价为准）。</w:t>
      </w:r>
    </w:p>
    <w:p w14:paraId="019AA36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6.5由磋商小组根据综合评分情况，按照评审得分由高到低顺序推荐3名以上成交候选供应商，并编写评</w:t>
      </w:r>
      <w:r>
        <w:rPr>
          <w:rFonts w:hint="eastAsia" w:ascii="宋体" w:hAnsi="宋体" w:eastAsia="宋体" w:cs="宋体"/>
          <w:color w:val="auto"/>
          <w:kern w:val="0"/>
          <w:sz w:val="22"/>
          <w:szCs w:val="22"/>
        </w:rPr>
        <w:t>审报告。符合本章第4.3条情形的，可以推荐2家成交候选供应商。评审得分相同的，按照最后报价由低到高的顺序推荐。评审得分且最后报价相同的，按照技术指标优劣顺序推荐。</w:t>
      </w:r>
    </w:p>
    <w:p w14:paraId="02C424D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CABA6D">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7.评审复核</w:t>
      </w:r>
    </w:p>
    <w:p w14:paraId="6FCA6E6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7.1评审报告签署前，评审委员会要对评审结果进行复核，复核意见要体现在评审报告中。</w:t>
      </w:r>
    </w:p>
    <w:p w14:paraId="1E40BC93">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061B9CE">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lang w:val="en-US" w:eastAsia="zh-CN"/>
        </w:rPr>
        <w:t>8</w:t>
      </w:r>
      <w:r>
        <w:rPr>
          <w:rFonts w:hint="eastAsia" w:ascii="宋体" w:hAnsi="宋体" w:eastAsia="宋体" w:cs="宋体"/>
          <w:b/>
          <w:bCs/>
          <w:color w:val="auto"/>
          <w:sz w:val="22"/>
          <w:szCs w:val="22"/>
        </w:rPr>
        <w:t>.评审标准</w:t>
      </w:r>
    </w:p>
    <w:p w14:paraId="3CF57F9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Cs/>
          <w:color w:val="auto"/>
          <w:szCs w:val="21"/>
        </w:rPr>
      </w:pPr>
      <w:r>
        <w:rPr>
          <w:rFonts w:hint="eastAsia" w:ascii="宋体" w:hAnsi="宋体" w:eastAsia="宋体" w:cs="宋体"/>
          <w:b w:val="0"/>
          <w:bCs/>
          <w:color w:val="auto"/>
          <w:sz w:val="22"/>
          <w:szCs w:val="22"/>
          <w:lang w:val="en-US" w:eastAsia="zh-CN"/>
        </w:rPr>
        <w:t>8</w:t>
      </w:r>
      <w:r>
        <w:rPr>
          <w:rFonts w:hint="eastAsia" w:ascii="宋体" w:hAnsi="宋体" w:eastAsia="宋体" w:cs="宋体"/>
          <w:b w:val="0"/>
          <w:bCs/>
          <w:color w:val="auto"/>
          <w:sz w:val="22"/>
          <w:szCs w:val="22"/>
        </w:rPr>
        <w:t>.</w:t>
      </w:r>
      <w:r>
        <w:rPr>
          <w:rFonts w:hint="eastAsia" w:ascii="宋体" w:hAnsi="宋体" w:eastAsia="宋体" w:cs="宋体"/>
          <w:bCs/>
          <w:color w:val="auto"/>
          <w:sz w:val="22"/>
          <w:szCs w:val="22"/>
        </w:rPr>
        <w:t>1评审依据：磋商小组将以磋商响应文件为评审依据，对供应商的报价、技术、商务等方面内容按百分制打分。（计分方法按四舍五入取至百分位）</w:t>
      </w:r>
      <w:bookmarkEnd w:id="49"/>
      <w:bookmarkStart w:id="52" w:name="_Toc80205935"/>
      <w:bookmarkStart w:id="53" w:name="_Toc91258508"/>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6521"/>
        <w:gridCol w:w="709"/>
      </w:tblGrid>
      <w:tr w14:paraId="40DD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267D2955">
            <w:pPr>
              <w:keepNext w:val="0"/>
              <w:keepLines w:val="0"/>
              <w:pageBreakBefore w:val="0"/>
              <w:kinsoku/>
              <w:wordWrap/>
              <w:overflowPunct/>
              <w:topLinePunct w:val="0"/>
              <w:autoSpaceDE/>
              <w:autoSpaceDN/>
              <w:bidi w:val="0"/>
              <w:adjustRightInd/>
              <w:snapToGrid/>
              <w:spacing w:line="360" w:lineRule="auto"/>
              <w:ind w:left="0" w:right="0"/>
              <w:rPr>
                <w:rFonts w:hint="eastAsia" w:ascii="宋体" w:hAnsi="宋体"/>
                <w:color w:val="auto"/>
                <w:szCs w:val="21"/>
              </w:rPr>
            </w:pPr>
            <w:r>
              <w:rPr>
                <w:rFonts w:hint="eastAsia" w:ascii="宋体" w:hAnsi="宋体"/>
                <w:color w:val="auto"/>
                <w:szCs w:val="21"/>
              </w:rPr>
              <w:br w:type="page"/>
            </w:r>
            <w:r>
              <w:rPr>
                <w:rFonts w:hint="eastAsia" w:ascii="宋体" w:hAnsi="宋体"/>
                <w:color w:val="auto"/>
                <w:szCs w:val="21"/>
              </w:rPr>
              <w:t>序号</w:t>
            </w:r>
          </w:p>
        </w:tc>
        <w:tc>
          <w:tcPr>
            <w:tcW w:w="1701" w:type="dxa"/>
            <w:vAlign w:val="center"/>
          </w:tcPr>
          <w:p w14:paraId="54B53E9D">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评审因素</w:t>
            </w:r>
          </w:p>
        </w:tc>
        <w:tc>
          <w:tcPr>
            <w:tcW w:w="6521" w:type="dxa"/>
            <w:vAlign w:val="center"/>
          </w:tcPr>
          <w:p w14:paraId="527483FD">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评审因素具体内容</w:t>
            </w:r>
          </w:p>
        </w:tc>
        <w:tc>
          <w:tcPr>
            <w:tcW w:w="709" w:type="dxa"/>
            <w:vAlign w:val="center"/>
          </w:tcPr>
          <w:p w14:paraId="65D28833">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分值</w:t>
            </w:r>
          </w:p>
        </w:tc>
      </w:tr>
      <w:tr w14:paraId="5803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75" w:type="dxa"/>
            <w:vAlign w:val="center"/>
          </w:tcPr>
          <w:p w14:paraId="3DB390BB">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1</w:t>
            </w:r>
          </w:p>
        </w:tc>
        <w:tc>
          <w:tcPr>
            <w:tcW w:w="1701" w:type="dxa"/>
            <w:tcBorders>
              <w:left w:val="single" w:color="auto" w:sz="4" w:space="0"/>
            </w:tcBorders>
            <w:vAlign w:val="center"/>
          </w:tcPr>
          <w:p w14:paraId="5A5AD76F">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eastAsia="宋体"/>
                <w:color w:val="auto"/>
                <w:szCs w:val="21"/>
                <w:lang w:eastAsia="zh-CN"/>
              </w:rPr>
            </w:pPr>
            <w:r>
              <w:rPr>
                <w:rFonts w:hint="eastAsia" w:ascii="宋体" w:hAnsi="宋体"/>
                <w:color w:val="auto"/>
                <w:szCs w:val="21"/>
              </w:rPr>
              <w:t>价格分</w:t>
            </w:r>
            <w:r>
              <w:rPr>
                <w:rFonts w:hint="eastAsia" w:ascii="宋体" w:hAnsi="宋体"/>
                <w:b/>
                <w:bCs/>
                <w:color w:val="auto"/>
                <w:szCs w:val="21"/>
                <w:lang w:eastAsia="zh-CN"/>
              </w:rPr>
              <w:t>（</w:t>
            </w:r>
            <w:r>
              <w:rPr>
                <w:rFonts w:hint="eastAsia" w:ascii="宋体" w:hAnsi="宋体"/>
                <w:b/>
                <w:bCs/>
                <w:color w:val="auto"/>
                <w:szCs w:val="21"/>
                <w:lang w:val="en-US" w:eastAsia="zh-CN"/>
              </w:rPr>
              <w:t>10分</w:t>
            </w:r>
            <w:r>
              <w:rPr>
                <w:rFonts w:hint="eastAsia" w:ascii="宋体" w:hAnsi="宋体"/>
                <w:b/>
                <w:bCs/>
                <w:color w:val="auto"/>
                <w:szCs w:val="21"/>
                <w:lang w:eastAsia="zh-CN"/>
              </w:rPr>
              <w:t>）</w:t>
            </w:r>
          </w:p>
        </w:tc>
        <w:tc>
          <w:tcPr>
            <w:tcW w:w="6521" w:type="dxa"/>
            <w:tcBorders>
              <w:left w:val="single" w:color="auto" w:sz="4" w:space="0"/>
            </w:tcBorders>
            <w:vAlign w:val="center"/>
          </w:tcPr>
          <w:p w14:paraId="7D628BA2">
            <w:pPr>
              <w:pStyle w:val="22"/>
              <w:keepNext w:val="0"/>
              <w:keepLines w:val="0"/>
              <w:pageBreakBefore w:val="0"/>
              <w:kinsoku/>
              <w:wordWrap/>
              <w:overflowPunct/>
              <w:topLinePunct w:val="0"/>
              <w:autoSpaceDE/>
              <w:autoSpaceDN/>
              <w:bidi w:val="0"/>
              <w:adjustRightInd/>
              <w:snapToGrid/>
              <w:spacing w:line="360" w:lineRule="auto"/>
              <w:ind w:left="0" w:right="0"/>
              <w:rPr>
                <w:rFonts w:cs="黑体"/>
                <w:i w:val="0"/>
                <w:iCs w:val="0"/>
                <w:color w:val="auto"/>
                <w:kern w:val="2"/>
              </w:rPr>
            </w:pPr>
            <w:r>
              <w:rPr>
                <w:rFonts w:hint="eastAsia" w:cs="黑体"/>
                <w:i w:val="0"/>
                <w:iCs w:val="0"/>
                <w:color w:val="auto"/>
                <w:kern w:val="2"/>
              </w:rPr>
              <w:t>（1）因本项属于</w:t>
            </w:r>
            <w:r>
              <w:rPr>
                <w:rFonts w:hint="eastAsia" w:cs="黑体"/>
                <w:i w:val="0"/>
                <w:iCs w:val="0"/>
                <w:color w:val="auto"/>
                <w:kern w:val="2"/>
                <w:lang w:eastAsia="zh-CN"/>
              </w:rPr>
              <w:t>专门面向中小</w:t>
            </w:r>
            <w:r>
              <w:rPr>
                <w:rFonts w:hint="eastAsia" w:cs="黑体"/>
                <w:i w:val="0"/>
                <w:iCs w:val="0"/>
                <w:color w:val="auto"/>
                <w:kern w:val="2"/>
              </w:rPr>
              <w:t>企业采购，不享受价格扣除优惠政策。评审价为供应商的最后报价，最终成交供应商的成交金额等于最后报价（如有修正，以确认修正后的最后报价为准）。</w:t>
            </w:r>
          </w:p>
          <w:p w14:paraId="0DCA9FD3">
            <w:pPr>
              <w:pStyle w:val="22"/>
              <w:keepNext w:val="0"/>
              <w:keepLines w:val="0"/>
              <w:pageBreakBefore w:val="0"/>
              <w:kinsoku/>
              <w:wordWrap/>
              <w:overflowPunct/>
              <w:topLinePunct w:val="0"/>
              <w:autoSpaceDE/>
              <w:autoSpaceDN/>
              <w:bidi w:val="0"/>
              <w:adjustRightInd/>
              <w:snapToGrid/>
              <w:spacing w:line="360" w:lineRule="auto"/>
              <w:ind w:left="0" w:right="0"/>
              <w:rPr>
                <w:rFonts w:hint="eastAsia" w:cs="黑体"/>
                <w:i w:val="0"/>
                <w:iCs w:val="0"/>
                <w:color w:val="auto"/>
                <w:kern w:val="2"/>
              </w:rPr>
            </w:pPr>
            <w:r>
              <w:rPr>
                <w:rFonts w:hint="eastAsia" w:cs="黑体"/>
                <w:i w:val="0"/>
                <w:iCs w:val="0"/>
                <w:color w:val="auto"/>
                <w:kern w:val="2"/>
              </w:rPr>
              <w:t>（2）以进入比较与评价环节的最低的评审价为基准价，基准价得分为</w:t>
            </w:r>
            <w:r>
              <w:rPr>
                <w:rFonts w:hint="eastAsia" w:cs="黑体"/>
                <w:i w:val="0"/>
                <w:iCs w:val="0"/>
                <w:color w:val="auto"/>
                <w:kern w:val="2"/>
                <w:lang w:val="en-US" w:eastAsia="zh-CN"/>
              </w:rPr>
              <w:t>10</w:t>
            </w:r>
            <w:r>
              <w:rPr>
                <w:rFonts w:hint="eastAsia" w:cs="黑体"/>
                <w:i w:val="0"/>
                <w:iCs w:val="0"/>
                <w:color w:val="auto"/>
                <w:kern w:val="2"/>
              </w:rPr>
              <w:t>分。</w:t>
            </w:r>
          </w:p>
          <w:p w14:paraId="74BBE454">
            <w:pPr>
              <w:pStyle w:val="22"/>
              <w:keepNext w:val="0"/>
              <w:keepLines w:val="0"/>
              <w:pageBreakBefore w:val="0"/>
              <w:kinsoku/>
              <w:wordWrap/>
              <w:overflowPunct/>
              <w:topLinePunct w:val="0"/>
              <w:autoSpaceDE/>
              <w:autoSpaceDN/>
              <w:bidi w:val="0"/>
              <w:adjustRightInd/>
              <w:snapToGrid/>
              <w:spacing w:line="360" w:lineRule="auto"/>
              <w:ind w:left="0" w:right="0"/>
              <w:rPr>
                <w:rFonts w:hint="eastAsia" w:ascii="宋体" w:hAnsi="宋体" w:cs="黑体"/>
                <w:color w:val="auto"/>
              </w:rPr>
            </w:pPr>
            <w:r>
              <w:rPr>
                <w:rFonts w:hint="eastAsia" w:cs="黑体"/>
                <w:color w:val="auto"/>
                <w:kern w:val="2"/>
              </w:rPr>
              <w:t>（3）价格分计算公式：</w:t>
            </w:r>
            <w:r>
              <w:rPr>
                <w:rFonts w:hint="eastAsia" w:ascii="宋体" w:hAnsi="宋体" w:cs="黑体"/>
                <w:color w:val="auto"/>
                <w:kern w:val="2"/>
              </w:rPr>
              <w:t>报价得分=（基准价/最后报价）×</w:t>
            </w:r>
            <w:r>
              <w:rPr>
                <w:rFonts w:hint="eastAsia" w:cs="黑体"/>
                <w:color w:val="auto"/>
                <w:kern w:val="2"/>
                <w:lang w:val="en-US" w:eastAsia="zh-CN"/>
              </w:rPr>
              <w:t>10</w:t>
            </w:r>
            <w:r>
              <w:rPr>
                <w:rFonts w:hint="eastAsia" w:ascii="宋体" w:hAnsi="宋体" w:cs="黑体"/>
                <w:color w:val="auto"/>
                <w:kern w:val="2"/>
              </w:rPr>
              <w:t>分</w:t>
            </w:r>
          </w:p>
        </w:tc>
        <w:tc>
          <w:tcPr>
            <w:tcW w:w="709" w:type="dxa"/>
            <w:tcBorders>
              <w:left w:val="single" w:color="auto" w:sz="4" w:space="0"/>
            </w:tcBorders>
            <w:vAlign w:val="center"/>
          </w:tcPr>
          <w:p w14:paraId="155DAA76">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分</w:t>
            </w:r>
          </w:p>
        </w:tc>
      </w:tr>
      <w:tr w14:paraId="6A45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75" w:type="dxa"/>
            <w:vAlign w:val="center"/>
          </w:tcPr>
          <w:p w14:paraId="34BA3652">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2</w:t>
            </w:r>
          </w:p>
        </w:tc>
        <w:tc>
          <w:tcPr>
            <w:tcW w:w="1701" w:type="dxa"/>
            <w:tcBorders>
              <w:left w:val="single" w:color="auto" w:sz="4" w:space="0"/>
            </w:tcBorders>
            <w:vAlign w:val="center"/>
          </w:tcPr>
          <w:p w14:paraId="62738B15">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技术分（主观分）</w:t>
            </w:r>
          </w:p>
          <w:p w14:paraId="1FA16354">
            <w:pPr>
              <w:keepNext w:val="0"/>
              <w:keepLines w:val="0"/>
              <w:pageBreakBefore w:val="0"/>
              <w:widowControl/>
              <w:kinsoku/>
              <w:wordWrap/>
              <w:overflowPunct/>
              <w:topLinePunct w:val="0"/>
              <w:autoSpaceDE/>
              <w:autoSpaceDN/>
              <w:bidi w:val="0"/>
              <w:adjustRightInd/>
              <w:snapToGrid/>
              <w:spacing w:line="360" w:lineRule="auto"/>
              <w:ind w:left="0" w:right="0"/>
              <w:jc w:val="center"/>
              <w:rPr>
                <w:rFonts w:ascii="宋体" w:hAnsi="宋体"/>
                <w:color w:val="auto"/>
                <w:szCs w:val="21"/>
              </w:rPr>
            </w:pPr>
            <w:r>
              <w:rPr>
                <w:rFonts w:hint="eastAsia" w:ascii="宋体" w:hAnsi="宋体"/>
                <w:b/>
                <w:bCs/>
                <w:color w:val="auto"/>
                <w:szCs w:val="21"/>
              </w:rPr>
              <w:t>(满分</w:t>
            </w:r>
            <w:r>
              <w:rPr>
                <w:rFonts w:hint="eastAsia" w:ascii="宋体" w:hAnsi="宋体"/>
                <w:b/>
                <w:bCs/>
                <w:color w:val="auto"/>
                <w:szCs w:val="21"/>
                <w:lang w:val="en-US" w:eastAsia="zh-CN"/>
              </w:rPr>
              <w:t>58</w:t>
            </w:r>
            <w:r>
              <w:rPr>
                <w:rFonts w:hint="eastAsia" w:ascii="宋体" w:hAnsi="宋体"/>
                <w:b/>
                <w:bCs/>
                <w:color w:val="auto"/>
                <w:szCs w:val="21"/>
              </w:rPr>
              <w:t>分）</w:t>
            </w:r>
          </w:p>
        </w:tc>
        <w:tc>
          <w:tcPr>
            <w:tcW w:w="7230" w:type="dxa"/>
            <w:gridSpan w:val="2"/>
            <w:tcBorders>
              <w:left w:val="single" w:color="auto" w:sz="4" w:space="0"/>
            </w:tcBorders>
            <w:vAlign w:val="center"/>
          </w:tcPr>
          <w:p w14:paraId="64E6A2F8">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评审因素</w:t>
            </w:r>
          </w:p>
        </w:tc>
      </w:tr>
      <w:tr w14:paraId="016C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3BB2C019">
            <w:pPr>
              <w:keepNext w:val="0"/>
              <w:keepLines w:val="0"/>
              <w:pageBreakBefore w:val="0"/>
              <w:kinsoku/>
              <w:wordWrap/>
              <w:overflowPunct/>
              <w:topLinePunct w:val="0"/>
              <w:autoSpaceDE/>
              <w:autoSpaceDN/>
              <w:bidi w:val="0"/>
              <w:adjustRightInd/>
              <w:snapToGrid/>
              <w:spacing w:line="360" w:lineRule="auto"/>
              <w:ind w:left="0" w:right="0"/>
              <w:jc w:val="center"/>
              <w:textAlignment w:val="baseline"/>
              <w:rPr>
                <w:rFonts w:hint="eastAsia" w:ascii="宋体" w:hAnsi="宋体"/>
                <w:color w:val="auto"/>
                <w:szCs w:val="21"/>
              </w:rPr>
            </w:pPr>
            <w:r>
              <w:rPr>
                <w:rFonts w:hint="eastAsia" w:ascii="宋体" w:hAnsi="宋体"/>
                <w:color w:val="auto"/>
                <w:szCs w:val="21"/>
              </w:rPr>
              <w:t>2.1</w:t>
            </w:r>
          </w:p>
        </w:tc>
        <w:tc>
          <w:tcPr>
            <w:tcW w:w="1701" w:type="dxa"/>
            <w:tcBorders>
              <w:left w:val="single" w:color="auto" w:sz="4" w:space="0"/>
            </w:tcBorders>
            <w:vAlign w:val="center"/>
          </w:tcPr>
          <w:p w14:paraId="168517AA">
            <w:pPr>
              <w:keepNext w:val="0"/>
              <w:keepLines w:val="0"/>
              <w:pageBreakBefore w:val="0"/>
              <w:kinsoku/>
              <w:wordWrap/>
              <w:overflowPunct/>
              <w:topLinePunct w:val="0"/>
              <w:autoSpaceDE/>
              <w:autoSpaceDN/>
              <w:bidi w:val="0"/>
              <w:adjustRightInd/>
              <w:snapToGrid/>
              <w:spacing w:line="360" w:lineRule="auto"/>
              <w:ind w:left="0" w:right="0"/>
              <w:rPr>
                <w:rFonts w:hint="eastAsia" w:ascii="宋体" w:hAnsi="宋体" w:eastAsia="宋体"/>
                <w:color w:val="auto"/>
                <w:szCs w:val="21"/>
                <w:lang w:eastAsia="zh-CN"/>
              </w:rPr>
            </w:pPr>
            <w:r>
              <w:rPr>
                <w:rFonts w:hint="eastAsia" w:ascii="宋体" w:hAnsi="宋体"/>
                <w:color w:val="auto"/>
                <w:szCs w:val="21"/>
              </w:rPr>
              <w:t>实施进度计划和各阶段进度的保证措施</w:t>
            </w:r>
            <w:r>
              <w:rPr>
                <w:rFonts w:hint="eastAsia" w:ascii="宋体" w:hAnsi="宋体"/>
                <w:color w:val="auto"/>
                <w:szCs w:val="21"/>
                <w:lang w:eastAsia="zh-CN"/>
              </w:rPr>
              <w:t>（</w:t>
            </w:r>
            <w:r>
              <w:rPr>
                <w:rFonts w:hint="eastAsia" w:ascii="宋体" w:hAnsi="宋体"/>
                <w:color w:val="auto"/>
                <w:szCs w:val="21"/>
                <w:lang w:val="en-US" w:eastAsia="zh-CN"/>
              </w:rPr>
              <w:t>12分</w:t>
            </w:r>
            <w:r>
              <w:rPr>
                <w:rFonts w:hint="eastAsia" w:ascii="宋体" w:hAnsi="宋体"/>
                <w:color w:val="auto"/>
                <w:szCs w:val="21"/>
                <w:lang w:eastAsia="zh-CN"/>
              </w:rPr>
              <w:t>）</w:t>
            </w:r>
          </w:p>
        </w:tc>
        <w:tc>
          <w:tcPr>
            <w:tcW w:w="6521" w:type="dxa"/>
            <w:tcBorders>
              <w:left w:val="single" w:color="auto" w:sz="4" w:space="0"/>
            </w:tcBorders>
            <w:vAlign w:val="center"/>
          </w:tcPr>
          <w:p w14:paraId="1E752838">
            <w:pPr>
              <w:keepNext w:val="0"/>
              <w:keepLines w:val="0"/>
              <w:pageBreakBefore w:val="0"/>
              <w:kinsoku/>
              <w:wordWrap/>
              <w:overflowPunct/>
              <w:topLinePunct w:val="0"/>
              <w:autoSpaceDE/>
              <w:autoSpaceDN/>
              <w:bidi w:val="0"/>
              <w:adjustRightInd/>
              <w:snapToGrid/>
              <w:spacing w:line="360" w:lineRule="auto"/>
              <w:ind w:left="0" w:right="0" w:firstLine="420" w:firstLineChars="200"/>
              <w:rPr>
                <w:rFonts w:ascii="宋体" w:hAnsi="宋体" w:eastAsia="宋体"/>
                <w:color w:val="auto"/>
                <w:szCs w:val="21"/>
                <w:lang w:val="en-US" w:eastAsia="zh-CN"/>
              </w:rPr>
            </w:pPr>
            <w:r>
              <w:rPr>
                <w:rFonts w:hint="eastAsia" w:ascii="宋体" w:hAnsi="宋体"/>
                <w:color w:val="auto"/>
                <w:szCs w:val="21"/>
              </w:rPr>
              <w:t>评委将根据供应商的实施进度计划和各阶段进度的保证措施进行打分。未提供</w:t>
            </w:r>
            <w:r>
              <w:rPr>
                <w:rFonts w:hint="eastAsia" w:ascii="宋体" w:hAnsi="宋体"/>
                <w:color w:val="auto"/>
                <w:szCs w:val="21"/>
                <w:lang w:val="en-US" w:eastAsia="zh-CN"/>
              </w:rPr>
              <w:t>评分</w:t>
            </w:r>
            <w:r>
              <w:rPr>
                <w:rFonts w:hint="eastAsia" w:ascii="宋体" w:hAnsi="宋体"/>
                <w:color w:val="auto"/>
                <w:szCs w:val="21"/>
              </w:rPr>
              <w:t>内容，或内容不满足项目需求的</w:t>
            </w:r>
            <w:r>
              <w:rPr>
                <w:rFonts w:hint="eastAsia" w:ascii="宋体" w:hAnsi="宋体"/>
                <w:color w:val="auto"/>
                <w:szCs w:val="21"/>
                <w:lang w:eastAsia="zh-CN"/>
              </w:rPr>
              <w:t>，</w:t>
            </w:r>
            <w:r>
              <w:rPr>
                <w:rFonts w:hint="eastAsia" w:ascii="宋体" w:hAnsi="宋体"/>
                <w:color w:val="auto"/>
                <w:szCs w:val="21"/>
                <w:lang w:val="en-US" w:eastAsia="zh-CN"/>
              </w:rPr>
              <w:t>不得分。</w:t>
            </w:r>
          </w:p>
          <w:p w14:paraId="74024E5A">
            <w:pPr>
              <w:keepNext w:val="0"/>
              <w:keepLines w:val="0"/>
              <w:pageBreakBefore w:val="0"/>
              <w:kinsoku/>
              <w:wordWrap/>
              <w:overflowPunct/>
              <w:topLinePunct w:val="0"/>
              <w:autoSpaceDE/>
              <w:autoSpaceDN/>
              <w:bidi w:val="0"/>
              <w:adjustRightInd/>
              <w:snapToGrid/>
              <w:spacing w:line="360" w:lineRule="auto"/>
              <w:ind w:left="0" w:right="0" w:firstLine="420" w:firstLineChars="200"/>
              <w:rPr>
                <w:rFonts w:hint="eastAsia" w:ascii="宋体" w:hAnsi="宋体"/>
                <w:color w:val="auto"/>
                <w:szCs w:val="21"/>
              </w:rPr>
            </w:pPr>
            <w:r>
              <w:rPr>
                <w:rFonts w:hint="eastAsia" w:ascii="宋体" w:hAnsi="宋体"/>
                <w:color w:val="auto"/>
                <w:szCs w:val="21"/>
              </w:rPr>
              <w:t>一档(</w:t>
            </w:r>
            <w:r>
              <w:rPr>
                <w:rFonts w:hint="eastAsia" w:ascii="宋体" w:hAnsi="宋体"/>
                <w:color w:val="auto"/>
                <w:szCs w:val="21"/>
                <w:lang w:val="en-US" w:eastAsia="zh-CN"/>
              </w:rPr>
              <w:t>12</w:t>
            </w:r>
            <w:r>
              <w:rPr>
                <w:rFonts w:hint="eastAsia" w:ascii="宋体" w:hAnsi="宋体"/>
                <w:color w:val="auto"/>
                <w:szCs w:val="21"/>
              </w:rPr>
              <w:t>.0分)</w:t>
            </w:r>
            <w:r>
              <w:rPr>
                <w:rFonts w:hint="eastAsia" w:ascii="宋体" w:hAnsi="宋体"/>
                <w:color w:val="auto"/>
                <w:szCs w:val="21"/>
                <w:lang w:eastAsia="zh-CN"/>
              </w:rPr>
              <w:t>：</w:t>
            </w:r>
            <w:r>
              <w:rPr>
                <w:rFonts w:hint="eastAsia" w:ascii="宋体" w:hAnsi="宋体"/>
                <w:color w:val="auto"/>
                <w:szCs w:val="21"/>
              </w:rPr>
              <w:t>清理维护关键线路清晰、准确、完整，计划编制合理、可行，关键节点的控制措施有力、合理、可行，进度违约责任承诺具体。</w:t>
            </w:r>
          </w:p>
          <w:p w14:paraId="7D06A25A">
            <w:pPr>
              <w:keepNext w:val="0"/>
              <w:keepLines w:val="0"/>
              <w:pageBreakBefore w:val="0"/>
              <w:kinsoku/>
              <w:wordWrap/>
              <w:overflowPunct/>
              <w:topLinePunct w:val="0"/>
              <w:autoSpaceDE/>
              <w:autoSpaceDN/>
              <w:bidi w:val="0"/>
              <w:adjustRightInd/>
              <w:snapToGrid/>
              <w:spacing w:line="360" w:lineRule="auto"/>
              <w:ind w:left="0" w:right="0" w:firstLine="420" w:firstLineChars="200"/>
              <w:rPr>
                <w:rFonts w:hint="eastAsia" w:ascii="宋体" w:hAnsi="宋体"/>
                <w:color w:val="auto"/>
                <w:szCs w:val="21"/>
              </w:rPr>
            </w:pPr>
            <w:r>
              <w:rPr>
                <w:rFonts w:hint="eastAsia" w:ascii="宋体" w:hAnsi="宋体"/>
                <w:color w:val="auto"/>
                <w:szCs w:val="21"/>
              </w:rPr>
              <w:t>二档(</w:t>
            </w:r>
            <w:r>
              <w:rPr>
                <w:rFonts w:hint="eastAsia" w:ascii="宋体" w:hAnsi="宋体"/>
                <w:color w:val="auto"/>
                <w:szCs w:val="21"/>
                <w:lang w:val="en-US" w:eastAsia="zh-CN"/>
              </w:rPr>
              <w:t>9</w:t>
            </w:r>
            <w:r>
              <w:rPr>
                <w:rFonts w:hint="eastAsia" w:ascii="宋体" w:hAnsi="宋体"/>
                <w:color w:val="auto"/>
                <w:szCs w:val="21"/>
              </w:rPr>
              <w:t>.0分)</w:t>
            </w:r>
            <w:r>
              <w:rPr>
                <w:rFonts w:hint="eastAsia" w:ascii="宋体" w:hAnsi="宋体"/>
                <w:color w:val="auto"/>
                <w:szCs w:val="21"/>
                <w:lang w:eastAsia="zh-CN"/>
              </w:rPr>
              <w:t>：</w:t>
            </w:r>
            <w:r>
              <w:rPr>
                <w:rFonts w:hint="eastAsia" w:ascii="宋体" w:hAnsi="宋体"/>
                <w:color w:val="auto"/>
                <w:szCs w:val="21"/>
              </w:rPr>
              <w:t>清理维护关键线路准确，计划编制合理，关键节点的控制措施可行，进度违约责任承诺具体。</w:t>
            </w:r>
          </w:p>
          <w:p w14:paraId="3F94D171">
            <w:pPr>
              <w:keepNext w:val="0"/>
              <w:keepLines w:val="0"/>
              <w:pageBreakBefore w:val="0"/>
              <w:kinsoku/>
              <w:wordWrap/>
              <w:overflowPunct/>
              <w:topLinePunct w:val="0"/>
              <w:autoSpaceDE/>
              <w:autoSpaceDN/>
              <w:bidi w:val="0"/>
              <w:adjustRightInd/>
              <w:snapToGrid/>
              <w:spacing w:line="360" w:lineRule="auto"/>
              <w:ind w:left="0" w:right="0" w:firstLine="420" w:firstLineChars="200"/>
              <w:rPr>
                <w:rFonts w:hint="eastAsia" w:ascii="宋体" w:hAnsi="宋体"/>
                <w:color w:val="auto"/>
                <w:szCs w:val="21"/>
              </w:rPr>
            </w:pPr>
            <w:r>
              <w:rPr>
                <w:rFonts w:hint="eastAsia" w:ascii="宋体" w:hAnsi="宋体"/>
                <w:color w:val="auto"/>
                <w:szCs w:val="21"/>
              </w:rPr>
              <w:t>三档(</w:t>
            </w:r>
            <w:r>
              <w:rPr>
                <w:rFonts w:hint="eastAsia" w:ascii="宋体" w:hAnsi="宋体"/>
                <w:color w:val="auto"/>
                <w:szCs w:val="21"/>
                <w:lang w:val="en-US" w:eastAsia="zh-CN"/>
              </w:rPr>
              <w:t>6</w:t>
            </w:r>
            <w:r>
              <w:rPr>
                <w:rFonts w:hint="eastAsia" w:ascii="宋体" w:hAnsi="宋体"/>
                <w:color w:val="auto"/>
                <w:szCs w:val="21"/>
              </w:rPr>
              <w:t>.0分)</w:t>
            </w:r>
            <w:r>
              <w:rPr>
                <w:rFonts w:hint="eastAsia" w:ascii="宋体" w:hAnsi="宋体"/>
                <w:color w:val="auto"/>
                <w:szCs w:val="21"/>
                <w:lang w:eastAsia="zh-CN"/>
              </w:rPr>
              <w:t>：</w:t>
            </w:r>
            <w:r>
              <w:rPr>
                <w:rFonts w:hint="eastAsia" w:ascii="宋体" w:hAnsi="宋体"/>
                <w:color w:val="auto"/>
                <w:szCs w:val="21"/>
              </w:rPr>
              <w:t>清理维护关键线路基本准确，计划编制基本合理，关键节点的控制措施基本可行，进度违约责任承诺</w:t>
            </w:r>
            <w:r>
              <w:rPr>
                <w:rFonts w:hint="eastAsia" w:ascii="宋体" w:hAnsi="宋体"/>
                <w:color w:val="auto"/>
                <w:szCs w:val="21"/>
                <w:lang w:val="en-US" w:eastAsia="zh-CN"/>
              </w:rPr>
              <w:t>不够</w:t>
            </w:r>
            <w:r>
              <w:rPr>
                <w:rFonts w:hint="eastAsia" w:ascii="宋体" w:hAnsi="宋体"/>
                <w:color w:val="auto"/>
                <w:szCs w:val="21"/>
              </w:rPr>
              <w:t>具体。</w:t>
            </w:r>
          </w:p>
          <w:p w14:paraId="36657CEB">
            <w:pPr>
              <w:keepNext w:val="0"/>
              <w:keepLines w:val="0"/>
              <w:pageBreakBefore w:val="0"/>
              <w:kinsoku/>
              <w:wordWrap/>
              <w:overflowPunct/>
              <w:topLinePunct w:val="0"/>
              <w:autoSpaceDE/>
              <w:autoSpaceDN/>
              <w:bidi w:val="0"/>
              <w:adjustRightInd/>
              <w:snapToGrid/>
              <w:spacing w:line="360" w:lineRule="auto"/>
              <w:ind w:left="0" w:right="0"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四档（3.0分）：</w:t>
            </w:r>
            <w:r>
              <w:rPr>
                <w:rFonts w:hint="eastAsia" w:ascii="宋体" w:hAnsi="宋体"/>
                <w:color w:val="auto"/>
                <w:szCs w:val="21"/>
              </w:rPr>
              <w:t>清理维护关键线路不准确，计划编制不合理，关键节点控制不可行，没有违约责任承诺。</w:t>
            </w:r>
          </w:p>
        </w:tc>
        <w:tc>
          <w:tcPr>
            <w:tcW w:w="709" w:type="dxa"/>
            <w:tcBorders>
              <w:left w:val="single" w:color="auto" w:sz="4" w:space="0"/>
            </w:tcBorders>
            <w:vAlign w:val="center"/>
          </w:tcPr>
          <w:p w14:paraId="7FB2FCFC">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lang w:val="en-US" w:eastAsia="zh-CN"/>
              </w:rPr>
              <w:t>12</w:t>
            </w:r>
            <w:r>
              <w:rPr>
                <w:rFonts w:hint="eastAsia" w:ascii="宋体" w:hAnsi="宋体"/>
                <w:color w:val="auto"/>
                <w:szCs w:val="21"/>
              </w:rPr>
              <w:t>分</w:t>
            </w:r>
          </w:p>
        </w:tc>
      </w:tr>
      <w:tr w14:paraId="6528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00128637">
            <w:pPr>
              <w:keepNext w:val="0"/>
              <w:keepLines w:val="0"/>
              <w:pageBreakBefore w:val="0"/>
              <w:kinsoku/>
              <w:wordWrap/>
              <w:overflowPunct/>
              <w:topLinePunct w:val="0"/>
              <w:autoSpaceDE/>
              <w:autoSpaceDN/>
              <w:bidi w:val="0"/>
              <w:adjustRightInd/>
              <w:snapToGrid/>
              <w:spacing w:line="360" w:lineRule="auto"/>
              <w:ind w:left="0" w:right="0"/>
              <w:jc w:val="center"/>
              <w:textAlignment w:val="baseline"/>
              <w:rPr>
                <w:rFonts w:hint="eastAsia" w:ascii="宋体" w:hAnsi="宋体"/>
                <w:color w:val="auto"/>
                <w:szCs w:val="21"/>
              </w:rPr>
            </w:pPr>
            <w:r>
              <w:rPr>
                <w:rFonts w:hint="eastAsia" w:ascii="宋体" w:hAnsi="宋体"/>
                <w:color w:val="auto"/>
                <w:szCs w:val="21"/>
              </w:rPr>
              <w:t>2.2</w:t>
            </w:r>
          </w:p>
        </w:tc>
        <w:tc>
          <w:tcPr>
            <w:tcW w:w="1701" w:type="dxa"/>
            <w:tcBorders>
              <w:left w:val="single" w:color="auto" w:sz="4" w:space="0"/>
            </w:tcBorders>
            <w:vAlign w:val="center"/>
          </w:tcPr>
          <w:p w14:paraId="6BC96F20">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eastAsia="宋体"/>
                <w:color w:val="auto"/>
                <w:szCs w:val="21"/>
                <w:lang w:eastAsia="zh-CN"/>
              </w:rPr>
            </w:pPr>
            <w:r>
              <w:rPr>
                <w:rFonts w:hint="eastAsia" w:ascii="宋体" w:hAnsi="宋体"/>
                <w:color w:val="auto"/>
                <w:szCs w:val="21"/>
              </w:rPr>
              <w:t>主要清理维护项目的服务方案及方法与技术措施</w:t>
            </w:r>
            <w:r>
              <w:rPr>
                <w:rFonts w:hint="eastAsia" w:ascii="宋体" w:hAnsi="宋体"/>
                <w:color w:val="auto"/>
                <w:szCs w:val="21"/>
                <w:lang w:eastAsia="zh-CN"/>
              </w:rPr>
              <w:t>（</w:t>
            </w:r>
            <w:r>
              <w:rPr>
                <w:rFonts w:hint="eastAsia" w:ascii="宋体" w:hAnsi="宋体"/>
                <w:color w:val="auto"/>
                <w:szCs w:val="21"/>
                <w:lang w:val="en-US" w:eastAsia="zh-CN"/>
              </w:rPr>
              <w:t>12分</w:t>
            </w:r>
            <w:r>
              <w:rPr>
                <w:rFonts w:hint="eastAsia" w:ascii="宋体" w:hAnsi="宋体"/>
                <w:color w:val="auto"/>
                <w:szCs w:val="21"/>
                <w:lang w:eastAsia="zh-CN"/>
              </w:rPr>
              <w:t>）</w:t>
            </w:r>
          </w:p>
        </w:tc>
        <w:tc>
          <w:tcPr>
            <w:tcW w:w="6521" w:type="dxa"/>
            <w:tcBorders>
              <w:left w:val="single" w:color="auto" w:sz="4" w:space="0"/>
            </w:tcBorders>
            <w:vAlign w:val="center"/>
          </w:tcPr>
          <w:p w14:paraId="6FA29902">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rPr>
            </w:pPr>
            <w:r>
              <w:rPr>
                <w:rFonts w:hint="eastAsia" w:ascii="宋体" w:hAnsi="宋体"/>
                <w:color w:val="auto"/>
                <w:szCs w:val="21"/>
              </w:rPr>
              <w:t>评委将根据供应商的主要清理维护项目的服务方案及方法与技术措施进行打分。未提供</w:t>
            </w:r>
            <w:r>
              <w:rPr>
                <w:rFonts w:hint="eastAsia" w:ascii="宋体" w:hAnsi="宋体"/>
                <w:color w:val="auto"/>
                <w:szCs w:val="21"/>
                <w:lang w:val="en-US" w:eastAsia="zh-CN"/>
              </w:rPr>
              <w:t>评分</w:t>
            </w:r>
            <w:r>
              <w:rPr>
                <w:rFonts w:hint="eastAsia" w:ascii="宋体" w:hAnsi="宋体"/>
                <w:color w:val="auto"/>
                <w:szCs w:val="21"/>
              </w:rPr>
              <w:t>内容，或内容不满足项目需求的</w:t>
            </w:r>
            <w:r>
              <w:rPr>
                <w:rFonts w:hint="eastAsia" w:ascii="宋体" w:hAnsi="宋体"/>
                <w:color w:val="auto"/>
                <w:szCs w:val="21"/>
                <w:lang w:eastAsia="zh-CN"/>
              </w:rPr>
              <w:t>，</w:t>
            </w:r>
            <w:r>
              <w:rPr>
                <w:rFonts w:hint="eastAsia" w:ascii="宋体" w:hAnsi="宋体"/>
                <w:color w:val="auto"/>
                <w:szCs w:val="21"/>
                <w:lang w:val="en-US" w:eastAsia="zh-CN"/>
              </w:rPr>
              <w:t>不得分。</w:t>
            </w:r>
          </w:p>
          <w:p w14:paraId="00D09F0E">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rPr>
            </w:pPr>
            <w:r>
              <w:rPr>
                <w:rFonts w:hint="eastAsia" w:ascii="宋体" w:hAnsi="宋体"/>
                <w:color w:val="auto"/>
                <w:szCs w:val="21"/>
              </w:rPr>
              <w:t>一档(</w:t>
            </w:r>
            <w:r>
              <w:rPr>
                <w:rFonts w:hint="eastAsia" w:ascii="宋体" w:hAnsi="宋体"/>
                <w:color w:val="auto"/>
                <w:szCs w:val="21"/>
                <w:lang w:val="en-US" w:eastAsia="zh-CN"/>
              </w:rPr>
              <w:t>12</w:t>
            </w:r>
            <w:r>
              <w:rPr>
                <w:rFonts w:hint="eastAsia" w:ascii="宋体" w:hAnsi="宋体"/>
                <w:color w:val="auto"/>
                <w:szCs w:val="21"/>
              </w:rPr>
              <w:t>.0分)</w:t>
            </w:r>
            <w:r>
              <w:rPr>
                <w:rFonts w:hint="eastAsia" w:ascii="宋体" w:hAnsi="宋体"/>
                <w:color w:val="auto"/>
                <w:szCs w:val="21"/>
                <w:lang w:eastAsia="zh-CN"/>
              </w:rPr>
              <w:t>：</w:t>
            </w:r>
            <w:r>
              <w:rPr>
                <w:rFonts w:hint="eastAsia" w:ascii="宋体" w:hAnsi="宋体"/>
                <w:color w:val="auto"/>
                <w:szCs w:val="21"/>
              </w:rPr>
              <w:t>对项目关键技术、工艺有深入的表述对重点、难点有先进合理的施工措施并有可行的安全措施，解决方案完整、经济、安全、切实可行，措施得力。</w:t>
            </w:r>
          </w:p>
          <w:p w14:paraId="548AC8AD">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rPr>
            </w:pPr>
            <w:r>
              <w:rPr>
                <w:rFonts w:hint="eastAsia" w:ascii="宋体" w:hAnsi="宋体"/>
                <w:color w:val="auto"/>
                <w:szCs w:val="21"/>
              </w:rPr>
              <w:t>二档(</w:t>
            </w:r>
            <w:r>
              <w:rPr>
                <w:rFonts w:hint="eastAsia" w:ascii="宋体" w:hAnsi="宋体"/>
                <w:color w:val="auto"/>
                <w:szCs w:val="21"/>
                <w:lang w:val="en-US" w:eastAsia="zh-CN"/>
              </w:rPr>
              <w:t>9</w:t>
            </w:r>
            <w:r>
              <w:rPr>
                <w:rFonts w:hint="eastAsia" w:ascii="宋体" w:hAnsi="宋体"/>
                <w:color w:val="auto"/>
                <w:szCs w:val="21"/>
              </w:rPr>
              <w:t>.0分)</w:t>
            </w:r>
            <w:r>
              <w:rPr>
                <w:rFonts w:hint="eastAsia" w:ascii="宋体" w:hAnsi="宋体"/>
                <w:color w:val="auto"/>
                <w:szCs w:val="21"/>
                <w:lang w:eastAsia="zh-CN"/>
              </w:rPr>
              <w:t>：</w:t>
            </w:r>
            <w:r>
              <w:rPr>
                <w:rFonts w:hint="eastAsia" w:ascii="宋体" w:hAnsi="宋体"/>
                <w:color w:val="auto"/>
                <w:szCs w:val="21"/>
              </w:rPr>
              <w:t>对项目关键技术理解，对重点、难点有关键，解决方案基本可行。</w:t>
            </w:r>
          </w:p>
          <w:p w14:paraId="3B6D5642">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rPr>
            </w:pPr>
            <w:r>
              <w:rPr>
                <w:rFonts w:hint="eastAsia" w:ascii="宋体" w:hAnsi="宋体"/>
                <w:color w:val="auto"/>
                <w:szCs w:val="21"/>
              </w:rPr>
              <w:t>三档(</w:t>
            </w:r>
            <w:r>
              <w:rPr>
                <w:rFonts w:hint="eastAsia" w:ascii="宋体" w:hAnsi="宋体"/>
                <w:color w:val="auto"/>
                <w:szCs w:val="21"/>
                <w:lang w:val="en-US" w:eastAsia="zh-CN"/>
              </w:rPr>
              <w:t>6</w:t>
            </w:r>
            <w:r>
              <w:rPr>
                <w:rFonts w:hint="eastAsia" w:ascii="宋体" w:hAnsi="宋体"/>
                <w:color w:val="auto"/>
                <w:szCs w:val="21"/>
              </w:rPr>
              <w:t>.0分)</w:t>
            </w:r>
            <w:r>
              <w:rPr>
                <w:rFonts w:hint="eastAsia" w:ascii="宋体" w:hAnsi="宋体"/>
                <w:color w:val="auto"/>
                <w:szCs w:val="21"/>
                <w:lang w:eastAsia="zh-CN"/>
              </w:rPr>
              <w:t>：</w:t>
            </w:r>
            <w:r>
              <w:rPr>
                <w:rFonts w:hint="eastAsia" w:ascii="宋体" w:hAnsi="宋体"/>
                <w:color w:val="auto"/>
                <w:szCs w:val="21"/>
              </w:rPr>
              <w:t>对项目关键技术有一定理解，对重点、难点有关键，解决方案基本可行。</w:t>
            </w:r>
          </w:p>
          <w:p w14:paraId="124403CA">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default" w:ascii="宋体" w:hAnsi="宋体" w:eastAsia="宋体"/>
                <w:color w:val="auto"/>
                <w:szCs w:val="21"/>
                <w:lang w:val="en-US" w:eastAsia="zh-CN"/>
              </w:rPr>
            </w:pPr>
            <w:r>
              <w:rPr>
                <w:rFonts w:hint="eastAsia" w:ascii="宋体" w:hAnsi="宋体"/>
                <w:color w:val="auto"/>
                <w:szCs w:val="21"/>
                <w:lang w:val="en-US" w:eastAsia="zh-CN"/>
              </w:rPr>
              <w:t>四档（3.0分）：</w:t>
            </w:r>
            <w:r>
              <w:rPr>
                <w:rFonts w:hint="eastAsia" w:ascii="宋体" w:hAnsi="宋体"/>
                <w:color w:val="auto"/>
                <w:szCs w:val="21"/>
              </w:rPr>
              <w:t>对项目关键技术有表述，对重点、难点有建议，解决方案不可行。</w:t>
            </w:r>
          </w:p>
        </w:tc>
        <w:tc>
          <w:tcPr>
            <w:tcW w:w="709" w:type="dxa"/>
            <w:tcBorders>
              <w:left w:val="single" w:color="auto" w:sz="4" w:space="0"/>
            </w:tcBorders>
            <w:vAlign w:val="center"/>
          </w:tcPr>
          <w:p w14:paraId="2D479090">
            <w:pPr>
              <w:keepNext w:val="0"/>
              <w:keepLines w:val="0"/>
              <w:pageBreakBefore w:val="0"/>
              <w:kinsoku/>
              <w:wordWrap/>
              <w:overflowPunct/>
              <w:topLinePunct w:val="0"/>
              <w:autoSpaceDE/>
              <w:autoSpaceDN/>
              <w:bidi w:val="0"/>
              <w:adjustRightInd/>
              <w:snapToGrid/>
              <w:spacing w:line="360" w:lineRule="auto"/>
              <w:ind w:left="0" w:right="0"/>
              <w:jc w:val="center"/>
              <w:rPr>
                <w:rFonts w:ascii="宋体" w:hAnsi="宋体" w:eastAsia="宋体"/>
                <w:color w:val="auto"/>
                <w:szCs w:val="21"/>
                <w:lang w:val="en-US" w:eastAsia="zh-CN"/>
              </w:rPr>
            </w:pPr>
            <w:r>
              <w:rPr>
                <w:rFonts w:hint="eastAsia" w:ascii="宋体" w:hAnsi="宋体"/>
                <w:color w:val="auto"/>
                <w:szCs w:val="21"/>
                <w:lang w:val="en-US" w:eastAsia="zh-CN"/>
              </w:rPr>
              <w:t>12分</w:t>
            </w:r>
          </w:p>
        </w:tc>
      </w:tr>
      <w:tr w14:paraId="1C1E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423BC63C">
            <w:pPr>
              <w:keepNext w:val="0"/>
              <w:keepLines w:val="0"/>
              <w:pageBreakBefore w:val="0"/>
              <w:kinsoku/>
              <w:wordWrap/>
              <w:overflowPunct/>
              <w:topLinePunct w:val="0"/>
              <w:autoSpaceDE/>
              <w:autoSpaceDN/>
              <w:bidi w:val="0"/>
              <w:adjustRightInd/>
              <w:snapToGrid/>
              <w:spacing w:line="360" w:lineRule="auto"/>
              <w:ind w:left="0" w:right="0"/>
              <w:jc w:val="center"/>
              <w:textAlignment w:val="baseline"/>
              <w:rPr>
                <w:rFonts w:ascii="宋体" w:hAnsi="宋体" w:eastAsia="宋体"/>
                <w:color w:val="auto"/>
                <w:szCs w:val="21"/>
                <w:lang w:val="en-US" w:eastAsia="zh-CN"/>
              </w:rPr>
            </w:pPr>
            <w:r>
              <w:rPr>
                <w:rFonts w:hint="eastAsia" w:ascii="宋体" w:hAnsi="宋体"/>
                <w:color w:val="auto"/>
                <w:szCs w:val="21"/>
                <w:lang w:val="en-US" w:eastAsia="zh-CN"/>
              </w:rPr>
              <w:t>2.3</w:t>
            </w:r>
          </w:p>
        </w:tc>
        <w:tc>
          <w:tcPr>
            <w:tcW w:w="1701" w:type="dxa"/>
            <w:tcBorders>
              <w:left w:val="single" w:color="auto" w:sz="4" w:space="0"/>
            </w:tcBorders>
            <w:vAlign w:val="center"/>
          </w:tcPr>
          <w:p w14:paraId="2C253243">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eastAsia="宋体"/>
                <w:color w:val="auto"/>
                <w:szCs w:val="21"/>
                <w:lang w:eastAsia="zh-CN"/>
              </w:rPr>
            </w:pPr>
            <w:r>
              <w:rPr>
                <w:rFonts w:hint="eastAsia" w:ascii="宋体" w:hAnsi="宋体"/>
                <w:color w:val="auto"/>
                <w:szCs w:val="21"/>
                <w:lang w:val="en-US" w:eastAsia="zh-CN"/>
              </w:rPr>
              <w:t>服务质量管理体系及保证措施（12分）</w:t>
            </w:r>
          </w:p>
        </w:tc>
        <w:tc>
          <w:tcPr>
            <w:tcW w:w="6521" w:type="dxa"/>
            <w:tcBorders>
              <w:left w:val="single" w:color="auto" w:sz="4" w:space="0"/>
            </w:tcBorders>
            <w:vAlign w:val="center"/>
          </w:tcPr>
          <w:p w14:paraId="7CA759B1">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rPr>
              <w:t>评委将根据供应商的</w:t>
            </w:r>
            <w:r>
              <w:rPr>
                <w:rFonts w:hint="eastAsia" w:ascii="宋体" w:hAnsi="宋体"/>
                <w:color w:val="auto"/>
                <w:szCs w:val="21"/>
                <w:lang w:val="en-US" w:eastAsia="zh-CN"/>
              </w:rPr>
              <w:t>服务质量管理体系及保证措施</w:t>
            </w:r>
            <w:r>
              <w:rPr>
                <w:rFonts w:hint="eastAsia" w:ascii="宋体" w:hAnsi="宋体"/>
                <w:color w:val="auto"/>
                <w:szCs w:val="21"/>
              </w:rPr>
              <w:t>进行打分。未提供</w:t>
            </w:r>
            <w:r>
              <w:rPr>
                <w:rFonts w:hint="eastAsia" w:ascii="宋体" w:hAnsi="宋体"/>
                <w:color w:val="auto"/>
                <w:szCs w:val="21"/>
                <w:lang w:val="en-US" w:eastAsia="zh-CN"/>
              </w:rPr>
              <w:t>评分</w:t>
            </w:r>
            <w:r>
              <w:rPr>
                <w:rFonts w:hint="eastAsia" w:ascii="宋体" w:hAnsi="宋体"/>
                <w:color w:val="auto"/>
                <w:szCs w:val="21"/>
              </w:rPr>
              <w:t>内容，或内容不满足项目需求的</w:t>
            </w:r>
            <w:r>
              <w:rPr>
                <w:rFonts w:hint="eastAsia" w:ascii="宋体" w:hAnsi="宋体"/>
                <w:color w:val="auto"/>
                <w:szCs w:val="21"/>
                <w:lang w:eastAsia="zh-CN"/>
              </w:rPr>
              <w:t>，</w:t>
            </w:r>
            <w:r>
              <w:rPr>
                <w:rFonts w:hint="eastAsia" w:ascii="宋体" w:hAnsi="宋体"/>
                <w:color w:val="auto"/>
                <w:szCs w:val="21"/>
                <w:lang w:val="en-US" w:eastAsia="zh-CN"/>
              </w:rPr>
              <w:t>不得分。</w:t>
            </w:r>
          </w:p>
          <w:p w14:paraId="1226D239">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一档(12.0分)：编制的清理维护各分部分项服务的主要实施方法完善、合理、满足项目的实际服务要求。针对项目实际提出先进、可行、具体的保证措施，质量保证承诺具体。</w:t>
            </w:r>
          </w:p>
          <w:p w14:paraId="40A6C792">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二档(8.0分)：编制的清理维护各分部分项服务的主要实施方法能满足项目的实际服务要求。针对项目实际提出可行的保证措施，满足磋商文件的质量要求。</w:t>
            </w:r>
          </w:p>
          <w:p w14:paraId="70D176F8">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三档(4.0分)：编制的清理维护各分部分项服务的主要实施方法基本完善、基本满足项目的服务要求。针对项目实际提出的保证措施，能满足磋商文件的质量要求。</w:t>
            </w:r>
          </w:p>
          <w:p w14:paraId="208B4EFC">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default" w:ascii="宋体" w:hAnsi="宋体"/>
                <w:color w:val="auto"/>
                <w:szCs w:val="21"/>
                <w:lang w:val="en-US" w:eastAsia="zh-CN"/>
              </w:rPr>
            </w:pPr>
            <w:r>
              <w:rPr>
                <w:rFonts w:hint="eastAsia" w:ascii="宋体" w:hAnsi="宋体"/>
                <w:color w:val="auto"/>
                <w:szCs w:val="21"/>
                <w:lang w:val="en-US" w:eastAsia="zh-CN"/>
              </w:rPr>
              <w:t>四档（3.0分）：编制的清理维护各分部分项服务的主要实施方法不完善、不满足项目的实际服务要求。质量保证措施不具体。</w:t>
            </w:r>
          </w:p>
        </w:tc>
        <w:tc>
          <w:tcPr>
            <w:tcW w:w="709" w:type="dxa"/>
            <w:tcBorders>
              <w:left w:val="single" w:color="auto" w:sz="4" w:space="0"/>
            </w:tcBorders>
            <w:vAlign w:val="center"/>
          </w:tcPr>
          <w:p w14:paraId="2D040801">
            <w:pPr>
              <w:keepNext w:val="0"/>
              <w:keepLines w:val="0"/>
              <w:pageBreakBefore w:val="0"/>
              <w:kinsoku/>
              <w:wordWrap/>
              <w:overflowPunct/>
              <w:topLinePunct w:val="0"/>
              <w:autoSpaceDE/>
              <w:autoSpaceDN/>
              <w:bidi w:val="0"/>
              <w:adjustRightInd/>
              <w:snapToGrid/>
              <w:spacing w:line="360" w:lineRule="auto"/>
              <w:ind w:left="0" w:right="0"/>
              <w:jc w:val="center"/>
              <w:rPr>
                <w:rFonts w:ascii="宋体" w:hAnsi="宋体"/>
                <w:color w:val="auto"/>
                <w:szCs w:val="21"/>
                <w:lang w:val="en-US" w:eastAsia="zh-CN"/>
              </w:rPr>
            </w:pPr>
            <w:r>
              <w:rPr>
                <w:rFonts w:hint="eastAsia" w:ascii="宋体" w:hAnsi="宋体"/>
                <w:color w:val="auto"/>
                <w:szCs w:val="21"/>
                <w:lang w:val="en-US" w:eastAsia="zh-CN"/>
              </w:rPr>
              <w:t>12分</w:t>
            </w:r>
          </w:p>
        </w:tc>
      </w:tr>
      <w:tr w14:paraId="56F0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51FD0B88">
            <w:pPr>
              <w:keepNext w:val="0"/>
              <w:keepLines w:val="0"/>
              <w:pageBreakBefore w:val="0"/>
              <w:kinsoku/>
              <w:wordWrap/>
              <w:overflowPunct/>
              <w:topLinePunct w:val="0"/>
              <w:autoSpaceDE/>
              <w:autoSpaceDN/>
              <w:bidi w:val="0"/>
              <w:adjustRightInd/>
              <w:snapToGrid/>
              <w:spacing w:line="360" w:lineRule="auto"/>
              <w:ind w:left="0" w:right="0"/>
              <w:jc w:val="center"/>
              <w:textAlignment w:val="baseline"/>
              <w:rPr>
                <w:rFonts w:hint="default" w:ascii="宋体" w:hAnsi="宋体"/>
                <w:color w:val="auto"/>
                <w:szCs w:val="21"/>
                <w:lang w:val="en-US" w:eastAsia="zh-CN"/>
              </w:rPr>
            </w:pPr>
            <w:r>
              <w:rPr>
                <w:rFonts w:hint="eastAsia" w:ascii="宋体" w:hAnsi="宋体"/>
                <w:color w:val="auto"/>
                <w:szCs w:val="21"/>
                <w:lang w:val="en-US" w:eastAsia="zh-CN"/>
              </w:rPr>
              <w:t>2.4</w:t>
            </w:r>
          </w:p>
        </w:tc>
        <w:tc>
          <w:tcPr>
            <w:tcW w:w="1701" w:type="dxa"/>
            <w:tcBorders>
              <w:left w:val="single" w:color="auto" w:sz="4" w:space="0"/>
            </w:tcBorders>
            <w:vAlign w:val="center"/>
          </w:tcPr>
          <w:p w14:paraId="0D1DBA73">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eastAsia="宋体"/>
                <w:color w:val="auto"/>
                <w:szCs w:val="21"/>
                <w:lang w:eastAsia="zh-CN"/>
              </w:rPr>
            </w:pPr>
            <w:r>
              <w:rPr>
                <w:rFonts w:hint="eastAsia" w:ascii="宋体" w:hAnsi="宋体"/>
                <w:color w:val="auto"/>
                <w:szCs w:val="21"/>
              </w:rPr>
              <w:t>拟投入本项目的主要机械设备</w:t>
            </w:r>
            <w:r>
              <w:rPr>
                <w:rFonts w:hint="eastAsia" w:ascii="宋体" w:hAnsi="宋体"/>
                <w:color w:val="auto"/>
                <w:szCs w:val="21"/>
                <w:lang w:eastAsia="zh-CN"/>
              </w:rPr>
              <w:t>、</w:t>
            </w:r>
            <w:r>
              <w:rPr>
                <w:rFonts w:hint="eastAsia" w:ascii="宋体" w:hAnsi="宋体"/>
                <w:color w:val="auto"/>
                <w:szCs w:val="21"/>
                <w:lang w:val="en-US" w:eastAsia="zh-CN"/>
              </w:rPr>
              <w:t>材料</w:t>
            </w:r>
            <w:r>
              <w:rPr>
                <w:rFonts w:hint="eastAsia" w:ascii="宋体" w:hAnsi="宋体"/>
                <w:color w:val="auto"/>
                <w:szCs w:val="21"/>
              </w:rPr>
              <w:t>情况及进场计划</w:t>
            </w:r>
            <w:r>
              <w:rPr>
                <w:rFonts w:hint="eastAsia" w:ascii="宋体" w:hAnsi="宋体"/>
                <w:color w:val="auto"/>
                <w:szCs w:val="21"/>
                <w:lang w:eastAsia="zh-CN"/>
              </w:rPr>
              <w:t>（</w:t>
            </w:r>
            <w:r>
              <w:rPr>
                <w:rFonts w:hint="eastAsia" w:ascii="宋体" w:hAnsi="宋体"/>
                <w:color w:val="auto"/>
                <w:szCs w:val="21"/>
                <w:lang w:val="en-US" w:eastAsia="zh-CN"/>
              </w:rPr>
              <w:t>12分</w:t>
            </w:r>
            <w:r>
              <w:rPr>
                <w:rFonts w:hint="eastAsia" w:ascii="宋体" w:hAnsi="宋体"/>
                <w:color w:val="auto"/>
                <w:szCs w:val="21"/>
                <w:lang w:eastAsia="zh-CN"/>
              </w:rPr>
              <w:t>）</w:t>
            </w:r>
          </w:p>
        </w:tc>
        <w:tc>
          <w:tcPr>
            <w:tcW w:w="6521" w:type="dxa"/>
            <w:tcBorders>
              <w:left w:val="single" w:color="auto" w:sz="4" w:space="0"/>
            </w:tcBorders>
            <w:vAlign w:val="center"/>
          </w:tcPr>
          <w:p w14:paraId="24D3F831">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rPr>
              <w:t>评委将根据供应商的拟投入本项目的主要机械设备情况及进场计划进行打分。未提供</w:t>
            </w:r>
            <w:r>
              <w:rPr>
                <w:rFonts w:hint="eastAsia" w:ascii="宋体" w:hAnsi="宋体"/>
                <w:color w:val="auto"/>
                <w:szCs w:val="21"/>
                <w:lang w:val="en-US" w:eastAsia="zh-CN"/>
              </w:rPr>
              <w:t>评分</w:t>
            </w:r>
            <w:r>
              <w:rPr>
                <w:rFonts w:hint="eastAsia" w:ascii="宋体" w:hAnsi="宋体"/>
                <w:color w:val="auto"/>
                <w:szCs w:val="21"/>
              </w:rPr>
              <w:t>内容，或内容不满足项目需求的</w:t>
            </w:r>
            <w:r>
              <w:rPr>
                <w:rFonts w:hint="eastAsia" w:ascii="宋体" w:hAnsi="宋体"/>
                <w:color w:val="auto"/>
                <w:szCs w:val="21"/>
                <w:lang w:eastAsia="zh-CN"/>
              </w:rPr>
              <w:t>，</w:t>
            </w:r>
            <w:r>
              <w:rPr>
                <w:rFonts w:hint="eastAsia" w:ascii="宋体" w:hAnsi="宋体"/>
                <w:color w:val="auto"/>
                <w:szCs w:val="21"/>
                <w:lang w:val="en-US" w:eastAsia="zh-CN"/>
              </w:rPr>
              <w:t>不得分。</w:t>
            </w:r>
          </w:p>
          <w:p w14:paraId="3A910089">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一档(12.0分)：投入的服务机械、设备、机具有详细的组织计划且计划周密，设备数量、选型配置、进场时间安排合理，完全满足施工需要。</w:t>
            </w:r>
          </w:p>
          <w:p w14:paraId="04BD03A2">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二档(9.0分)：投入的服务机械、设备、机具有组织计划设备数量、选型配置、进场时间安排较合理，能满足施工需要。</w:t>
            </w:r>
          </w:p>
          <w:p w14:paraId="6307D891">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三档(6.0分)：投入的服务机械、设备、机具有组织计划，设备数量、选型配置、进场时间基本合理，基本满足施工需要。</w:t>
            </w:r>
          </w:p>
          <w:p w14:paraId="4D695824">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default" w:ascii="宋体" w:hAnsi="宋体"/>
                <w:color w:val="auto"/>
                <w:szCs w:val="21"/>
                <w:lang w:val="en-US" w:eastAsia="zh-CN"/>
              </w:rPr>
            </w:pPr>
            <w:r>
              <w:rPr>
                <w:rFonts w:hint="eastAsia" w:ascii="宋体" w:hAnsi="宋体"/>
                <w:color w:val="auto"/>
                <w:szCs w:val="21"/>
                <w:lang w:val="en-US" w:eastAsia="zh-CN"/>
              </w:rPr>
              <w:t>四档（3.0分）：投入的服务机械、设备、机具没有组织计划，设备数量、选型配置、进场时间安排不合理，不满足施工需要。</w:t>
            </w:r>
          </w:p>
        </w:tc>
        <w:tc>
          <w:tcPr>
            <w:tcW w:w="709" w:type="dxa"/>
            <w:tcBorders>
              <w:left w:val="single" w:color="auto" w:sz="4" w:space="0"/>
            </w:tcBorders>
            <w:vAlign w:val="center"/>
          </w:tcPr>
          <w:p w14:paraId="6379139B">
            <w:pPr>
              <w:keepNext w:val="0"/>
              <w:keepLines w:val="0"/>
              <w:pageBreakBefore w:val="0"/>
              <w:kinsoku/>
              <w:wordWrap/>
              <w:overflowPunct/>
              <w:topLinePunct w:val="0"/>
              <w:autoSpaceDE/>
              <w:autoSpaceDN/>
              <w:bidi w:val="0"/>
              <w:adjustRightInd/>
              <w:snapToGrid/>
              <w:spacing w:line="360" w:lineRule="auto"/>
              <w:ind w:left="0" w:right="0"/>
              <w:jc w:val="center"/>
              <w:rPr>
                <w:rFonts w:ascii="宋体" w:hAnsi="宋体"/>
                <w:color w:val="auto"/>
                <w:szCs w:val="21"/>
                <w:lang w:val="en-US" w:eastAsia="zh-CN"/>
              </w:rPr>
            </w:pPr>
            <w:r>
              <w:rPr>
                <w:rFonts w:hint="eastAsia" w:ascii="宋体" w:hAnsi="宋体"/>
                <w:color w:val="auto"/>
                <w:szCs w:val="21"/>
                <w:lang w:val="en-US" w:eastAsia="zh-CN"/>
              </w:rPr>
              <w:t>12分</w:t>
            </w:r>
          </w:p>
        </w:tc>
      </w:tr>
      <w:tr w14:paraId="178D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5E7916B5">
            <w:pPr>
              <w:keepNext w:val="0"/>
              <w:keepLines w:val="0"/>
              <w:pageBreakBefore w:val="0"/>
              <w:kinsoku/>
              <w:wordWrap/>
              <w:overflowPunct/>
              <w:topLinePunct w:val="0"/>
              <w:autoSpaceDE/>
              <w:autoSpaceDN/>
              <w:bidi w:val="0"/>
              <w:adjustRightInd/>
              <w:snapToGrid/>
              <w:spacing w:line="360" w:lineRule="auto"/>
              <w:ind w:left="0" w:right="0"/>
              <w:jc w:val="center"/>
              <w:textAlignment w:val="baseline"/>
              <w:rPr>
                <w:rFonts w:ascii="宋体" w:hAnsi="宋体"/>
                <w:color w:val="auto"/>
                <w:szCs w:val="21"/>
                <w:lang w:val="en-US" w:eastAsia="zh-CN"/>
              </w:rPr>
            </w:pPr>
            <w:r>
              <w:rPr>
                <w:rFonts w:hint="eastAsia" w:ascii="宋体" w:hAnsi="宋体"/>
                <w:color w:val="auto"/>
                <w:szCs w:val="21"/>
                <w:lang w:val="en-US" w:eastAsia="zh-CN"/>
              </w:rPr>
              <w:t>2.5</w:t>
            </w:r>
          </w:p>
        </w:tc>
        <w:tc>
          <w:tcPr>
            <w:tcW w:w="1701" w:type="dxa"/>
            <w:tcBorders>
              <w:left w:val="single" w:color="auto" w:sz="4" w:space="0"/>
            </w:tcBorders>
            <w:vAlign w:val="center"/>
          </w:tcPr>
          <w:p w14:paraId="23085635">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lang w:val="en-US" w:eastAsia="zh-CN"/>
              </w:rPr>
              <w:t>安全文明施工的技术组织措施（10分）</w:t>
            </w:r>
          </w:p>
        </w:tc>
        <w:tc>
          <w:tcPr>
            <w:tcW w:w="6521" w:type="dxa"/>
            <w:tcBorders>
              <w:left w:val="single" w:color="auto" w:sz="4" w:space="0"/>
            </w:tcBorders>
            <w:vAlign w:val="center"/>
          </w:tcPr>
          <w:p w14:paraId="1783A87E">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rPr>
              <w:t>评委将根据供应商的安全文明施工的技术组织措施进行打分。未提供</w:t>
            </w:r>
            <w:r>
              <w:rPr>
                <w:rFonts w:hint="eastAsia" w:ascii="宋体" w:hAnsi="宋体"/>
                <w:color w:val="auto"/>
                <w:szCs w:val="21"/>
                <w:lang w:val="en-US" w:eastAsia="zh-CN"/>
              </w:rPr>
              <w:t>评分</w:t>
            </w:r>
            <w:r>
              <w:rPr>
                <w:rFonts w:hint="eastAsia" w:ascii="宋体" w:hAnsi="宋体"/>
                <w:color w:val="auto"/>
                <w:szCs w:val="21"/>
              </w:rPr>
              <w:t>内容，或内容不满足项目需求的</w:t>
            </w:r>
            <w:r>
              <w:rPr>
                <w:rFonts w:hint="eastAsia" w:ascii="宋体" w:hAnsi="宋体"/>
                <w:color w:val="auto"/>
                <w:szCs w:val="21"/>
                <w:lang w:eastAsia="zh-CN"/>
              </w:rPr>
              <w:t>，</w:t>
            </w:r>
            <w:r>
              <w:rPr>
                <w:rFonts w:hint="eastAsia" w:ascii="宋体" w:hAnsi="宋体"/>
                <w:color w:val="auto"/>
                <w:szCs w:val="21"/>
                <w:lang w:val="en-US" w:eastAsia="zh-CN"/>
              </w:rPr>
              <w:t>不得分。</w:t>
            </w:r>
          </w:p>
          <w:p w14:paraId="486EE554">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一档(10.0分)：针对项目实际情况，有先进、具体、完整、可行的实施措施，采用规范正确、清晰的安全文明措施。</w:t>
            </w:r>
          </w:p>
          <w:p w14:paraId="74D55F0B">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二档(7.0分)：有合理可行的安全文明措施，采用规范正确。</w:t>
            </w:r>
          </w:p>
          <w:p w14:paraId="3C0A5B1C">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三档(4.0分)：有基本合理的安全文明措施，采用规范正确。</w:t>
            </w:r>
          </w:p>
          <w:p w14:paraId="3416DEC4">
            <w:pPr>
              <w:keepNext w:val="0"/>
              <w:keepLines w:val="0"/>
              <w:pageBreakBefore w:val="0"/>
              <w:kinsoku/>
              <w:wordWrap/>
              <w:overflowPunct/>
              <w:topLinePunct w:val="0"/>
              <w:autoSpaceDE/>
              <w:autoSpaceDN/>
              <w:bidi w:val="0"/>
              <w:adjustRightInd/>
              <w:snapToGrid/>
              <w:spacing w:line="360" w:lineRule="auto"/>
              <w:ind w:left="0" w:right="0" w:firstLine="315" w:firstLineChars="150"/>
              <w:rPr>
                <w:rFonts w:hint="eastAsia" w:ascii="宋体" w:hAnsi="宋体"/>
                <w:color w:val="auto"/>
                <w:szCs w:val="21"/>
                <w:lang w:val="en-US" w:eastAsia="zh-CN"/>
              </w:rPr>
            </w:pPr>
            <w:r>
              <w:rPr>
                <w:rFonts w:hint="eastAsia" w:ascii="宋体" w:hAnsi="宋体"/>
                <w:color w:val="auto"/>
                <w:szCs w:val="21"/>
                <w:lang w:val="en-US" w:eastAsia="zh-CN"/>
              </w:rPr>
              <w:t>四档(2.0分)：安全文明措施不得力，采用规范不正确。</w:t>
            </w:r>
          </w:p>
        </w:tc>
        <w:tc>
          <w:tcPr>
            <w:tcW w:w="709" w:type="dxa"/>
            <w:tcBorders>
              <w:left w:val="single" w:color="auto" w:sz="4" w:space="0"/>
            </w:tcBorders>
            <w:vAlign w:val="center"/>
          </w:tcPr>
          <w:p w14:paraId="52096D72">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color w:val="auto"/>
                <w:szCs w:val="21"/>
                <w:lang w:val="en-US" w:eastAsia="zh-CN"/>
              </w:rPr>
            </w:pPr>
            <w:r>
              <w:rPr>
                <w:rFonts w:hint="eastAsia" w:ascii="宋体" w:hAnsi="宋体"/>
                <w:color w:val="auto"/>
                <w:szCs w:val="21"/>
                <w:lang w:val="en-US" w:eastAsia="zh-CN"/>
              </w:rPr>
              <w:t>10分</w:t>
            </w:r>
          </w:p>
        </w:tc>
      </w:tr>
      <w:tr w14:paraId="3AD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5C6F3AD2">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3</w:t>
            </w:r>
          </w:p>
        </w:tc>
        <w:tc>
          <w:tcPr>
            <w:tcW w:w="1701" w:type="dxa"/>
            <w:tcBorders>
              <w:left w:val="single" w:color="auto" w:sz="4" w:space="0"/>
            </w:tcBorders>
            <w:vAlign w:val="center"/>
          </w:tcPr>
          <w:p w14:paraId="19661758">
            <w:pPr>
              <w:keepNext w:val="0"/>
              <w:keepLines w:val="0"/>
              <w:pageBreakBefore w:val="0"/>
              <w:widowControl/>
              <w:kinsoku/>
              <w:wordWrap/>
              <w:overflowPunct/>
              <w:topLinePunct w:val="0"/>
              <w:autoSpaceDE/>
              <w:autoSpaceDN/>
              <w:bidi w:val="0"/>
              <w:adjustRightInd/>
              <w:snapToGrid/>
              <w:spacing w:line="360" w:lineRule="auto"/>
              <w:ind w:left="0" w:right="0"/>
              <w:jc w:val="center"/>
              <w:rPr>
                <w:rFonts w:ascii="宋体" w:hAnsi="宋体"/>
                <w:color w:val="auto"/>
                <w:szCs w:val="21"/>
              </w:rPr>
            </w:pPr>
            <w:r>
              <w:rPr>
                <w:rFonts w:hint="eastAsia" w:ascii="宋体" w:hAnsi="宋体"/>
                <w:color w:val="auto"/>
                <w:szCs w:val="21"/>
              </w:rPr>
              <w:t>商务分（客观分）（</w:t>
            </w:r>
            <w:r>
              <w:rPr>
                <w:rFonts w:hint="eastAsia" w:ascii="宋体" w:hAnsi="宋体"/>
                <w:b/>
                <w:bCs/>
                <w:color w:val="auto"/>
                <w:szCs w:val="21"/>
              </w:rPr>
              <w:t>满分</w:t>
            </w:r>
            <w:r>
              <w:rPr>
                <w:rFonts w:hint="eastAsia" w:ascii="宋体" w:hAnsi="宋体"/>
                <w:b/>
                <w:bCs/>
                <w:color w:val="auto"/>
                <w:szCs w:val="21"/>
                <w:lang w:val="en-US" w:eastAsia="zh-CN"/>
              </w:rPr>
              <w:t>32</w:t>
            </w:r>
            <w:r>
              <w:rPr>
                <w:rFonts w:hint="eastAsia" w:ascii="宋体" w:hAnsi="宋体"/>
                <w:b/>
                <w:bCs/>
                <w:color w:val="auto"/>
                <w:szCs w:val="21"/>
              </w:rPr>
              <w:t>分）</w:t>
            </w:r>
          </w:p>
        </w:tc>
        <w:tc>
          <w:tcPr>
            <w:tcW w:w="7230" w:type="dxa"/>
            <w:gridSpan w:val="2"/>
            <w:tcBorders>
              <w:left w:val="single" w:color="auto" w:sz="4" w:space="0"/>
            </w:tcBorders>
            <w:vAlign w:val="center"/>
          </w:tcPr>
          <w:p w14:paraId="5206F652">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color w:val="auto"/>
                <w:szCs w:val="21"/>
              </w:rPr>
            </w:pPr>
            <w:r>
              <w:rPr>
                <w:rFonts w:hint="eastAsia" w:ascii="宋体" w:hAnsi="宋体"/>
                <w:color w:val="auto"/>
                <w:szCs w:val="21"/>
              </w:rPr>
              <w:t>评审因素</w:t>
            </w:r>
          </w:p>
        </w:tc>
      </w:tr>
      <w:tr w14:paraId="5551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056B2135">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eastAsia" w:ascii="宋体" w:hAnsi="宋体" w:eastAsia="宋体"/>
                <w:color w:val="auto"/>
                <w:szCs w:val="21"/>
                <w:lang w:val="en-US" w:eastAsia="zh-CN"/>
              </w:rPr>
            </w:pPr>
            <w:r>
              <w:rPr>
                <w:rFonts w:hint="eastAsia" w:ascii="宋体" w:hAnsi="宋体"/>
                <w:color w:val="auto"/>
                <w:szCs w:val="21"/>
              </w:rPr>
              <w:t>3.</w:t>
            </w:r>
            <w:r>
              <w:rPr>
                <w:rFonts w:hint="eastAsia" w:ascii="宋体" w:hAnsi="宋体"/>
                <w:color w:val="auto"/>
                <w:szCs w:val="21"/>
                <w:lang w:val="en-US" w:eastAsia="zh-CN"/>
              </w:rPr>
              <w:t>1</w:t>
            </w:r>
          </w:p>
        </w:tc>
        <w:tc>
          <w:tcPr>
            <w:tcW w:w="1701" w:type="dxa"/>
            <w:tcBorders>
              <w:left w:val="single" w:color="auto" w:sz="4" w:space="0"/>
            </w:tcBorders>
            <w:vAlign w:val="center"/>
          </w:tcPr>
          <w:p w14:paraId="12AD4902">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eastAsia="宋体"/>
                <w:b w:val="0"/>
                <w:bCs w:val="0"/>
                <w:color w:val="auto"/>
                <w:szCs w:val="21"/>
                <w:lang w:eastAsia="zh-CN"/>
              </w:rPr>
            </w:pPr>
            <w:r>
              <w:rPr>
                <w:rFonts w:hint="eastAsia" w:ascii="宋体" w:hAnsi="宋体"/>
                <w:b w:val="0"/>
                <w:bCs w:val="0"/>
                <w:color w:val="auto"/>
                <w:szCs w:val="21"/>
              </w:rPr>
              <w:t>业绩</w:t>
            </w:r>
            <w:r>
              <w:rPr>
                <w:rFonts w:hint="eastAsia" w:ascii="宋体" w:hAnsi="宋体"/>
                <w:b w:val="0"/>
                <w:bCs w:val="0"/>
                <w:color w:val="auto"/>
                <w:szCs w:val="21"/>
                <w:lang w:eastAsia="zh-CN"/>
              </w:rPr>
              <w:t>（</w:t>
            </w:r>
            <w:r>
              <w:rPr>
                <w:rFonts w:hint="eastAsia" w:ascii="宋体" w:hAnsi="宋体"/>
                <w:b w:val="0"/>
                <w:bCs w:val="0"/>
                <w:color w:val="auto"/>
                <w:szCs w:val="21"/>
                <w:lang w:val="en-US" w:eastAsia="zh-CN"/>
              </w:rPr>
              <w:t>12分</w:t>
            </w:r>
            <w:r>
              <w:rPr>
                <w:rFonts w:hint="eastAsia" w:ascii="宋体" w:hAnsi="宋体"/>
                <w:b w:val="0"/>
                <w:bCs w:val="0"/>
                <w:color w:val="auto"/>
                <w:szCs w:val="21"/>
                <w:lang w:eastAsia="zh-CN"/>
              </w:rPr>
              <w:t>）</w:t>
            </w:r>
          </w:p>
        </w:tc>
        <w:tc>
          <w:tcPr>
            <w:tcW w:w="6521" w:type="dxa"/>
            <w:tcBorders>
              <w:left w:val="single" w:color="auto" w:sz="4" w:space="0"/>
            </w:tcBorders>
            <w:vAlign w:val="center"/>
          </w:tcPr>
          <w:p w14:paraId="743F936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供应商自20</w:t>
            </w:r>
            <w:r>
              <w:rPr>
                <w:rFonts w:hint="eastAsia" w:ascii="宋体" w:hAnsi="宋体" w:eastAsia="宋体" w:cs="Times New Roman"/>
                <w:color w:val="auto"/>
                <w:szCs w:val="21"/>
                <w:lang w:val="en-US" w:eastAsia="zh-CN"/>
              </w:rPr>
              <w:t>23</w:t>
            </w:r>
            <w:r>
              <w:rPr>
                <w:rFonts w:hint="eastAsia" w:ascii="宋体" w:hAnsi="宋体" w:eastAsia="宋体" w:cs="Times New Roman"/>
                <w:color w:val="auto"/>
                <w:szCs w:val="21"/>
              </w:rPr>
              <w:t>年1月1日以来同类</w:t>
            </w:r>
            <w:r>
              <w:rPr>
                <w:rFonts w:hint="eastAsia" w:ascii="宋体" w:hAnsi="宋体" w:eastAsia="宋体" w:cs="Times New Roman"/>
                <w:color w:val="auto"/>
                <w:szCs w:val="21"/>
                <w:lang w:val="en-US" w:eastAsia="zh-CN"/>
              </w:rPr>
              <w:t>业绩（水利水电工程类）的</w:t>
            </w:r>
            <w:r>
              <w:rPr>
                <w:rFonts w:hint="eastAsia" w:ascii="宋体" w:hAnsi="宋体" w:eastAsia="宋体" w:cs="Times New Roman"/>
                <w:color w:val="auto"/>
                <w:szCs w:val="21"/>
              </w:rPr>
              <w:t>，每项得</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分，满分</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（注：需在响应文件中提供有效合同扫描件，并加盖供应商CA电子签章，否则不予计分）</w:t>
            </w:r>
          </w:p>
        </w:tc>
        <w:tc>
          <w:tcPr>
            <w:tcW w:w="709" w:type="dxa"/>
            <w:tcBorders>
              <w:left w:val="single" w:color="auto" w:sz="4" w:space="0"/>
            </w:tcBorders>
            <w:vAlign w:val="center"/>
          </w:tcPr>
          <w:p w14:paraId="74A55196">
            <w:pPr>
              <w:pStyle w:val="23"/>
              <w:keepNext w:val="0"/>
              <w:keepLines w:val="0"/>
              <w:pageBreakBefore w:val="0"/>
              <w:kinsoku/>
              <w:wordWrap/>
              <w:overflowPunct/>
              <w:topLinePunct w:val="0"/>
              <w:autoSpaceDE/>
              <w:autoSpaceDN/>
              <w:bidi w:val="0"/>
              <w:adjustRightInd/>
              <w:snapToGrid/>
              <w:spacing w:line="360" w:lineRule="auto"/>
              <w:ind w:left="0" w:right="0"/>
              <w:jc w:val="center"/>
              <w:rPr>
                <w:rFonts w:hAnsi="宋体" w:cs="黑体"/>
                <w:color w:val="auto"/>
                <w:kern w:val="2"/>
                <w:sz w:val="21"/>
              </w:rPr>
            </w:pPr>
            <w:r>
              <w:rPr>
                <w:rFonts w:hint="eastAsia" w:hAnsi="宋体" w:cs="黑体"/>
                <w:color w:val="auto"/>
                <w:kern w:val="2"/>
                <w:sz w:val="21"/>
                <w:lang w:val="en-US" w:eastAsia="zh-CN"/>
              </w:rPr>
              <w:t>12</w:t>
            </w:r>
            <w:r>
              <w:rPr>
                <w:rFonts w:hAnsi="宋体" w:cs="黑体"/>
                <w:color w:val="auto"/>
                <w:kern w:val="2"/>
                <w:sz w:val="21"/>
              </w:rPr>
              <w:t>分</w:t>
            </w:r>
          </w:p>
        </w:tc>
      </w:tr>
      <w:tr w14:paraId="5AB1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73475411">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default" w:ascii="宋体" w:hAnsi="宋体" w:eastAsia="宋体"/>
                <w:color w:val="auto"/>
                <w:szCs w:val="21"/>
                <w:lang w:val="en-US" w:eastAsia="zh-CN"/>
              </w:rPr>
            </w:pPr>
            <w:r>
              <w:rPr>
                <w:rFonts w:hint="eastAsia" w:ascii="宋体" w:hAnsi="宋体"/>
                <w:color w:val="auto"/>
                <w:szCs w:val="21"/>
                <w:lang w:val="en-US" w:eastAsia="zh-CN"/>
              </w:rPr>
              <w:t>3.2</w:t>
            </w:r>
          </w:p>
        </w:tc>
        <w:tc>
          <w:tcPr>
            <w:tcW w:w="1701" w:type="dxa"/>
            <w:tcBorders>
              <w:left w:val="single" w:color="auto" w:sz="4" w:space="0"/>
            </w:tcBorders>
            <w:vAlign w:val="center"/>
          </w:tcPr>
          <w:p w14:paraId="63C5E61B">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b w:val="0"/>
                <w:bCs w:val="0"/>
                <w:color w:val="auto"/>
                <w:szCs w:val="21"/>
                <w:highlight w:val="none"/>
                <w:vertAlign w:val="baseline"/>
                <w:lang w:eastAsia="zh-CN"/>
              </w:rPr>
            </w:pPr>
            <w:r>
              <w:rPr>
                <w:rFonts w:hint="eastAsia" w:ascii="宋体" w:hAnsi="宋体"/>
                <w:b w:val="0"/>
                <w:bCs w:val="0"/>
                <w:color w:val="auto"/>
                <w:szCs w:val="21"/>
                <w:highlight w:val="none"/>
                <w:vertAlign w:val="baseline"/>
                <w:lang w:eastAsia="zh-CN"/>
              </w:rPr>
              <w:t>质量体系认证</w:t>
            </w:r>
          </w:p>
          <w:p w14:paraId="59D19901">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b w:val="0"/>
                <w:bCs w:val="0"/>
                <w:color w:val="auto"/>
                <w:szCs w:val="21"/>
              </w:rPr>
            </w:pPr>
            <w:r>
              <w:rPr>
                <w:rFonts w:hint="eastAsia" w:ascii="宋体" w:hAnsi="宋体"/>
                <w:b w:val="0"/>
                <w:bCs w:val="0"/>
                <w:color w:val="auto"/>
                <w:szCs w:val="21"/>
                <w:highlight w:val="none"/>
                <w:vertAlign w:val="baseline"/>
                <w:lang w:eastAsia="zh-CN"/>
              </w:rPr>
              <w:t>（</w:t>
            </w:r>
            <w:r>
              <w:rPr>
                <w:rFonts w:hint="eastAsia" w:ascii="宋体" w:hAnsi="宋体"/>
                <w:b w:val="0"/>
                <w:bCs w:val="0"/>
                <w:color w:val="auto"/>
                <w:szCs w:val="21"/>
                <w:highlight w:val="none"/>
                <w:vertAlign w:val="baseline"/>
                <w:lang w:val="en-US" w:eastAsia="zh-CN"/>
              </w:rPr>
              <w:t>5分</w:t>
            </w:r>
            <w:r>
              <w:rPr>
                <w:rFonts w:hint="eastAsia" w:ascii="宋体" w:hAnsi="宋体"/>
                <w:b w:val="0"/>
                <w:bCs w:val="0"/>
                <w:color w:val="auto"/>
                <w:szCs w:val="21"/>
                <w:highlight w:val="none"/>
                <w:vertAlign w:val="baseline"/>
                <w:lang w:eastAsia="zh-CN"/>
              </w:rPr>
              <w:t>）</w:t>
            </w:r>
          </w:p>
        </w:tc>
        <w:tc>
          <w:tcPr>
            <w:tcW w:w="6521" w:type="dxa"/>
            <w:tcBorders>
              <w:left w:val="single" w:color="auto" w:sz="4" w:space="0"/>
            </w:tcBorders>
            <w:vAlign w:val="center"/>
          </w:tcPr>
          <w:p w14:paraId="4A1402FC">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供应商</w:t>
            </w:r>
            <w:r>
              <w:rPr>
                <w:rFonts w:hint="eastAsia" w:ascii="宋体" w:hAnsi="宋体" w:eastAsia="宋体" w:cs="Times New Roman"/>
                <w:color w:val="auto"/>
                <w:szCs w:val="21"/>
                <w:lang w:eastAsia="zh-CN"/>
              </w:rPr>
              <w:t xml:space="preserve">同时获得ISO质量管理体系认证证书、环境管理体系认证证书、职业健康安全管理体系认证证书的得 </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lang w:eastAsia="zh-CN"/>
              </w:rPr>
              <w:t>分，此项满分</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lang w:eastAsia="zh-CN"/>
              </w:rPr>
              <w:t>分。（</w:t>
            </w:r>
            <w:r>
              <w:rPr>
                <w:rFonts w:hint="eastAsia" w:ascii="宋体" w:hAnsi="宋体" w:eastAsia="宋体" w:cs="Times New Roman"/>
                <w:color w:val="auto"/>
                <w:szCs w:val="21"/>
                <w:lang w:val="en-US" w:eastAsia="zh-CN"/>
              </w:rPr>
              <w:t>注：</w:t>
            </w:r>
            <w:r>
              <w:rPr>
                <w:rFonts w:hint="eastAsia" w:ascii="宋体" w:hAnsi="宋体" w:eastAsia="宋体" w:cs="Times New Roman"/>
                <w:color w:val="auto"/>
                <w:szCs w:val="21"/>
              </w:rPr>
              <w:t>需在响应文件中提供有效</w:t>
            </w:r>
            <w:r>
              <w:rPr>
                <w:rFonts w:hint="eastAsia" w:ascii="宋体" w:hAnsi="宋体" w:eastAsia="宋体" w:cs="Times New Roman"/>
                <w:color w:val="auto"/>
                <w:szCs w:val="21"/>
                <w:lang w:val="en-US" w:eastAsia="zh-CN"/>
              </w:rPr>
              <w:t>获奖证明</w:t>
            </w:r>
            <w:r>
              <w:rPr>
                <w:rFonts w:hint="eastAsia" w:ascii="宋体" w:hAnsi="宋体" w:eastAsia="宋体" w:cs="Times New Roman"/>
                <w:color w:val="auto"/>
                <w:szCs w:val="21"/>
              </w:rPr>
              <w:t>扫描件，并加盖供应商CA电子签章，否则不予计分</w:t>
            </w:r>
            <w:r>
              <w:rPr>
                <w:rFonts w:hint="eastAsia" w:ascii="宋体" w:hAnsi="宋体" w:eastAsia="宋体" w:cs="Times New Roman"/>
                <w:color w:val="auto"/>
                <w:szCs w:val="21"/>
                <w:lang w:eastAsia="zh-CN"/>
              </w:rPr>
              <w:t>）</w:t>
            </w:r>
          </w:p>
        </w:tc>
        <w:tc>
          <w:tcPr>
            <w:tcW w:w="709" w:type="dxa"/>
            <w:tcBorders>
              <w:left w:val="single" w:color="auto" w:sz="4" w:space="0"/>
            </w:tcBorders>
            <w:vAlign w:val="center"/>
          </w:tcPr>
          <w:p w14:paraId="68E84582">
            <w:pPr>
              <w:pStyle w:val="23"/>
              <w:keepNext w:val="0"/>
              <w:keepLines w:val="0"/>
              <w:pageBreakBefore w:val="0"/>
              <w:kinsoku/>
              <w:wordWrap/>
              <w:overflowPunct/>
              <w:topLinePunct w:val="0"/>
              <w:autoSpaceDE/>
              <w:autoSpaceDN/>
              <w:bidi w:val="0"/>
              <w:adjustRightInd/>
              <w:snapToGrid/>
              <w:spacing w:line="360" w:lineRule="auto"/>
              <w:ind w:left="0" w:right="0"/>
              <w:jc w:val="center"/>
              <w:rPr>
                <w:rFonts w:hint="default" w:hAnsi="宋体" w:cs="黑体"/>
                <w:color w:val="auto"/>
                <w:kern w:val="2"/>
                <w:sz w:val="21"/>
                <w:lang w:val="en-US" w:eastAsia="zh-CN"/>
              </w:rPr>
            </w:pPr>
            <w:r>
              <w:rPr>
                <w:rFonts w:hint="eastAsia" w:hAnsi="宋体" w:cs="黑体"/>
                <w:color w:val="auto"/>
                <w:kern w:val="2"/>
                <w:sz w:val="21"/>
                <w:lang w:val="en-US" w:eastAsia="zh-CN"/>
              </w:rPr>
              <w:t>5分</w:t>
            </w:r>
          </w:p>
        </w:tc>
      </w:tr>
      <w:tr w14:paraId="6861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Align w:val="center"/>
          </w:tcPr>
          <w:p w14:paraId="2AA22723">
            <w:pPr>
              <w:keepNext w:val="0"/>
              <w:keepLines w:val="0"/>
              <w:pageBreakBefore w:val="0"/>
              <w:widowControl/>
              <w:kinsoku/>
              <w:wordWrap/>
              <w:overflowPunct/>
              <w:topLinePunct w:val="0"/>
              <w:autoSpaceDE/>
              <w:autoSpaceDN/>
              <w:bidi w:val="0"/>
              <w:adjustRightInd/>
              <w:snapToGrid/>
              <w:spacing w:line="360" w:lineRule="auto"/>
              <w:ind w:left="0" w:right="0"/>
              <w:jc w:val="center"/>
              <w:rPr>
                <w:rFonts w:hint="default" w:ascii="宋体" w:hAnsi="宋体" w:eastAsia="宋体"/>
                <w:color w:val="auto"/>
                <w:szCs w:val="21"/>
                <w:lang w:val="en-US" w:eastAsia="zh-CN"/>
              </w:rPr>
            </w:pPr>
            <w:r>
              <w:rPr>
                <w:rFonts w:hint="eastAsia" w:ascii="宋体" w:hAnsi="宋体"/>
                <w:color w:val="auto"/>
                <w:szCs w:val="21"/>
                <w:lang w:val="en-US" w:eastAsia="zh-CN"/>
              </w:rPr>
              <w:t>3.3</w:t>
            </w:r>
          </w:p>
        </w:tc>
        <w:tc>
          <w:tcPr>
            <w:tcW w:w="1701" w:type="dxa"/>
            <w:tcBorders>
              <w:left w:val="single" w:color="auto" w:sz="4" w:space="0"/>
            </w:tcBorders>
            <w:vAlign w:val="center"/>
          </w:tcPr>
          <w:p w14:paraId="0CC91263">
            <w:pPr>
              <w:keepNext w:val="0"/>
              <w:keepLines w:val="0"/>
              <w:pageBreakBefore w:val="0"/>
              <w:kinsoku/>
              <w:wordWrap/>
              <w:overflowPunct/>
              <w:topLinePunct w:val="0"/>
              <w:autoSpaceDE/>
              <w:autoSpaceDN/>
              <w:bidi w:val="0"/>
              <w:adjustRightInd/>
              <w:snapToGrid/>
              <w:spacing w:line="360" w:lineRule="auto"/>
              <w:ind w:left="0" w:right="0"/>
              <w:jc w:val="center"/>
              <w:rPr>
                <w:rFonts w:hint="eastAsia" w:ascii="宋体" w:hAnsi="宋体"/>
                <w:b w:val="0"/>
                <w:bCs w:val="0"/>
                <w:color w:val="auto"/>
                <w:szCs w:val="21"/>
              </w:rPr>
            </w:pPr>
            <w:r>
              <w:rPr>
                <w:rFonts w:hint="eastAsia" w:ascii="宋体" w:hAnsi="宋体"/>
                <w:b w:val="0"/>
                <w:bCs w:val="0"/>
                <w:color w:val="auto"/>
                <w:szCs w:val="21"/>
                <w:highlight w:val="none"/>
                <w:vertAlign w:val="baseline"/>
                <w:lang w:val="en-US" w:eastAsia="zh-CN"/>
              </w:rPr>
              <w:t>拟投入人员情况（15分）</w:t>
            </w:r>
          </w:p>
        </w:tc>
        <w:tc>
          <w:tcPr>
            <w:tcW w:w="6521" w:type="dxa"/>
            <w:tcBorders>
              <w:left w:val="single" w:color="auto" w:sz="4" w:space="0"/>
            </w:tcBorders>
            <w:vAlign w:val="center"/>
          </w:tcPr>
          <w:p w14:paraId="308980D5">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（1）项目经理任职资格（满分5分）</w:t>
            </w:r>
          </w:p>
          <w:p w14:paraId="4B79FE0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项目经理职称：具有助理工程师职称的得2分；具有工程师及以上职称的得5分。</w:t>
            </w:r>
          </w:p>
          <w:p w14:paraId="1C906960">
            <w:pPr>
              <w:keepNext w:val="0"/>
              <w:keepLines w:val="0"/>
              <w:pageBreakBefore w:val="0"/>
              <w:widowControl/>
              <w:kinsoku/>
              <w:wordWrap/>
              <w:overflowPunct/>
              <w:topLinePunct w:val="0"/>
              <w:autoSpaceDE/>
              <w:autoSpaceDN/>
              <w:bidi w:val="0"/>
              <w:adjustRightInd/>
              <w:snapToGrid/>
              <w:spacing w:line="360" w:lineRule="auto"/>
              <w:ind w:left="0" w:right="0"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（2）其他主要人员（满分10分）</w:t>
            </w:r>
          </w:p>
          <w:p w14:paraId="7732568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评委将根据供应商的</w:t>
            </w:r>
            <w:r>
              <w:rPr>
                <w:rFonts w:hint="eastAsia" w:ascii="宋体" w:hAnsi="宋体" w:eastAsia="宋体" w:cs="Times New Roman"/>
                <w:color w:val="auto"/>
                <w:szCs w:val="21"/>
                <w:lang w:val="en-US" w:eastAsia="zh-CN"/>
              </w:rPr>
              <w:t>服务人员投入计划</w:t>
            </w:r>
            <w:r>
              <w:rPr>
                <w:rFonts w:hint="eastAsia" w:ascii="宋体" w:hAnsi="宋体" w:eastAsia="宋体" w:cs="Times New Roman"/>
                <w:color w:val="auto"/>
                <w:szCs w:val="21"/>
              </w:rPr>
              <w:t>进行打分。未提供</w:t>
            </w:r>
            <w:r>
              <w:rPr>
                <w:rFonts w:hint="eastAsia" w:ascii="宋体" w:hAnsi="宋体" w:eastAsia="宋体" w:cs="Times New Roman"/>
                <w:color w:val="auto"/>
                <w:szCs w:val="21"/>
                <w:lang w:val="en-US" w:eastAsia="zh-CN"/>
              </w:rPr>
              <w:t>评分</w:t>
            </w:r>
            <w:r>
              <w:rPr>
                <w:rFonts w:hint="eastAsia" w:ascii="宋体" w:hAnsi="宋体" w:eastAsia="宋体" w:cs="Times New Roman"/>
                <w:color w:val="auto"/>
                <w:szCs w:val="21"/>
              </w:rPr>
              <w:t>内容，或内容不满足项目需求的</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不得分。</w:t>
            </w:r>
          </w:p>
          <w:p w14:paraId="00C8CA6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一档</w:t>
            </w:r>
            <w:r>
              <w:rPr>
                <w:rFonts w:hint="eastAsia" w:ascii="宋体" w:hAnsi="宋体" w:eastAsia="宋体" w:cs="Times New Roman"/>
                <w:color w:val="auto"/>
                <w:szCs w:val="21"/>
              </w:rPr>
              <w:t>（10分）：</w:t>
            </w:r>
            <w:r>
              <w:rPr>
                <w:rFonts w:hint="eastAsia" w:ascii="宋体" w:hAnsi="宋体" w:eastAsia="宋体" w:cs="Times New Roman"/>
                <w:color w:val="auto"/>
                <w:szCs w:val="21"/>
                <w:lang w:val="en-US" w:eastAsia="zh-CN"/>
              </w:rPr>
              <w:t>拟投入人员</w:t>
            </w:r>
            <w:r>
              <w:rPr>
                <w:rFonts w:hint="eastAsia" w:ascii="宋体" w:hAnsi="宋体" w:eastAsia="宋体" w:cs="Times New Roman"/>
                <w:color w:val="auto"/>
                <w:szCs w:val="21"/>
              </w:rPr>
              <w:t>完全满足施工需要，有一定的人员储备，管理人员配备齐全且综合素质优秀</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投入的人员中有5人（含）以上具有中级（含）及以上职称的</w:t>
            </w:r>
            <w:r>
              <w:rPr>
                <w:rFonts w:hint="eastAsia" w:ascii="宋体" w:hAnsi="宋体" w:eastAsia="宋体" w:cs="Times New Roman"/>
                <w:color w:val="auto"/>
                <w:szCs w:val="21"/>
              </w:rPr>
              <w:t>。</w:t>
            </w:r>
          </w:p>
          <w:p w14:paraId="7F65706F">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二档</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7</w:t>
            </w:r>
            <w:r>
              <w:rPr>
                <w:rFonts w:hint="eastAsia" w:ascii="宋体" w:hAnsi="宋体" w:eastAsia="宋体" w:cs="Times New Roman"/>
                <w:color w:val="auto"/>
                <w:szCs w:val="21"/>
              </w:rPr>
              <w:t>分）：</w:t>
            </w:r>
            <w:r>
              <w:rPr>
                <w:rFonts w:hint="eastAsia" w:ascii="宋体" w:hAnsi="宋体" w:eastAsia="宋体" w:cs="Times New Roman"/>
                <w:color w:val="auto"/>
                <w:szCs w:val="21"/>
                <w:lang w:val="en-US" w:eastAsia="zh-CN"/>
              </w:rPr>
              <w:t>拟投入人员</w:t>
            </w:r>
            <w:r>
              <w:rPr>
                <w:rFonts w:hint="eastAsia" w:ascii="宋体" w:hAnsi="宋体" w:eastAsia="宋体" w:cs="Times New Roman"/>
                <w:color w:val="auto"/>
                <w:szCs w:val="21"/>
              </w:rPr>
              <w:t>满足施工需要，</w:t>
            </w:r>
            <w:r>
              <w:rPr>
                <w:rFonts w:hint="eastAsia" w:ascii="宋体" w:hAnsi="宋体" w:eastAsia="宋体" w:cs="Times New Roman"/>
                <w:color w:val="auto"/>
                <w:szCs w:val="21"/>
                <w:lang w:val="en-US" w:eastAsia="zh-CN"/>
              </w:rPr>
              <w:t>投入的人员中有2人（含）以上5人以下具有中级职称（含）及以上职称的</w:t>
            </w:r>
            <w:r>
              <w:rPr>
                <w:rFonts w:hint="eastAsia" w:ascii="宋体" w:hAnsi="宋体" w:eastAsia="宋体" w:cs="Times New Roman"/>
                <w:color w:val="auto"/>
                <w:szCs w:val="21"/>
              </w:rPr>
              <w:t>。</w:t>
            </w:r>
          </w:p>
          <w:p w14:paraId="36A8875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三档</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拟投入人员</w:t>
            </w:r>
            <w:r>
              <w:rPr>
                <w:rFonts w:hint="eastAsia" w:ascii="宋体" w:hAnsi="宋体" w:eastAsia="宋体" w:cs="Times New Roman"/>
                <w:color w:val="auto"/>
                <w:szCs w:val="21"/>
              </w:rPr>
              <w:t>基本满足施工需要，</w:t>
            </w:r>
            <w:r>
              <w:rPr>
                <w:rFonts w:hint="eastAsia" w:ascii="宋体" w:hAnsi="宋体" w:eastAsia="宋体" w:cs="Times New Roman"/>
                <w:color w:val="auto"/>
                <w:szCs w:val="21"/>
                <w:lang w:val="en-US" w:eastAsia="zh-CN"/>
              </w:rPr>
              <w:t>投入的人员中少于2人具有中级职称（含）及以上</w:t>
            </w:r>
            <w:r>
              <w:rPr>
                <w:rFonts w:hint="eastAsia" w:ascii="宋体" w:hAnsi="宋体" w:eastAsia="宋体" w:cs="Times New Roman"/>
                <w:color w:val="auto"/>
                <w:szCs w:val="21"/>
              </w:rPr>
              <w:t>。</w:t>
            </w:r>
          </w:p>
          <w:p w14:paraId="2BF685F5">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四档</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拟投入人员</w:t>
            </w:r>
            <w:r>
              <w:rPr>
                <w:rFonts w:hint="eastAsia" w:ascii="宋体" w:hAnsi="宋体" w:eastAsia="宋体" w:cs="Times New Roman"/>
                <w:color w:val="auto"/>
                <w:szCs w:val="21"/>
              </w:rPr>
              <w:t>基本满足施工需要，</w:t>
            </w:r>
            <w:r>
              <w:rPr>
                <w:rFonts w:hint="eastAsia" w:ascii="宋体" w:hAnsi="宋体" w:eastAsia="宋体" w:cs="Times New Roman"/>
                <w:color w:val="auto"/>
                <w:szCs w:val="21"/>
                <w:lang w:val="en-US" w:eastAsia="zh-CN"/>
              </w:rPr>
              <w:t>投入的人员中没有相关职称</w:t>
            </w:r>
            <w:r>
              <w:rPr>
                <w:rFonts w:hint="eastAsia" w:ascii="宋体" w:hAnsi="宋体" w:eastAsia="宋体" w:cs="Times New Roman"/>
                <w:color w:val="auto"/>
                <w:szCs w:val="21"/>
              </w:rPr>
              <w:t>。</w:t>
            </w:r>
          </w:p>
          <w:p w14:paraId="2A4A9416">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备注：以上人员</w:t>
            </w:r>
            <w:r>
              <w:rPr>
                <w:rFonts w:hint="default" w:ascii="宋体" w:hAnsi="宋体" w:eastAsia="宋体" w:cs="Times New Roman"/>
                <w:color w:val="auto"/>
                <w:szCs w:val="21"/>
                <w:lang w:val="en-US" w:eastAsia="zh-CN"/>
              </w:rPr>
              <w:t>提供有效证书复印件及202</w:t>
            </w:r>
            <w:r>
              <w:rPr>
                <w:rFonts w:hint="eastAsia" w:ascii="宋体" w:hAnsi="宋体" w:eastAsia="宋体" w:cs="Times New Roman"/>
                <w:color w:val="auto"/>
                <w:szCs w:val="21"/>
                <w:lang w:val="en-US" w:eastAsia="zh-CN"/>
              </w:rPr>
              <w:t>6</w:t>
            </w:r>
            <w:r>
              <w:rPr>
                <w:rFonts w:hint="default" w:ascii="宋体" w:hAnsi="宋体" w:eastAsia="宋体" w:cs="Times New Roman"/>
                <w:color w:val="auto"/>
                <w:szCs w:val="21"/>
                <w:lang w:val="en-US" w:eastAsia="zh-CN"/>
              </w:rPr>
              <w:t>年以来任意</w:t>
            </w:r>
            <w:r>
              <w:rPr>
                <w:rFonts w:hint="eastAsia" w:ascii="宋体" w:hAnsi="宋体" w:eastAsia="宋体" w:cs="Times New Roman"/>
                <w:color w:val="auto"/>
                <w:szCs w:val="21"/>
                <w:lang w:val="en-US" w:eastAsia="zh-CN"/>
              </w:rPr>
              <w:t>1</w:t>
            </w:r>
            <w:r>
              <w:rPr>
                <w:rFonts w:hint="default" w:ascii="宋体" w:hAnsi="宋体" w:eastAsia="宋体" w:cs="Times New Roman"/>
                <w:color w:val="auto"/>
                <w:szCs w:val="21"/>
                <w:lang w:val="en-US" w:eastAsia="zh-CN"/>
              </w:rPr>
              <w:t>个月供应商为其购买社会保险证明并</w:t>
            </w:r>
            <w:r>
              <w:rPr>
                <w:rFonts w:hint="eastAsia" w:ascii="宋体" w:hAnsi="宋体" w:eastAsia="宋体" w:cs="Times New Roman"/>
                <w:color w:val="auto"/>
                <w:szCs w:val="21"/>
              </w:rPr>
              <w:t>加盖供应商CA电子签章</w:t>
            </w:r>
            <w:r>
              <w:rPr>
                <w:rFonts w:hint="default" w:ascii="宋体" w:hAnsi="宋体" w:eastAsia="宋体" w:cs="Times New Roman"/>
                <w:color w:val="auto"/>
                <w:szCs w:val="21"/>
                <w:lang w:val="en-US" w:eastAsia="zh-CN"/>
              </w:rPr>
              <w:t>，否则不计分。</w:t>
            </w:r>
          </w:p>
        </w:tc>
        <w:tc>
          <w:tcPr>
            <w:tcW w:w="709" w:type="dxa"/>
            <w:tcBorders>
              <w:left w:val="single" w:color="auto" w:sz="4" w:space="0"/>
            </w:tcBorders>
            <w:vAlign w:val="center"/>
          </w:tcPr>
          <w:p w14:paraId="5B0E4CDB">
            <w:pPr>
              <w:pStyle w:val="23"/>
              <w:keepNext w:val="0"/>
              <w:keepLines w:val="0"/>
              <w:pageBreakBefore w:val="0"/>
              <w:kinsoku/>
              <w:wordWrap/>
              <w:overflowPunct/>
              <w:topLinePunct w:val="0"/>
              <w:autoSpaceDE/>
              <w:autoSpaceDN/>
              <w:bidi w:val="0"/>
              <w:adjustRightInd/>
              <w:snapToGrid/>
              <w:spacing w:line="360" w:lineRule="auto"/>
              <w:ind w:left="0" w:right="0"/>
              <w:jc w:val="center"/>
              <w:rPr>
                <w:rFonts w:hint="default" w:hAnsi="宋体" w:cs="黑体"/>
                <w:color w:val="auto"/>
                <w:kern w:val="2"/>
                <w:sz w:val="21"/>
                <w:lang w:val="en-US" w:eastAsia="zh-CN"/>
              </w:rPr>
            </w:pPr>
            <w:r>
              <w:rPr>
                <w:rFonts w:hint="eastAsia" w:hAnsi="宋体" w:cs="黑体"/>
                <w:color w:val="auto"/>
                <w:kern w:val="2"/>
                <w:sz w:val="21"/>
                <w:lang w:val="en-US" w:eastAsia="zh-CN"/>
              </w:rPr>
              <w:t>15分</w:t>
            </w:r>
          </w:p>
        </w:tc>
      </w:tr>
      <w:tr w14:paraId="15D4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7" w:type="dxa"/>
            <w:gridSpan w:val="3"/>
            <w:vAlign w:val="center"/>
          </w:tcPr>
          <w:p w14:paraId="65472D54">
            <w:pPr>
              <w:pStyle w:val="23"/>
              <w:keepNext w:val="0"/>
              <w:keepLines w:val="0"/>
              <w:pageBreakBefore w:val="0"/>
              <w:kinsoku/>
              <w:wordWrap/>
              <w:overflowPunct/>
              <w:topLinePunct w:val="0"/>
              <w:autoSpaceDE/>
              <w:autoSpaceDN/>
              <w:bidi w:val="0"/>
              <w:adjustRightInd/>
              <w:snapToGrid/>
              <w:spacing w:line="360" w:lineRule="auto"/>
              <w:ind w:left="0" w:right="0"/>
              <w:jc w:val="left"/>
              <w:rPr>
                <w:rFonts w:hAnsi="宋体" w:cs="黑体"/>
                <w:color w:val="auto"/>
                <w:kern w:val="2"/>
                <w:sz w:val="21"/>
              </w:rPr>
            </w:pPr>
            <w:r>
              <w:rPr>
                <w:rFonts w:hAnsi="宋体" w:cs="黑体"/>
                <w:color w:val="auto"/>
                <w:kern w:val="2"/>
                <w:sz w:val="21"/>
              </w:rPr>
              <w:t>总得分＝1＋2＋3</w:t>
            </w:r>
          </w:p>
        </w:tc>
        <w:tc>
          <w:tcPr>
            <w:tcW w:w="709" w:type="dxa"/>
            <w:tcBorders>
              <w:left w:val="single" w:color="auto" w:sz="4" w:space="0"/>
            </w:tcBorders>
            <w:vAlign w:val="center"/>
          </w:tcPr>
          <w:p w14:paraId="62FE0394">
            <w:pPr>
              <w:keepNext w:val="0"/>
              <w:keepLines w:val="0"/>
              <w:pageBreakBefore w:val="0"/>
              <w:widowControl/>
              <w:kinsoku/>
              <w:wordWrap/>
              <w:overflowPunct/>
              <w:topLinePunct w:val="0"/>
              <w:autoSpaceDE/>
              <w:autoSpaceDN/>
              <w:bidi w:val="0"/>
              <w:adjustRightInd/>
              <w:snapToGrid/>
              <w:spacing w:line="360" w:lineRule="auto"/>
              <w:ind w:left="0" w:right="0"/>
              <w:jc w:val="left"/>
              <w:rPr>
                <w:rFonts w:hint="eastAsia" w:ascii="宋体" w:hAnsi="宋体"/>
                <w:color w:val="auto"/>
                <w:szCs w:val="21"/>
              </w:rPr>
            </w:pPr>
          </w:p>
        </w:tc>
      </w:tr>
    </w:tbl>
    <w:p w14:paraId="52A8CDC9">
      <w:pPr>
        <w:spacing w:line="360" w:lineRule="auto"/>
        <w:ind w:firstLine="440" w:firstLineChars="200"/>
        <w:rPr>
          <w:rFonts w:hint="eastAsia" w:ascii="宋体" w:hAnsi="宋体" w:eastAsia="宋体" w:cs="宋体"/>
          <w:color w:val="auto"/>
          <w:sz w:val="22"/>
          <w:szCs w:val="28"/>
        </w:rPr>
      </w:pPr>
      <w:r>
        <w:rPr>
          <w:rFonts w:hint="eastAsia" w:ascii="宋体" w:hAnsi="宋体" w:eastAsia="宋体" w:cs="宋体"/>
          <w:color w:val="auto"/>
          <w:sz w:val="22"/>
          <w:szCs w:val="28"/>
        </w:rPr>
        <w:t>8.2商务技术评审因素为客观评分项的，应在评分项目或评分标准中予以标注为“客观分”。对供应商的客观评分项目，各评审专家评分应当一致。</w:t>
      </w:r>
    </w:p>
    <w:p w14:paraId="79B927B4">
      <w:pPr>
        <w:spacing w:line="360" w:lineRule="auto"/>
        <w:ind w:firstLine="440" w:firstLineChars="200"/>
        <w:rPr>
          <w:rFonts w:hint="eastAsia" w:ascii="宋体" w:hAnsi="宋体" w:eastAsia="宋体" w:cs="宋体"/>
          <w:color w:val="auto"/>
          <w:sz w:val="22"/>
          <w:szCs w:val="28"/>
        </w:rPr>
      </w:pPr>
      <w:r>
        <w:rPr>
          <w:rFonts w:hint="eastAsia" w:ascii="宋体" w:hAnsi="宋体" w:eastAsia="宋体" w:cs="宋体"/>
          <w:color w:val="auto"/>
          <w:sz w:val="22"/>
          <w:szCs w:val="28"/>
          <w:lang w:val="en-US" w:eastAsia="zh-CN"/>
        </w:rPr>
        <w:t>8</w:t>
      </w:r>
      <w:r>
        <w:rPr>
          <w:rFonts w:hint="eastAsia" w:ascii="宋体" w:hAnsi="宋体" w:eastAsia="宋体" w:cs="宋体"/>
          <w:color w:val="auto"/>
          <w:sz w:val="22"/>
          <w:szCs w:val="28"/>
        </w:rPr>
        <w:t>.</w:t>
      </w:r>
      <w:r>
        <w:rPr>
          <w:rFonts w:hint="eastAsia" w:ascii="宋体" w:hAnsi="宋体" w:eastAsia="宋体" w:cs="宋体"/>
          <w:color w:val="auto"/>
          <w:sz w:val="22"/>
          <w:szCs w:val="28"/>
          <w:lang w:val="en-US" w:eastAsia="zh-CN"/>
        </w:rPr>
        <w:t>3</w:t>
      </w:r>
      <w:r>
        <w:rPr>
          <w:rFonts w:hint="eastAsia" w:ascii="宋体" w:hAnsi="宋体" w:eastAsia="宋体" w:cs="宋体"/>
          <w:color w:val="auto"/>
          <w:sz w:val="22"/>
          <w:szCs w:val="28"/>
        </w:rPr>
        <w:t>.终止竞争性磋商采购活动</w:t>
      </w:r>
    </w:p>
    <w:p w14:paraId="145B380D">
      <w:pPr>
        <w:spacing w:line="360" w:lineRule="auto"/>
        <w:ind w:firstLine="440" w:firstLineChars="200"/>
        <w:rPr>
          <w:rFonts w:hint="eastAsia" w:ascii="宋体" w:hAnsi="宋体" w:eastAsia="宋体" w:cs="宋体"/>
          <w:color w:val="auto"/>
        </w:rPr>
      </w:pPr>
      <w:r>
        <w:rPr>
          <w:rFonts w:hint="eastAsia" w:ascii="宋体" w:hAnsi="宋体" w:eastAsia="宋体" w:cs="宋体"/>
          <w:color w:val="auto"/>
          <w:sz w:val="22"/>
          <w:szCs w:val="28"/>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EA3976">
      <w:pPr>
        <w:keepNext/>
        <w:keepLines/>
        <w:spacing w:line="360" w:lineRule="auto"/>
        <w:jc w:val="center"/>
        <w:outlineLvl w:val="1"/>
        <w:rPr>
          <w:rFonts w:hint="eastAsia" w:ascii="宋体" w:hAnsi="宋体" w:eastAsia="宋体" w:cs="宋体"/>
          <w:bCs/>
          <w:color w:val="auto"/>
          <w:sz w:val="32"/>
          <w:szCs w:val="32"/>
        </w:rPr>
      </w:pPr>
      <w:bookmarkStart w:id="54" w:name="_Toc14052"/>
      <w:r>
        <w:rPr>
          <w:rFonts w:hint="eastAsia" w:ascii="宋体" w:hAnsi="宋体" w:eastAsia="宋体" w:cs="宋体"/>
          <w:bCs/>
          <w:color w:val="auto"/>
          <w:sz w:val="32"/>
          <w:szCs w:val="32"/>
        </w:rPr>
        <w:t>第二节 评标报告</w:t>
      </w:r>
      <w:bookmarkEnd w:id="52"/>
      <w:bookmarkEnd w:id="54"/>
    </w:p>
    <w:p w14:paraId="53AEECD2">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1.成交标准</w:t>
      </w:r>
    </w:p>
    <w:p w14:paraId="4A8E8EE7">
      <w:pPr>
        <w:spacing w:line="360" w:lineRule="auto"/>
        <w:ind w:firstLine="440" w:firstLineChars="200"/>
        <w:rPr>
          <w:rFonts w:hint="eastAsia" w:ascii="宋体" w:hAnsi="宋体" w:eastAsia="宋体" w:cs="宋体"/>
          <w:bCs/>
          <w:color w:val="auto"/>
          <w:szCs w:val="21"/>
        </w:rPr>
      </w:pPr>
      <w:r>
        <w:rPr>
          <w:rFonts w:hint="eastAsia" w:ascii="宋体" w:hAnsi="宋体" w:eastAsia="宋体" w:cs="宋体"/>
          <w:bCs/>
          <w:color w:val="auto"/>
          <w:sz w:val="22"/>
          <w:szCs w:val="22"/>
        </w:rPr>
        <w:t>由磋商小组根据综合评分情况，按照评审得分由高到低顺序推荐3名以上成交候选供应商</w:t>
      </w:r>
      <w:r>
        <w:rPr>
          <w:rFonts w:hint="eastAsia" w:ascii="宋体" w:hAnsi="宋体" w:eastAsia="宋体" w:cs="宋体"/>
          <w:color w:val="auto"/>
          <w:sz w:val="22"/>
          <w:szCs w:val="28"/>
          <w:lang w:eastAsia="zh-CN"/>
        </w:rPr>
        <w:t>，</w:t>
      </w:r>
      <w:r>
        <w:rPr>
          <w:rFonts w:hint="eastAsia" w:ascii="宋体" w:hAnsi="宋体" w:eastAsia="宋体" w:cs="宋体"/>
          <w:color w:val="auto"/>
          <w:sz w:val="22"/>
          <w:szCs w:val="28"/>
        </w:rPr>
        <w:t>并在线编写电子评审报告</w:t>
      </w:r>
      <w:r>
        <w:rPr>
          <w:rFonts w:hint="eastAsia" w:ascii="宋体" w:hAnsi="宋体" w:eastAsia="宋体" w:cs="宋体"/>
          <w:bCs/>
          <w:color w:val="auto"/>
          <w:sz w:val="22"/>
          <w:szCs w:val="22"/>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 w:val="22"/>
          <w:szCs w:val="22"/>
          <w:lang w:val="en-US" w:eastAsia="zh-CN"/>
        </w:rPr>
        <w:t>商务</w:t>
      </w:r>
      <w:r>
        <w:rPr>
          <w:rFonts w:hint="eastAsia" w:ascii="宋体" w:hAnsi="宋体" w:eastAsia="宋体" w:cs="宋体"/>
          <w:bCs/>
          <w:color w:val="auto"/>
          <w:sz w:val="22"/>
          <w:szCs w:val="22"/>
        </w:rPr>
        <w:t>分由高到低排序）。评审得分、最后报价（不计算价格折扣）、技术得分、</w:t>
      </w:r>
      <w:r>
        <w:rPr>
          <w:rFonts w:hint="eastAsia" w:ascii="宋体" w:hAnsi="宋体" w:cs="宋体"/>
          <w:bCs/>
          <w:color w:val="auto"/>
          <w:sz w:val="22"/>
          <w:szCs w:val="22"/>
          <w:lang w:val="en-US" w:eastAsia="zh-CN"/>
        </w:rPr>
        <w:t>商务</w:t>
      </w:r>
      <w:r>
        <w:rPr>
          <w:rFonts w:hint="eastAsia" w:ascii="宋体" w:hAnsi="宋体" w:eastAsia="宋体" w:cs="宋体"/>
          <w:bCs/>
          <w:color w:val="auto"/>
          <w:sz w:val="22"/>
          <w:szCs w:val="22"/>
        </w:rPr>
        <w:t>分均相同的，由磋商小组随机抽取推荐。</w:t>
      </w:r>
    </w:p>
    <w:p w14:paraId="374B5661">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2.评标争议事项处理</w:t>
      </w:r>
    </w:p>
    <w:p w14:paraId="1EE506A5">
      <w:pPr>
        <w:adjustRightInd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sz w:val="22"/>
          <w:szCs w:val="28"/>
        </w:rPr>
        <w:t>磋商小组成员对需要共同认定的事项存在争议的，应当按照少数服从多数的原则作出结论。持不同意见的磋商小组成员应当在评标报告上签署不同意见及理由，否则视为同意评标报告。</w:t>
      </w:r>
    </w:p>
    <w:p w14:paraId="3296EC98">
      <w:pPr>
        <w:adjustRightInd w:val="0"/>
        <w:spacing w:line="360" w:lineRule="auto"/>
        <w:ind w:firstLine="420" w:firstLineChars="200"/>
        <w:rPr>
          <w:rFonts w:hint="eastAsia" w:ascii="宋体" w:hAnsi="宋体" w:eastAsia="宋体" w:cs="宋体"/>
          <w:color w:val="auto"/>
        </w:rPr>
      </w:pPr>
    </w:p>
    <w:p w14:paraId="1EA4B5C9">
      <w:pPr>
        <w:keepNext/>
        <w:keepLines/>
        <w:spacing w:line="360" w:lineRule="auto"/>
        <w:jc w:val="center"/>
        <w:outlineLvl w:val="1"/>
        <w:rPr>
          <w:rFonts w:hint="eastAsia" w:ascii="宋体" w:hAnsi="宋体" w:eastAsia="宋体" w:cs="宋体"/>
          <w:bCs/>
          <w:color w:val="auto"/>
          <w:sz w:val="32"/>
          <w:szCs w:val="32"/>
        </w:rPr>
      </w:pPr>
      <w:bookmarkStart w:id="55" w:name="_Toc13089"/>
      <w:bookmarkStart w:id="56" w:name="_Toc80205936"/>
      <w:r>
        <w:rPr>
          <w:rFonts w:hint="eastAsia" w:ascii="宋体" w:hAnsi="宋体" w:eastAsia="宋体" w:cs="宋体"/>
          <w:bCs/>
          <w:color w:val="auto"/>
          <w:sz w:val="32"/>
          <w:szCs w:val="32"/>
        </w:rPr>
        <w:t>第三节 评审过程的保密与录像</w:t>
      </w:r>
      <w:bookmarkEnd w:id="55"/>
      <w:bookmarkEnd w:id="56"/>
    </w:p>
    <w:p w14:paraId="60B364A0">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1.保密</w:t>
      </w:r>
    </w:p>
    <w:p w14:paraId="1523DDDD">
      <w:pPr>
        <w:widowControl/>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70BFEF">
      <w:pPr>
        <w:adjustRightIn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2.录音录像</w:t>
      </w:r>
    </w:p>
    <w:p w14:paraId="2A293CC5">
      <w:pPr>
        <w:adjustRightInd w:val="0"/>
        <w:spacing w:line="360" w:lineRule="auto"/>
        <w:ind w:firstLine="440" w:firstLineChars="200"/>
        <w:rPr>
          <w:rFonts w:hint="eastAsia" w:ascii="宋体" w:hAnsi="宋体" w:eastAsia="宋体" w:cs="宋体"/>
          <w:color w:val="auto"/>
        </w:rPr>
      </w:pPr>
      <w:r>
        <w:rPr>
          <w:rFonts w:hint="eastAsia" w:ascii="宋体" w:hAnsi="宋体" w:eastAsia="宋体" w:cs="宋体"/>
          <w:color w:val="auto"/>
          <w:sz w:val="22"/>
          <w:szCs w:val="22"/>
        </w:rPr>
        <w:t>采购代理机构对评审工作现场及操作屏幕进行全过程录音录像，录音录像资料作为采购项目文件随其他文件一并存档。</w:t>
      </w:r>
    </w:p>
    <w:p w14:paraId="7210E3A1">
      <w:pPr>
        <w:rPr>
          <w:rFonts w:hint="eastAsia"/>
        </w:rPr>
      </w:pPr>
      <w:r>
        <w:rPr>
          <w:rFonts w:hint="eastAsia" w:ascii="宋体" w:hAnsi="宋体" w:eastAsia="宋体" w:cs="宋体"/>
          <w:bCs/>
          <w:color w:val="auto"/>
          <w:kern w:val="2"/>
          <w:szCs w:val="24"/>
          <w:lang w:val="en-US" w:eastAsia="zh-CN" w:bidi="ar-SA"/>
        </w:rPr>
        <w:br w:type="page"/>
      </w:r>
      <w:bookmarkEnd w:id="53"/>
    </w:p>
    <w:p w14:paraId="28E570E4">
      <w:pPr>
        <w:keepNext/>
        <w:keepLines/>
        <w:numPr>
          <w:ilvl w:val="0"/>
          <w:numId w:val="1"/>
        </w:numPr>
        <w:spacing w:before="340" w:after="330" w:line="578" w:lineRule="auto"/>
        <w:jc w:val="center"/>
        <w:outlineLvl w:val="0"/>
        <w:rPr>
          <w:rFonts w:hint="eastAsia" w:ascii="宋体" w:hAnsi="宋体" w:eastAsia="宋体" w:cs="宋体"/>
          <w:b/>
          <w:bCs/>
          <w:color w:val="auto"/>
          <w:kern w:val="44"/>
          <w:sz w:val="32"/>
          <w:szCs w:val="32"/>
        </w:rPr>
      </w:pPr>
      <w:bookmarkStart w:id="57" w:name="_Toc26450"/>
      <w:r>
        <w:rPr>
          <w:rFonts w:hint="eastAsia" w:ascii="宋体" w:hAnsi="宋体" w:eastAsia="宋体" w:cs="宋体"/>
          <w:b/>
          <w:bCs/>
          <w:color w:val="auto"/>
          <w:kern w:val="44"/>
          <w:sz w:val="32"/>
          <w:szCs w:val="32"/>
        </w:rPr>
        <w:t>响应文件格式</w:t>
      </w:r>
      <w:bookmarkEnd w:id="57"/>
    </w:p>
    <w:p w14:paraId="77AC18B3">
      <w:pPr>
        <w:keepNext/>
        <w:keepLines/>
        <w:spacing w:before="260" w:after="260" w:line="415" w:lineRule="auto"/>
        <w:jc w:val="center"/>
        <w:outlineLvl w:val="1"/>
        <w:rPr>
          <w:rFonts w:hint="eastAsia" w:ascii="宋体" w:hAnsi="宋体" w:eastAsia="宋体" w:cs="宋体"/>
          <w:bCs/>
          <w:color w:val="auto"/>
          <w:sz w:val="32"/>
          <w:szCs w:val="32"/>
        </w:rPr>
      </w:pPr>
      <w:r>
        <w:rPr>
          <w:rFonts w:hint="eastAsia" w:ascii="宋体" w:hAnsi="宋体" w:eastAsia="宋体" w:cs="宋体"/>
          <w:b/>
          <w:bCs w:val="0"/>
          <w:color w:val="auto"/>
          <w:sz w:val="32"/>
          <w:szCs w:val="32"/>
        </w:rPr>
        <w:t>响应文件封面格式</w:t>
      </w:r>
    </w:p>
    <w:p w14:paraId="5D0FFB45">
      <w:pPr>
        <w:shd w:val="clear" w:color="auto" w:fill="auto"/>
        <w:snapToGrid w:val="0"/>
        <w:spacing w:before="120" w:beforeLines="50" w:after="50"/>
        <w:jc w:val="right"/>
        <w:rPr>
          <w:rFonts w:hint="eastAsia" w:ascii="宋体" w:hAnsi="宋体" w:eastAsia="宋体" w:cs="宋体"/>
          <w:bCs/>
          <w:color w:val="000000"/>
          <w:sz w:val="32"/>
          <w:szCs w:val="20"/>
        </w:rPr>
      </w:pPr>
      <w:r>
        <w:rPr>
          <w:rFonts w:hint="eastAsia" w:ascii="宋体" w:hAnsi="宋体" w:eastAsia="宋体" w:cs="宋体"/>
          <w:bCs/>
          <w:color w:val="000000"/>
          <w:sz w:val="24"/>
          <w:szCs w:val="32"/>
        </w:rPr>
        <w:t>全流程电子文件</w:t>
      </w:r>
    </w:p>
    <w:p w14:paraId="5AFCE821">
      <w:pPr>
        <w:shd w:val="clear" w:color="auto" w:fill="auto"/>
        <w:snapToGrid w:val="0"/>
        <w:spacing w:before="120" w:beforeLines="50" w:after="50"/>
        <w:rPr>
          <w:rFonts w:hint="eastAsia" w:ascii="宋体" w:hAnsi="宋体" w:eastAsia="宋体" w:cs="宋体"/>
          <w:color w:val="000000"/>
          <w:sz w:val="24"/>
          <w:szCs w:val="20"/>
        </w:rPr>
      </w:pPr>
    </w:p>
    <w:p w14:paraId="0D054392">
      <w:pPr>
        <w:shd w:val="clear" w:color="auto" w:fill="auto"/>
        <w:snapToGrid w:val="0"/>
        <w:spacing w:before="120" w:beforeLines="50" w:after="50"/>
        <w:rPr>
          <w:rFonts w:hint="eastAsia" w:ascii="宋体" w:hAnsi="宋体" w:eastAsia="宋体" w:cs="宋体"/>
          <w:color w:val="000000"/>
          <w:sz w:val="24"/>
          <w:szCs w:val="20"/>
        </w:rPr>
      </w:pPr>
    </w:p>
    <w:p w14:paraId="2F9F9833">
      <w:pPr>
        <w:shd w:val="clear" w:color="auto" w:fill="auto"/>
        <w:snapToGrid w:val="0"/>
        <w:spacing w:before="120" w:beforeLines="50" w:after="50"/>
        <w:rPr>
          <w:rFonts w:hint="eastAsia" w:ascii="宋体" w:hAnsi="宋体" w:eastAsia="宋体" w:cs="宋体"/>
          <w:color w:val="000000"/>
          <w:sz w:val="24"/>
          <w:szCs w:val="20"/>
        </w:rPr>
      </w:pPr>
    </w:p>
    <w:p w14:paraId="7A69CFA7">
      <w:pPr>
        <w:shd w:val="clear" w:color="auto" w:fill="auto"/>
        <w:snapToGrid w:val="0"/>
        <w:spacing w:before="120" w:beforeLines="50" w:after="50"/>
        <w:rPr>
          <w:rFonts w:hint="eastAsia" w:ascii="宋体" w:hAnsi="宋体" w:eastAsia="宋体" w:cs="宋体"/>
          <w:color w:val="000000"/>
          <w:sz w:val="24"/>
          <w:szCs w:val="20"/>
        </w:rPr>
      </w:pPr>
    </w:p>
    <w:p w14:paraId="3014E3C0">
      <w:pPr>
        <w:shd w:val="clear" w:color="auto" w:fill="auto"/>
        <w:snapToGrid w:val="0"/>
        <w:spacing w:before="120" w:beforeLines="50" w:after="50"/>
        <w:rPr>
          <w:rFonts w:hint="eastAsia" w:ascii="宋体" w:hAnsi="宋体" w:eastAsia="宋体" w:cs="宋体"/>
          <w:color w:val="000000"/>
          <w:sz w:val="24"/>
          <w:szCs w:val="20"/>
        </w:rPr>
      </w:pPr>
    </w:p>
    <w:p w14:paraId="6996DD7E">
      <w:pPr>
        <w:shd w:val="clear" w:color="auto" w:fill="auto"/>
        <w:snapToGrid w:val="0"/>
        <w:spacing w:before="120" w:beforeLines="50" w:after="5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资格证明文件\商务技术文件\报价文件</w:t>
      </w:r>
    </w:p>
    <w:p w14:paraId="5A2A1F0E">
      <w:pPr>
        <w:snapToGrid w:val="0"/>
        <w:spacing w:before="120" w:beforeLines="50" w:after="50"/>
        <w:rPr>
          <w:rFonts w:hint="eastAsia" w:ascii="宋体" w:hAnsi="宋体" w:eastAsia="宋体" w:cs="宋体"/>
          <w:bCs/>
          <w:color w:val="auto"/>
          <w:sz w:val="24"/>
          <w:szCs w:val="20"/>
        </w:rPr>
      </w:pPr>
    </w:p>
    <w:p w14:paraId="5859D470">
      <w:pPr>
        <w:snapToGrid w:val="0"/>
        <w:spacing w:before="120" w:beforeLines="50" w:after="50"/>
        <w:rPr>
          <w:rFonts w:hint="eastAsia" w:ascii="宋体" w:hAnsi="宋体" w:eastAsia="宋体" w:cs="宋体"/>
          <w:bCs/>
          <w:color w:val="auto"/>
          <w:sz w:val="24"/>
          <w:szCs w:val="20"/>
        </w:rPr>
      </w:pPr>
    </w:p>
    <w:p w14:paraId="3846472B">
      <w:pPr>
        <w:snapToGrid w:val="0"/>
        <w:spacing w:before="120" w:beforeLines="50" w:after="50"/>
        <w:rPr>
          <w:rFonts w:hint="eastAsia" w:ascii="宋体" w:hAnsi="宋体" w:eastAsia="宋体" w:cs="宋体"/>
          <w:bCs/>
          <w:color w:val="auto"/>
          <w:sz w:val="32"/>
          <w:szCs w:val="32"/>
        </w:rPr>
      </w:pPr>
    </w:p>
    <w:p w14:paraId="580A4B0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62DA9C00">
      <w:pPr>
        <w:snapToGrid w:val="0"/>
        <w:spacing w:before="120" w:beforeLines="50" w:after="50"/>
        <w:ind w:firstLine="480" w:firstLineChars="150"/>
        <w:rPr>
          <w:rFonts w:hint="eastAsia" w:ascii="宋体" w:hAnsi="宋体" w:eastAsia="宋体" w:cs="宋体"/>
          <w:bCs/>
          <w:color w:val="auto"/>
          <w:sz w:val="32"/>
          <w:szCs w:val="32"/>
        </w:rPr>
      </w:pPr>
    </w:p>
    <w:p w14:paraId="4BC5C7F4">
      <w:pPr>
        <w:snapToGrid w:val="0"/>
        <w:spacing w:before="120" w:beforeLines="50" w:after="50"/>
        <w:ind w:firstLine="640" w:firstLineChars="200"/>
        <w:rPr>
          <w:rFonts w:hint="eastAsia" w:ascii="宋体" w:hAnsi="宋体" w:eastAsia="宋体" w:cs="宋体"/>
          <w:bCs/>
          <w:color w:val="000000"/>
          <w:sz w:val="32"/>
          <w:szCs w:val="32"/>
        </w:rPr>
      </w:pPr>
      <w:r>
        <w:rPr>
          <w:rFonts w:hint="eastAsia" w:ascii="宋体" w:hAnsi="宋体" w:eastAsia="宋体" w:cs="宋体"/>
          <w:bCs/>
          <w:color w:val="auto"/>
          <w:sz w:val="32"/>
          <w:szCs w:val="32"/>
        </w:rPr>
        <w:t>项目编号：</w:t>
      </w:r>
    </w:p>
    <w:p w14:paraId="3285DD8E">
      <w:pPr>
        <w:snapToGrid w:val="0"/>
        <w:spacing w:before="120" w:beforeLines="50" w:after="50"/>
        <w:rPr>
          <w:rFonts w:hint="eastAsia" w:ascii="宋体" w:hAnsi="宋体" w:eastAsia="宋体" w:cs="宋体"/>
          <w:bCs/>
          <w:color w:val="auto"/>
          <w:sz w:val="32"/>
          <w:szCs w:val="32"/>
        </w:rPr>
      </w:pPr>
    </w:p>
    <w:p w14:paraId="4805034F">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C54B12B">
      <w:pPr>
        <w:snapToGrid w:val="0"/>
        <w:spacing w:before="120" w:beforeLines="50" w:after="50"/>
        <w:rPr>
          <w:rFonts w:hint="eastAsia" w:ascii="宋体" w:hAnsi="宋体" w:eastAsia="宋体" w:cs="宋体"/>
          <w:bCs/>
          <w:color w:val="auto"/>
          <w:sz w:val="32"/>
          <w:szCs w:val="32"/>
        </w:rPr>
      </w:pPr>
    </w:p>
    <w:p w14:paraId="67BFCA05">
      <w:pPr>
        <w:snapToGrid w:val="0"/>
        <w:spacing w:before="120" w:beforeLines="50" w:after="50"/>
        <w:ind w:firstLine="480" w:firstLineChars="150"/>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首次响应文件提交截止时间前不得解密</w:t>
      </w:r>
    </w:p>
    <w:p w14:paraId="4D73A1EC">
      <w:pPr>
        <w:snapToGrid w:val="0"/>
        <w:spacing w:before="120" w:beforeLines="50" w:after="50"/>
        <w:ind w:firstLine="5440" w:firstLineChars="1700"/>
        <w:jc w:val="center"/>
        <w:rPr>
          <w:rFonts w:hint="eastAsia" w:ascii="宋体" w:hAnsi="宋体" w:eastAsia="宋体" w:cs="宋体"/>
          <w:bCs/>
          <w:color w:val="auto"/>
          <w:sz w:val="32"/>
          <w:szCs w:val="32"/>
        </w:rPr>
      </w:pPr>
    </w:p>
    <w:p w14:paraId="61872345">
      <w:pPr>
        <w:snapToGrid w:val="0"/>
        <w:spacing w:before="120" w:beforeLines="50" w:after="50"/>
        <w:ind w:firstLine="645"/>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年    月    日</w:t>
      </w:r>
    </w:p>
    <w:p w14:paraId="3729BCB3">
      <w:pPr>
        <w:rPr>
          <w:rFonts w:hint="eastAsia" w:ascii="宋体" w:hAnsi="宋体" w:eastAsia="宋体" w:cs="宋体"/>
          <w:b/>
          <w:bCs w:val="0"/>
          <w:caps w:val="0"/>
          <w:smallCaps w:val="0"/>
          <w:color w:val="auto"/>
          <w:spacing w:val="0"/>
          <w:kern w:val="2"/>
          <w:sz w:val="30"/>
          <w:szCs w:val="30"/>
          <w:lang w:val="en-US" w:eastAsia="zh-CN"/>
        </w:rPr>
      </w:pPr>
      <w:r>
        <w:rPr>
          <w:rFonts w:hint="eastAsia" w:ascii="宋体" w:hAnsi="宋体" w:eastAsia="宋体" w:cs="宋体"/>
          <w:color w:val="auto"/>
        </w:rPr>
        <w:br w:type="page"/>
      </w:r>
    </w:p>
    <w:p w14:paraId="61C71812">
      <w:pPr>
        <w:shd w:val="clear" w:color="auto" w:fill="auto"/>
        <w:snapToGrid w:val="0"/>
        <w:spacing w:line="360" w:lineRule="auto"/>
        <w:ind w:right="480"/>
        <w:jc w:val="center"/>
        <w:rPr>
          <w:rFonts w:hint="eastAsia" w:ascii="宋体" w:hAnsi="宋体" w:eastAsia="宋体" w:cs="宋体"/>
          <w:b/>
          <w:color w:val="auto"/>
          <w:kern w:val="2"/>
          <w:sz w:val="30"/>
          <w:szCs w:val="30"/>
          <w:lang w:eastAsia="zh-CN"/>
        </w:rPr>
      </w:pPr>
      <w:r>
        <w:rPr>
          <w:rFonts w:hint="eastAsia" w:ascii="宋体" w:hAnsi="宋体" w:cs="宋体"/>
          <w:b/>
          <w:color w:val="auto"/>
          <w:sz w:val="30"/>
          <w:szCs w:val="30"/>
          <w:lang w:eastAsia="zh-CN"/>
        </w:rPr>
        <w:t>政府采购供应商资格信用承诺函</w:t>
      </w:r>
    </w:p>
    <w:p w14:paraId="396A02BC">
      <w:pPr>
        <w:snapToGrid w:val="0"/>
        <w:spacing w:line="360" w:lineRule="auto"/>
        <w:ind w:firstLine="480" w:firstLineChars="200"/>
        <w:rPr>
          <w:rFonts w:hint="eastAsia" w:ascii="宋体" w:hAnsi="宋体" w:eastAsia="宋体" w:cs="宋体"/>
          <w:color w:val="auto"/>
          <w:sz w:val="24"/>
        </w:rPr>
      </w:pPr>
    </w:p>
    <w:p w14:paraId="49F0943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致：</w:t>
      </w:r>
      <w:r>
        <w:rPr>
          <w:rFonts w:hint="eastAsia" w:ascii="宋体" w:hAnsi="宋体" w:cs="宋体"/>
          <w:color w:val="auto"/>
          <w:spacing w:val="6"/>
          <w:sz w:val="24"/>
          <w:u w:val="single"/>
          <w:lang w:val="en-US" w:eastAsia="zh-CN"/>
        </w:rPr>
        <w:t>柳州市防洪排涝工程管理处</w:t>
      </w:r>
      <w:r>
        <w:rPr>
          <w:rFonts w:hint="eastAsia" w:ascii="宋体" w:hAnsi="宋体" w:eastAsia="宋体" w:cs="宋体"/>
          <w:color w:val="auto"/>
          <w:spacing w:val="6"/>
          <w:sz w:val="24"/>
          <w:u w:val="single"/>
        </w:rPr>
        <w:t>、</w:t>
      </w:r>
      <w:r>
        <w:rPr>
          <w:rFonts w:hint="eastAsia" w:ascii="宋体" w:hAnsi="宋体" w:cs="宋体"/>
          <w:color w:val="auto"/>
          <w:spacing w:val="6"/>
          <w:sz w:val="24"/>
          <w:u w:val="single"/>
          <w:lang w:eastAsia="zh-CN"/>
        </w:rPr>
        <w:t>广西全捷工程咨询有限公司</w:t>
      </w:r>
      <w:r>
        <w:rPr>
          <w:rFonts w:hint="eastAsia" w:ascii="宋体" w:hAnsi="宋体" w:eastAsia="宋体" w:cs="宋体"/>
          <w:color w:val="auto"/>
          <w:spacing w:val="6"/>
          <w:sz w:val="24"/>
        </w:rPr>
        <w:t>：</w:t>
      </w:r>
    </w:p>
    <w:p w14:paraId="51335E27">
      <w:pPr>
        <w:keepNext w:val="0"/>
        <w:keepLines w:val="0"/>
        <w:pageBreakBefore w:val="0"/>
        <w:widowControl w:val="0"/>
        <w:kinsoku/>
        <w:wordWrap/>
        <w:overflowPunct/>
        <w:topLinePunct w:val="0"/>
        <w:autoSpaceDE w:val="0"/>
        <w:autoSpaceDN w:val="0"/>
        <w:bidi w:val="0"/>
        <w:adjustRightInd w:val="0"/>
        <w:snapToGrid/>
        <w:spacing w:line="360" w:lineRule="auto"/>
        <w:ind w:left="239" w:leftChars="114" w:firstLine="514" w:firstLineChars="204"/>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我方自愿参加</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项目（</w:t>
      </w:r>
      <w:r>
        <w:rPr>
          <w:rFonts w:hint="eastAsia" w:ascii="宋体" w:hAnsi="宋体" w:cs="宋体"/>
          <w:color w:val="auto"/>
          <w:spacing w:val="6"/>
          <w:sz w:val="24"/>
          <w:lang w:eastAsia="zh-CN"/>
        </w:rPr>
        <w:t>项目编号：</w:t>
      </w:r>
      <w:r>
        <w:rPr>
          <w:rFonts w:hint="eastAsia" w:ascii="宋体" w:hAnsi="宋体" w:cs="宋体"/>
          <w:color w:val="auto"/>
          <w:spacing w:val="6"/>
          <w:sz w:val="24"/>
          <w:u w:val="single"/>
          <w:lang w:val="en-US" w:eastAsia="zh-CN"/>
        </w:rPr>
        <w:t xml:space="preserve">            </w:t>
      </w:r>
      <w:r>
        <w:rPr>
          <w:rFonts w:hint="eastAsia" w:ascii="宋体" w:hAnsi="宋体" w:eastAsia="宋体" w:cs="宋体"/>
          <w:color w:val="auto"/>
          <w:spacing w:val="6"/>
          <w:sz w:val="24"/>
        </w:rPr>
        <w:t xml:space="preserve">）的政府采购活动，并郑重承诺我方符合《中华人民共和国政府采购法》第二十二条规定的条件： </w:t>
      </w:r>
    </w:p>
    <w:p w14:paraId="5E9CD31E">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（一）具有独立承担民事责任的能力； </w:t>
      </w:r>
    </w:p>
    <w:p w14:paraId="1EECB44E">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（二）具有良好的商业信誉和健全的财务会计制度； </w:t>
      </w:r>
    </w:p>
    <w:p w14:paraId="7D1C789B">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（三）具有履行合同所必需的设备和专业技术能力； </w:t>
      </w:r>
    </w:p>
    <w:p w14:paraId="28ECB820">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（四）有依法缴纳税收和社会保障资金的良好记录； </w:t>
      </w:r>
    </w:p>
    <w:p w14:paraId="4F88DED1">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（五）参加政府采购活动前三年内，在经营活动中没有重大违法记录； </w:t>
      </w:r>
    </w:p>
    <w:p w14:paraId="02B2A9F4">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（六）法律、行政法规规定的其他条件。 </w:t>
      </w:r>
    </w:p>
    <w:p w14:paraId="4BD371F4">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我方保证上述承诺事项的真实性，如有弄虚作假或其他违法违规行为，愿意承担一切法律责任，并承担因此所造成的一切损失。 </w:t>
      </w:r>
    </w:p>
    <w:p w14:paraId="17CE6050">
      <w:pPr>
        <w:keepNext w:val="0"/>
        <w:keepLines w:val="0"/>
        <w:pageBreakBefore w:val="0"/>
        <w:widowControl w:val="0"/>
        <w:kinsoku/>
        <w:wordWrap/>
        <w:overflowPunct/>
        <w:topLinePunct w:val="0"/>
        <w:autoSpaceDE w:val="0"/>
        <w:autoSpaceDN w:val="0"/>
        <w:bidi w:val="0"/>
        <w:adjustRightInd w:val="0"/>
        <w:snapToGrid/>
        <w:spacing w:line="360" w:lineRule="auto"/>
        <w:ind w:firstLine="640"/>
        <w:textAlignment w:val="auto"/>
        <w:rPr>
          <w:rFonts w:hint="eastAsia" w:ascii="宋体" w:hAnsi="宋体" w:eastAsia="宋体" w:cs="宋体"/>
          <w:color w:val="auto"/>
          <w:spacing w:val="6"/>
          <w:sz w:val="24"/>
        </w:rPr>
      </w:pPr>
      <w:r>
        <w:rPr>
          <w:rFonts w:hint="eastAsia" w:ascii="宋体" w:hAnsi="宋体" w:eastAsia="宋体" w:cs="宋体"/>
          <w:b w:val="0"/>
          <w:bCs w:val="0"/>
          <w:color w:val="auto"/>
          <w:spacing w:val="6"/>
          <w:sz w:val="24"/>
        </w:rPr>
        <w:t>特此声明！</w:t>
      </w:r>
      <w:r>
        <w:rPr>
          <w:rFonts w:hint="eastAsia" w:ascii="宋体" w:hAnsi="宋体" w:eastAsia="宋体" w:cs="宋体"/>
          <w:color w:val="auto"/>
          <w:spacing w:val="6"/>
          <w:sz w:val="24"/>
        </w:rPr>
        <w:t xml:space="preserve"> </w:t>
      </w:r>
    </w:p>
    <w:p w14:paraId="5DBE53D7">
      <w:pPr>
        <w:spacing w:line="300" w:lineRule="auto"/>
        <w:rPr>
          <w:rFonts w:hint="eastAsia" w:ascii="宋体" w:hAnsi="宋体" w:eastAsia="宋体" w:cs="宋体"/>
          <w:color w:val="auto"/>
          <w:szCs w:val="21"/>
        </w:rPr>
      </w:pPr>
    </w:p>
    <w:p w14:paraId="1E89A68A">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970BC86">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D2947C9">
      <w:pPr>
        <w:jc w:val="center"/>
        <w:rPr>
          <w:rFonts w:hint="eastAsia" w:ascii="宋体" w:hAnsi="宋体" w:eastAsia="宋体" w:cs="宋体"/>
          <w:b/>
          <w:bCs/>
          <w:color w:val="auto"/>
          <w:sz w:val="36"/>
          <w:szCs w:val="36"/>
        </w:rPr>
      </w:pPr>
    </w:p>
    <w:p w14:paraId="16B9B68F">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r>
        <w:rPr>
          <w:rFonts w:hint="eastAsia" w:ascii="宋体" w:hAnsi="宋体" w:eastAsia="宋体" w:cs="宋体"/>
          <w:b/>
          <w:bCs w:val="0"/>
          <w:color w:val="auto"/>
          <w:sz w:val="30"/>
          <w:szCs w:val="30"/>
          <w:lang w:val="en-US" w:eastAsia="zh-CN"/>
        </w:rPr>
        <w:t>供应商</w:t>
      </w:r>
      <w:r>
        <w:rPr>
          <w:rFonts w:hint="eastAsia" w:ascii="宋体" w:hAnsi="宋体" w:eastAsia="宋体" w:cs="宋体"/>
          <w:b/>
          <w:bCs w:val="0"/>
          <w:color w:val="auto"/>
          <w:sz w:val="30"/>
          <w:szCs w:val="30"/>
          <w:lang w:val="en-US"/>
        </w:rPr>
        <w:t>直接控股</w:t>
      </w:r>
      <w:r>
        <w:rPr>
          <w:rFonts w:hint="eastAsia" w:ascii="宋体" w:hAnsi="宋体" w:eastAsia="宋体" w:cs="宋体"/>
          <w:b/>
          <w:bCs w:val="0"/>
          <w:color w:val="auto"/>
          <w:sz w:val="30"/>
          <w:szCs w:val="30"/>
        </w:rPr>
        <w:t>、管理关系信息表</w:t>
      </w:r>
    </w:p>
    <w:p w14:paraId="0D866B9C">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1、</w:t>
      </w:r>
      <w:r>
        <w:rPr>
          <w:rFonts w:hint="eastAsia" w:ascii="宋体" w:hAnsi="宋体" w:eastAsia="宋体" w:cs="宋体"/>
          <w:b/>
          <w:color w:val="auto"/>
          <w:kern w:val="0"/>
          <w:sz w:val="32"/>
          <w:szCs w:val="32"/>
          <w:lang w:eastAsia="zh-CN"/>
        </w:rPr>
        <w:t>供应商</w:t>
      </w:r>
      <w:r>
        <w:rPr>
          <w:rFonts w:hint="eastAsia" w:ascii="宋体" w:hAnsi="宋体" w:eastAsia="宋体" w:cs="宋体"/>
          <w:b/>
          <w:color w:val="auto"/>
          <w:kern w:val="0"/>
          <w:sz w:val="32"/>
          <w:szCs w:val="32"/>
        </w:rPr>
        <w:t>直接控股股东信息表</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28"/>
        <w:gridCol w:w="2269"/>
        <w:gridCol w:w="1239"/>
        <w:gridCol w:w="4256"/>
        <w:gridCol w:w="1128"/>
      </w:tblGrid>
      <w:tr w14:paraId="5070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87ED1D">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666283">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AA84ED">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42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061F4E">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1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4F19C8">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67B1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rHeight w:val="45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673D71">
            <w:pPr>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F56DE8">
            <w:pPr>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B5AA98">
            <w:pPr>
              <w:jc w:val="center"/>
              <w:rPr>
                <w:rFonts w:hint="eastAsia" w:ascii="宋体" w:hAnsi="宋体" w:eastAsia="宋体" w:cs="宋体"/>
                <w:color w:val="auto"/>
                <w:kern w:val="0"/>
                <w:sz w:val="24"/>
              </w:rPr>
            </w:pPr>
          </w:p>
        </w:tc>
        <w:tc>
          <w:tcPr>
            <w:tcW w:w="42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149ED1">
            <w:pPr>
              <w:jc w:val="center"/>
              <w:rPr>
                <w:rFonts w:hint="eastAsia" w:ascii="宋体" w:hAnsi="宋体" w:eastAsia="宋体" w:cs="宋体"/>
                <w:color w:val="auto"/>
                <w:kern w:val="0"/>
                <w:sz w:val="24"/>
              </w:rPr>
            </w:pPr>
          </w:p>
        </w:tc>
        <w:tc>
          <w:tcPr>
            <w:tcW w:w="11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6AA72">
            <w:pPr>
              <w:jc w:val="center"/>
              <w:rPr>
                <w:rFonts w:hint="eastAsia" w:ascii="宋体" w:hAnsi="宋体" w:eastAsia="宋体" w:cs="宋体"/>
                <w:color w:val="auto"/>
                <w:kern w:val="0"/>
                <w:sz w:val="24"/>
              </w:rPr>
            </w:pPr>
          </w:p>
        </w:tc>
      </w:tr>
      <w:tr w14:paraId="2105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4AFDD9">
            <w:pPr>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55D0EC">
            <w:pPr>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576294">
            <w:pPr>
              <w:jc w:val="center"/>
              <w:rPr>
                <w:rFonts w:hint="eastAsia" w:ascii="宋体" w:hAnsi="宋体" w:eastAsia="宋体" w:cs="宋体"/>
                <w:color w:val="auto"/>
                <w:kern w:val="0"/>
                <w:sz w:val="24"/>
              </w:rPr>
            </w:pPr>
          </w:p>
        </w:tc>
        <w:tc>
          <w:tcPr>
            <w:tcW w:w="42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497013">
            <w:pPr>
              <w:jc w:val="center"/>
              <w:rPr>
                <w:rFonts w:hint="eastAsia" w:ascii="宋体" w:hAnsi="宋体" w:eastAsia="宋体" w:cs="宋体"/>
                <w:color w:val="auto"/>
                <w:kern w:val="0"/>
                <w:sz w:val="24"/>
              </w:rPr>
            </w:pPr>
          </w:p>
        </w:tc>
        <w:tc>
          <w:tcPr>
            <w:tcW w:w="11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624602">
            <w:pPr>
              <w:jc w:val="center"/>
              <w:rPr>
                <w:rFonts w:hint="eastAsia" w:ascii="宋体" w:hAnsi="宋体" w:eastAsia="宋体" w:cs="宋体"/>
                <w:color w:val="auto"/>
                <w:kern w:val="0"/>
                <w:sz w:val="24"/>
              </w:rPr>
            </w:pPr>
          </w:p>
        </w:tc>
      </w:tr>
      <w:tr w14:paraId="2AC2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CAF55F">
            <w:pPr>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359B8">
            <w:pPr>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178279">
            <w:pPr>
              <w:jc w:val="center"/>
              <w:rPr>
                <w:rFonts w:hint="eastAsia" w:ascii="宋体" w:hAnsi="宋体" w:eastAsia="宋体" w:cs="宋体"/>
                <w:color w:val="auto"/>
                <w:kern w:val="0"/>
                <w:sz w:val="24"/>
              </w:rPr>
            </w:pPr>
          </w:p>
        </w:tc>
        <w:tc>
          <w:tcPr>
            <w:tcW w:w="42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AFB80F">
            <w:pPr>
              <w:jc w:val="center"/>
              <w:rPr>
                <w:rFonts w:hint="eastAsia" w:ascii="宋体" w:hAnsi="宋体" w:eastAsia="宋体" w:cs="宋体"/>
                <w:color w:val="auto"/>
                <w:kern w:val="0"/>
                <w:sz w:val="24"/>
              </w:rPr>
            </w:pPr>
          </w:p>
        </w:tc>
        <w:tc>
          <w:tcPr>
            <w:tcW w:w="11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C9C70">
            <w:pPr>
              <w:jc w:val="center"/>
              <w:rPr>
                <w:rFonts w:hint="eastAsia" w:ascii="宋体" w:hAnsi="宋体" w:eastAsia="宋体" w:cs="宋体"/>
                <w:color w:val="auto"/>
                <w:kern w:val="0"/>
                <w:sz w:val="24"/>
              </w:rPr>
            </w:pPr>
          </w:p>
        </w:tc>
      </w:tr>
    </w:tbl>
    <w:p w14:paraId="3CCDEA37">
      <w:pPr>
        <w:snapToGrid w:val="0"/>
        <w:jc w:val="left"/>
        <w:rPr>
          <w:rFonts w:hint="eastAsia" w:ascii="宋体" w:hAnsi="宋体" w:eastAsia="宋体" w:cs="宋体"/>
          <w:color w:val="auto"/>
          <w:szCs w:val="21"/>
        </w:rPr>
      </w:pPr>
      <w:r>
        <w:rPr>
          <w:rFonts w:hint="eastAsia" w:ascii="宋体" w:hAnsi="宋体" w:eastAsia="宋体" w:cs="宋体"/>
          <w:color w:val="auto"/>
          <w:szCs w:val="21"/>
        </w:rPr>
        <w:t>注：</w:t>
      </w:r>
    </w:p>
    <w:p w14:paraId="1E3C6D43">
      <w:pPr>
        <w:snapToGrid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AB3093">
      <w:pPr>
        <w:snapToGrid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2.本表所指的控股关系仅限于直接控股关系，不包括间接的控股关系。公司实际控制人与公司之间的关系不属于本表所指的直接控股关系。</w:t>
      </w:r>
    </w:p>
    <w:p w14:paraId="6ECDD636">
      <w:pPr>
        <w:snapToGrid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3.供应商不存在直接控股股东的，则填“无”。</w:t>
      </w:r>
    </w:p>
    <w:p w14:paraId="7B82DB5E">
      <w:pPr>
        <w:spacing w:line="300" w:lineRule="auto"/>
        <w:rPr>
          <w:rFonts w:hint="eastAsia" w:ascii="宋体" w:hAnsi="宋体" w:eastAsia="宋体" w:cs="宋体"/>
          <w:color w:val="auto"/>
          <w:szCs w:val="21"/>
        </w:rPr>
      </w:pPr>
    </w:p>
    <w:p w14:paraId="22620D26">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1DD46A9">
      <w:pPr>
        <w:autoSpaceDE w:val="0"/>
        <w:autoSpaceDN w:val="0"/>
        <w:spacing w:line="360" w:lineRule="auto"/>
        <w:ind w:firstLine="6120" w:firstLineChars="2550"/>
        <w:rPr>
          <w:rFonts w:hint="eastAsia" w:ascii="Times New Roman" w:hAnsi="Times New Roman" w:eastAsia="宋体" w:cs="Times New Roman"/>
          <w:b w:val="0"/>
          <w:color w:val="auto"/>
          <w:sz w:val="21"/>
          <w:szCs w:val="24"/>
        </w:rPr>
      </w:pPr>
      <w:r>
        <w:rPr>
          <w:rFonts w:hint="eastAsia" w:ascii="宋体" w:hAnsi="宋体" w:eastAsia="宋体" w:cs="宋体"/>
          <w:color w:val="auto"/>
          <w:kern w:val="0"/>
          <w:sz w:val="24"/>
          <w:lang w:val="zh-CN"/>
        </w:rPr>
        <w:t>日期：  年  月   日</w:t>
      </w:r>
    </w:p>
    <w:p w14:paraId="4592C232">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2、</w:t>
      </w:r>
      <w:r>
        <w:rPr>
          <w:rFonts w:hint="eastAsia" w:ascii="宋体" w:hAnsi="宋体" w:eastAsia="宋体" w:cs="宋体"/>
          <w:b/>
          <w:color w:val="auto"/>
          <w:kern w:val="0"/>
          <w:sz w:val="32"/>
          <w:szCs w:val="32"/>
          <w:lang w:eastAsia="zh-CN"/>
        </w:rPr>
        <w:t>供应商</w:t>
      </w:r>
      <w:r>
        <w:rPr>
          <w:rFonts w:hint="eastAsia" w:ascii="宋体" w:hAnsi="宋体" w:eastAsia="宋体" w:cs="宋体"/>
          <w:b/>
          <w:color w:val="auto"/>
          <w:kern w:val="0"/>
          <w:sz w:val="32"/>
          <w:szCs w:val="32"/>
        </w:rPr>
        <w:t>直接管理关系信息表</w:t>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1005"/>
        <w:gridCol w:w="2659"/>
        <w:gridCol w:w="3924"/>
        <w:gridCol w:w="2226"/>
      </w:tblGrid>
      <w:tr w14:paraId="7535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rHeight w:val="454" w:hRule="atLeast"/>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684B15">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C1DADF">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6CCCB6">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2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351D37">
            <w:pPr>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02EA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rHeight w:val="45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7F24F9">
            <w:pPr>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4D9DB1">
            <w:pPr>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E6D37D">
            <w:pPr>
              <w:jc w:val="center"/>
              <w:rPr>
                <w:rFonts w:hint="eastAsia" w:ascii="宋体" w:hAnsi="宋体" w:eastAsia="宋体" w:cs="宋体"/>
                <w:color w:val="auto"/>
                <w:kern w:val="0"/>
                <w:sz w:val="24"/>
              </w:rPr>
            </w:pPr>
          </w:p>
        </w:tc>
        <w:tc>
          <w:tcPr>
            <w:tcW w:w="22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8C778C">
            <w:pPr>
              <w:jc w:val="center"/>
              <w:rPr>
                <w:rFonts w:hint="eastAsia" w:ascii="宋体" w:hAnsi="宋体" w:eastAsia="宋体" w:cs="宋体"/>
                <w:color w:val="auto"/>
                <w:kern w:val="0"/>
                <w:sz w:val="24"/>
              </w:rPr>
            </w:pPr>
          </w:p>
        </w:tc>
      </w:tr>
      <w:tr w14:paraId="2E94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44A081">
            <w:pPr>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DB3852">
            <w:pPr>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850DF0">
            <w:pPr>
              <w:jc w:val="center"/>
              <w:rPr>
                <w:rFonts w:hint="eastAsia" w:ascii="宋体" w:hAnsi="宋体" w:eastAsia="宋体" w:cs="宋体"/>
                <w:color w:val="auto"/>
                <w:kern w:val="0"/>
                <w:sz w:val="24"/>
              </w:rPr>
            </w:pPr>
          </w:p>
        </w:tc>
        <w:tc>
          <w:tcPr>
            <w:tcW w:w="22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0166BA">
            <w:pPr>
              <w:jc w:val="center"/>
              <w:rPr>
                <w:rFonts w:hint="eastAsia" w:ascii="宋体" w:hAnsi="宋体" w:eastAsia="宋体" w:cs="宋体"/>
                <w:color w:val="auto"/>
                <w:kern w:val="0"/>
                <w:sz w:val="24"/>
              </w:rPr>
            </w:pPr>
          </w:p>
        </w:tc>
      </w:tr>
      <w:tr w14:paraId="7333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rHeight w:val="45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73D9E">
            <w:pPr>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0185C">
            <w:pPr>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A6F33D">
            <w:pPr>
              <w:jc w:val="center"/>
              <w:rPr>
                <w:rFonts w:hint="eastAsia" w:ascii="宋体" w:hAnsi="宋体" w:eastAsia="宋体" w:cs="宋体"/>
                <w:color w:val="auto"/>
                <w:kern w:val="0"/>
                <w:sz w:val="24"/>
              </w:rPr>
            </w:pPr>
          </w:p>
        </w:tc>
        <w:tc>
          <w:tcPr>
            <w:tcW w:w="22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BAD22">
            <w:pPr>
              <w:jc w:val="center"/>
              <w:rPr>
                <w:rFonts w:hint="eastAsia" w:ascii="宋体" w:hAnsi="宋体" w:eastAsia="宋体" w:cs="宋体"/>
                <w:color w:val="auto"/>
                <w:kern w:val="0"/>
                <w:sz w:val="24"/>
              </w:rPr>
            </w:pPr>
          </w:p>
        </w:tc>
      </w:tr>
    </w:tbl>
    <w:p w14:paraId="79F0B57E">
      <w:pPr>
        <w:snapToGrid w:val="0"/>
        <w:jc w:val="left"/>
        <w:rPr>
          <w:rFonts w:hint="eastAsia" w:ascii="宋体" w:hAnsi="宋体" w:eastAsia="宋体" w:cs="宋体"/>
          <w:color w:val="auto"/>
          <w:szCs w:val="21"/>
        </w:rPr>
      </w:pPr>
      <w:r>
        <w:rPr>
          <w:rFonts w:hint="eastAsia" w:ascii="宋体" w:hAnsi="宋体" w:eastAsia="宋体" w:cs="宋体"/>
          <w:color w:val="auto"/>
          <w:szCs w:val="21"/>
        </w:rPr>
        <w:t>注：</w:t>
      </w:r>
    </w:p>
    <w:p w14:paraId="2A90D35B">
      <w:pPr>
        <w:snapToGrid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1.管理关系：是指不具有出资持股关系的其他单位之间存在的管理与被管理关系，如一些上下级关系的事业单位和团体组织。</w:t>
      </w:r>
    </w:p>
    <w:p w14:paraId="137C97D7">
      <w:pPr>
        <w:snapToGrid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2.本表所指的管理关系仅限于直接管理关系，不包括间接的管理关系。</w:t>
      </w:r>
    </w:p>
    <w:p w14:paraId="0BD2DA3C">
      <w:pPr>
        <w:snapToGrid w:val="0"/>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3.供应商不存在直接管理关系的，则填“无”。</w:t>
      </w:r>
    </w:p>
    <w:p w14:paraId="2D35667C">
      <w:pPr>
        <w:spacing w:line="300" w:lineRule="auto"/>
        <w:rPr>
          <w:rFonts w:hint="eastAsia" w:ascii="宋体" w:hAnsi="宋体" w:eastAsia="宋体" w:cs="宋体"/>
          <w:color w:val="auto"/>
          <w:szCs w:val="21"/>
        </w:rPr>
      </w:pPr>
    </w:p>
    <w:p w14:paraId="1910D064">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762348B">
      <w:pPr>
        <w:autoSpaceDE w:val="0"/>
        <w:autoSpaceDN w:val="0"/>
        <w:spacing w:line="360" w:lineRule="auto"/>
        <w:ind w:firstLine="6120" w:firstLineChars="25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7FD8779">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7BED2175">
      <w:pPr>
        <w:keepNext w:val="0"/>
        <w:keepLines w:val="0"/>
        <w:pageBreakBefore w:val="0"/>
        <w:widowControl w:val="0"/>
        <w:kinsoku/>
        <w:wordWrap/>
        <w:overflowPunct/>
        <w:topLinePunct w:val="0"/>
        <w:autoSpaceDE/>
        <w:autoSpaceDN/>
        <w:bidi w:val="0"/>
        <w:adjustRightInd/>
        <w:snapToGrid/>
        <w:spacing w:line="300" w:lineRule="auto"/>
        <w:ind w:firstLine="0"/>
        <w:jc w:val="center"/>
        <w:textAlignment w:val="auto"/>
        <w:rPr>
          <w:rFonts w:hint="eastAsia" w:ascii="宋体" w:hAnsi="宋体" w:eastAsia="宋体" w:cs="宋体"/>
          <w:color w:val="auto"/>
          <w:sz w:val="44"/>
          <w:szCs w:val="44"/>
        </w:rPr>
      </w:pPr>
      <w:r>
        <w:rPr>
          <w:rFonts w:hint="eastAsia" w:ascii="宋体" w:hAnsi="宋体" w:eastAsia="宋体" w:cs="宋体"/>
          <w:b/>
          <w:bCs/>
          <w:color w:val="auto"/>
          <w:sz w:val="30"/>
          <w:szCs w:val="30"/>
        </w:rPr>
        <w:t>中小企业声明函（</w:t>
      </w:r>
      <w:r>
        <w:rPr>
          <w:rFonts w:hint="eastAsia" w:ascii="宋体" w:hAnsi="宋体" w:cs="宋体"/>
          <w:b/>
          <w:bCs/>
          <w:color w:val="auto"/>
          <w:sz w:val="30"/>
          <w:szCs w:val="30"/>
          <w:lang w:val="en-US" w:eastAsia="zh-CN"/>
        </w:rPr>
        <w:t>工程</w:t>
      </w:r>
      <w:r>
        <w:rPr>
          <w:rFonts w:hint="eastAsia" w:ascii="宋体" w:hAnsi="宋体" w:eastAsia="宋体" w:cs="宋体"/>
          <w:b/>
          <w:bCs/>
          <w:color w:val="auto"/>
          <w:sz w:val="30"/>
          <w:szCs w:val="30"/>
        </w:rPr>
        <w:t>）</w:t>
      </w:r>
    </w:p>
    <w:p w14:paraId="456A6725">
      <w:pPr>
        <w:spacing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采购活动，工程的施工单位全部为符合政策要求的中小企业。相关企业（含联合体中的中小企业、签订分包意向协议的中小企业）的具体情况如下：</w:t>
      </w:r>
    </w:p>
    <w:p w14:paraId="75660C87">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360" w:lineRule="auto"/>
        <w:ind w:right="142" w:firstLine="686" w:firstLineChars="28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承建</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A30F6FB">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360" w:lineRule="auto"/>
        <w:ind w:right="84" w:firstLine="686" w:firstLineChars="286"/>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承建</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83CC62A">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360" w:lineRule="auto"/>
        <w:ind w:right="84" w:firstLine="686" w:firstLineChars="286"/>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 xml:space="preserve">…… </w:t>
      </w:r>
    </w:p>
    <w:p w14:paraId="624EECB0">
      <w:pPr>
        <w:spacing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5A2DC9D6">
      <w:pPr>
        <w:spacing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28BE3101">
      <w:pPr>
        <w:spacing w:line="360" w:lineRule="auto"/>
        <w:ind w:left="3960" w:right="1808"/>
        <w:contextualSpacing/>
        <w:rPr>
          <w:rFonts w:hint="eastAsia" w:ascii="宋体" w:hAnsi="宋体" w:eastAsia="宋体" w:cs="宋体"/>
          <w:color w:val="auto"/>
          <w:sz w:val="24"/>
        </w:rPr>
      </w:pPr>
    </w:p>
    <w:p w14:paraId="35FD7C6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9269009">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761D16C8">
      <w:pPr>
        <w:spacing w:line="360" w:lineRule="auto"/>
        <w:ind w:left="3960" w:right="1808"/>
        <w:contextualSpacing/>
        <w:rPr>
          <w:rFonts w:hint="eastAsia" w:ascii="宋体" w:hAnsi="宋体" w:eastAsia="宋体" w:cs="宋体"/>
          <w:color w:val="auto"/>
        </w:rPr>
      </w:pPr>
    </w:p>
    <w:p w14:paraId="3684CC7B">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5023EF6">
      <w:pPr>
        <w:spacing w:line="528" w:lineRule="exact"/>
        <w:jc w:val="center"/>
        <w:rPr>
          <w:rFonts w:hint="eastAsia" w:ascii="宋体" w:hAnsi="宋体" w:eastAsia="宋体" w:cs="宋体"/>
          <w:color w:val="auto"/>
          <w:sz w:val="32"/>
          <w:szCs w:val="32"/>
        </w:rPr>
      </w:pPr>
      <w:r>
        <w:rPr>
          <w:rFonts w:hint="eastAsia" w:ascii="宋体" w:hAnsi="宋体" w:eastAsia="宋体" w:cs="宋体"/>
          <w:color w:val="auto"/>
          <w:kern w:val="0"/>
          <w:sz w:val="24"/>
          <w:lang w:val="zh-CN"/>
        </w:rPr>
        <w:br w:type="page"/>
      </w:r>
      <w:r>
        <w:rPr>
          <w:rFonts w:hint="eastAsia" w:ascii="宋体" w:hAnsi="宋体" w:eastAsia="宋体" w:cs="宋体"/>
          <w:b/>
          <w:bCs/>
          <w:color w:val="auto"/>
          <w:sz w:val="30"/>
          <w:szCs w:val="30"/>
        </w:rPr>
        <w:t>中小微企业划型标准</w:t>
      </w:r>
    </w:p>
    <w:tbl>
      <w:tblPr>
        <w:tblStyle w:val="16"/>
        <w:tblW w:w="9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0"/>
        <w:gridCol w:w="1915"/>
        <w:gridCol w:w="961"/>
        <w:gridCol w:w="2071"/>
        <w:gridCol w:w="1836"/>
        <w:gridCol w:w="1203"/>
      </w:tblGrid>
      <w:tr w14:paraId="2F9D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14:paraId="768B844B">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行业名称</w:t>
            </w:r>
          </w:p>
        </w:tc>
        <w:tc>
          <w:tcPr>
            <w:tcW w:w="1915" w:type="dxa"/>
            <w:tcBorders>
              <w:top w:val="single" w:color="auto" w:sz="4" w:space="0"/>
              <w:left w:val="nil"/>
              <w:bottom w:val="single" w:color="auto" w:sz="4" w:space="0"/>
              <w:right w:val="single" w:color="auto" w:sz="4" w:space="0"/>
            </w:tcBorders>
            <w:vAlign w:val="center"/>
          </w:tcPr>
          <w:p w14:paraId="18DBBEF9">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指标名称</w:t>
            </w:r>
          </w:p>
        </w:tc>
        <w:tc>
          <w:tcPr>
            <w:tcW w:w="961" w:type="dxa"/>
            <w:tcBorders>
              <w:top w:val="single" w:color="auto" w:sz="4" w:space="0"/>
              <w:left w:val="nil"/>
              <w:bottom w:val="single" w:color="auto" w:sz="4" w:space="0"/>
              <w:right w:val="single" w:color="auto" w:sz="4" w:space="0"/>
            </w:tcBorders>
            <w:vAlign w:val="center"/>
          </w:tcPr>
          <w:p w14:paraId="09733117">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计量单位</w:t>
            </w:r>
          </w:p>
        </w:tc>
        <w:tc>
          <w:tcPr>
            <w:tcW w:w="2071" w:type="dxa"/>
            <w:tcBorders>
              <w:top w:val="single" w:color="auto" w:sz="4" w:space="0"/>
              <w:left w:val="nil"/>
              <w:bottom w:val="single" w:color="auto" w:sz="4" w:space="0"/>
              <w:right w:val="single" w:color="auto" w:sz="4" w:space="0"/>
            </w:tcBorders>
            <w:vAlign w:val="center"/>
          </w:tcPr>
          <w:p w14:paraId="0EF64341">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中型</w:t>
            </w:r>
          </w:p>
        </w:tc>
        <w:tc>
          <w:tcPr>
            <w:tcW w:w="1836" w:type="dxa"/>
            <w:tcBorders>
              <w:top w:val="single" w:color="auto" w:sz="4" w:space="0"/>
              <w:left w:val="nil"/>
              <w:bottom w:val="single" w:color="auto" w:sz="4" w:space="0"/>
              <w:right w:val="single" w:color="auto" w:sz="4" w:space="0"/>
            </w:tcBorders>
            <w:vAlign w:val="center"/>
          </w:tcPr>
          <w:p w14:paraId="020A549B">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小型</w:t>
            </w:r>
          </w:p>
        </w:tc>
        <w:tc>
          <w:tcPr>
            <w:tcW w:w="1203" w:type="dxa"/>
            <w:tcBorders>
              <w:top w:val="single" w:color="auto" w:sz="4" w:space="0"/>
              <w:left w:val="nil"/>
              <w:bottom w:val="single" w:color="auto" w:sz="4" w:space="0"/>
              <w:right w:val="single" w:color="auto" w:sz="4" w:space="0"/>
            </w:tcBorders>
            <w:vAlign w:val="center"/>
          </w:tcPr>
          <w:p w14:paraId="575065AB">
            <w:pPr>
              <w:widowControl/>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微型</w:t>
            </w:r>
          </w:p>
        </w:tc>
      </w:tr>
      <w:tr w14:paraId="4F68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tcBorders>
              <w:top w:val="nil"/>
              <w:left w:val="single" w:color="auto" w:sz="4" w:space="0"/>
              <w:bottom w:val="single" w:color="auto" w:sz="4" w:space="0"/>
              <w:right w:val="single" w:color="auto" w:sz="4" w:space="0"/>
            </w:tcBorders>
            <w:vAlign w:val="center"/>
          </w:tcPr>
          <w:p w14:paraId="7B23FF56">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农、林、牧、渔</w:t>
            </w:r>
          </w:p>
        </w:tc>
        <w:tc>
          <w:tcPr>
            <w:tcW w:w="1915" w:type="dxa"/>
            <w:tcBorders>
              <w:top w:val="nil"/>
              <w:left w:val="nil"/>
              <w:bottom w:val="single" w:color="auto" w:sz="4" w:space="0"/>
              <w:right w:val="single" w:color="auto" w:sz="4" w:space="0"/>
            </w:tcBorders>
            <w:vAlign w:val="center"/>
          </w:tcPr>
          <w:p w14:paraId="0D35E4B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2B78786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1F6D729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500≤Y＜20000</w:t>
            </w:r>
          </w:p>
        </w:tc>
        <w:tc>
          <w:tcPr>
            <w:tcW w:w="1836" w:type="dxa"/>
            <w:tcBorders>
              <w:top w:val="nil"/>
              <w:left w:val="nil"/>
              <w:bottom w:val="single" w:color="auto" w:sz="4" w:space="0"/>
              <w:right w:val="single" w:color="auto" w:sz="4" w:space="0"/>
            </w:tcBorders>
            <w:vAlign w:val="center"/>
          </w:tcPr>
          <w:p w14:paraId="5C182DC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50≤Y＜500</w:t>
            </w:r>
          </w:p>
        </w:tc>
        <w:tc>
          <w:tcPr>
            <w:tcW w:w="1203" w:type="dxa"/>
            <w:tcBorders>
              <w:top w:val="nil"/>
              <w:left w:val="nil"/>
              <w:bottom w:val="single" w:color="auto" w:sz="4" w:space="0"/>
              <w:right w:val="single" w:color="auto" w:sz="4" w:space="0"/>
            </w:tcBorders>
            <w:vAlign w:val="center"/>
          </w:tcPr>
          <w:p w14:paraId="58296D5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Y＜50</w:t>
            </w:r>
          </w:p>
        </w:tc>
      </w:tr>
      <w:tr w14:paraId="2660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6F81805B">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工业</w:t>
            </w:r>
          </w:p>
        </w:tc>
        <w:tc>
          <w:tcPr>
            <w:tcW w:w="1915" w:type="dxa"/>
            <w:tcBorders>
              <w:top w:val="nil"/>
              <w:left w:val="nil"/>
              <w:bottom w:val="single" w:color="auto" w:sz="4" w:space="0"/>
              <w:right w:val="single" w:color="auto" w:sz="4" w:space="0"/>
            </w:tcBorders>
            <w:vAlign w:val="center"/>
          </w:tcPr>
          <w:p w14:paraId="5AEE50C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54F9065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4D190CE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300≤X＜1000</w:t>
            </w:r>
          </w:p>
        </w:tc>
        <w:tc>
          <w:tcPr>
            <w:tcW w:w="1836" w:type="dxa"/>
            <w:tcBorders>
              <w:top w:val="nil"/>
              <w:left w:val="nil"/>
              <w:bottom w:val="single" w:color="auto" w:sz="4" w:space="0"/>
              <w:right w:val="single" w:color="auto" w:sz="4" w:space="0"/>
            </w:tcBorders>
            <w:vAlign w:val="center"/>
          </w:tcPr>
          <w:p w14:paraId="39FBC77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20≤X＜300</w:t>
            </w:r>
          </w:p>
        </w:tc>
        <w:tc>
          <w:tcPr>
            <w:tcW w:w="1203" w:type="dxa"/>
            <w:tcBorders>
              <w:top w:val="nil"/>
              <w:left w:val="nil"/>
              <w:bottom w:val="single" w:color="auto" w:sz="4" w:space="0"/>
              <w:right w:val="single" w:color="auto" w:sz="4" w:space="0"/>
            </w:tcBorders>
            <w:vAlign w:val="center"/>
          </w:tcPr>
          <w:p w14:paraId="1E9443E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X＜20</w:t>
            </w:r>
          </w:p>
        </w:tc>
      </w:tr>
      <w:tr w14:paraId="2094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4F12B6A9"/>
        </w:tc>
        <w:tc>
          <w:tcPr>
            <w:tcW w:w="1915" w:type="dxa"/>
            <w:tcBorders>
              <w:top w:val="nil"/>
              <w:left w:val="nil"/>
              <w:bottom w:val="single" w:color="auto" w:sz="4" w:space="0"/>
              <w:right w:val="single" w:color="auto" w:sz="4" w:space="0"/>
            </w:tcBorders>
            <w:vAlign w:val="center"/>
          </w:tcPr>
          <w:p w14:paraId="52E6CD4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11B67B4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0995768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2000≤Y＜40000</w:t>
            </w:r>
          </w:p>
        </w:tc>
        <w:tc>
          <w:tcPr>
            <w:tcW w:w="1836" w:type="dxa"/>
            <w:tcBorders>
              <w:top w:val="nil"/>
              <w:left w:val="nil"/>
              <w:bottom w:val="single" w:color="auto" w:sz="4" w:space="0"/>
              <w:right w:val="single" w:color="auto" w:sz="4" w:space="0"/>
            </w:tcBorders>
            <w:vAlign w:val="center"/>
          </w:tcPr>
          <w:p w14:paraId="690F11C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300≤Y＜2000</w:t>
            </w:r>
          </w:p>
        </w:tc>
        <w:tc>
          <w:tcPr>
            <w:tcW w:w="1203" w:type="dxa"/>
            <w:tcBorders>
              <w:top w:val="nil"/>
              <w:left w:val="nil"/>
              <w:bottom w:val="single" w:color="auto" w:sz="4" w:space="0"/>
              <w:right w:val="single" w:color="auto" w:sz="4" w:space="0"/>
            </w:tcBorders>
            <w:vAlign w:val="center"/>
          </w:tcPr>
          <w:p w14:paraId="08DFF5A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Y＜300</w:t>
            </w:r>
          </w:p>
        </w:tc>
      </w:tr>
      <w:tr w14:paraId="527E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4C4E95B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建筑业</w:t>
            </w:r>
          </w:p>
        </w:tc>
        <w:tc>
          <w:tcPr>
            <w:tcW w:w="1915" w:type="dxa"/>
            <w:tcBorders>
              <w:top w:val="nil"/>
              <w:left w:val="nil"/>
              <w:bottom w:val="single" w:color="auto" w:sz="4" w:space="0"/>
              <w:right w:val="single" w:color="auto" w:sz="4" w:space="0"/>
            </w:tcBorders>
            <w:vAlign w:val="center"/>
          </w:tcPr>
          <w:p w14:paraId="61ABE6B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151E05B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328C222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6000≤Y＜80000</w:t>
            </w:r>
          </w:p>
        </w:tc>
        <w:tc>
          <w:tcPr>
            <w:tcW w:w="1836" w:type="dxa"/>
            <w:tcBorders>
              <w:top w:val="nil"/>
              <w:left w:val="nil"/>
              <w:bottom w:val="single" w:color="auto" w:sz="4" w:space="0"/>
              <w:right w:val="single" w:color="auto" w:sz="4" w:space="0"/>
            </w:tcBorders>
            <w:vAlign w:val="center"/>
          </w:tcPr>
          <w:p w14:paraId="01EE7EA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300≤Y＜6000</w:t>
            </w:r>
          </w:p>
        </w:tc>
        <w:tc>
          <w:tcPr>
            <w:tcW w:w="1203" w:type="dxa"/>
            <w:tcBorders>
              <w:top w:val="nil"/>
              <w:left w:val="nil"/>
              <w:bottom w:val="single" w:color="auto" w:sz="4" w:space="0"/>
              <w:right w:val="single" w:color="auto" w:sz="4" w:space="0"/>
            </w:tcBorders>
            <w:vAlign w:val="center"/>
          </w:tcPr>
          <w:p w14:paraId="6FCFBCD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Y＜300</w:t>
            </w:r>
          </w:p>
        </w:tc>
      </w:tr>
      <w:tr w14:paraId="5E57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18460543"/>
        </w:tc>
        <w:tc>
          <w:tcPr>
            <w:tcW w:w="1915" w:type="dxa"/>
            <w:tcBorders>
              <w:top w:val="nil"/>
              <w:left w:val="nil"/>
              <w:bottom w:val="single" w:color="auto" w:sz="4" w:space="0"/>
              <w:right w:val="single" w:color="auto" w:sz="4" w:space="0"/>
            </w:tcBorders>
            <w:vAlign w:val="center"/>
          </w:tcPr>
          <w:p w14:paraId="65C005A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资产总额（Z）</w:t>
            </w:r>
          </w:p>
        </w:tc>
        <w:tc>
          <w:tcPr>
            <w:tcW w:w="961" w:type="dxa"/>
            <w:tcBorders>
              <w:top w:val="nil"/>
              <w:left w:val="nil"/>
              <w:bottom w:val="single" w:color="auto" w:sz="4" w:space="0"/>
              <w:right w:val="single" w:color="auto" w:sz="4" w:space="0"/>
            </w:tcBorders>
            <w:vAlign w:val="center"/>
          </w:tcPr>
          <w:p w14:paraId="2DFDD75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364F651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5000≤Z＜80000</w:t>
            </w:r>
          </w:p>
        </w:tc>
        <w:tc>
          <w:tcPr>
            <w:tcW w:w="1836" w:type="dxa"/>
            <w:tcBorders>
              <w:top w:val="nil"/>
              <w:left w:val="nil"/>
              <w:bottom w:val="single" w:color="auto" w:sz="4" w:space="0"/>
              <w:right w:val="single" w:color="auto" w:sz="4" w:space="0"/>
            </w:tcBorders>
            <w:vAlign w:val="center"/>
          </w:tcPr>
          <w:p w14:paraId="5E519AC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300≤Z＜5000</w:t>
            </w:r>
          </w:p>
        </w:tc>
        <w:tc>
          <w:tcPr>
            <w:tcW w:w="1203" w:type="dxa"/>
            <w:tcBorders>
              <w:top w:val="nil"/>
              <w:left w:val="nil"/>
              <w:bottom w:val="single" w:color="auto" w:sz="4" w:space="0"/>
              <w:right w:val="single" w:color="auto" w:sz="4" w:space="0"/>
            </w:tcBorders>
            <w:vAlign w:val="center"/>
          </w:tcPr>
          <w:p w14:paraId="3C5F3C7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Z＜300</w:t>
            </w:r>
          </w:p>
        </w:tc>
      </w:tr>
      <w:tr w14:paraId="0DF8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7F53D8A2">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批发业</w:t>
            </w:r>
          </w:p>
        </w:tc>
        <w:tc>
          <w:tcPr>
            <w:tcW w:w="1915" w:type="dxa"/>
            <w:tcBorders>
              <w:top w:val="nil"/>
              <w:left w:val="nil"/>
              <w:bottom w:val="single" w:color="auto" w:sz="4" w:space="0"/>
              <w:right w:val="single" w:color="auto" w:sz="4" w:space="0"/>
            </w:tcBorders>
            <w:vAlign w:val="center"/>
          </w:tcPr>
          <w:p w14:paraId="64E3052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2B811CA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6A20D73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20≤X＜200</w:t>
            </w:r>
          </w:p>
        </w:tc>
        <w:tc>
          <w:tcPr>
            <w:tcW w:w="1836" w:type="dxa"/>
            <w:tcBorders>
              <w:top w:val="nil"/>
              <w:left w:val="nil"/>
              <w:bottom w:val="single" w:color="auto" w:sz="4" w:space="0"/>
              <w:right w:val="single" w:color="auto" w:sz="4" w:space="0"/>
            </w:tcBorders>
            <w:vAlign w:val="center"/>
          </w:tcPr>
          <w:p w14:paraId="7D57699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5≤X＜20</w:t>
            </w:r>
          </w:p>
        </w:tc>
        <w:tc>
          <w:tcPr>
            <w:tcW w:w="1203" w:type="dxa"/>
            <w:tcBorders>
              <w:top w:val="nil"/>
              <w:left w:val="nil"/>
              <w:bottom w:val="single" w:color="auto" w:sz="4" w:space="0"/>
              <w:right w:val="single" w:color="auto" w:sz="4" w:space="0"/>
            </w:tcBorders>
            <w:vAlign w:val="center"/>
          </w:tcPr>
          <w:p w14:paraId="5C675BE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X＜5</w:t>
            </w:r>
          </w:p>
        </w:tc>
      </w:tr>
      <w:tr w14:paraId="4E95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30148F36"/>
        </w:tc>
        <w:tc>
          <w:tcPr>
            <w:tcW w:w="1915" w:type="dxa"/>
            <w:tcBorders>
              <w:top w:val="nil"/>
              <w:left w:val="nil"/>
              <w:bottom w:val="single" w:color="auto" w:sz="4" w:space="0"/>
              <w:right w:val="single" w:color="auto" w:sz="4" w:space="0"/>
            </w:tcBorders>
            <w:vAlign w:val="center"/>
          </w:tcPr>
          <w:p w14:paraId="5950F8F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6841C98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46C2B33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5000≤Y＜40000</w:t>
            </w:r>
          </w:p>
        </w:tc>
        <w:tc>
          <w:tcPr>
            <w:tcW w:w="1836" w:type="dxa"/>
            <w:tcBorders>
              <w:top w:val="nil"/>
              <w:left w:val="nil"/>
              <w:bottom w:val="single" w:color="auto" w:sz="4" w:space="0"/>
              <w:right w:val="single" w:color="auto" w:sz="4" w:space="0"/>
            </w:tcBorders>
            <w:vAlign w:val="center"/>
          </w:tcPr>
          <w:p w14:paraId="7112D27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1000≤Y＜5000</w:t>
            </w:r>
          </w:p>
        </w:tc>
        <w:tc>
          <w:tcPr>
            <w:tcW w:w="1203" w:type="dxa"/>
            <w:tcBorders>
              <w:top w:val="nil"/>
              <w:left w:val="nil"/>
              <w:bottom w:val="single" w:color="auto" w:sz="4" w:space="0"/>
              <w:right w:val="single" w:color="auto" w:sz="4" w:space="0"/>
            </w:tcBorders>
            <w:vAlign w:val="center"/>
          </w:tcPr>
          <w:p w14:paraId="4B74A45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Y＜1000</w:t>
            </w:r>
          </w:p>
        </w:tc>
      </w:tr>
      <w:tr w14:paraId="0234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0D94A52D">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零售业</w:t>
            </w:r>
          </w:p>
        </w:tc>
        <w:tc>
          <w:tcPr>
            <w:tcW w:w="1915" w:type="dxa"/>
            <w:tcBorders>
              <w:top w:val="nil"/>
              <w:left w:val="nil"/>
              <w:bottom w:val="single" w:color="auto" w:sz="4" w:space="0"/>
              <w:right w:val="single" w:color="auto" w:sz="4" w:space="0"/>
            </w:tcBorders>
            <w:vAlign w:val="center"/>
          </w:tcPr>
          <w:p w14:paraId="3B2B58A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3C1174F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007CF32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50≤X＜300</w:t>
            </w:r>
          </w:p>
        </w:tc>
        <w:tc>
          <w:tcPr>
            <w:tcW w:w="1836" w:type="dxa"/>
            <w:tcBorders>
              <w:top w:val="nil"/>
              <w:left w:val="nil"/>
              <w:bottom w:val="single" w:color="auto" w:sz="4" w:space="0"/>
              <w:right w:val="single" w:color="auto" w:sz="4" w:space="0"/>
            </w:tcBorders>
            <w:vAlign w:val="center"/>
          </w:tcPr>
          <w:p w14:paraId="3164C3B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10≤X＜50</w:t>
            </w:r>
          </w:p>
        </w:tc>
        <w:tc>
          <w:tcPr>
            <w:tcW w:w="1203" w:type="dxa"/>
            <w:tcBorders>
              <w:top w:val="nil"/>
              <w:left w:val="nil"/>
              <w:bottom w:val="single" w:color="auto" w:sz="4" w:space="0"/>
              <w:right w:val="single" w:color="auto" w:sz="4" w:space="0"/>
            </w:tcBorders>
            <w:vAlign w:val="center"/>
          </w:tcPr>
          <w:p w14:paraId="4ED6FB4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r w14:paraId="61B1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1D77B7A9"/>
        </w:tc>
        <w:tc>
          <w:tcPr>
            <w:tcW w:w="1915" w:type="dxa"/>
            <w:tcBorders>
              <w:top w:val="nil"/>
              <w:left w:val="nil"/>
              <w:bottom w:val="single" w:color="auto" w:sz="4" w:space="0"/>
              <w:right w:val="single" w:color="auto" w:sz="4" w:space="0"/>
            </w:tcBorders>
            <w:vAlign w:val="center"/>
          </w:tcPr>
          <w:p w14:paraId="1153A1A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67E6167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7303C19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500≤Y＜20000</w:t>
            </w:r>
          </w:p>
        </w:tc>
        <w:tc>
          <w:tcPr>
            <w:tcW w:w="1836" w:type="dxa"/>
            <w:tcBorders>
              <w:top w:val="nil"/>
              <w:left w:val="nil"/>
              <w:bottom w:val="single" w:color="auto" w:sz="4" w:space="0"/>
              <w:right w:val="single" w:color="auto" w:sz="4" w:space="0"/>
            </w:tcBorders>
            <w:vAlign w:val="center"/>
          </w:tcPr>
          <w:p w14:paraId="5487103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100≤Y＜500</w:t>
            </w:r>
          </w:p>
        </w:tc>
        <w:tc>
          <w:tcPr>
            <w:tcW w:w="1203" w:type="dxa"/>
            <w:tcBorders>
              <w:top w:val="nil"/>
              <w:left w:val="nil"/>
              <w:bottom w:val="single" w:color="auto" w:sz="4" w:space="0"/>
              <w:right w:val="single" w:color="auto" w:sz="4" w:space="0"/>
            </w:tcBorders>
            <w:vAlign w:val="center"/>
          </w:tcPr>
          <w:p w14:paraId="13E3629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4A87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5EB8976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交通运输业</w:t>
            </w:r>
          </w:p>
        </w:tc>
        <w:tc>
          <w:tcPr>
            <w:tcW w:w="1915" w:type="dxa"/>
            <w:tcBorders>
              <w:top w:val="nil"/>
              <w:left w:val="nil"/>
              <w:bottom w:val="single" w:color="auto" w:sz="4" w:space="0"/>
              <w:right w:val="single" w:color="auto" w:sz="4" w:space="0"/>
            </w:tcBorders>
            <w:vAlign w:val="center"/>
          </w:tcPr>
          <w:p w14:paraId="5FFA014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67F4A57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5408458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300≤X＜1000</w:t>
            </w:r>
          </w:p>
        </w:tc>
        <w:tc>
          <w:tcPr>
            <w:tcW w:w="1836" w:type="dxa"/>
            <w:tcBorders>
              <w:top w:val="nil"/>
              <w:left w:val="nil"/>
              <w:bottom w:val="single" w:color="auto" w:sz="4" w:space="0"/>
              <w:right w:val="single" w:color="auto" w:sz="4" w:space="0"/>
            </w:tcBorders>
            <w:vAlign w:val="center"/>
          </w:tcPr>
          <w:p w14:paraId="702E1C0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20≤X＜300</w:t>
            </w:r>
          </w:p>
        </w:tc>
        <w:tc>
          <w:tcPr>
            <w:tcW w:w="1203" w:type="dxa"/>
            <w:tcBorders>
              <w:top w:val="nil"/>
              <w:left w:val="nil"/>
              <w:bottom w:val="single" w:color="auto" w:sz="4" w:space="0"/>
              <w:right w:val="single" w:color="auto" w:sz="4" w:space="0"/>
            </w:tcBorders>
            <w:vAlign w:val="center"/>
          </w:tcPr>
          <w:p w14:paraId="7D29B8E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X＜20</w:t>
            </w:r>
          </w:p>
        </w:tc>
      </w:tr>
      <w:tr w14:paraId="0DFA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7A9376B2"/>
        </w:tc>
        <w:tc>
          <w:tcPr>
            <w:tcW w:w="1915" w:type="dxa"/>
            <w:tcBorders>
              <w:top w:val="nil"/>
              <w:left w:val="nil"/>
              <w:bottom w:val="single" w:color="auto" w:sz="4" w:space="0"/>
              <w:right w:val="single" w:color="auto" w:sz="4" w:space="0"/>
            </w:tcBorders>
            <w:vAlign w:val="center"/>
          </w:tcPr>
          <w:p w14:paraId="356D75E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3FA6F95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12762A6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3000≤Y＜30000</w:t>
            </w:r>
          </w:p>
        </w:tc>
        <w:tc>
          <w:tcPr>
            <w:tcW w:w="1836" w:type="dxa"/>
            <w:tcBorders>
              <w:top w:val="nil"/>
              <w:left w:val="nil"/>
              <w:bottom w:val="single" w:color="auto" w:sz="4" w:space="0"/>
              <w:right w:val="single" w:color="auto" w:sz="4" w:space="0"/>
            </w:tcBorders>
            <w:vAlign w:val="center"/>
          </w:tcPr>
          <w:p w14:paraId="7AC076B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200≤Y＜3000</w:t>
            </w:r>
          </w:p>
        </w:tc>
        <w:tc>
          <w:tcPr>
            <w:tcW w:w="1203" w:type="dxa"/>
            <w:tcBorders>
              <w:top w:val="nil"/>
              <w:left w:val="nil"/>
              <w:bottom w:val="single" w:color="auto" w:sz="4" w:space="0"/>
              <w:right w:val="single" w:color="auto" w:sz="4" w:space="0"/>
            </w:tcBorders>
            <w:vAlign w:val="center"/>
          </w:tcPr>
          <w:p w14:paraId="3A8B7AA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Y＜200</w:t>
            </w:r>
          </w:p>
        </w:tc>
      </w:tr>
      <w:tr w14:paraId="4AB3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50DCCC14">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仓储业</w:t>
            </w:r>
          </w:p>
        </w:tc>
        <w:tc>
          <w:tcPr>
            <w:tcW w:w="1915" w:type="dxa"/>
            <w:tcBorders>
              <w:top w:val="nil"/>
              <w:left w:val="nil"/>
              <w:bottom w:val="single" w:color="auto" w:sz="4" w:space="0"/>
              <w:right w:val="single" w:color="auto" w:sz="4" w:space="0"/>
            </w:tcBorders>
            <w:vAlign w:val="center"/>
          </w:tcPr>
          <w:p w14:paraId="03DFFDC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7CE1941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1439D0E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100≤X＜200</w:t>
            </w:r>
          </w:p>
        </w:tc>
        <w:tc>
          <w:tcPr>
            <w:tcW w:w="1836" w:type="dxa"/>
            <w:tcBorders>
              <w:top w:val="nil"/>
              <w:left w:val="nil"/>
              <w:bottom w:val="single" w:color="auto" w:sz="4" w:space="0"/>
              <w:right w:val="single" w:color="auto" w:sz="4" w:space="0"/>
            </w:tcBorders>
            <w:vAlign w:val="center"/>
          </w:tcPr>
          <w:p w14:paraId="67B7325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20≤X＜100</w:t>
            </w:r>
          </w:p>
        </w:tc>
        <w:tc>
          <w:tcPr>
            <w:tcW w:w="1203" w:type="dxa"/>
            <w:tcBorders>
              <w:top w:val="nil"/>
              <w:left w:val="nil"/>
              <w:bottom w:val="single" w:color="auto" w:sz="4" w:space="0"/>
              <w:right w:val="single" w:color="auto" w:sz="4" w:space="0"/>
            </w:tcBorders>
            <w:vAlign w:val="center"/>
          </w:tcPr>
          <w:p w14:paraId="1589F9E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X＜20</w:t>
            </w:r>
          </w:p>
        </w:tc>
      </w:tr>
      <w:tr w14:paraId="5259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6FC4D109"/>
        </w:tc>
        <w:tc>
          <w:tcPr>
            <w:tcW w:w="1915" w:type="dxa"/>
            <w:tcBorders>
              <w:top w:val="nil"/>
              <w:left w:val="nil"/>
              <w:bottom w:val="single" w:color="auto" w:sz="4" w:space="0"/>
              <w:right w:val="single" w:color="auto" w:sz="4" w:space="0"/>
            </w:tcBorders>
            <w:vAlign w:val="center"/>
          </w:tcPr>
          <w:p w14:paraId="2BC74A8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394A76A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65C8F0D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1000≤Y＜30000</w:t>
            </w:r>
          </w:p>
        </w:tc>
        <w:tc>
          <w:tcPr>
            <w:tcW w:w="1836" w:type="dxa"/>
            <w:tcBorders>
              <w:top w:val="nil"/>
              <w:left w:val="nil"/>
              <w:bottom w:val="single" w:color="auto" w:sz="4" w:space="0"/>
              <w:right w:val="single" w:color="auto" w:sz="4" w:space="0"/>
            </w:tcBorders>
            <w:vAlign w:val="center"/>
          </w:tcPr>
          <w:p w14:paraId="6668D35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100≤Y＜1000</w:t>
            </w:r>
          </w:p>
        </w:tc>
        <w:tc>
          <w:tcPr>
            <w:tcW w:w="1203" w:type="dxa"/>
            <w:tcBorders>
              <w:top w:val="nil"/>
              <w:left w:val="nil"/>
              <w:bottom w:val="single" w:color="auto" w:sz="4" w:space="0"/>
              <w:right w:val="single" w:color="auto" w:sz="4" w:space="0"/>
            </w:tcBorders>
            <w:vAlign w:val="center"/>
          </w:tcPr>
          <w:p w14:paraId="281DE51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6371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34819A56">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邮政业</w:t>
            </w:r>
          </w:p>
        </w:tc>
        <w:tc>
          <w:tcPr>
            <w:tcW w:w="1915" w:type="dxa"/>
            <w:tcBorders>
              <w:top w:val="nil"/>
              <w:left w:val="nil"/>
              <w:bottom w:val="single" w:color="auto" w:sz="4" w:space="0"/>
              <w:right w:val="single" w:color="auto" w:sz="4" w:space="0"/>
            </w:tcBorders>
            <w:vAlign w:val="center"/>
          </w:tcPr>
          <w:p w14:paraId="2A2860D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2353312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126BC32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300≤X＜1000</w:t>
            </w:r>
          </w:p>
        </w:tc>
        <w:tc>
          <w:tcPr>
            <w:tcW w:w="1836" w:type="dxa"/>
            <w:tcBorders>
              <w:top w:val="nil"/>
              <w:left w:val="nil"/>
              <w:bottom w:val="single" w:color="auto" w:sz="4" w:space="0"/>
              <w:right w:val="single" w:color="auto" w:sz="4" w:space="0"/>
            </w:tcBorders>
            <w:vAlign w:val="center"/>
          </w:tcPr>
          <w:p w14:paraId="0792632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20≤X＜300</w:t>
            </w:r>
          </w:p>
        </w:tc>
        <w:tc>
          <w:tcPr>
            <w:tcW w:w="1203" w:type="dxa"/>
            <w:tcBorders>
              <w:top w:val="nil"/>
              <w:left w:val="nil"/>
              <w:bottom w:val="single" w:color="auto" w:sz="4" w:space="0"/>
              <w:right w:val="single" w:color="auto" w:sz="4" w:space="0"/>
            </w:tcBorders>
            <w:vAlign w:val="center"/>
          </w:tcPr>
          <w:p w14:paraId="7C31199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X＜20</w:t>
            </w:r>
          </w:p>
        </w:tc>
      </w:tr>
      <w:tr w14:paraId="5701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18DD4F7B"/>
        </w:tc>
        <w:tc>
          <w:tcPr>
            <w:tcW w:w="1915" w:type="dxa"/>
            <w:tcBorders>
              <w:top w:val="nil"/>
              <w:left w:val="nil"/>
              <w:bottom w:val="single" w:color="auto" w:sz="4" w:space="0"/>
              <w:right w:val="single" w:color="auto" w:sz="4" w:space="0"/>
            </w:tcBorders>
            <w:vAlign w:val="center"/>
          </w:tcPr>
          <w:p w14:paraId="4224642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628D14B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606D3BD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2000≤Y＜30000</w:t>
            </w:r>
          </w:p>
        </w:tc>
        <w:tc>
          <w:tcPr>
            <w:tcW w:w="1836" w:type="dxa"/>
            <w:tcBorders>
              <w:top w:val="nil"/>
              <w:left w:val="nil"/>
              <w:bottom w:val="single" w:color="auto" w:sz="4" w:space="0"/>
              <w:right w:val="single" w:color="auto" w:sz="4" w:space="0"/>
            </w:tcBorders>
            <w:vAlign w:val="center"/>
          </w:tcPr>
          <w:p w14:paraId="008EA81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100≤Y＜2000</w:t>
            </w:r>
          </w:p>
        </w:tc>
        <w:tc>
          <w:tcPr>
            <w:tcW w:w="1203" w:type="dxa"/>
            <w:tcBorders>
              <w:top w:val="nil"/>
              <w:left w:val="nil"/>
              <w:bottom w:val="single" w:color="auto" w:sz="4" w:space="0"/>
              <w:right w:val="single" w:color="auto" w:sz="4" w:space="0"/>
            </w:tcBorders>
            <w:vAlign w:val="center"/>
          </w:tcPr>
          <w:p w14:paraId="7B3917E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2415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145B21A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住宿业</w:t>
            </w:r>
          </w:p>
        </w:tc>
        <w:tc>
          <w:tcPr>
            <w:tcW w:w="1915" w:type="dxa"/>
            <w:tcBorders>
              <w:top w:val="nil"/>
              <w:left w:val="nil"/>
              <w:bottom w:val="single" w:color="auto" w:sz="4" w:space="0"/>
              <w:right w:val="single" w:color="auto" w:sz="4" w:space="0"/>
            </w:tcBorders>
            <w:vAlign w:val="center"/>
          </w:tcPr>
          <w:p w14:paraId="4A7E465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088EBCD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53BE739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100≤X＜300</w:t>
            </w:r>
          </w:p>
        </w:tc>
        <w:tc>
          <w:tcPr>
            <w:tcW w:w="1836" w:type="dxa"/>
            <w:tcBorders>
              <w:top w:val="nil"/>
              <w:left w:val="nil"/>
              <w:bottom w:val="single" w:color="auto" w:sz="4" w:space="0"/>
              <w:right w:val="single" w:color="auto" w:sz="4" w:space="0"/>
            </w:tcBorders>
            <w:vAlign w:val="center"/>
          </w:tcPr>
          <w:p w14:paraId="2499BFC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10≤X＜100</w:t>
            </w:r>
          </w:p>
        </w:tc>
        <w:tc>
          <w:tcPr>
            <w:tcW w:w="1203" w:type="dxa"/>
            <w:tcBorders>
              <w:top w:val="nil"/>
              <w:left w:val="nil"/>
              <w:bottom w:val="single" w:color="auto" w:sz="4" w:space="0"/>
              <w:right w:val="single" w:color="auto" w:sz="4" w:space="0"/>
            </w:tcBorders>
            <w:vAlign w:val="center"/>
          </w:tcPr>
          <w:p w14:paraId="3C96F68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r w14:paraId="01F2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01DB8FA4"/>
        </w:tc>
        <w:tc>
          <w:tcPr>
            <w:tcW w:w="1915" w:type="dxa"/>
            <w:tcBorders>
              <w:top w:val="nil"/>
              <w:left w:val="nil"/>
              <w:bottom w:val="single" w:color="auto" w:sz="4" w:space="0"/>
              <w:right w:val="single" w:color="auto" w:sz="4" w:space="0"/>
            </w:tcBorders>
            <w:vAlign w:val="center"/>
          </w:tcPr>
          <w:p w14:paraId="4185402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75F7C3B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0D84CD7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2000≤Y＜10000</w:t>
            </w:r>
          </w:p>
        </w:tc>
        <w:tc>
          <w:tcPr>
            <w:tcW w:w="1836" w:type="dxa"/>
            <w:tcBorders>
              <w:top w:val="nil"/>
              <w:left w:val="nil"/>
              <w:bottom w:val="single" w:color="auto" w:sz="4" w:space="0"/>
              <w:right w:val="single" w:color="auto" w:sz="4" w:space="0"/>
            </w:tcBorders>
            <w:vAlign w:val="center"/>
          </w:tcPr>
          <w:p w14:paraId="55DF0E2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100≤Y＜2000</w:t>
            </w:r>
          </w:p>
        </w:tc>
        <w:tc>
          <w:tcPr>
            <w:tcW w:w="1203" w:type="dxa"/>
            <w:tcBorders>
              <w:top w:val="nil"/>
              <w:left w:val="nil"/>
              <w:bottom w:val="single" w:color="auto" w:sz="4" w:space="0"/>
              <w:right w:val="single" w:color="auto" w:sz="4" w:space="0"/>
            </w:tcBorders>
            <w:vAlign w:val="center"/>
          </w:tcPr>
          <w:p w14:paraId="313BF42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1E02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6F4EF64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餐饮业</w:t>
            </w:r>
          </w:p>
        </w:tc>
        <w:tc>
          <w:tcPr>
            <w:tcW w:w="1915" w:type="dxa"/>
            <w:tcBorders>
              <w:top w:val="nil"/>
              <w:left w:val="nil"/>
              <w:bottom w:val="single" w:color="auto" w:sz="4" w:space="0"/>
              <w:right w:val="single" w:color="auto" w:sz="4" w:space="0"/>
            </w:tcBorders>
            <w:vAlign w:val="center"/>
          </w:tcPr>
          <w:p w14:paraId="4FD00CE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3C5963B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106B433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100≤X＜300</w:t>
            </w:r>
          </w:p>
        </w:tc>
        <w:tc>
          <w:tcPr>
            <w:tcW w:w="1836" w:type="dxa"/>
            <w:tcBorders>
              <w:top w:val="nil"/>
              <w:left w:val="nil"/>
              <w:bottom w:val="single" w:color="auto" w:sz="4" w:space="0"/>
              <w:right w:val="single" w:color="auto" w:sz="4" w:space="0"/>
            </w:tcBorders>
            <w:vAlign w:val="center"/>
          </w:tcPr>
          <w:p w14:paraId="343B6F9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10≤X＜100</w:t>
            </w:r>
          </w:p>
        </w:tc>
        <w:tc>
          <w:tcPr>
            <w:tcW w:w="1203" w:type="dxa"/>
            <w:tcBorders>
              <w:top w:val="nil"/>
              <w:left w:val="nil"/>
              <w:bottom w:val="single" w:color="auto" w:sz="4" w:space="0"/>
              <w:right w:val="single" w:color="auto" w:sz="4" w:space="0"/>
            </w:tcBorders>
            <w:vAlign w:val="center"/>
          </w:tcPr>
          <w:p w14:paraId="23D1430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r w14:paraId="46DA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3BBFD50F"/>
        </w:tc>
        <w:tc>
          <w:tcPr>
            <w:tcW w:w="1915" w:type="dxa"/>
            <w:tcBorders>
              <w:top w:val="nil"/>
              <w:left w:val="nil"/>
              <w:bottom w:val="single" w:color="auto" w:sz="4" w:space="0"/>
              <w:right w:val="single" w:color="auto" w:sz="4" w:space="0"/>
            </w:tcBorders>
            <w:vAlign w:val="center"/>
          </w:tcPr>
          <w:p w14:paraId="02A440C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20A5436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736202F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2000≤Y＜10000</w:t>
            </w:r>
          </w:p>
        </w:tc>
        <w:tc>
          <w:tcPr>
            <w:tcW w:w="1836" w:type="dxa"/>
            <w:tcBorders>
              <w:top w:val="nil"/>
              <w:left w:val="nil"/>
              <w:bottom w:val="single" w:color="auto" w:sz="4" w:space="0"/>
              <w:right w:val="single" w:color="auto" w:sz="4" w:space="0"/>
            </w:tcBorders>
            <w:vAlign w:val="center"/>
          </w:tcPr>
          <w:p w14:paraId="3294BCC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100≤Y＜2000</w:t>
            </w:r>
          </w:p>
        </w:tc>
        <w:tc>
          <w:tcPr>
            <w:tcW w:w="1203" w:type="dxa"/>
            <w:tcBorders>
              <w:top w:val="nil"/>
              <w:left w:val="nil"/>
              <w:bottom w:val="single" w:color="auto" w:sz="4" w:space="0"/>
              <w:right w:val="single" w:color="auto" w:sz="4" w:space="0"/>
            </w:tcBorders>
            <w:vAlign w:val="center"/>
          </w:tcPr>
          <w:p w14:paraId="631EA46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34D3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7A5E3854">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信息传输业</w:t>
            </w:r>
          </w:p>
        </w:tc>
        <w:tc>
          <w:tcPr>
            <w:tcW w:w="1915" w:type="dxa"/>
            <w:tcBorders>
              <w:top w:val="nil"/>
              <w:left w:val="nil"/>
              <w:bottom w:val="single" w:color="auto" w:sz="4" w:space="0"/>
              <w:right w:val="single" w:color="auto" w:sz="4" w:space="0"/>
            </w:tcBorders>
            <w:vAlign w:val="center"/>
          </w:tcPr>
          <w:p w14:paraId="4DB76A6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53B1DE1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7774305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100≤X＜2000</w:t>
            </w:r>
          </w:p>
        </w:tc>
        <w:tc>
          <w:tcPr>
            <w:tcW w:w="1836" w:type="dxa"/>
            <w:tcBorders>
              <w:top w:val="nil"/>
              <w:left w:val="nil"/>
              <w:bottom w:val="single" w:color="auto" w:sz="4" w:space="0"/>
              <w:right w:val="single" w:color="auto" w:sz="4" w:space="0"/>
            </w:tcBorders>
            <w:vAlign w:val="center"/>
          </w:tcPr>
          <w:p w14:paraId="206C437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10≤X＜100</w:t>
            </w:r>
          </w:p>
        </w:tc>
        <w:tc>
          <w:tcPr>
            <w:tcW w:w="1203" w:type="dxa"/>
            <w:tcBorders>
              <w:top w:val="nil"/>
              <w:left w:val="nil"/>
              <w:bottom w:val="single" w:color="auto" w:sz="4" w:space="0"/>
              <w:right w:val="single" w:color="auto" w:sz="4" w:space="0"/>
            </w:tcBorders>
            <w:vAlign w:val="center"/>
          </w:tcPr>
          <w:p w14:paraId="555022B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r w14:paraId="4117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7327EA81"/>
        </w:tc>
        <w:tc>
          <w:tcPr>
            <w:tcW w:w="1915" w:type="dxa"/>
            <w:tcBorders>
              <w:top w:val="nil"/>
              <w:left w:val="nil"/>
              <w:bottom w:val="single" w:color="auto" w:sz="4" w:space="0"/>
              <w:right w:val="single" w:color="auto" w:sz="4" w:space="0"/>
            </w:tcBorders>
            <w:vAlign w:val="center"/>
          </w:tcPr>
          <w:p w14:paraId="594FDAB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6536B29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178E98E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1000≤Y＜100000</w:t>
            </w:r>
          </w:p>
        </w:tc>
        <w:tc>
          <w:tcPr>
            <w:tcW w:w="1836" w:type="dxa"/>
            <w:tcBorders>
              <w:top w:val="nil"/>
              <w:left w:val="nil"/>
              <w:bottom w:val="single" w:color="auto" w:sz="4" w:space="0"/>
              <w:right w:val="single" w:color="auto" w:sz="4" w:space="0"/>
            </w:tcBorders>
            <w:vAlign w:val="center"/>
          </w:tcPr>
          <w:p w14:paraId="5389BE1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100≤Y＜1000</w:t>
            </w:r>
          </w:p>
        </w:tc>
        <w:tc>
          <w:tcPr>
            <w:tcW w:w="1203" w:type="dxa"/>
            <w:tcBorders>
              <w:top w:val="nil"/>
              <w:left w:val="nil"/>
              <w:bottom w:val="single" w:color="auto" w:sz="4" w:space="0"/>
              <w:right w:val="single" w:color="auto" w:sz="4" w:space="0"/>
            </w:tcBorders>
            <w:vAlign w:val="center"/>
          </w:tcPr>
          <w:p w14:paraId="4782C0D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0123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4D16F1F5">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软件和信息技术服务业</w:t>
            </w:r>
          </w:p>
        </w:tc>
        <w:tc>
          <w:tcPr>
            <w:tcW w:w="1915" w:type="dxa"/>
            <w:tcBorders>
              <w:top w:val="nil"/>
              <w:left w:val="nil"/>
              <w:bottom w:val="single" w:color="auto" w:sz="4" w:space="0"/>
              <w:right w:val="single" w:color="auto" w:sz="4" w:space="0"/>
            </w:tcBorders>
            <w:vAlign w:val="center"/>
          </w:tcPr>
          <w:p w14:paraId="13B3AC3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748D8A3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79BDB82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100≤X＜300</w:t>
            </w:r>
          </w:p>
        </w:tc>
        <w:tc>
          <w:tcPr>
            <w:tcW w:w="1836" w:type="dxa"/>
            <w:tcBorders>
              <w:top w:val="nil"/>
              <w:left w:val="nil"/>
              <w:bottom w:val="single" w:color="auto" w:sz="4" w:space="0"/>
              <w:right w:val="single" w:color="auto" w:sz="4" w:space="0"/>
            </w:tcBorders>
            <w:vAlign w:val="center"/>
          </w:tcPr>
          <w:p w14:paraId="669100B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10≤X＜100</w:t>
            </w:r>
          </w:p>
        </w:tc>
        <w:tc>
          <w:tcPr>
            <w:tcW w:w="1203" w:type="dxa"/>
            <w:tcBorders>
              <w:top w:val="nil"/>
              <w:left w:val="nil"/>
              <w:bottom w:val="single" w:color="auto" w:sz="4" w:space="0"/>
              <w:right w:val="single" w:color="auto" w:sz="4" w:space="0"/>
            </w:tcBorders>
            <w:vAlign w:val="center"/>
          </w:tcPr>
          <w:p w14:paraId="4DA2B19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r w14:paraId="34C3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4DCEA02E"/>
        </w:tc>
        <w:tc>
          <w:tcPr>
            <w:tcW w:w="1915" w:type="dxa"/>
            <w:tcBorders>
              <w:top w:val="nil"/>
              <w:left w:val="nil"/>
              <w:bottom w:val="single" w:color="auto" w:sz="4" w:space="0"/>
              <w:right w:val="single" w:color="auto" w:sz="4" w:space="0"/>
            </w:tcBorders>
            <w:vAlign w:val="center"/>
          </w:tcPr>
          <w:p w14:paraId="1CDBAF2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760D091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09D58D0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1000≤Y＜10000</w:t>
            </w:r>
          </w:p>
        </w:tc>
        <w:tc>
          <w:tcPr>
            <w:tcW w:w="1836" w:type="dxa"/>
            <w:tcBorders>
              <w:top w:val="nil"/>
              <w:left w:val="nil"/>
              <w:bottom w:val="single" w:color="auto" w:sz="4" w:space="0"/>
              <w:right w:val="single" w:color="auto" w:sz="4" w:space="0"/>
            </w:tcBorders>
            <w:vAlign w:val="center"/>
          </w:tcPr>
          <w:p w14:paraId="5E531CB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50≤Y＜1000</w:t>
            </w:r>
          </w:p>
        </w:tc>
        <w:tc>
          <w:tcPr>
            <w:tcW w:w="1203" w:type="dxa"/>
            <w:tcBorders>
              <w:top w:val="nil"/>
              <w:left w:val="nil"/>
              <w:bottom w:val="single" w:color="auto" w:sz="4" w:space="0"/>
              <w:right w:val="single" w:color="auto" w:sz="4" w:space="0"/>
            </w:tcBorders>
            <w:vAlign w:val="center"/>
          </w:tcPr>
          <w:p w14:paraId="0C637E4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Y＜50</w:t>
            </w:r>
          </w:p>
        </w:tc>
      </w:tr>
      <w:tr w14:paraId="4C03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7C4F7F73">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房地产开发经营</w:t>
            </w:r>
          </w:p>
        </w:tc>
        <w:tc>
          <w:tcPr>
            <w:tcW w:w="1915" w:type="dxa"/>
            <w:tcBorders>
              <w:top w:val="nil"/>
              <w:left w:val="nil"/>
              <w:bottom w:val="single" w:color="auto" w:sz="4" w:space="0"/>
              <w:right w:val="single" w:color="auto" w:sz="4" w:space="0"/>
            </w:tcBorders>
            <w:vAlign w:val="center"/>
          </w:tcPr>
          <w:p w14:paraId="037B703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5A3B2AB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0FF3FC5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1000≤Y＜200000</w:t>
            </w:r>
          </w:p>
        </w:tc>
        <w:tc>
          <w:tcPr>
            <w:tcW w:w="1836" w:type="dxa"/>
            <w:tcBorders>
              <w:top w:val="nil"/>
              <w:left w:val="nil"/>
              <w:bottom w:val="single" w:color="auto" w:sz="4" w:space="0"/>
              <w:right w:val="single" w:color="auto" w:sz="4" w:space="0"/>
            </w:tcBorders>
            <w:vAlign w:val="center"/>
          </w:tcPr>
          <w:p w14:paraId="76B5FB6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100≤X＜1000</w:t>
            </w:r>
          </w:p>
        </w:tc>
        <w:tc>
          <w:tcPr>
            <w:tcW w:w="1203" w:type="dxa"/>
            <w:tcBorders>
              <w:top w:val="nil"/>
              <w:left w:val="nil"/>
              <w:bottom w:val="single" w:color="auto" w:sz="4" w:space="0"/>
              <w:right w:val="single" w:color="auto" w:sz="4" w:space="0"/>
            </w:tcBorders>
            <w:vAlign w:val="center"/>
          </w:tcPr>
          <w:p w14:paraId="27739EA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X＜100</w:t>
            </w:r>
          </w:p>
        </w:tc>
      </w:tr>
      <w:tr w14:paraId="0389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7D0099DA"/>
        </w:tc>
        <w:tc>
          <w:tcPr>
            <w:tcW w:w="1915" w:type="dxa"/>
            <w:tcBorders>
              <w:top w:val="nil"/>
              <w:left w:val="nil"/>
              <w:bottom w:val="single" w:color="auto" w:sz="4" w:space="0"/>
              <w:right w:val="single" w:color="auto" w:sz="4" w:space="0"/>
            </w:tcBorders>
            <w:vAlign w:val="center"/>
          </w:tcPr>
          <w:p w14:paraId="15BC83A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资产总额（Z）</w:t>
            </w:r>
          </w:p>
        </w:tc>
        <w:tc>
          <w:tcPr>
            <w:tcW w:w="961" w:type="dxa"/>
            <w:tcBorders>
              <w:top w:val="nil"/>
              <w:left w:val="nil"/>
              <w:bottom w:val="single" w:color="auto" w:sz="4" w:space="0"/>
              <w:right w:val="single" w:color="auto" w:sz="4" w:space="0"/>
            </w:tcBorders>
            <w:vAlign w:val="center"/>
          </w:tcPr>
          <w:p w14:paraId="3C78EF7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561A61B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5000≤Z＜10000</w:t>
            </w:r>
          </w:p>
        </w:tc>
        <w:tc>
          <w:tcPr>
            <w:tcW w:w="1836" w:type="dxa"/>
            <w:tcBorders>
              <w:top w:val="nil"/>
              <w:left w:val="nil"/>
              <w:bottom w:val="single" w:color="auto" w:sz="4" w:space="0"/>
              <w:right w:val="single" w:color="auto" w:sz="4" w:space="0"/>
            </w:tcBorders>
            <w:vAlign w:val="center"/>
          </w:tcPr>
          <w:p w14:paraId="3C49403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2000≤Y＜5000</w:t>
            </w:r>
          </w:p>
        </w:tc>
        <w:tc>
          <w:tcPr>
            <w:tcW w:w="1203" w:type="dxa"/>
            <w:tcBorders>
              <w:top w:val="nil"/>
              <w:left w:val="nil"/>
              <w:bottom w:val="single" w:color="auto" w:sz="4" w:space="0"/>
              <w:right w:val="single" w:color="auto" w:sz="4" w:space="0"/>
            </w:tcBorders>
            <w:vAlign w:val="center"/>
          </w:tcPr>
          <w:p w14:paraId="564C93C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Y＜2000</w:t>
            </w:r>
          </w:p>
        </w:tc>
      </w:tr>
      <w:tr w14:paraId="4FED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305AA0F1">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物业管理</w:t>
            </w:r>
          </w:p>
        </w:tc>
        <w:tc>
          <w:tcPr>
            <w:tcW w:w="1915" w:type="dxa"/>
            <w:tcBorders>
              <w:top w:val="nil"/>
              <w:left w:val="nil"/>
              <w:bottom w:val="single" w:color="auto" w:sz="4" w:space="0"/>
              <w:right w:val="single" w:color="auto" w:sz="4" w:space="0"/>
            </w:tcBorders>
            <w:vAlign w:val="center"/>
          </w:tcPr>
          <w:p w14:paraId="7B91BFB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1558ACF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32EAB80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300≤X＜1000</w:t>
            </w:r>
          </w:p>
        </w:tc>
        <w:tc>
          <w:tcPr>
            <w:tcW w:w="1836" w:type="dxa"/>
            <w:tcBorders>
              <w:top w:val="nil"/>
              <w:left w:val="nil"/>
              <w:bottom w:val="single" w:color="auto" w:sz="4" w:space="0"/>
              <w:right w:val="single" w:color="auto" w:sz="4" w:space="0"/>
            </w:tcBorders>
            <w:vAlign w:val="center"/>
          </w:tcPr>
          <w:p w14:paraId="6D0737C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100≤X＜300</w:t>
            </w:r>
          </w:p>
        </w:tc>
        <w:tc>
          <w:tcPr>
            <w:tcW w:w="1203" w:type="dxa"/>
            <w:tcBorders>
              <w:top w:val="nil"/>
              <w:left w:val="nil"/>
              <w:bottom w:val="single" w:color="auto" w:sz="4" w:space="0"/>
              <w:right w:val="single" w:color="auto" w:sz="4" w:space="0"/>
            </w:tcBorders>
            <w:vAlign w:val="center"/>
          </w:tcPr>
          <w:p w14:paraId="486DC78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X＜100</w:t>
            </w:r>
          </w:p>
        </w:tc>
      </w:tr>
      <w:tr w14:paraId="42F4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7091C10C"/>
        </w:tc>
        <w:tc>
          <w:tcPr>
            <w:tcW w:w="1915" w:type="dxa"/>
            <w:tcBorders>
              <w:top w:val="nil"/>
              <w:left w:val="nil"/>
              <w:bottom w:val="single" w:color="auto" w:sz="4" w:space="0"/>
              <w:right w:val="single" w:color="auto" w:sz="4" w:space="0"/>
            </w:tcBorders>
            <w:vAlign w:val="center"/>
          </w:tcPr>
          <w:p w14:paraId="6F481A3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营业收入（Y）</w:t>
            </w:r>
          </w:p>
        </w:tc>
        <w:tc>
          <w:tcPr>
            <w:tcW w:w="961" w:type="dxa"/>
            <w:tcBorders>
              <w:top w:val="nil"/>
              <w:left w:val="nil"/>
              <w:bottom w:val="single" w:color="auto" w:sz="4" w:space="0"/>
              <w:right w:val="single" w:color="auto" w:sz="4" w:space="0"/>
            </w:tcBorders>
            <w:vAlign w:val="center"/>
          </w:tcPr>
          <w:p w14:paraId="04AD7F4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7718A25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1000≤Y＜5000</w:t>
            </w:r>
          </w:p>
        </w:tc>
        <w:tc>
          <w:tcPr>
            <w:tcW w:w="1836" w:type="dxa"/>
            <w:tcBorders>
              <w:top w:val="nil"/>
              <w:left w:val="nil"/>
              <w:bottom w:val="single" w:color="auto" w:sz="4" w:space="0"/>
              <w:right w:val="single" w:color="auto" w:sz="4" w:space="0"/>
            </w:tcBorders>
            <w:vAlign w:val="center"/>
          </w:tcPr>
          <w:p w14:paraId="500740B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500≤Y＜1000</w:t>
            </w:r>
          </w:p>
        </w:tc>
        <w:tc>
          <w:tcPr>
            <w:tcW w:w="1203" w:type="dxa"/>
            <w:tcBorders>
              <w:top w:val="nil"/>
              <w:left w:val="nil"/>
              <w:bottom w:val="single" w:color="auto" w:sz="4" w:space="0"/>
              <w:right w:val="single" w:color="auto" w:sz="4" w:space="0"/>
            </w:tcBorders>
            <w:vAlign w:val="center"/>
          </w:tcPr>
          <w:p w14:paraId="6A8A731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Y＜500</w:t>
            </w:r>
          </w:p>
        </w:tc>
      </w:tr>
      <w:tr w14:paraId="7301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restart"/>
            <w:tcBorders>
              <w:top w:val="nil"/>
              <w:left w:val="single" w:color="auto" w:sz="4" w:space="0"/>
              <w:bottom w:val="single" w:color="auto" w:sz="4" w:space="0"/>
              <w:right w:val="single" w:color="auto" w:sz="4" w:space="0"/>
            </w:tcBorders>
            <w:vAlign w:val="center"/>
          </w:tcPr>
          <w:p w14:paraId="51E027BA">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租赁和商务服务业</w:t>
            </w:r>
          </w:p>
        </w:tc>
        <w:tc>
          <w:tcPr>
            <w:tcW w:w="1915" w:type="dxa"/>
            <w:tcBorders>
              <w:top w:val="nil"/>
              <w:left w:val="nil"/>
              <w:bottom w:val="single" w:color="auto" w:sz="4" w:space="0"/>
              <w:right w:val="single" w:color="auto" w:sz="4" w:space="0"/>
            </w:tcBorders>
            <w:vAlign w:val="center"/>
          </w:tcPr>
          <w:p w14:paraId="0F03BC6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73E37D7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74DDB54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100≤X＜300</w:t>
            </w:r>
          </w:p>
        </w:tc>
        <w:tc>
          <w:tcPr>
            <w:tcW w:w="1836" w:type="dxa"/>
            <w:tcBorders>
              <w:top w:val="nil"/>
              <w:left w:val="nil"/>
              <w:bottom w:val="single" w:color="auto" w:sz="4" w:space="0"/>
              <w:right w:val="single" w:color="auto" w:sz="4" w:space="0"/>
            </w:tcBorders>
            <w:vAlign w:val="center"/>
          </w:tcPr>
          <w:p w14:paraId="2EBC3C7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10≤X＜100</w:t>
            </w:r>
          </w:p>
        </w:tc>
        <w:tc>
          <w:tcPr>
            <w:tcW w:w="1203" w:type="dxa"/>
            <w:tcBorders>
              <w:top w:val="nil"/>
              <w:left w:val="nil"/>
              <w:bottom w:val="single" w:color="auto" w:sz="4" w:space="0"/>
              <w:right w:val="single" w:color="auto" w:sz="4" w:space="0"/>
            </w:tcBorders>
            <w:vAlign w:val="center"/>
          </w:tcPr>
          <w:p w14:paraId="68FFCBC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r w14:paraId="572B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550" w:type="dxa"/>
            <w:vMerge w:val="continue"/>
            <w:tcBorders>
              <w:top w:val="nil"/>
              <w:left w:val="single" w:color="auto" w:sz="4" w:space="0"/>
              <w:bottom w:val="single" w:color="auto" w:sz="4" w:space="0"/>
              <w:right w:val="single" w:color="auto" w:sz="4" w:space="0"/>
            </w:tcBorders>
            <w:vAlign w:val="center"/>
          </w:tcPr>
          <w:p w14:paraId="06470333"/>
        </w:tc>
        <w:tc>
          <w:tcPr>
            <w:tcW w:w="1915" w:type="dxa"/>
            <w:tcBorders>
              <w:top w:val="nil"/>
              <w:left w:val="nil"/>
              <w:bottom w:val="single" w:color="auto" w:sz="4" w:space="0"/>
              <w:right w:val="single" w:color="auto" w:sz="4" w:space="0"/>
            </w:tcBorders>
            <w:vAlign w:val="center"/>
          </w:tcPr>
          <w:p w14:paraId="57A5EF5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资产总额（Z）</w:t>
            </w:r>
          </w:p>
        </w:tc>
        <w:tc>
          <w:tcPr>
            <w:tcW w:w="961" w:type="dxa"/>
            <w:tcBorders>
              <w:top w:val="nil"/>
              <w:left w:val="nil"/>
              <w:bottom w:val="single" w:color="auto" w:sz="4" w:space="0"/>
              <w:right w:val="single" w:color="auto" w:sz="4" w:space="0"/>
            </w:tcBorders>
            <w:vAlign w:val="center"/>
          </w:tcPr>
          <w:p w14:paraId="35E501A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万元</w:t>
            </w:r>
          </w:p>
        </w:tc>
        <w:tc>
          <w:tcPr>
            <w:tcW w:w="2071" w:type="dxa"/>
            <w:tcBorders>
              <w:top w:val="nil"/>
              <w:left w:val="nil"/>
              <w:bottom w:val="single" w:color="auto" w:sz="4" w:space="0"/>
              <w:right w:val="single" w:color="auto" w:sz="4" w:space="0"/>
            </w:tcBorders>
            <w:vAlign w:val="center"/>
          </w:tcPr>
          <w:p w14:paraId="0565CE5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8000≤Z＜120000</w:t>
            </w:r>
          </w:p>
        </w:tc>
        <w:tc>
          <w:tcPr>
            <w:tcW w:w="1836" w:type="dxa"/>
            <w:tcBorders>
              <w:top w:val="nil"/>
              <w:left w:val="nil"/>
              <w:bottom w:val="single" w:color="auto" w:sz="4" w:space="0"/>
              <w:right w:val="single" w:color="auto" w:sz="4" w:space="0"/>
            </w:tcBorders>
            <w:vAlign w:val="center"/>
          </w:tcPr>
          <w:p w14:paraId="1CAEE95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100≤Z＜8000</w:t>
            </w:r>
          </w:p>
        </w:tc>
        <w:tc>
          <w:tcPr>
            <w:tcW w:w="1203" w:type="dxa"/>
            <w:tcBorders>
              <w:top w:val="nil"/>
              <w:left w:val="nil"/>
              <w:bottom w:val="single" w:color="auto" w:sz="4" w:space="0"/>
              <w:right w:val="single" w:color="auto" w:sz="4" w:space="0"/>
            </w:tcBorders>
            <w:vAlign w:val="center"/>
          </w:tcPr>
          <w:p w14:paraId="10818D4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Y＜100</w:t>
            </w:r>
          </w:p>
        </w:tc>
      </w:tr>
      <w:tr w14:paraId="26E2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550" w:type="dxa"/>
            <w:tcBorders>
              <w:top w:val="nil"/>
              <w:left w:val="single" w:color="auto" w:sz="4" w:space="0"/>
              <w:bottom w:val="single" w:color="auto" w:sz="4" w:space="0"/>
              <w:right w:val="single" w:color="auto" w:sz="4" w:space="0"/>
            </w:tcBorders>
            <w:vAlign w:val="center"/>
          </w:tcPr>
          <w:p w14:paraId="6B795C80">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其他未列明行业</w:t>
            </w:r>
          </w:p>
        </w:tc>
        <w:tc>
          <w:tcPr>
            <w:tcW w:w="1915" w:type="dxa"/>
            <w:tcBorders>
              <w:top w:val="nil"/>
              <w:left w:val="nil"/>
              <w:bottom w:val="single" w:color="auto" w:sz="4" w:space="0"/>
              <w:right w:val="single" w:color="auto" w:sz="4" w:space="0"/>
            </w:tcBorders>
            <w:vAlign w:val="center"/>
          </w:tcPr>
          <w:p w14:paraId="49B6BCC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从业人员（X）</w:t>
            </w:r>
          </w:p>
        </w:tc>
        <w:tc>
          <w:tcPr>
            <w:tcW w:w="961" w:type="dxa"/>
            <w:tcBorders>
              <w:top w:val="nil"/>
              <w:left w:val="nil"/>
              <w:bottom w:val="single" w:color="auto" w:sz="4" w:space="0"/>
              <w:right w:val="single" w:color="auto" w:sz="4" w:space="0"/>
            </w:tcBorders>
            <w:vAlign w:val="center"/>
          </w:tcPr>
          <w:p w14:paraId="6C20BE1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071" w:type="dxa"/>
            <w:tcBorders>
              <w:top w:val="nil"/>
              <w:left w:val="nil"/>
              <w:bottom w:val="single" w:color="auto" w:sz="4" w:space="0"/>
              <w:right w:val="single" w:color="auto" w:sz="4" w:space="0"/>
            </w:tcBorders>
            <w:vAlign w:val="center"/>
          </w:tcPr>
          <w:p w14:paraId="11910FE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100≤X＜300</w:t>
            </w:r>
          </w:p>
        </w:tc>
        <w:tc>
          <w:tcPr>
            <w:tcW w:w="1836" w:type="dxa"/>
            <w:tcBorders>
              <w:top w:val="nil"/>
              <w:left w:val="nil"/>
              <w:bottom w:val="single" w:color="auto" w:sz="4" w:space="0"/>
              <w:right w:val="single" w:color="auto" w:sz="4" w:space="0"/>
            </w:tcBorders>
            <w:vAlign w:val="center"/>
          </w:tcPr>
          <w:p w14:paraId="525AD99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10≤X＜100</w:t>
            </w:r>
          </w:p>
        </w:tc>
        <w:tc>
          <w:tcPr>
            <w:tcW w:w="1203" w:type="dxa"/>
            <w:tcBorders>
              <w:top w:val="nil"/>
              <w:left w:val="nil"/>
              <w:bottom w:val="single" w:color="auto" w:sz="4" w:space="0"/>
              <w:right w:val="single" w:color="auto" w:sz="4" w:space="0"/>
            </w:tcBorders>
            <w:vAlign w:val="center"/>
          </w:tcPr>
          <w:p w14:paraId="7EAADFB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X＜10</w:t>
            </w:r>
          </w:p>
        </w:tc>
      </w:tr>
    </w:tbl>
    <w:p w14:paraId="4CBD81A3">
      <w:pPr>
        <w:spacing w:line="5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说明：上述标准参照《关于印发中小企业划型标准规定的通知》（工信部联企业[2011]300号），大型、中型和小型企业须同时满足所列指标的下限，否则下划一档；微型企业只须满足所列指标中的一项即可。</w:t>
      </w:r>
    </w:p>
    <w:p w14:paraId="568AC658">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kern w:val="2"/>
          <w:sz w:val="24"/>
          <w:lang w:val="zh-CN"/>
        </w:rPr>
        <w:br w:type="page"/>
      </w:r>
      <w:r>
        <w:rPr>
          <w:rFonts w:hint="eastAsia" w:ascii="宋体" w:hAnsi="宋体" w:eastAsia="宋体" w:cs="宋体"/>
          <w:b/>
          <w:bCs/>
          <w:color w:val="auto"/>
          <w:sz w:val="30"/>
          <w:szCs w:val="30"/>
        </w:rPr>
        <w:t>残疾人福利性单位声明函</w:t>
      </w:r>
    </w:p>
    <w:p w14:paraId="6F105557">
      <w:pPr>
        <w:spacing w:line="520" w:lineRule="exact"/>
        <w:rPr>
          <w:rFonts w:hint="eastAsia" w:ascii="宋体" w:hAnsi="宋体" w:eastAsia="宋体" w:cs="宋体"/>
          <w:color w:val="auto"/>
          <w:sz w:val="32"/>
          <w:szCs w:val="32"/>
        </w:rPr>
      </w:pPr>
    </w:p>
    <w:p w14:paraId="7CFEE63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项目采购活动由本单位提供服务。</w:t>
      </w:r>
    </w:p>
    <w:p w14:paraId="71AC301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0A514A7C">
      <w:pPr>
        <w:spacing w:line="360" w:lineRule="auto"/>
        <w:contextualSpacing/>
        <w:rPr>
          <w:rFonts w:hint="eastAsia" w:ascii="宋体" w:hAnsi="宋体" w:eastAsia="宋体" w:cs="宋体"/>
          <w:color w:val="auto"/>
          <w:sz w:val="24"/>
        </w:rPr>
      </w:pPr>
    </w:p>
    <w:p w14:paraId="0BD786E6">
      <w:pPr>
        <w:spacing w:line="360" w:lineRule="auto"/>
        <w:contextualSpacing/>
        <w:rPr>
          <w:rFonts w:hint="eastAsia" w:ascii="宋体" w:hAnsi="宋体" w:eastAsia="宋体" w:cs="宋体"/>
          <w:color w:val="auto"/>
          <w:sz w:val="24"/>
        </w:rPr>
      </w:pPr>
    </w:p>
    <w:p w14:paraId="4EDE3A9C">
      <w:pPr>
        <w:spacing w:line="360" w:lineRule="auto"/>
        <w:contextualSpacing/>
        <w:rPr>
          <w:rFonts w:hint="eastAsia" w:ascii="宋体" w:hAnsi="宋体" w:eastAsia="宋体" w:cs="宋体"/>
          <w:color w:val="auto"/>
          <w:sz w:val="24"/>
        </w:rPr>
      </w:pPr>
    </w:p>
    <w:p w14:paraId="1F3B46B6">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供应商名称（电子签章）：</w:t>
      </w:r>
    </w:p>
    <w:p w14:paraId="0F88BF02">
      <w:pPr>
        <w:spacing w:line="360" w:lineRule="auto"/>
        <w:ind w:firstLine="4320" w:firstLineChars="1800"/>
        <w:contextualSpacing/>
        <w:rPr>
          <w:rFonts w:hint="eastAsia" w:ascii="宋体" w:hAnsi="宋体" w:eastAsia="宋体" w:cs="宋体"/>
          <w:color w:val="auto"/>
          <w:sz w:val="24"/>
        </w:rPr>
      </w:pPr>
      <w:r>
        <w:rPr>
          <w:rFonts w:hint="eastAsia" w:ascii="宋体" w:hAnsi="宋体" w:eastAsia="宋体" w:cs="宋体"/>
          <w:color w:val="auto"/>
          <w:sz w:val="24"/>
        </w:rPr>
        <w:t>日  期：     年   月   日</w:t>
      </w:r>
    </w:p>
    <w:p w14:paraId="32D0589F">
      <w:pPr>
        <w:spacing w:line="360" w:lineRule="auto"/>
        <w:contextualSpacing/>
        <w:rPr>
          <w:rFonts w:hint="eastAsia" w:ascii="宋体" w:hAnsi="宋体" w:eastAsia="宋体" w:cs="宋体"/>
          <w:color w:val="auto"/>
          <w:sz w:val="24"/>
        </w:rPr>
      </w:pPr>
    </w:p>
    <w:p w14:paraId="245F406D">
      <w:pPr>
        <w:spacing w:line="360" w:lineRule="auto"/>
        <w:contextualSpacing/>
        <w:rPr>
          <w:rFonts w:hint="eastAsia" w:ascii="宋体" w:hAnsi="宋体" w:eastAsia="宋体" w:cs="宋体"/>
          <w:color w:val="auto"/>
          <w:sz w:val="24"/>
        </w:rPr>
      </w:pPr>
    </w:p>
    <w:p w14:paraId="5864EBF6">
      <w:pPr>
        <w:spacing w:line="360" w:lineRule="auto"/>
        <w:contextualSpacing/>
        <w:rPr>
          <w:rFonts w:hint="eastAsia" w:ascii="宋体" w:hAnsi="宋体" w:eastAsia="宋体" w:cs="宋体"/>
          <w:color w:val="auto"/>
          <w:sz w:val="24"/>
        </w:rPr>
      </w:pPr>
    </w:p>
    <w:p w14:paraId="485878A6">
      <w:pPr>
        <w:keepNext w:val="0"/>
        <w:keepLines w:val="0"/>
        <w:pageBreakBefore w:val="0"/>
        <w:widowControl w:val="0"/>
        <w:kinsoku/>
        <w:wordWrap/>
        <w:overflowPunct/>
        <w:topLinePunct w:val="0"/>
        <w:autoSpaceDE w:val="0"/>
        <w:autoSpaceDN w:val="0"/>
        <w:bidi w:val="0"/>
        <w:adjustRightInd/>
        <w:snapToGrid w:val="0"/>
        <w:spacing w:line="300" w:lineRule="auto"/>
        <w:textAlignment w:val="auto"/>
        <w:rPr>
          <w:rFonts w:hint="eastAsia" w:ascii="宋体" w:hAnsi="宋体" w:eastAsia="宋体" w:cs="宋体"/>
          <w:color w:val="auto"/>
          <w:kern w:val="0"/>
          <w:sz w:val="24"/>
          <w:lang w:val="zh-CN"/>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6C900777">
      <w:pPr>
        <w:pStyle w:val="7"/>
        <w:rPr>
          <w:rFonts w:hint="eastAsia" w:ascii="宋体" w:hAnsi="宋体" w:eastAsia="宋体" w:cs="宋体"/>
          <w:color w:val="auto"/>
          <w:kern w:val="0"/>
          <w:sz w:val="24"/>
          <w:lang w:val="zh-CN"/>
        </w:rPr>
      </w:pPr>
    </w:p>
    <w:p w14:paraId="5DCCF44B">
      <w:pPr>
        <w:autoSpaceDE w:val="0"/>
        <w:autoSpaceDN w:val="0"/>
        <w:spacing w:line="360" w:lineRule="auto"/>
        <w:ind w:firstLine="6120" w:firstLineChars="2550"/>
        <w:rPr>
          <w:rFonts w:hint="eastAsia" w:ascii="宋体" w:hAnsi="宋体" w:eastAsia="宋体" w:cs="宋体"/>
          <w:color w:val="auto"/>
          <w:kern w:val="0"/>
          <w:sz w:val="24"/>
          <w:lang w:val="zh-CN"/>
        </w:rPr>
      </w:pPr>
    </w:p>
    <w:p w14:paraId="6DBEA15A">
      <w:pPr>
        <w:autoSpaceDE w:val="0"/>
        <w:autoSpaceDN w:val="0"/>
        <w:spacing w:line="360" w:lineRule="auto"/>
        <w:ind w:firstLine="6120" w:firstLineChars="2550"/>
        <w:rPr>
          <w:rFonts w:hint="eastAsia" w:ascii="宋体" w:hAnsi="宋体" w:eastAsia="宋体" w:cs="宋体"/>
          <w:color w:val="auto"/>
          <w:kern w:val="0"/>
          <w:sz w:val="24"/>
          <w:lang w:val="zh-CN"/>
        </w:rPr>
      </w:pPr>
    </w:p>
    <w:p w14:paraId="5D0B45F0">
      <w:pPr>
        <w:autoSpaceDE w:val="0"/>
        <w:autoSpaceDN w:val="0"/>
        <w:spacing w:line="360" w:lineRule="auto"/>
        <w:ind w:firstLine="6120" w:firstLineChars="2550"/>
        <w:rPr>
          <w:rFonts w:hint="eastAsia" w:ascii="宋体" w:hAnsi="宋体" w:eastAsia="宋体" w:cs="宋体"/>
          <w:color w:val="auto"/>
          <w:kern w:val="0"/>
          <w:sz w:val="24"/>
          <w:lang w:val="zh-CN"/>
        </w:rPr>
      </w:pPr>
    </w:p>
    <w:p w14:paraId="3F2A5ACC">
      <w:pPr>
        <w:autoSpaceDE w:val="0"/>
        <w:autoSpaceDN w:val="0"/>
        <w:spacing w:line="360" w:lineRule="auto"/>
        <w:ind w:firstLine="6120" w:firstLineChars="2550"/>
        <w:rPr>
          <w:rFonts w:hint="eastAsia" w:ascii="宋体" w:hAnsi="宋体" w:eastAsia="宋体" w:cs="宋体"/>
          <w:color w:val="auto"/>
          <w:kern w:val="0"/>
          <w:sz w:val="24"/>
          <w:lang w:val="zh-CN"/>
        </w:rPr>
      </w:pPr>
    </w:p>
    <w:p w14:paraId="7C6F5297">
      <w:pPr>
        <w:autoSpaceDE w:val="0"/>
        <w:autoSpaceDN w:val="0"/>
        <w:spacing w:line="360" w:lineRule="auto"/>
        <w:ind w:firstLine="6120" w:firstLineChars="2550"/>
        <w:rPr>
          <w:rFonts w:hint="eastAsia" w:ascii="宋体" w:hAnsi="宋体" w:eastAsia="宋体" w:cs="宋体"/>
          <w:color w:val="auto"/>
          <w:kern w:val="0"/>
          <w:sz w:val="24"/>
          <w:lang w:val="zh-CN"/>
        </w:rPr>
      </w:pPr>
    </w:p>
    <w:p w14:paraId="7655FDD7">
      <w:pPr>
        <w:rPr>
          <w:rFonts w:hint="eastAsia" w:ascii="宋体" w:hAnsi="宋体" w:eastAsia="宋体" w:cs="宋体"/>
          <w:b/>
          <w:bCs w:val="0"/>
          <w:caps w:val="0"/>
          <w:smallCaps w:val="0"/>
          <w:color w:val="auto"/>
          <w:spacing w:val="0"/>
          <w:kern w:val="2"/>
          <w:sz w:val="30"/>
          <w:szCs w:val="30"/>
          <w:lang w:val="en-US" w:eastAsia="zh-CN"/>
        </w:rPr>
      </w:pPr>
      <w:r>
        <w:rPr>
          <w:rFonts w:hint="eastAsia" w:ascii="宋体" w:hAnsi="宋体" w:eastAsia="宋体" w:cs="宋体"/>
          <w:b/>
          <w:bCs w:val="0"/>
          <w:caps w:val="0"/>
          <w:smallCaps w:val="0"/>
          <w:color w:val="auto"/>
          <w:spacing w:val="0"/>
          <w:kern w:val="2"/>
          <w:sz w:val="30"/>
          <w:szCs w:val="30"/>
          <w:lang w:val="en-US" w:eastAsia="zh-CN"/>
        </w:rPr>
        <w:br w:type="page"/>
      </w:r>
    </w:p>
    <w:p w14:paraId="233A1BE9">
      <w:pPr>
        <w:spacing w:line="520" w:lineRule="exact"/>
        <w:jc w:val="center"/>
        <w:rPr>
          <w:rFonts w:hint="eastAsia" w:ascii="宋体" w:hAnsi="宋体" w:eastAsia="宋体" w:cs="宋体"/>
          <w:color w:val="auto"/>
          <w:sz w:val="32"/>
          <w:szCs w:val="32"/>
        </w:rPr>
      </w:pPr>
      <w:r>
        <w:rPr>
          <w:rFonts w:hint="eastAsia" w:ascii="宋体" w:hAnsi="宋体" w:eastAsia="宋体" w:cs="宋体"/>
          <w:b/>
          <w:bCs/>
          <w:color w:val="auto"/>
          <w:sz w:val="30"/>
          <w:szCs w:val="30"/>
        </w:rPr>
        <w:t>无串通竞标行为的承诺函</w:t>
      </w:r>
    </w:p>
    <w:p w14:paraId="64025D56">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一、我方承诺无下列相互串通竞标的情形：</w:t>
      </w:r>
    </w:p>
    <w:p w14:paraId="379E991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 xml:space="preserve">1.不同供应商的响应文件由同一单位或者个人编制；或者不同供应商报名的IP地址一致的；或者编制响应文件硬件设备CPU编号、硬盘编号、网卡地址一致的情况。 </w:t>
      </w:r>
    </w:p>
    <w:p w14:paraId="047EC72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2.不同供应商委托同一单位或者个人办理竞标事宜；</w:t>
      </w:r>
    </w:p>
    <w:p w14:paraId="3937C51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3.不同供应商的响应文件载明的项目管理员为同一个人；</w:t>
      </w:r>
    </w:p>
    <w:p w14:paraId="786758C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4.不</w:t>
      </w:r>
      <w:r>
        <w:rPr>
          <w:rFonts w:hint="eastAsia" w:ascii="宋体" w:hAnsi="宋体" w:eastAsia="宋体" w:cs="宋体"/>
          <w:color w:val="auto"/>
          <w:spacing w:val="-6"/>
          <w:sz w:val="24"/>
        </w:rPr>
        <w:t>同供应商的响应文件异常一致或者响应报价呈规律性差异；</w:t>
      </w:r>
    </w:p>
    <w:p w14:paraId="4E4DB4E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5.不同供应商的响应文件相互混装；</w:t>
      </w:r>
    </w:p>
    <w:p w14:paraId="747E9E7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6.不同供应商的磋商保证金从同一单位或者个人账户转出。</w:t>
      </w:r>
    </w:p>
    <w:p w14:paraId="07EBE455">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二、我方承诺无下列恶意串通的情形：</w:t>
      </w:r>
    </w:p>
    <w:p w14:paraId="2130371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6F704F9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50FC1E2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62C17B8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51B54D4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43432F9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1E860DB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7BFFF34F">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以上情形一经核查属实，接受政府采购监管部门对我方认定存在围标串标行为，我方愿意承担一切后果，并不再寻求任何旨在减轻或者免除法律责任的辩解。</w:t>
      </w:r>
    </w:p>
    <w:p w14:paraId="06DF62CC">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D10D903">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 xml:space="preserve">日期：  年  月   日  </w:t>
      </w:r>
      <w:r>
        <w:rPr>
          <w:rFonts w:hint="eastAsia" w:ascii="宋体" w:hAnsi="宋体" w:eastAsia="宋体" w:cs="宋体"/>
          <w:b/>
          <w:bCs w:val="0"/>
          <w:color w:val="auto"/>
          <w:sz w:val="30"/>
          <w:szCs w:val="30"/>
        </w:rPr>
        <w:br w:type="page"/>
      </w:r>
    </w:p>
    <w:p w14:paraId="7F4B2109">
      <w:pPr>
        <w:spacing w:line="520" w:lineRule="exact"/>
        <w:jc w:val="center"/>
        <w:rPr>
          <w:rFonts w:hint="eastAsia" w:ascii="宋体" w:hAnsi="宋体" w:eastAsia="宋体" w:cs="宋体"/>
          <w:color w:val="auto"/>
          <w:sz w:val="32"/>
          <w:szCs w:val="32"/>
        </w:rPr>
      </w:pPr>
      <w:r>
        <w:rPr>
          <w:rFonts w:hint="eastAsia" w:ascii="宋体" w:hAnsi="宋体" w:eastAsia="宋体" w:cs="宋体"/>
          <w:b/>
          <w:bCs w:val="0"/>
          <w:color w:val="auto"/>
          <w:sz w:val="30"/>
          <w:szCs w:val="30"/>
        </w:rPr>
        <w:t>法定代表人证明书</w:t>
      </w:r>
    </w:p>
    <w:p w14:paraId="31CEF6FD">
      <w:pPr>
        <w:spacing w:line="360" w:lineRule="auto"/>
        <w:ind w:left="540"/>
        <w:contextualSpacing/>
        <w:rPr>
          <w:rFonts w:hint="eastAsia" w:ascii="宋体" w:hAnsi="宋体" w:eastAsia="宋体" w:cs="宋体"/>
          <w:color w:val="auto"/>
          <w:sz w:val="32"/>
          <w:szCs w:val="32"/>
        </w:rPr>
      </w:pPr>
    </w:p>
    <w:p w14:paraId="00D67AB9">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19082E67">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96CD93B">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2954DC8F">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3B18928D">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7B52F3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6C3E894C">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3BB07669">
      <w:pPr>
        <w:spacing w:line="360" w:lineRule="auto"/>
        <w:ind w:left="540"/>
        <w:contextualSpacing/>
        <w:rPr>
          <w:rFonts w:hint="eastAsia" w:ascii="宋体" w:hAnsi="宋体" w:eastAsia="宋体" w:cs="宋体"/>
          <w:color w:val="auto"/>
          <w:sz w:val="24"/>
        </w:rPr>
      </w:pPr>
    </w:p>
    <w:p w14:paraId="5C94D2D6">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tbl>
      <w:tblPr>
        <w:tblStyle w:val="16"/>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2BA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9480" w:type="dxa"/>
          </w:tcPr>
          <w:p w14:paraId="46AF7422">
            <w:pPr>
              <w:spacing w:line="360" w:lineRule="auto"/>
              <w:rPr>
                <w:rFonts w:hint="eastAsia" w:ascii="宋体" w:hAnsi="宋体" w:eastAsia="宋体" w:cs="宋体"/>
                <w:b/>
                <w:color w:val="auto"/>
                <w:sz w:val="24"/>
              </w:rPr>
            </w:pPr>
          </w:p>
          <w:p w14:paraId="227F13E6">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法定代表身份证复印件粘帖处（正、反面）</w:t>
            </w:r>
          </w:p>
        </w:tc>
      </w:tr>
    </w:tbl>
    <w:p w14:paraId="6324726C">
      <w:pPr>
        <w:spacing w:line="360" w:lineRule="auto"/>
        <w:ind w:left="540"/>
        <w:contextualSpacing/>
        <w:rPr>
          <w:rFonts w:hint="eastAsia" w:ascii="宋体" w:hAnsi="宋体" w:eastAsia="宋体" w:cs="宋体"/>
          <w:color w:val="auto"/>
          <w:sz w:val="24"/>
        </w:rPr>
      </w:pPr>
    </w:p>
    <w:p w14:paraId="6E7BA00F">
      <w:pPr>
        <w:autoSpaceDE w:val="0"/>
        <w:autoSpaceDN w:val="0"/>
        <w:spacing w:line="360" w:lineRule="auto"/>
        <w:ind w:left="4365" w:leftChars="1850" w:hanging="480" w:hangingChars="200"/>
        <w:rPr>
          <w:rFonts w:hint="eastAsia" w:ascii="宋体" w:hAnsi="宋体" w:eastAsia="宋体" w:cs="宋体"/>
          <w:color w:val="auto"/>
          <w:kern w:val="0"/>
          <w:sz w:val="24"/>
        </w:rPr>
      </w:pPr>
    </w:p>
    <w:p w14:paraId="7DA7DBC9">
      <w:pPr>
        <w:autoSpaceDE w:val="0"/>
        <w:autoSpaceDN w:val="0"/>
        <w:spacing w:line="360" w:lineRule="auto"/>
        <w:ind w:firstLine="5280" w:firstLineChars="2200"/>
        <w:rPr>
          <w:rFonts w:ascii="宋体" w:hAnsi="宋体" w:eastAsia="宋体" w:cs="宋体"/>
          <w:color w:val="auto"/>
          <w:kern w:val="0"/>
          <w:sz w:val="24"/>
          <w:lang w:val="en-US" w:eastAsia="zh-CN"/>
        </w:rPr>
      </w:pPr>
      <w:r>
        <w:rPr>
          <w:rFonts w:hint="eastAsia" w:ascii="宋体" w:hAnsi="宋体" w:eastAsia="宋体" w:cs="宋体"/>
          <w:color w:val="auto"/>
          <w:kern w:val="0"/>
          <w:sz w:val="24"/>
        </w:rPr>
        <w:t>供应商名称（电子签章）：</w:t>
      </w:r>
      <w:r>
        <w:rPr>
          <w:rFonts w:hint="eastAsia" w:ascii="宋体" w:hAnsi="宋体" w:cs="宋体"/>
          <w:color w:val="auto"/>
          <w:kern w:val="0"/>
          <w:sz w:val="24"/>
          <w:u w:val="single"/>
          <w:lang w:val="en-US" w:eastAsia="zh-CN"/>
        </w:rPr>
        <w:t xml:space="preserve">         </w:t>
      </w:r>
    </w:p>
    <w:p w14:paraId="1EA9813F">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0DE9F913">
      <w:pPr>
        <w:spacing w:line="360" w:lineRule="auto"/>
        <w:contextualSpacing/>
        <w:jc w:val="left"/>
        <w:rPr>
          <w:rFonts w:hint="eastAsia" w:ascii="宋体" w:hAnsi="宋体" w:eastAsia="宋体" w:cs="宋体"/>
          <w:color w:val="auto"/>
          <w:sz w:val="24"/>
        </w:rPr>
      </w:pPr>
    </w:p>
    <w:p w14:paraId="6AAD0C13">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5A4545">
      <w:pPr>
        <w:spacing w:line="360" w:lineRule="auto"/>
        <w:ind w:left="0" w:firstLine="480" w:firstLineChars="200"/>
        <w:contextualSpacing/>
        <w:jc w:val="left"/>
        <w:rPr>
          <w:rFonts w:hint="eastAsia" w:ascii="宋体" w:hAnsi="宋体" w:eastAsia="宋体" w:cs="宋体"/>
          <w:color w:val="auto"/>
          <w:sz w:val="24"/>
          <w:lang w:val="en-US" w:eastAsia="zh-CN"/>
        </w:rPr>
      </w:pPr>
    </w:p>
    <w:p w14:paraId="7502E281">
      <w:pPr>
        <w:spacing w:line="520" w:lineRule="exact"/>
        <w:jc w:val="center"/>
        <w:rPr>
          <w:rFonts w:hint="eastAsia" w:ascii="宋体" w:hAnsi="宋体" w:eastAsia="宋体" w:cs="宋体"/>
          <w:b/>
          <w:color w:val="auto"/>
          <w:kern w:val="2"/>
          <w:sz w:val="30"/>
          <w:szCs w:val="30"/>
          <w:lang w:val="en-US" w:eastAsia="zh-CN"/>
        </w:rPr>
      </w:pPr>
    </w:p>
    <w:p w14:paraId="64E4024D">
      <w:pP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br w:type="page"/>
      </w:r>
    </w:p>
    <w:p w14:paraId="3AFB0AF5">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授权委托书</w:t>
      </w:r>
    </w:p>
    <w:p w14:paraId="2E870246">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宋体" w:hAnsi="宋体" w:eastAsia="宋体" w:cs="宋体"/>
          <w:color w:val="auto"/>
          <w:sz w:val="44"/>
          <w:szCs w:val="44"/>
        </w:rPr>
      </w:pPr>
      <w:r>
        <w:rPr>
          <w:rFonts w:hint="eastAsia" w:ascii="宋体" w:hAnsi="宋体" w:eastAsia="宋体" w:cs="宋体"/>
          <w:b/>
          <w:bCs/>
          <w:color w:val="auto"/>
          <w:sz w:val="30"/>
          <w:szCs w:val="30"/>
        </w:rPr>
        <w:t>（如有委托时）</w:t>
      </w:r>
    </w:p>
    <w:p w14:paraId="4065BB86">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787A4F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604E095E">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1E42EC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0B3D949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6B5D65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附：法定代表人身份证明书及委托代理人有效身份证正反面复印件</w:t>
      </w:r>
    </w:p>
    <w:p w14:paraId="0F498C4F">
      <w:pPr>
        <w:spacing w:line="360" w:lineRule="auto"/>
        <w:rPr>
          <w:rFonts w:hint="eastAsia" w:ascii="宋体" w:hAnsi="宋体" w:eastAsia="宋体" w:cs="宋体"/>
          <w:color w:val="auto"/>
          <w:sz w:val="24"/>
        </w:rPr>
      </w:pPr>
      <w:r>
        <w:rPr>
          <w:rFonts w:hint="eastAsia" w:ascii="宋体" w:hAnsi="宋体" w:eastAsia="宋体" w:cs="宋体"/>
          <w:color w:val="auto"/>
          <w:sz w:val="24"/>
        </w:rPr>
        <w:t>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6AA0C284">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法定代表人（签字或盖章）：</w:t>
      </w:r>
      <w:r>
        <w:rPr>
          <w:rFonts w:hint="eastAsia" w:ascii="宋体" w:hAnsi="宋体" w:eastAsia="宋体" w:cs="宋体"/>
          <w:color w:val="auto"/>
          <w:sz w:val="24"/>
          <w:u w:val="single"/>
        </w:rPr>
        <w:t xml:space="preserve">                    </w:t>
      </w:r>
    </w:p>
    <w:p w14:paraId="2207291B">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委托代理人身份证号码：</w:t>
      </w:r>
      <w:r>
        <w:rPr>
          <w:rFonts w:hint="eastAsia" w:ascii="宋体" w:hAnsi="宋体" w:eastAsia="宋体" w:cs="宋体"/>
          <w:color w:val="auto"/>
          <w:sz w:val="24"/>
          <w:u w:val="single"/>
        </w:rPr>
        <w:t xml:space="preserve">                              </w:t>
      </w:r>
    </w:p>
    <w:tbl>
      <w:tblPr>
        <w:tblStyle w:val="16"/>
        <w:tblW w:w="988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9880"/>
      </w:tblGrid>
      <w:tr w14:paraId="44804A4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950" w:hRule="atLeast"/>
        </w:trPr>
        <w:tc>
          <w:tcPr>
            <w:tcW w:w="9880" w:type="dxa"/>
          </w:tcPr>
          <w:p w14:paraId="5FF97AB0">
            <w:pPr>
              <w:autoSpaceDE w:val="0"/>
              <w:autoSpaceDN w:val="0"/>
              <w:spacing w:line="360" w:lineRule="auto"/>
              <w:rPr>
                <w:rFonts w:hint="eastAsia" w:ascii="宋体" w:hAnsi="宋体" w:eastAsia="宋体" w:cs="宋体"/>
                <w:b/>
                <w:bCs/>
                <w:color w:val="auto"/>
                <w:sz w:val="24"/>
                <w:vertAlign w:val="baseline"/>
              </w:rPr>
            </w:pPr>
            <w:r>
              <w:rPr>
                <w:rFonts w:hint="eastAsia" w:ascii="宋体" w:hAnsi="宋体" w:eastAsia="宋体" w:cs="宋体"/>
                <w:b/>
                <w:color w:val="auto"/>
                <w:sz w:val="24"/>
              </w:rPr>
              <w:t>委托代理人有效身份证正反面复印件粘帖处（正、反面）</w:t>
            </w:r>
          </w:p>
        </w:tc>
      </w:tr>
    </w:tbl>
    <w:p w14:paraId="1871668A">
      <w:pPr>
        <w:autoSpaceDE w:val="0"/>
        <w:autoSpaceDN w:val="0"/>
        <w:spacing w:line="360" w:lineRule="auto"/>
        <w:ind w:left="4365" w:leftChars="1850" w:hanging="480" w:hangingChars="200"/>
        <w:rPr>
          <w:rFonts w:hint="eastAsia" w:ascii="宋体" w:hAnsi="宋体" w:eastAsia="宋体" w:cs="宋体"/>
          <w:color w:val="auto"/>
          <w:sz w:val="24"/>
        </w:rPr>
      </w:pPr>
    </w:p>
    <w:p w14:paraId="7AB805E0">
      <w:pPr>
        <w:autoSpaceDE w:val="0"/>
        <w:autoSpaceDN w:val="0"/>
        <w:spacing w:line="360" w:lineRule="auto"/>
        <w:ind w:left="4365" w:leftChars="1850" w:hanging="480" w:hangingChars="200"/>
        <w:rPr>
          <w:rFonts w:ascii="宋体" w:hAnsi="宋体" w:eastAsia="宋体" w:cs="宋体"/>
          <w:color w:val="auto"/>
          <w:kern w:val="0"/>
          <w:sz w:val="24"/>
          <w:lang w:val="en-US" w:eastAsia="zh-CN"/>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r>
        <w:rPr>
          <w:rFonts w:hint="eastAsia" w:ascii="宋体" w:hAnsi="宋体" w:cs="宋体"/>
          <w:color w:val="auto"/>
          <w:kern w:val="0"/>
          <w:sz w:val="24"/>
          <w:u w:val="single"/>
          <w:lang w:val="en-US" w:eastAsia="zh-CN"/>
        </w:rPr>
        <w:t xml:space="preserve">              </w:t>
      </w:r>
    </w:p>
    <w:p w14:paraId="257BBCC0">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314C03B2">
      <w:pPr>
        <w:spacing w:line="360" w:lineRule="auto"/>
        <w:rPr>
          <w:rFonts w:hint="eastAsia" w:ascii="宋体" w:hAnsi="宋体" w:eastAsia="宋体" w:cs="宋体"/>
          <w:color w:val="auto"/>
          <w:sz w:val="24"/>
        </w:rPr>
      </w:pPr>
    </w:p>
    <w:p w14:paraId="501587FF">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注：1.法定代表人必须在授权委托书上亲笔签字或盖章，委托代理人必须在授权委托书上亲笔签字，</w:t>
      </w:r>
      <w:r>
        <w:rPr>
          <w:rFonts w:hint="eastAsia" w:ascii="宋体" w:hAnsi="宋体" w:eastAsia="宋体" w:cs="宋体"/>
          <w:b/>
          <w:color w:val="auto"/>
          <w:sz w:val="22"/>
          <w:szCs w:val="22"/>
        </w:rPr>
        <w:t>否则其响应文件按无效响应处理。</w:t>
      </w:r>
    </w:p>
    <w:p w14:paraId="34934CB6">
      <w:p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24092A">
      <w:pPr>
        <w:spacing w:line="360" w:lineRule="auto"/>
        <w:ind w:firstLine="440" w:firstLineChars="200"/>
        <w:jc w:val="left"/>
        <w:rPr>
          <w:rFonts w:hint="eastAsia" w:ascii="宋体" w:hAnsi="宋体" w:eastAsia="宋体" w:cs="宋体"/>
          <w:color w:val="auto"/>
          <w:sz w:val="24"/>
        </w:rPr>
      </w:pPr>
      <w:r>
        <w:rPr>
          <w:rFonts w:hint="eastAsia" w:ascii="宋体" w:hAnsi="宋体" w:eastAsia="宋体" w:cs="宋体"/>
          <w:color w:val="auto"/>
          <w:sz w:val="22"/>
          <w:szCs w:val="22"/>
        </w:rPr>
        <w:t>3.法人、其他组织竞标时“我方”是指“我单位”，自然人竞标时“我方”是指“本人”。</w:t>
      </w:r>
    </w:p>
    <w:p w14:paraId="5C8C6D06">
      <w:pPr>
        <w:autoSpaceDE w:val="0"/>
        <w:autoSpaceDN w:val="0"/>
        <w:spacing w:line="360" w:lineRule="auto"/>
        <w:ind w:firstLine="6144" w:firstLineChars="2550"/>
        <w:rPr>
          <w:rFonts w:hint="eastAsia" w:ascii="宋体" w:hAnsi="宋体" w:eastAsia="宋体" w:cs="宋体"/>
          <w:b/>
          <w:bCs/>
          <w:color w:val="auto"/>
          <w:sz w:val="24"/>
        </w:rPr>
      </w:pPr>
    </w:p>
    <w:p w14:paraId="0EDF0F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r>
        <w:rPr>
          <w:rFonts w:hint="eastAsia" w:ascii="宋体" w:hAnsi="宋体" w:eastAsia="宋体" w:cs="宋体"/>
          <w:b/>
          <w:bCs/>
          <w:color w:val="auto"/>
          <w:sz w:val="30"/>
          <w:szCs w:val="30"/>
        </w:rPr>
        <w:t>商务条款偏离表</w:t>
      </w:r>
    </w:p>
    <w:p w14:paraId="659C1341">
      <w:pPr>
        <w:jc w:val="center"/>
        <w:rPr>
          <w:rFonts w:hint="eastAsia" w:ascii="宋体" w:hAnsi="宋体" w:eastAsia="宋体" w:cs="宋体"/>
          <w:b/>
          <w:bCs/>
          <w:color w:val="auto"/>
          <w:sz w:val="28"/>
          <w:szCs w:val="28"/>
        </w:rPr>
      </w:pPr>
    </w:p>
    <w:p w14:paraId="783CD118">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采购项目名称：</w:t>
      </w:r>
      <w:r>
        <w:rPr>
          <w:rFonts w:hint="eastAsia" w:ascii="宋体" w:hAnsi="宋体" w:eastAsia="宋体" w:cs="宋体"/>
          <w:color w:val="auto"/>
          <w:sz w:val="24"/>
          <w:u w:val="single"/>
        </w:rPr>
        <w:t xml:space="preserve">                 </w:t>
      </w:r>
    </w:p>
    <w:p w14:paraId="2F253F21">
      <w:pPr>
        <w:spacing w:line="360" w:lineRule="auto"/>
        <w:contextualSpacing/>
        <w:rPr>
          <w:rFonts w:ascii="宋体" w:hAnsi="宋体" w:eastAsia="宋体" w:cs="宋体"/>
          <w:color w:val="auto"/>
          <w:sz w:val="24"/>
          <w:u w:val="single"/>
          <w:lang w:val="en-US"/>
        </w:rPr>
      </w:pPr>
      <w:r>
        <w:rPr>
          <w:rFonts w:hint="eastAsia" w:ascii="宋体" w:hAnsi="宋体" w:eastAsia="宋体" w:cs="宋体"/>
          <w:color w:val="auto"/>
          <w:sz w:val="24"/>
        </w:rPr>
        <w:t>采购</w:t>
      </w:r>
      <w:r>
        <w:rPr>
          <w:rFonts w:hint="eastAsia" w:ascii="宋体" w:hAnsi="宋体" w:cs="宋体"/>
          <w:color w:val="auto"/>
          <w:sz w:val="24"/>
          <w:lang w:eastAsia="zh-CN"/>
        </w:rPr>
        <w:t>项目编号：</w:t>
      </w:r>
      <w:r>
        <w:rPr>
          <w:rFonts w:hint="eastAsia" w:ascii="宋体" w:hAnsi="宋体" w:cs="宋体"/>
          <w:color w:val="auto"/>
          <w:sz w:val="24"/>
          <w:u w:val="single"/>
          <w:lang w:val="en-US" w:eastAsia="zh-CN"/>
        </w:rPr>
        <w:t xml:space="preserve">                 </w:t>
      </w:r>
    </w:p>
    <w:p w14:paraId="4F049B70">
      <w:pPr>
        <w:spacing w:line="360" w:lineRule="auto"/>
        <w:contextualSpacing/>
        <w:rPr>
          <w:rFonts w:hint="eastAsia" w:ascii="宋体" w:hAnsi="宋体" w:eastAsia="宋体" w:cs="宋体"/>
          <w:color w:val="auto"/>
          <w:sz w:val="24"/>
          <w:u w:val="single"/>
        </w:rPr>
      </w:pPr>
    </w:p>
    <w:tbl>
      <w:tblPr>
        <w:tblStyle w:val="16"/>
        <w:tblpPr w:leftFromText="180" w:rightFromText="180" w:vertAnchor="text" w:horzAnchor="margin" w:tblpXSpec="left"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BCC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25B9F8AC">
            <w:pPr>
              <w:spacing w:line="360" w:lineRule="auto"/>
              <w:contextualSpacing/>
              <w:jc w:val="center"/>
              <w:rPr>
                <w:rFonts w:ascii="宋体" w:hAnsi="宋体" w:cs="宋体"/>
                <w:color w:val="auto"/>
                <w:sz w:val="24"/>
              </w:rPr>
            </w:pPr>
            <w:r>
              <w:rPr>
                <w:rFonts w:hint="eastAsia" w:ascii="宋体" w:hAnsi="宋体" w:cs="宋体"/>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7B8A7ED">
            <w:pPr>
              <w:spacing w:line="360" w:lineRule="auto"/>
              <w:contextualSpacing/>
              <w:jc w:val="center"/>
              <w:rPr>
                <w:rFonts w:ascii="宋体" w:hAnsi="宋体" w:cs="宋体"/>
                <w:color w:val="auto"/>
                <w:sz w:val="24"/>
              </w:rPr>
            </w:pPr>
            <w:r>
              <w:rPr>
                <w:rFonts w:hint="eastAsia" w:ascii="宋体" w:hAnsi="宋体" w:cs="宋体"/>
                <w:color w:val="auto"/>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51DDBD42">
            <w:pPr>
              <w:spacing w:line="360" w:lineRule="auto"/>
              <w:contextualSpacing/>
              <w:jc w:val="center"/>
              <w:rPr>
                <w:rFonts w:ascii="宋体" w:hAnsi="宋体" w:cs="宋体"/>
                <w:color w:val="auto"/>
                <w:sz w:val="24"/>
              </w:rPr>
            </w:pPr>
            <w:r>
              <w:rPr>
                <w:rFonts w:hint="eastAsia" w:ascii="宋体" w:hAnsi="宋体" w:cs="宋体"/>
                <w:color w:val="auto"/>
                <w:sz w:val="24"/>
              </w:rPr>
              <w:t>供应商的响应</w:t>
            </w:r>
          </w:p>
        </w:tc>
        <w:tc>
          <w:tcPr>
            <w:tcW w:w="2112" w:type="dxa"/>
            <w:tcBorders>
              <w:top w:val="single" w:color="auto" w:sz="4" w:space="0"/>
              <w:left w:val="single" w:color="auto" w:sz="4" w:space="0"/>
              <w:bottom w:val="single" w:color="auto" w:sz="4" w:space="0"/>
            </w:tcBorders>
            <w:vAlign w:val="center"/>
          </w:tcPr>
          <w:p w14:paraId="78864F81">
            <w:pPr>
              <w:spacing w:line="360" w:lineRule="auto"/>
              <w:contextualSpacing/>
              <w:jc w:val="center"/>
              <w:rPr>
                <w:rFonts w:ascii="宋体" w:hAnsi="宋体" w:cs="宋体"/>
                <w:color w:val="auto"/>
                <w:sz w:val="24"/>
              </w:rPr>
            </w:pPr>
            <w:r>
              <w:rPr>
                <w:rFonts w:hint="eastAsia" w:ascii="宋体" w:hAnsi="宋体" w:cs="宋体"/>
                <w:color w:val="auto"/>
                <w:sz w:val="24"/>
              </w:rPr>
              <w:t>偏离说明</w:t>
            </w:r>
          </w:p>
        </w:tc>
      </w:tr>
      <w:tr w14:paraId="20AD0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0B3EB628">
            <w:pPr>
              <w:spacing w:line="360" w:lineRule="auto"/>
              <w:contextualSpacing/>
              <w:jc w:val="center"/>
              <w:rPr>
                <w:rFonts w:ascii="宋体" w:hAnsi="宋体" w:eastAsia="宋体" w:cs="宋体"/>
                <w:color w:val="auto"/>
                <w:sz w:val="24"/>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0BA06FDA">
            <w:pPr>
              <w:spacing w:line="360" w:lineRule="auto"/>
              <w:contextualSpacing/>
              <w:jc w:val="center"/>
              <w:rPr>
                <w:rFonts w:ascii="宋体" w:hAnsi="宋体" w:cs="宋体"/>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35A78B5B">
            <w:pPr>
              <w:spacing w:line="360" w:lineRule="auto"/>
              <w:contextualSpacing/>
              <w:jc w:val="center"/>
              <w:rPr>
                <w:rFonts w:ascii="宋体" w:hAnsi="宋体" w:cs="宋体"/>
                <w:color w:val="auto"/>
                <w:sz w:val="24"/>
              </w:rPr>
            </w:pPr>
          </w:p>
        </w:tc>
        <w:tc>
          <w:tcPr>
            <w:tcW w:w="2112" w:type="dxa"/>
            <w:tcBorders>
              <w:top w:val="single" w:color="auto" w:sz="4" w:space="0"/>
              <w:left w:val="single" w:color="auto" w:sz="4" w:space="0"/>
              <w:bottom w:val="single" w:color="auto" w:sz="4" w:space="0"/>
            </w:tcBorders>
            <w:vAlign w:val="center"/>
          </w:tcPr>
          <w:p w14:paraId="395FDE55">
            <w:pPr>
              <w:spacing w:line="360" w:lineRule="auto"/>
              <w:contextualSpacing/>
              <w:jc w:val="center"/>
              <w:rPr>
                <w:rFonts w:ascii="宋体" w:hAnsi="宋体" w:cs="宋体"/>
                <w:color w:val="auto"/>
                <w:sz w:val="24"/>
              </w:rPr>
            </w:pPr>
          </w:p>
        </w:tc>
      </w:tr>
      <w:tr w14:paraId="52A03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24E9BE83">
            <w:pPr>
              <w:spacing w:line="360" w:lineRule="auto"/>
              <w:contextualSpacing/>
              <w:jc w:val="center"/>
              <w:rPr>
                <w:rFonts w:ascii="宋体" w:hAnsi="宋体" w:cs="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12333AFC">
            <w:pPr>
              <w:spacing w:line="360" w:lineRule="auto"/>
              <w:contextualSpacing/>
              <w:jc w:val="center"/>
              <w:rPr>
                <w:rFonts w:ascii="宋体" w:hAnsi="宋体" w:cs="宋体"/>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8DD6B84">
            <w:pPr>
              <w:spacing w:line="360" w:lineRule="auto"/>
              <w:ind w:left="43"/>
              <w:contextualSpacing/>
              <w:jc w:val="center"/>
              <w:rPr>
                <w:rFonts w:ascii="宋体" w:hAnsi="宋体" w:cs="宋体"/>
                <w:color w:val="auto"/>
                <w:sz w:val="24"/>
              </w:rPr>
            </w:pPr>
          </w:p>
        </w:tc>
        <w:tc>
          <w:tcPr>
            <w:tcW w:w="2112" w:type="dxa"/>
            <w:tcBorders>
              <w:top w:val="single" w:color="auto" w:sz="4" w:space="0"/>
              <w:left w:val="single" w:color="auto" w:sz="4" w:space="0"/>
              <w:bottom w:val="single" w:color="auto" w:sz="4" w:space="0"/>
            </w:tcBorders>
            <w:vAlign w:val="center"/>
          </w:tcPr>
          <w:p w14:paraId="106EE4BB">
            <w:pPr>
              <w:spacing w:line="360" w:lineRule="auto"/>
              <w:ind w:left="43"/>
              <w:contextualSpacing/>
              <w:jc w:val="center"/>
              <w:rPr>
                <w:rFonts w:ascii="宋体" w:hAnsi="宋体" w:cs="宋体"/>
                <w:color w:val="auto"/>
                <w:sz w:val="24"/>
              </w:rPr>
            </w:pPr>
          </w:p>
        </w:tc>
      </w:tr>
      <w:tr w14:paraId="0EDE1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622E57BF">
            <w:pPr>
              <w:spacing w:line="360" w:lineRule="auto"/>
              <w:contextualSpacing/>
              <w:jc w:val="center"/>
              <w:rPr>
                <w:rFonts w:ascii="宋体" w:hAnsi="宋体" w:eastAsia="宋体" w:cs="宋体"/>
                <w:color w:val="auto"/>
                <w:sz w:val="24"/>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7B5DB7D7">
            <w:pPr>
              <w:spacing w:line="360" w:lineRule="auto"/>
              <w:contextualSpacing/>
              <w:jc w:val="center"/>
              <w:rPr>
                <w:rFonts w:ascii="宋体" w:hAnsi="宋体" w:cs="宋体"/>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15C8AE6">
            <w:pPr>
              <w:spacing w:line="360" w:lineRule="auto"/>
              <w:contextualSpacing/>
              <w:jc w:val="center"/>
              <w:rPr>
                <w:rFonts w:ascii="宋体" w:hAnsi="宋体" w:cs="宋体"/>
                <w:color w:val="auto"/>
                <w:sz w:val="24"/>
              </w:rPr>
            </w:pPr>
          </w:p>
        </w:tc>
        <w:tc>
          <w:tcPr>
            <w:tcW w:w="2112" w:type="dxa"/>
            <w:tcBorders>
              <w:top w:val="single" w:color="auto" w:sz="4" w:space="0"/>
              <w:left w:val="single" w:color="auto" w:sz="4" w:space="0"/>
              <w:bottom w:val="single" w:color="auto" w:sz="4" w:space="0"/>
            </w:tcBorders>
            <w:vAlign w:val="center"/>
          </w:tcPr>
          <w:p w14:paraId="0A6A80E0">
            <w:pPr>
              <w:spacing w:line="360" w:lineRule="auto"/>
              <w:contextualSpacing/>
              <w:jc w:val="center"/>
              <w:rPr>
                <w:rFonts w:ascii="宋体" w:hAnsi="宋体" w:cs="宋体"/>
                <w:color w:val="auto"/>
                <w:sz w:val="24"/>
              </w:rPr>
            </w:pPr>
          </w:p>
        </w:tc>
      </w:tr>
      <w:tr w14:paraId="22A35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187E67E6">
            <w:pPr>
              <w:spacing w:line="360" w:lineRule="auto"/>
              <w:contextualSpacing/>
              <w:jc w:val="center"/>
              <w:rPr>
                <w:rFonts w:ascii="宋体" w:hAnsi="宋体" w:eastAsia="宋体" w:cs="宋体"/>
                <w:color w:val="auto"/>
                <w:sz w:val="24"/>
                <w:lang w:val="en-US" w:eastAsia="zh-CN"/>
              </w:rPr>
            </w:pPr>
          </w:p>
        </w:tc>
        <w:tc>
          <w:tcPr>
            <w:tcW w:w="2668" w:type="dxa"/>
            <w:tcBorders>
              <w:top w:val="single" w:color="auto" w:sz="4" w:space="0"/>
              <w:left w:val="single" w:color="auto" w:sz="4" w:space="0"/>
              <w:bottom w:val="single" w:color="auto" w:sz="4" w:space="0"/>
              <w:right w:val="single" w:color="auto" w:sz="4" w:space="0"/>
            </w:tcBorders>
            <w:vAlign w:val="center"/>
          </w:tcPr>
          <w:p w14:paraId="12342035">
            <w:pPr>
              <w:spacing w:line="360" w:lineRule="auto"/>
              <w:contextualSpacing/>
              <w:jc w:val="center"/>
              <w:rPr>
                <w:rFonts w:ascii="宋体" w:hAnsi="宋体" w:cs="宋体"/>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3282B6FC">
            <w:pPr>
              <w:spacing w:line="360" w:lineRule="auto"/>
              <w:contextualSpacing/>
              <w:jc w:val="center"/>
              <w:rPr>
                <w:rFonts w:ascii="宋体" w:hAnsi="宋体" w:cs="宋体"/>
                <w:color w:val="auto"/>
                <w:sz w:val="24"/>
              </w:rPr>
            </w:pPr>
          </w:p>
        </w:tc>
        <w:tc>
          <w:tcPr>
            <w:tcW w:w="2112" w:type="dxa"/>
            <w:tcBorders>
              <w:top w:val="single" w:color="auto" w:sz="4" w:space="0"/>
              <w:left w:val="single" w:color="auto" w:sz="4" w:space="0"/>
              <w:bottom w:val="single" w:color="auto" w:sz="4" w:space="0"/>
            </w:tcBorders>
            <w:vAlign w:val="center"/>
          </w:tcPr>
          <w:p w14:paraId="3553DA44">
            <w:pPr>
              <w:spacing w:line="360" w:lineRule="auto"/>
              <w:contextualSpacing/>
              <w:jc w:val="center"/>
              <w:rPr>
                <w:rFonts w:ascii="宋体" w:hAnsi="宋体" w:cs="宋体"/>
                <w:color w:val="auto"/>
                <w:sz w:val="24"/>
              </w:rPr>
            </w:pPr>
          </w:p>
        </w:tc>
      </w:tr>
      <w:tr w14:paraId="26F42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2AEBB337">
            <w:pPr>
              <w:spacing w:line="360" w:lineRule="auto"/>
              <w:contextualSpacing/>
              <w:jc w:val="center"/>
              <w:rPr>
                <w:rFonts w:ascii="宋体" w:hAnsi="宋体" w:cs="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6859A134">
            <w:pPr>
              <w:spacing w:line="360" w:lineRule="auto"/>
              <w:contextualSpacing/>
              <w:jc w:val="center"/>
              <w:rPr>
                <w:rFonts w:ascii="宋体" w:hAnsi="宋体" w:cs="宋体"/>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3DCAAF0">
            <w:pPr>
              <w:spacing w:line="360" w:lineRule="auto"/>
              <w:contextualSpacing/>
              <w:jc w:val="center"/>
              <w:rPr>
                <w:rFonts w:ascii="宋体" w:hAnsi="宋体" w:cs="宋体"/>
                <w:color w:val="auto"/>
                <w:sz w:val="24"/>
              </w:rPr>
            </w:pPr>
          </w:p>
        </w:tc>
        <w:tc>
          <w:tcPr>
            <w:tcW w:w="2112" w:type="dxa"/>
            <w:tcBorders>
              <w:top w:val="single" w:color="auto" w:sz="4" w:space="0"/>
              <w:left w:val="single" w:color="auto" w:sz="4" w:space="0"/>
              <w:bottom w:val="single" w:color="auto" w:sz="4" w:space="0"/>
            </w:tcBorders>
            <w:vAlign w:val="center"/>
          </w:tcPr>
          <w:p w14:paraId="5EF2B620">
            <w:pPr>
              <w:spacing w:line="360" w:lineRule="auto"/>
              <w:contextualSpacing/>
              <w:jc w:val="center"/>
              <w:rPr>
                <w:rFonts w:ascii="宋体" w:hAnsi="宋体" w:cs="宋体"/>
                <w:color w:val="auto"/>
                <w:sz w:val="24"/>
              </w:rPr>
            </w:pPr>
          </w:p>
        </w:tc>
      </w:tr>
    </w:tbl>
    <w:p w14:paraId="0605AF4A">
      <w:pPr>
        <w:spacing w:line="400" w:lineRule="exact"/>
        <w:contextualSpacing/>
        <w:rPr>
          <w:rFonts w:hint="eastAsia" w:ascii="宋体" w:hAnsi="宋体" w:eastAsia="宋体" w:cs="宋体"/>
          <w:color w:val="auto"/>
          <w:kern w:val="0"/>
          <w:sz w:val="24"/>
        </w:rPr>
      </w:pPr>
    </w:p>
    <w:p w14:paraId="2A983239">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77007515">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1.说明：应对照磋商文件“第二章 采购需求”中的</w:t>
      </w:r>
      <w:r>
        <w:rPr>
          <w:rFonts w:hint="eastAsia" w:ascii="宋体" w:hAnsi="宋体" w:cs="宋体"/>
          <w:color w:val="auto"/>
          <w:kern w:val="0"/>
          <w:sz w:val="24"/>
          <w:lang w:eastAsia="zh-CN"/>
        </w:rPr>
        <w:t>“</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二</w:t>
      </w:r>
      <w:r>
        <w:rPr>
          <w:rFonts w:hint="eastAsia" w:ascii="宋体" w:hAnsi="宋体" w:cs="宋体"/>
          <w:b/>
          <w:bCs/>
          <w:color w:val="auto"/>
          <w:kern w:val="0"/>
          <w:sz w:val="24"/>
          <w:lang w:eastAsia="zh-CN"/>
        </w:rPr>
        <w:t>、商务要求</w:t>
      </w:r>
      <w:r>
        <w:rPr>
          <w:rFonts w:hint="eastAsia" w:ascii="宋体" w:hAnsi="宋体" w:cs="宋体"/>
          <w:color w:val="auto"/>
          <w:kern w:val="0"/>
          <w:sz w:val="24"/>
          <w:lang w:eastAsia="zh-CN"/>
        </w:rPr>
        <w:t>”</w:t>
      </w:r>
      <w:r>
        <w:rPr>
          <w:rFonts w:hint="eastAsia" w:ascii="宋体" w:hAnsi="宋体" w:eastAsia="宋体" w:cs="宋体"/>
          <w:color w:val="auto"/>
          <w:kern w:val="0"/>
          <w:sz w:val="24"/>
        </w:rPr>
        <w:t>逐条作出明确响应，并作出偏离说明。</w:t>
      </w:r>
    </w:p>
    <w:p w14:paraId="1820C63C">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6BC07A5E">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3.表格内容均需按要求填写，不得留空，否则按竞标无效处理。</w:t>
      </w:r>
    </w:p>
    <w:p w14:paraId="0DC9C3F4">
      <w:pPr>
        <w:spacing w:line="360" w:lineRule="auto"/>
        <w:ind w:firstLine="3840" w:firstLineChars="1600"/>
        <w:rPr>
          <w:rFonts w:hint="eastAsia" w:ascii="宋体" w:hAnsi="宋体" w:eastAsia="宋体" w:cs="宋体"/>
          <w:color w:val="auto"/>
          <w:kern w:val="0"/>
          <w:sz w:val="24"/>
        </w:rPr>
      </w:pPr>
    </w:p>
    <w:p w14:paraId="034C403D">
      <w:pPr>
        <w:spacing w:line="360" w:lineRule="auto"/>
        <w:ind w:firstLine="3840" w:firstLineChars="1600"/>
        <w:rPr>
          <w:rFonts w:ascii="宋体" w:hAnsi="宋体" w:eastAsia="宋体" w:cs="宋体"/>
          <w:color w:val="auto"/>
          <w:sz w:val="24"/>
          <w:lang w:val="en-US" w:eastAsia="zh-CN"/>
        </w:rPr>
      </w:pPr>
      <w:r>
        <w:rPr>
          <w:rFonts w:hint="eastAsia" w:ascii="宋体" w:hAnsi="宋体" w:eastAsia="宋体" w:cs="宋体"/>
          <w:color w:val="auto"/>
          <w:kern w:val="0"/>
          <w:sz w:val="24"/>
        </w:rPr>
        <w:t>供应商名称（电子签章）：</w:t>
      </w:r>
      <w:r>
        <w:rPr>
          <w:rFonts w:hint="eastAsia" w:ascii="宋体" w:hAnsi="宋体" w:cs="宋体"/>
          <w:color w:val="auto"/>
          <w:kern w:val="0"/>
          <w:sz w:val="24"/>
          <w:u w:val="single"/>
          <w:lang w:val="en-US" w:eastAsia="zh-CN"/>
        </w:rPr>
        <w:t xml:space="preserve">                 </w:t>
      </w:r>
    </w:p>
    <w:p w14:paraId="7126BAF2">
      <w:pPr>
        <w:spacing w:line="360" w:lineRule="auto"/>
        <w:contextualSpacing/>
        <w:jc w:val="center"/>
        <w:rPr>
          <w:rFonts w:hint="eastAsia" w:ascii="宋体" w:hAnsi="宋体" w:eastAsia="宋体" w:cs="宋体"/>
          <w:color w:val="auto"/>
          <w:sz w:val="32"/>
          <w:szCs w:val="32"/>
        </w:rPr>
      </w:pPr>
      <w:r>
        <w:rPr>
          <w:rFonts w:hint="eastAsia" w:ascii="宋体" w:hAnsi="宋体" w:eastAsia="宋体" w:cs="宋体"/>
          <w:color w:val="auto"/>
          <w:kern w:val="0"/>
          <w:sz w:val="24"/>
          <w:lang w:val="zh-CN"/>
        </w:rPr>
        <w:t xml:space="preserve">                                                   日期：  年  月   日</w:t>
      </w:r>
    </w:p>
    <w:p w14:paraId="7B1BE65F">
      <w:pPr>
        <w:autoSpaceDE w:val="0"/>
        <w:autoSpaceDN w:val="0"/>
        <w:spacing w:line="360" w:lineRule="auto"/>
        <w:ind w:firstLine="6144" w:firstLineChars="2550"/>
        <w:rPr>
          <w:rFonts w:hint="eastAsia" w:ascii="宋体" w:hAnsi="宋体" w:eastAsia="宋体" w:cs="宋体"/>
          <w:b/>
          <w:bCs/>
          <w:color w:val="auto"/>
          <w:sz w:val="24"/>
        </w:rPr>
      </w:pPr>
    </w:p>
    <w:p w14:paraId="1CF69F44">
      <w:pPr>
        <w:pStyle w:val="15"/>
        <w:jc w:val="center"/>
        <w:rPr>
          <w:rFonts w:hint="eastAsia" w:ascii="宋体" w:hAnsi="宋体" w:eastAsia="宋体" w:cs="宋体"/>
          <w:b/>
          <w:bCs w:val="0"/>
          <w:caps w:val="0"/>
          <w:smallCaps w:val="0"/>
          <w:color w:val="auto"/>
          <w:spacing w:val="0"/>
          <w:kern w:val="2"/>
          <w:sz w:val="30"/>
          <w:szCs w:val="30"/>
          <w:lang w:val="en-US" w:eastAsia="zh-CN"/>
        </w:rPr>
      </w:pPr>
      <w:r>
        <w:rPr>
          <w:rFonts w:hint="eastAsia" w:ascii="宋体" w:hAnsi="宋体" w:eastAsia="宋体" w:cs="宋体"/>
          <w:b/>
          <w:bCs/>
          <w:color w:val="auto"/>
          <w:sz w:val="30"/>
          <w:szCs w:val="30"/>
          <w:lang w:val="en-US" w:eastAsia="zh-CN"/>
        </w:rPr>
        <w:br w:type="page"/>
      </w:r>
    </w:p>
    <w:p w14:paraId="0E4007E3">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宋体" w:hAnsi="宋体" w:eastAsia="宋体" w:cs="宋体"/>
          <w:b/>
          <w:bCs/>
          <w:color w:val="auto"/>
          <w:sz w:val="30"/>
          <w:szCs w:val="30"/>
        </w:rPr>
      </w:pPr>
      <w:r>
        <w:rPr>
          <w:rFonts w:hint="eastAsia" w:ascii="宋体" w:hAnsi="宋体" w:cs="宋体"/>
          <w:b/>
          <w:bCs/>
          <w:color w:val="auto"/>
          <w:sz w:val="30"/>
          <w:szCs w:val="30"/>
          <w:lang w:val="en-US" w:eastAsia="zh-CN"/>
        </w:rPr>
        <w:t>技术</w:t>
      </w:r>
      <w:r>
        <w:rPr>
          <w:rFonts w:hint="eastAsia" w:ascii="宋体" w:hAnsi="宋体" w:eastAsia="宋体" w:cs="宋体"/>
          <w:b/>
          <w:bCs/>
          <w:color w:val="auto"/>
          <w:sz w:val="30"/>
          <w:szCs w:val="30"/>
        </w:rPr>
        <w:t>需求偏离表</w:t>
      </w:r>
    </w:p>
    <w:p w14:paraId="735C3589">
      <w:pPr>
        <w:spacing w:line="360" w:lineRule="auto"/>
        <w:contextualSpacing/>
        <w:rPr>
          <w:rFonts w:hint="eastAsia" w:ascii="宋体" w:hAnsi="宋体" w:eastAsia="宋体" w:cs="宋体"/>
          <w:color w:val="auto"/>
          <w:kern w:val="0"/>
          <w:sz w:val="24"/>
        </w:rPr>
      </w:pPr>
    </w:p>
    <w:tbl>
      <w:tblPr>
        <w:tblStyle w:val="16"/>
        <w:tblW w:w="93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7"/>
        <w:gridCol w:w="900"/>
        <w:gridCol w:w="2989"/>
        <w:gridCol w:w="2690"/>
        <w:gridCol w:w="1467"/>
      </w:tblGrid>
      <w:tr w14:paraId="3CA057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tcBorders>
              <w:top w:val="single" w:color="auto" w:sz="4" w:space="0"/>
            </w:tcBorders>
            <w:vAlign w:val="center"/>
          </w:tcPr>
          <w:p w14:paraId="5ED4FBED">
            <w:pPr>
              <w:pStyle w:val="8"/>
              <w:spacing w:line="360" w:lineRule="auto"/>
              <w:ind w:firstLine="0" w:firstLineChars="0"/>
              <w:contextualSpacing/>
              <w:jc w:val="center"/>
              <w:rPr>
                <w:rFonts w:ascii="宋体" w:hAnsi="宋体" w:eastAsia="宋体" w:cs="宋体"/>
                <w:color w:val="auto"/>
                <w:kern w:val="2"/>
                <w:sz w:val="24"/>
                <w:szCs w:val="24"/>
              </w:rPr>
            </w:pPr>
            <w:bookmarkStart w:id="58" w:name="_Toc173066401"/>
            <w:bookmarkStart w:id="59" w:name="_Toc373333689"/>
            <w:bookmarkStart w:id="60" w:name="_Toc383699906"/>
            <w:bookmarkStart w:id="61" w:name="_Toc295404981"/>
            <w:bookmarkStart w:id="62" w:name="_Toc301781611"/>
            <w:bookmarkStart w:id="63" w:name="_Toc254970588"/>
            <w:bookmarkStart w:id="64" w:name="_Toc173211900"/>
            <w:bookmarkStart w:id="65" w:name="_Toc254970729"/>
            <w:bookmarkStart w:id="66" w:name="_Toc297193185"/>
            <w:r>
              <w:rPr>
                <w:rFonts w:hint="eastAsia" w:ascii="宋体" w:hAnsi="宋体" w:eastAsia="宋体" w:cs="宋体"/>
                <w:color w:val="auto"/>
                <w:kern w:val="2"/>
                <w:sz w:val="24"/>
                <w:szCs w:val="24"/>
              </w:rPr>
              <w:t>序号</w:t>
            </w:r>
            <w:bookmarkEnd w:id="58"/>
            <w:bookmarkEnd w:id="59"/>
            <w:bookmarkEnd w:id="60"/>
            <w:bookmarkEnd w:id="61"/>
            <w:bookmarkEnd w:id="62"/>
            <w:bookmarkEnd w:id="63"/>
            <w:bookmarkEnd w:id="64"/>
            <w:bookmarkEnd w:id="65"/>
            <w:bookmarkEnd w:id="66"/>
          </w:p>
        </w:tc>
        <w:tc>
          <w:tcPr>
            <w:tcW w:w="900" w:type="dxa"/>
            <w:tcBorders>
              <w:top w:val="single" w:color="auto" w:sz="4" w:space="0"/>
              <w:right w:val="single" w:color="auto" w:sz="4" w:space="0"/>
            </w:tcBorders>
            <w:vAlign w:val="center"/>
          </w:tcPr>
          <w:p w14:paraId="7267D135">
            <w:pPr>
              <w:pStyle w:val="8"/>
              <w:spacing w:line="360" w:lineRule="auto"/>
              <w:ind w:firstLine="0" w:firstLineChars="0"/>
              <w:contextualSpacing/>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w:t>
            </w:r>
          </w:p>
        </w:tc>
        <w:tc>
          <w:tcPr>
            <w:tcW w:w="2989" w:type="dxa"/>
            <w:tcBorders>
              <w:top w:val="single" w:color="auto" w:sz="4" w:space="0"/>
              <w:left w:val="single" w:color="auto" w:sz="4" w:space="0"/>
            </w:tcBorders>
            <w:vAlign w:val="center"/>
          </w:tcPr>
          <w:p w14:paraId="535676E1">
            <w:pPr>
              <w:pStyle w:val="8"/>
              <w:spacing w:line="360" w:lineRule="auto"/>
              <w:ind w:firstLine="0" w:firstLineChars="0"/>
              <w:contextualSpacing/>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磋商文件</w:t>
            </w:r>
            <w:r>
              <w:rPr>
                <w:rFonts w:hint="eastAsia" w:ascii="宋体" w:hAnsi="宋体" w:eastAsia="宋体" w:cs="宋体"/>
                <w:color w:val="auto"/>
                <w:kern w:val="2"/>
                <w:sz w:val="24"/>
                <w:szCs w:val="24"/>
                <w:lang w:val="en-US" w:eastAsia="zh-CN"/>
              </w:rPr>
              <w:t>技术要求</w:t>
            </w:r>
          </w:p>
        </w:tc>
        <w:tc>
          <w:tcPr>
            <w:tcW w:w="2690" w:type="dxa"/>
            <w:tcBorders>
              <w:top w:val="single" w:color="auto" w:sz="4" w:space="0"/>
            </w:tcBorders>
            <w:vAlign w:val="center"/>
          </w:tcPr>
          <w:p w14:paraId="7293F756">
            <w:pPr>
              <w:pStyle w:val="8"/>
              <w:spacing w:line="360" w:lineRule="auto"/>
              <w:ind w:firstLine="0" w:firstLineChars="0"/>
              <w:contextualSpacing/>
              <w:jc w:val="center"/>
              <w:rPr>
                <w:rFonts w:ascii="宋体" w:hAnsi="宋体" w:eastAsia="宋体" w:cs="宋体"/>
                <w:color w:val="auto"/>
                <w:kern w:val="2"/>
                <w:sz w:val="24"/>
                <w:szCs w:val="24"/>
              </w:rPr>
            </w:pPr>
            <w:bookmarkStart w:id="67" w:name="_Toc301781613"/>
            <w:bookmarkStart w:id="68" w:name="_Toc254970731"/>
            <w:bookmarkStart w:id="69" w:name="_Toc373333691"/>
            <w:bookmarkStart w:id="70" w:name="_Toc383699908"/>
            <w:bookmarkStart w:id="71" w:name="_Toc173211902"/>
            <w:bookmarkStart w:id="72" w:name="_Toc295404983"/>
            <w:bookmarkStart w:id="73" w:name="_Toc254970590"/>
            <w:bookmarkStart w:id="74" w:name="_Toc173066403"/>
            <w:bookmarkStart w:id="75" w:name="_Toc297193187"/>
            <w:r>
              <w:rPr>
                <w:rFonts w:hint="eastAsia" w:ascii="宋体" w:hAnsi="宋体" w:eastAsia="宋体" w:cs="宋体"/>
                <w:color w:val="auto"/>
                <w:kern w:val="2"/>
                <w:sz w:val="24"/>
                <w:szCs w:val="24"/>
              </w:rPr>
              <w:t>竞标响应</w:t>
            </w:r>
            <w:bookmarkEnd w:id="67"/>
            <w:bookmarkEnd w:id="68"/>
            <w:bookmarkEnd w:id="69"/>
            <w:bookmarkEnd w:id="70"/>
            <w:bookmarkEnd w:id="71"/>
            <w:bookmarkEnd w:id="72"/>
            <w:bookmarkEnd w:id="73"/>
            <w:bookmarkEnd w:id="74"/>
            <w:bookmarkEnd w:id="75"/>
          </w:p>
        </w:tc>
        <w:tc>
          <w:tcPr>
            <w:tcW w:w="1467" w:type="dxa"/>
            <w:tcBorders>
              <w:top w:val="single" w:color="auto" w:sz="4" w:space="0"/>
            </w:tcBorders>
            <w:vAlign w:val="center"/>
          </w:tcPr>
          <w:p w14:paraId="11DCFE64">
            <w:pPr>
              <w:pStyle w:val="8"/>
              <w:spacing w:line="360" w:lineRule="auto"/>
              <w:ind w:firstLine="0" w:firstLineChars="0"/>
              <w:contextualSpacing/>
              <w:jc w:val="center"/>
              <w:rPr>
                <w:rFonts w:ascii="宋体" w:hAnsi="宋体" w:eastAsia="宋体" w:cs="宋体"/>
                <w:color w:val="auto"/>
                <w:kern w:val="2"/>
                <w:sz w:val="24"/>
                <w:szCs w:val="24"/>
              </w:rPr>
            </w:pPr>
            <w:bookmarkStart w:id="76" w:name="_Toc173066404"/>
            <w:bookmarkStart w:id="77" w:name="_Toc297193188"/>
            <w:bookmarkStart w:id="78" w:name="_Toc254970732"/>
            <w:bookmarkStart w:id="79" w:name="_Toc383699909"/>
            <w:bookmarkStart w:id="80" w:name="_Toc295404984"/>
            <w:bookmarkStart w:id="81" w:name="_Toc373333692"/>
            <w:bookmarkStart w:id="82" w:name="_Toc173211903"/>
            <w:bookmarkStart w:id="83" w:name="_Toc254970591"/>
            <w:bookmarkStart w:id="84" w:name="_Toc301781614"/>
            <w:r>
              <w:rPr>
                <w:rFonts w:hint="eastAsia" w:ascii="宋体" w:hAnsi="宋体" w:eastAsia="宋体" w:cs="宋体"/>
                <w:color w:val="auto"/>
                <w:kern w:val="2"/>
                <w:sz w:val="24"/>
                <w:szCs w:val="24"/>
              </w:rPr>
              <w:t>偏离</w:t>
            </w:r>
            <w:bookmarkEnd w:id="76"/>
            <w:bookmarkEnd w:id="77"/>
            <w:bookmarkEnd w:id="78"/>
            <w:bookmarkEnd w:id="79"/>
            <w:bookmarkEnd w:id="80"/>
            <w:bookmarkEnd w:id="81"/>
            <w:bookmarkEnd w:id="82"/>
            <w:bookmarkEnd w:id="83"/>
            <w:bookmarkEnd w:id="84"/>
            <w:bookmarkStart w:id="85" w:name="_Toc383699910"/>
            <w:bookmarkStart w:id="86" w:name="_Toc254970592"/>
            <w:bookmarkStart w:id="87" w:name="_Toc173066405"/>
            <w:bookmarkStart w:id="88" w:name="_Toc373333693"/>
            <w:bookmarkStart w:id="89" w:name="_Toc173211904"/>
            <w:bookmarkStart w:id="90" w:name="_Toc301781615"/>
            <w:bookmarkStart w:id="91" w:name="_Toc295404985"/>
            <w:bookmarkStart w:id="92" w:name="_Toc297193189"/>
            <w:bookmarkStart w:id="93" w:name="_Toc254970733"/>
            <w:r>
              <w:rPr>
                <w:rFonts w:hint="eastAsia" w:ascii="宋体" w:hAnsi="宋体" w:eastAsia="宋体" w:cs="宋体"/>
                <w:color w:val="auto"/>
                <w:kern w:val="2"/>
                <w:sz w:val="24"/>
                <w:szCs w:val="24"/>
              </w:rPr>
              <w:t>说明</w:t>
            </w:r>
            <w:bookmarkEnd w:id="85"/>
            <w:bookmarkEnd w:id="86"/>
            <w:bookmarkEnd w:id="87"/>
            <w:bookmarkEnd w:id="88"/>
            <w:bookmarkEnd w:id="89"/>
            <w:bookmarkEnd w:id="90"/>
            <w:bookmarkEnd w:id="91"/>
            <w:bookmarkEnd w:id="92"/>
            <w:bookmarkEnd w:id="93"/>
          </w:p>
        </w:tc>
      </w:tr>
      <w:tr w14:paraId="6B65BA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2F8EEE14">
            <w:pPr>
              <w:pStyle w:val="8"/>
              <w:spacing w:line="360" w:lineRule="auto"/>
              <w:ind w:firstLine="0" w:firstLineChars="0"/>
              <w:contextualSpacing/>
              <w:jc w:val="left"/>
              <w:rPr>
                <w:rFonts w:ascii="宋体" w:hAnsi="宋体" w:eastAsia="宋体" w:cs="宋体"/>
                <w:color w:val="auto"/>
                <w:kern w:val="2"/>
                <w:sz w:val="24"/>
                <w:szCs w:val="24"/>
                <w:lang w:val="en-US" w:eastAsia="zh-CN"/>
              </w:rPr>
            </w:pPr>
          </w:p>
        </w:tc>
        <w:tc>
          <w:tcPr>
            <w:tcW w:w="900" w:type="dxa"/>
            <w:tcBorders>
              <w:right w:val="single" w:color="auto" w:sz="4" w:space="0"/>
            </w:tcBorders>
            <w:vAlign w:val="center"/>
          </w:tcPr>
          <w:p w14:paraId="6FF9A7BF">
            <w:pPr>
              <w:pStyle w:val="8"/>
              <w:spacing w:line="360" w:lineRule="auto"/>
              <w:ind w:firstLine="0" w:firstLineChars="0"/>
              <w:contextualSpacing/>
              <w:jc w:val="center"/>
              <w:rPr>
                <w:rFonts w:ascii="宋体" w:hAnsi="宋体" w:eastAsia="宋体" w:cs="宋体"/>
                <w:color w:val="auto"/>
                <w:kern w:val="2"/>
                <w:sz w:val="24"/>
                <w:szCs w:val="24"/>
              </w:rPr>
            </w:pPr>
          </w:p>
        </w:tc>
        <w:tc>
          <w:tcPr>
            <w:tcW w:w="2989" w:type="dxa"/>
            <w:tcBorders>
              <w:left w:val="single" w:color="auto" w:sz="4" w:space="0"/>
            </w:tcBorders>
            <w:vAlign w:val="center"/>
          </w:tcPr>
          <w:p w14:paraId="3DABA26F">
            <w:pPr>
              <w:pStyle w:val="8"/>
              <w:spacing w:line="360" w:lineRule="auto"/>
              <w:ind w:firstLine="0" w:firstLineChars="0"/>
              <w:contextualSpacing/>
              <w:jc w:val="center"/>
              <w:rPr>
                <w:rFonts w:ascii="宋体" w:hAnsi="宋体" w:eastAsia="宋体" w:cs="宋体"/>
                <w:color w:val="auto"/>
                <w:kern w:val="2"/>
                <w:sz w:val="24"/>
                <w:szCs w:val="24"/>
              </w:rPr>
            </w:pPr>
          </w:p>
        </w:tc>
        <w:tc>
          <w:tcPr>
            <w:tcW w:w="2690" w:type="dxa"/>
            <w:tcBorders>
              <w:left w:val="single" w:color="auto" w:sz="6" w:space="0"/>
            </w:tcBorders>
            <w:vAlign w:val="center"/>
          </w:tcPr>
          <w:p w14:paraId="09FE2500">
            <w:pPr>
              <w:pStyle w:val="8"/>
              <w:spacing w:line="360" w:lineRule="auto"/>
              <w:ind w:firstLine="0" w:firstLineChars="0"/>
              <w:contextualSpacing/>
              <w:jc w:val="center"/>
              <w:rPr>
                <w:rFonts w:ascii="宋体" w:hAnsi="宋体" w:eastAsia="宋体" w:cs="宋体"/>
                <w:color w:val="auto"/>
                <w:kern w:val="2"/>
                <w:sz w:val="24"/>
                <w:szCs w:val="24"/>
              </w:rPr>
            </w:pPr>
          </w:p>
        </w:tc>
        <w:tc>
          <w:tcPr>
            <w:tcW w:w="1467" w:type="dxa"/>
            <w:tcBorders>
              <w:left w:val="single" w:color="auto" w:sz="6" w:space="0"/>
            </w:tcBorders>
            <w:vAlign w:val="center"/>
          </w:tcPr>
          <w:p w14:paraId="64418EDA">
            <w:pPr>
              <w:pStyle w:val="8"/>
              <w:spacing w:line="360" w:lineRule="auto"/>
              <w:ind w:firstLine="0" w:firstLineChars="0"/>
              <w:contextualSpacing/>
              <w:jc w:val="center"/>
              <w:rPr>
                <w:rFonts w:ascii="宋体" w:hAnsi="宋体" w:eastAsia="宋体" w:cs="宋体"/>
                <w:color w:val="auto"/>
                <w:kern w:val="2"/>
                <w:sz w:val="24"/>
                <w:szCs w:val="24"/>
              </w:rPr>
            </w:pPr>
          </w:p>
        </w:tc>
      </w:tr>
      <w:tr w14:paraId="33662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24B46DCE">
            <w:pPr>
              <w:pStyle w:val="8"/>
              <w:spacing w:line="360" w:lineRule="auto"/>
              <w:ind w:firstLine="0" w:firstLineChars="0"/>
              <w:contextualSpacing/>
              <w:jc w:val="left"/>
              <w:rPr>
                <w:rFonts w:hint="eastAsia" w:ascii="宋体" w:hAnsi="宋体" w:eastAsia="宋体" w:cs="宋体"/>
                <w:color w:val="auto"/>
                <w:kern w:val="2"/>
                <w:sz w:val="24"/>
                <w:szCs w:val="24"/>
                <w:lang w:val="en-US" w:eastAsia="zh-CN"/>
              </w:rPr>
            </w:pPr>
          </w:p>
        </w:tc>
        <w:tc>
          <w:tcPr>
            <w:tcW w:w="900" w:type="dxa"/>
            <w:tcBorders>
              <w:right w:val="single" w:color="auto" w:sz="4" w:space="0"/>
            </w:tcBorders>
            <w:vAlign w:val="center"/>
          </w:tcPr>
          <w:p w14:paraId="2731705D">
            <w:pPr>
              <w:pStyle w:val="8"/>
              <w:spacing w:line="360" w:lineRule="auto"/>
              <w:ind w:firstLine="0" w:firstLineChars="0"/>
              <w:contextualSpacing/>
              <w:jc w:val="center"/>
              <w:rPr>
                <w:rFonts w:ascii="宋体" w:hAnsi="宋体" w:eastAsia="宋体" w:cs="宋体"/>
                <w:color w:val="auto"/>
                <w:kern w:val="2"/>
                <w:sz w:val="24"/>
                <w:szCs w:val="24"/>
              </w:rPr>
            </w:pPr>
          </w:p>
        </w:tc>
        <w:tc>
          <w:tcPr>
            <w:tcW w:w="2989" w:type="dxa"/>
            <w:tcBorders>
              <w:left w:val="single" w:color="auto" w:sz="4" w:space="0"/>
            </w:tcBorders>
            <w:vAlign w:val="center"/>
          </w:tcPr>
          <w:p w14:paraId="2285CC33">
            <w:pPr>
              <w:pStyle w:val="8"/>
              <w:spacing w:line="360" w:lineRule="auto"/>
              <w:ind w:firstLine="0" w:firstLineChars="0"/>
              <w:contextualSpacing/>
              <w:jc w:val="center"/>
              <w:rPr>
                <w:rFonts w:ascii="宋体" w:hAnsi="宋体" w:eastAsia="宋体" w:cs="宋体"/>
                <w:color w:val="auto"/>
                <w:kern w:val="2"/>
                <w:sz w:val="24"/>
                <w:szCs w:val="24"/>
              </w:rPr>
            </w:pPr>
          </w:p>
        </w:tc>
        <w:tc>
          <w:tcPr>
            <w:tcW w:w="2690" w:type="dxa"/>
            <w:tcBorders>
              <w:left w:val="single" w:color="auto" w:sz="6" w:space="0"/>
            </w:tcBorders>
            <w:vAlign w:val="center"/>
          </w:tcPr>
          <w:p w14:paraId="47EECE91">
            <w:pPr>
              <w:pStyle w:val="8"/>
              <w:spacing w:line="360" w:lineRule="auto"/>
              <w:ind w:firstLine="0" w:firstLineChars="0"/>
              <w:contextualSpacing/>
              <w:jc w:val="center"/>
              <w:rPr>
                <w:rFonts w:ascii="宋体" w:hAnsi="宋体" w:eastAsia="宋体" w:cs="宋体"/>
                <w:color w:val="auto"/>
                <w:kern w:val="2"/>
                <w:sz w:val="24"/>
                <w:szCs w:val="24"/>
              </w:rPr>
            </w:pPr>
          </w:p>
        </w:tc>
        <w:tc>
          <w:tcPr>
            <w:tcW w:w="1467" w:type="dxa"/>
            <w:tcBorders>
              <w:left w:val="single" w:color="auto" w:sz="6" w:space="0"/>
            </w:tcBorders>
            <w:vAlign w:val="center"/>
          </w:tcPr>
          <w:p w14:paraId="2A4486E4">
            <w:pPr>
              <w:pStyle w:val="8"/>
              <w:spacing w:line="360" w:lineRule="auto"/>
              <w:ind w:firstLine="0" w:firstLineChars="0"/>
              <w:contextualSpacing/>
              <w:jc w:val="center"/>
              <w:rPr>
                <w:rFonts w:ascii="宋体" w:hAnsi="宋体" w:eastAsia="宋体" w:cs="宋体"/>
                <w:color w:val="auto"/>
                <w:kern w:val="2"/>
                <w:sz w:val="24"/>
                <w:szCs w:val="24"/>
              </w:rPr>
            </w:pPr>
          </w:p>
        </w:tc>
      </w:tr>
      <w:tr w14:paraId="18EC2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267" w:type="dxa"/>
            <w:vAlign w:val="center"/>
          </w:tcPr>
          <w:p w14:paraId="09C4240B">
            <w:pPr>
              <w:pStyle w:val="8"/>
              <w:spacing w:line="360" w:lineRule="auto"/>
              <w:ind w:firstLine="0" w:firstLineChars="0"/>
              <w:contextualSpacing/>
              <w:jc w:val="left"/>
              <w:rPr>
                <w:rFonts w:hint="eastAsia" w:ascii="宋体" w:hAnsi="宋体" w:eastAsia="仿宋" w:cs="宋体"/>
                <w:color w:val="auto"/>
                <w:kern w:val="2"/>
                <w:sz w:val="24"/>
                <w:szCs w:val="24"/>
                <w:lang w:val="en-US" w:eastAsia="zh-CN"/>
              </w:rPr>
            </w:pPr>
            <w:r>
              <w:rPr>
                <w:rFonts w:hint="eastAsia" w:ascii="宋体" w:hAnsi="宋体" w:eastAsia="仿宋" w:cs="宋体"/>
                <w:color w:val="auto"/>
                <w:kern w:val="2"/>
                <w:sz w:val="24"/>
                <w:szCs w:val="24"/>
                <w:lang w:val="en-US" w:eastAsia="zh-CN"/>
              </w:rPr>
              <w:t>……</w:t>
            </w:r>
          </w:p>
        </w:tc>
        <w:tc>
          <w:tcPr>
            <w:tcW w:w="900" w:type="dxa"/>
            <w:tcBorders>
              <w:right w:val="single" w:color="auto" w:sz="4" w:space="0"/>
            </w:tcBorders>
            <w:vAlign w:val="center"/>
          </w:tcPr>
          <w:p w14:paraId="297B3B56">
            <w:pPr>
              <w:pStyle w:val="8"/>
              <w:spacing w:line="360" w:lineRule="auto"/>
              <w:ind w:firstLine="0" w:firstLineChars="0"/>
              <w:contextualSpacing/>
              <w:jc w:val="center"/>
              <w:rPr>
                <w:rFonts w:ascii="宋体" w:hAnsi="宋体" w:eastAsia="宋体" w:cs="宋体"/>
                <w:color w:val="auto"/>
                <w:kern w:val="2"/>
                <w:sz w:val="24"/>
                <w:szCs w:val="24"/>
              </w:rPr>
            </w:pPr>
          </w:p>
        </w:tc>
        <w:tc>
          <w:tcPr>
            <w:tcW w:w="2989" w:type="dxa"/>
            <w:tcBorders>
              <w:left w:val="single" w:color="auto" w:sz="4" w:space="0"/>
            </w:tcBorders>
            <w:vAlign w:val="center"/>
          </w:tcPr>
          <w:p w14:paraId="604D4ED4">
            <w:pPr>
              <w:pStyle w:val="8"/>
              <w:spacing w:line="360" w:lineRule="auto"/>
              <w:ind w:firstLine="0" w:firstLineChars="0"/>
              <w:contextualSpacing/>
              <w:jc w:val="center"/>
              <w:rPr>
                <w:rFonts w:ascii="宋体" w:hAnsi="宋体" w:eastAsia="宋体" w:cs="宋体"/>
                <w:color w:val="auto"/>
                <w:kern w:val="2"/>
                <w:sz w:val="24"/>
                <w:szCs w:val="24"/>
              </w:rPr>
            </w:pPr>
          </w:p>
        </w:tc>
        <w:tc>
          <w:tcPr>
            <w:tcW w:w="2690" w:type="dxa"/>
            <w:tcBorders>
              <w:left w:val="single" w:color="auto" w:sz="6" w:space="0"/>
            </w:tcBorders>
            <w:vAlign w:val="center"/>
          </w:tcPr>
          <w:p w14:paraId="4A9E3886">
            <w:pPr>
              <w:pStyle w:val="8"/>
              <w:spacing w:line="360" w:lineRule="auto"/>
              <w:ind w:firstLine="0" w:firstLineChars="0"/>
              <w:contextualSpacing/>
              <w:jc w:val="center"/>
              <w:rPr>
                <w:rFonts w:ascii="宋体" w:hAnsi="宋体" w:eastAsia="宋体" w:cs="宋体"/>
                <w:color w:val="auto"/>
                <w:kern w:val="2"/>
                <w:sz w:val="24"/>
                <w:szCs w:val="24"/>
              </w:rPr>
            </w:pPr>
          </w:p>
        </w:tc>
        <w:tc>
          <w:tcPr>
            <w:tcW w:w="1467" w:type="dxa"/>
            <w:tcBorders>
              <w:left w:val="single" w:color="auto" w:sz="6" w:space="0"/>
            </w:tcBorders>
            <w:vAlign w:val="center"/>
          </w:tcPr>
          <w:p w14:paraId="484C8E6A">
            <w:pPr>
              <w:pStyle w:val="8"/>
              <w:spacing w:line="360" w:lineRule="auto"/>
              <w:ind w:firstLine="0" w:firstLineChars="0"/>
              <w:contextualSpacing/>
              <w:jc w:val="center"/>
              <w:rPr>
                <w:rFonts w:ascii="宋体" w:hAnsi="宋体" w:eastAsia="宋体" w:cs="宋体"/>
                <w:color w:val="auto"/>
                <w:kern w:val="2"/>
                <w:sz w:val="24"/>
                <w:szCs w:val="24"/>
              </w:rPr>
            </w:pPr>
          </w:p>
        </w:tc>
      </w:tr>
    </w:tbl>
    <w:p w14:paraId="1195D7E9">
      <w:pPr>
        <w:spacing w:line="360" w:lineRule="auto"/>
        <w:contextualSpacing/>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FE95525">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1.说明：应对照磋商文件“第二章”中</w:t>
      </w:r>
      <w:r>
        <w:rPr>
          <w:rFonts w:hint="eastAsia" w:ascii="宋体" w:hAnsi="宋体" w:cs="宋体"/>
          <w:color w:val="auto"/>
          <w:kern w:val="0"/>
          <w:szCs w:val="21"/>
          <w:lang w:val="en-US" w:eastAsia="zh-CN"/>
        </w:rPr>
        <w:t>的</w:t>
      </w:r>
      <w:r>
        <w:rPr>
          <w:rFonts w:hint="eastAsia" w:ascii="宋体" w:hAnsi="宋体" w:cs="宋体"/>
          <w:color w:val="auto"/>
          <w:kern w:val="0"/>
          <w:szCs w:val="21"/>
          <w:lang w:eastAsia="zh-CN"/>
        </w:rPr>
        <w:t>“</w:t>
      </w:r>
      <w:r>
        <w:rPr>
          <w:rFonts w:hint="eastAsia" w:ascii="宋体" w:hAnsi="宋体" w:cs="宋体"/>
          <w:b/>
          <w:bCs/>
          <w:color w:val="auto"/>
          <w:kern w:val="0"/>
          <w:szCs w:val="21"/>
          <w:lang w:eastAsia="zh-CN"/>
        </w:rPr>
        <w:t>▲一、采购项目需求一览表</w:t>
      </w:r>
      <w:r>
        <w:rPr>
          <w:rFonts w:hint="eastAsia" w:ascii="宋体" w:hAnsi="宋体" w:cs="宋体"/>
          <w:color w:val="auto"/>
          <w:kern w:val="0"/>
          <w:szCs w:val="21"/>
          <w:lang w:eastAsia="zh-CN"/>
        </w:rPr>
        <w:t>”</w:t>
      </w:r>
      <w:r>
        <w:rPr>
          <w:rFonts w:hint="eastAsia" w:ascii="宋体" w:hAnsi="宋体" w:eastAsia="宋体" w:cs="宋体"/>
          <w:color w:val="auto"/>
          <w:kern w:val="0"/>
          <w:szCs w:val="21"/>
        </w:rPr>
        <w:t>条款逐条作出明确响应，并作出偏离说明。</w:t>
      </w:r>
    </w:p>
    <w:p w14:paraId="69E60E0F">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64B0172">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3.表格内容均需按要求填写并盖章，不得留空，否则按竞标无效处理。</w:t>
      </w:r>
    </w:p>
    <w:p w14:paraId="5E0C1DFA">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4.如技术偏离表中的竞标响应与佐证材料不一致的，以佐证材料为准。</w:t>
      </w:r>
    </w:p>
    <w:p w14:paraId="73AE6283">
      <w:pPr>
        <w:snapToGrid w:val="0"/>
        <w:spacing w:line="360" w:lineRule="auto"/>
        <w:ind w:firstLine="602" w:firstLineChars="200"/>
        <w:rPr>
          <w:rFonts w:hint="eastAsia" w:ascii="宋体" w:hAnsi="宋体" w:eastAsia="宋体" w:cs="宋体"/>
          <w:b/>
          <w:color w:val="auto"/>
          <w:sz w:val="30"/>
          <w:szCs w:val="30"/>
        </w:rPr>
      </w:pPr>
    </w:p>
    <w:p w14:paraId="16FD328E">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4CD735E">
      <w:pPr>
        <w:autoSpaceDE w:val="0"/>
        <w:autoSpaceDN w:val="0"/>
        <w:spacing w:line="360" w:lineRule="auto"/>
        <w:ind w:firstLine="6480" w:firstLineChars="2700"/>
        <w:rPr>
          <w:rFonts w:hint="eastAsia" w:ascii="宋体" w:hAnsi="宋体" w:eastAsia="宋体" w:cs="宋体"/>
          <w:color w:val="auto"/>
          <w:sz w:val="24"/>
        </w:rPr>
      </w:pPr>
      <w:r>
        <w:rPr>
          <w:rFonts w:hint="eastAsia" w:ascii="宋体" w:hAnsi="宋体" w:eastAsia="宋体" w:cs="宋体"/>
          <w:color w:val="auto"/>
          <w:kern w:val="0"/>
          <w:sz w:val="24"/>
          <w:lang w:val="zh-CN"/>
        </w:rPr>
        <w:t>日期：  年  月   日</w:t>
      </w:r>
    </w:p>
    <w:p w14:paraId="0E657860">
      <w:pPr>
        <w:autoSpaceDE w:val="0"/>
        <w:autoSpaceDN w:val="0"/>
        <w:spacing w:line="360" w:lineRule="auto"/>
        <w:ind w:firstLine="6480" w:firstLineChars="2700"/>
        <w:rPr>
          <w:rFonts w:hint="eastAsia" w:ascii="宋体" w:hAnsi="宋体" w:eastAsia="宋体" w:cs="宋体"/>
          <w:color w:val="auto"/>
          <w:sz w:val="24"/>
        </w:rPr>
      </w:pPr>
    </w:p>
    <w:p w14:paraId="36BAC3F5">
      <w:pPr>
        <w:autoSpaceDE w:val="0"/>
        <w:autoSpaceDN w:val="0"/>
        <w:spacing w:line="360" w:lineRule="auto"/>
        <w:ind w:firstLine="6480" w:firstLineChars="2700"/>
        <w:rPr>
          <w:rFonts w:hint="eastAsia" w:ascii="宋体" w:hAnsi="宋体" w:eastAsia="宋体" w:cs="宋体"/>
          <w:color w:val="auto"/>
          <w:sz w:val="24"/>
        </w:rPr>
      </w:pPr>
    </w:p>
    <w:p w14:paraId="69CA9E87">
      <w:pPr>
        <w:autoSpaceDE w:val="0"/>
        <w:autoSpaceDN w:val="0"/>
        <w:spacing w:line="360" w:lineRule="auto"/>
        <w:ind w:firstLine="6480" w:firstLineChars="2700"/>
        <w:rPr>
          <w:rFonts w:hint="eastAsia" w:ascii="宋体" w:hAnsi="宋体" w:eastAsia="宋体" w:cs="宋体"/>
          <w:color w:val="auto"/>
          <w:sz w:val="24"/>
        </w:rPr>
      </w:pPr>
    </w:p>
    <w:p w14:paraId="474E1D7F">
      <w:pPr>
        <w:autoSpaceDE w:val="0"/>
        <w:autoSpaceDN w:val="0"/>
        <w:spacing w:line="360" w:lineRule="auto"/>
        <w:ind w:firstLine="6480" w:firstLineChars="2700"/>
        <w:rPr>
          <w:rFonts w:hint="eastAsia" w:ascii="宋体" w:hAnsi="宋体" w:eastAsia="宋体" w:cs="宋体"/>
          <w:color w:val="auto"/>
          <w:sz w:val="24"/>
        </w:rPr>
      </w:pPr>
    </w:p>
    <w:p w14:paraId="6854B31F">
      <w:pPr>
        <w:autoSpaceDE w:val="0"/>
        <w:autoSpaceDN w:val="0"/>
        <w:spacing w:line="360" w:lineRule="auto"/>
        <w:ind w:firstLine="6480" w:firstLineChars="2700"/>
        <w:rPr>
          <w:rFonts w:hint="eastAsia" w:ascii="宋体" w:hAnsi="宋体" w:eastAsia="宋体" w:cs="宋体"/>
          <w:color w:val="auto"/>
          <w:sz w:val="24"/>
        </w:rPr>
      </w:pPr>
    </w:p>
    <w:p w14:paraId="392170FF">
      <w:pPr>
        <w:autoSpaceDE w:val="0"/>
        <w:autoSpaceDN w:val="0"/>
        <w:spacing w:line="360" w:lineRule="auto"/>
        <w:ind w:firstLine="6480" w:firstLineChars="2700"/>
        <w:rPr>
          <w:rFonts w:hint="eastAsia" w:ascii="宋体" w:hAnsi="宋体" w:eastAsia="宋体" w:cs="宋体"/>
          <w:color w:val="auto"/>
          <w:sz w:val="24"/>
          <w:lang w:val="zh-CN"/>
        </w:rPr>
      </w:pPr>
    </w:p>
    <w:p w14:paraId="090060BA">
      <w:pPr>
        <w:pStyle w:val="15"/>
        <w:jc w:val="both"/>
        <w:rPr>
          <w:rFonts w:hint="eastAsia" w:ascii="宋体" w:hAnsi="宋体" w:eastAsia="宋体" w:cs="宋体"/>
          <w:b/>
          <w:bCs w:val="0"/>
          <w:caps w:val="0"/>
          <w:smallCaps w:val="0"/>
          <w:color w:val="auto"/>
          <w:spacing w:val="0"/>
          <w:kern w:val="2"/>
          <w:sz w:val="30"/>
          <w:szCs w:val="30"/>
          <w:lang w:val="en-US" w:eastAsia="zh-CN"/>
        </w:rPr>
      </w:pPr>
      <w:r>
        <w:rPr>
          <w:rFonts w:hint="eastAsia" w:ascii="宋体" w:hAnsi="宋体" w:eastAsia="宋体" w:cs="宋体"/>
          <w:b/>
          <w:bCs/>
          <w:color w:val="auto"/>
          <w:sz w:val="24"/>
        </w:rPr>
        <w:br w:type="page"/>
      </w:r>
    </w:p>
    <w:p w14:paraId="023A67F4">
      <w:pPr>
        <w:rPr>
          <w:rFonts w:hint="eastAsia" w:ascii="宋体" w:hAnsi="宋体" w:eastAsia="宋体" w:cs="宋体"/>
          <w:b/>
          <w:bCs w:val="0"/>
          <w:caps w:val="0"/>
          <w:smallCaps w:val="0"/>
          <w:color w:val="auto"/>
          <w:spacing w:val="0"/>
          <w:kern w:val="2"/>
          <w:sz w:val="30"/>
          <w:szCs w:val="30"/>
          <w:lang w:val="en-US" w:eastAsia="zh-CN"/>
        </w:rPr>
      </w:pPr>
    </w:p>
    <w:p w14:paraId="2EA6AD77">
      <w:pPr>
        <w:keepNext w:val="0"/>
        <w:keepLines w:val="0"/>
        <w:pageBreakBefore w:val="0"/>
        <w:widowControl/>
        <w:kinsoku/>
        <w:wordWrap/>
        <w:overflowPunct/>
        <w:topLinePunct w:val="0"/>
        <w:autoSpaceDE/>
        <w:autoSpaceDN/>
        <w:bidi w:val="0"/>
        <w:adjustRightInd/>
        <w:snapToGrid/>
        <w:spacing w:before="0" w:after="0" w:line="240" w:lineRule="auto"/>
        <w:ind w:left="0" w:firstLine="0"/>
        <w:jc w:val="center"/>
        <w:textAlignment w:val="auto"/>
        <w:rPr>
          <w:rFonts w:hint="eastAsia" w:ascii="宋体" w:hAnsi="宋体" w:eastAsia="宋体" w:cs="宋体"/>
          <w:b/>
          <w:bCs/>
          <w:color w:val="auto"/>
          <w:kern w:val="2"/>
          <w:sz w:val="30"/>
          <w:szCs w:val="30"/>
        </w:rPr>
      </w:pPr>
      <w:r>
        <w:rPr>
          <w:rFonts w:hint="eastAsia" w:ascii="宋体" w:hAnsi="宋体" w:eastAsia="宋体" w:cs="宋体"/>
          <w:b/>
          <w:bCs/>
          <w:color w:val="auto"/>
          <w:kern w:val="2"/>
          <w:sz w:val="30"/>
          <w:szCs w:val="30"/>
        </w:rPr>
        <w:t>响应函</w:t>
      </w:r>
    </w:p>
    <w:p w14:paraId="4D87A5CF">
      <w:pPr>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（采购代理机构名称）</w:t>
      </w:r>
    </w:p>
    <w:p w14:paraId="55C73B95">
      <w:pPr>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我方已仔细阅读了贵方组织的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w:t>
      </w:r>
      <w:r>
        <w:rPr>
          <w:rFonts w:hint="eastAsia" w:ascii="宋体" w:hAnsi="宋体" w:cs="宋体"/>
          <w:color w:val="auto"/>
          <w:kern w:val="0"/>
          <w:sz w:val="24"/>
          <w:szCs w:val="24"/>
          <w:lang w:eastAsia="zh-CN"/>
        </w:rPr>
        <w:t>项目编号：</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 xml:space="preserve">）的竞争性磋商采购文件的全部内容，现正式递交下述文件参加贵方组织的本次政府采购活动： </w:t>
      </w:r>
    </w:p>
    <w:p w14:paraId="39D27E02">
      <w:pPr>
        <w:spacing w:line="440" w:lineRule="exact"/>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响应</w:t>
      </w:r>
      <w:r>
        <w:rPr>
          <w:rFonts w:hint="eastAsia" w:ascii="宋体" w:hAnsi="宋体" w:eastAsia="宋体" w:cs="宋体"/>
          <w:color w:val="auto"/>
          <w:kern w:val="0"/>
          <w:sz w:val="24"/>
          <w:szCs w:val="24"/>
        </w:rPr>
        <w:t>文件电子版</w:t>
      </w:r>
      <w:r>
        <w:rPr>
          <w:rFonts w:hint="eastAsia" w:ascii="宋体" w:hAnsi="宋体" w:eastAsia="宋体" w:cs="宋体"/>
          <w:color w:val="auto"/>
          <w:kern w:val="0"/>
          <w:sz w:val="24"/>
          <w:szCs w:val="24"/>
          <w:u w:val="none"/>
        </w:rPr>
        <w:t xml:space="preserve"> </w:t>
      </w:r>
      <w:r>
        <w:rPr>
          <w:rFonts w:hint="eastAsia" w:ascii="宋体" w:hAnsi="宋体" w:cs="宋体"/>
          <w:color w:val="auto"/>
          <w:kern w:val="0"/>
          <w:sz w:val="24"/>
          <w:szCs w:val="24"/>
          <w:u w:val="none"/>
          <w:lang w:val="en-US" w:eastAsia="zh-CN"/>
        </w:rPr>
        <w:t>壹</w:t>
      </w:r>
      <w:r>
        <w:rPr>
          <w:rFonts w:hint="eastAsia" w:ascii="宋体" w:hAnsi="宋体" w:eastAsia="宋体" w:cs="宋体"/>
          <w:color w:val="auto"/>
          <w:kern w:val="0"/>
          <w:sz w:val="24"/>
          <w:szCs w:val="24"/>
          <w:u w:val="none"/>
        </w:rPr>
        <w:t xml:space="preserve"> </w:t>
      </w:r>
      <w:r>
        <w:rPr>
          <w:rFonts w:hint="eastAsia" w:ascii="宋体" w:hAnsi="宋体" w:cs="宋体"/>
          <w:color w:val="auto"/>
          <w:kern w:val="0"/>
          <w:sz w:val="24"/>
          <w:szCs w:val="24"/>
          <w:lang w:val="en-US" w:eastAsia="zh-CN"/>
        </w:rPr>
        <w:t>套</w:t>
      </w:r>
      <w:r>
        <w:rPr>
          <w:rFonts w:hint="eastAsia" w:ascii="宋体" w:hAnsi="宋体" w:eastAsia="宋体" w:cs="宋体"/>
          <w:color w:val="auto"/>
          <w:kern w:val="0"/>
          <w:sz w:val="24"/>
          <w:szCs w:val="24"/>
        </w:rPr>
        <w:t>（包含按“第三章 供应商须知”提交的全部文件）；</w:t>
      </w:r>
    </w:p>
    <w:p w14:paraId="4BC1C2D7">
      <w:pPr>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w:t>
      </w:r>
    </w:p>
    <w:p w14:paraId="3C7C0FA4">
      <w:pPr>
        <w:pStyle w:val="9"/>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rPr>
        <w:t>我方愿意以报价文件电子版</w:t>
      </w:r>
      <w:r>
        <w:rPr>
          <w:rFonts w:hint="eastAsia" w:ascii="宋体" w:hAnsi="宋体" w:eastAsia="宋体" w:cs="宋体"/>
          <w:color w:val="auto"/>
          <w:sz w:val="24"/>
          <w:szCs w:val="24"/>
          <w:lang w:val="en-US" w:eastAsia="zh-CN"/>
        </w:rPr>
        <w:t>的响应报价表中</w:t>
      </w:r>
      <w:r>
        <w:rPr>
          <w:rFonts w:hint="eastAsia" w:ascii="宋体" w:hAnsi="宋体" w:eastAsia="宋体" w:cs="宋体"/>
          <w:color w:val="auto"/>
          <w:sz w:val="24"/>
          <w:szCs w:val="24"/>
        </w:rPr>
        <w:t>的报价，</w:t>
      </w:r>
      <w:r>
        <w:rPr>
          <w:rFonts w:hint="eastAsia" w:ascii="宋体" w:hAnsi="宋体" w:eastAsia="宋体" w:cs="宋体"/>
          <w:color w:val="auto"/>
          <w:sz w:val="24"/>
          <w:szCs w:val="24"/>
          <w:lang w:val="en-US" w:eastAsia="zh-CN"/>
        </w:rPr>
        <w:t>按照我方承诺的内容</w:t>
      </w:r>
      <w:r>
        <w:rPr>
          <w:rFonts w:hint="eastAsia" w:ascii="宋体" w:hAnsi="宋体" w:eastAsia="宋体" w:cs="宋体"/>
          <w:color w:val="auto"/>
          <w:sz w:val="24"/>
          <w:szCs w:val="24"/>
        </w:rPr>
        <w:t>提供本项目</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第二章“</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需求”中的相应的采购内容。</w:t>
      </w:r>
    </w:p>
    <w:p w14:paraId="2F41F949">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2、我方同意自本项目竞争性磋商采购文件采购公告规定的递交响应文件截止时间起遵循本响应函，并承诺在“第三章 供应商须知”规定的响应有效期内不修改、撤销响应文件。</w:t>
      </w:r>
    </w:p>
    <w:p w14:paraId="5F2459C5">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3、我方在此声明，所递交的响应文件及有关资料内容完整、真实和准确。</w:t>
      </w:r>
    </w:p>
    <w:p w14:paraId="7DB4051F">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4、如本项目采购内容涉及须符合国家强制规定的，我方承诺我方本次竞标均符合国家有关强制规定。</w:t>
      </w:r>
    </w:p>
    <w:p w14:paraId="70E3B32E">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5、我方承诺未被列入失信被执行人、</w:t>
      </w:r>
      <w:r>
        <w:rPr>
          <w:rFonts w:hint="eastAsia" w:ascii="宋体" w:hAnsi="宋体" w:eastAsia="宋体" w:cs="宋体"/>
          <w:color w:val="auto"/>
          <w:sz w:val="24"/>
          <w:szCs w:val="24"/>
        </w:rPr>
        <w:t>重大税收违法</w:t>
      </w:r>
      <w:r>
        <w:rPr>
          <w:rFonts w:hint="eastAsia" w:ascii="宋体" w:hAnsi="宋体" w:eastAsia="宋体" w:cs="宋体"/>
          <w:color w:val="auto"/>
          <w:sz w:val="24"/>
          <w:szCs w:val="24"/>
          <w:lang w:val="en-US" w:eastAsia="zh-CN"/>
        </w:rPr>
        <w:t>失信主体</w:t>
      </w:r>
      <w:r>
        <w:rPr>
          <w:rFonts w:hint="eastAsia" w:ascii="宋体" w:hAnsi="宋体" w:eastAsia="宋体" w:cs="宋体"/>
          <w:color w:val="auto"/>
          <w:kern w:val="0"/>
          <w:sz w:val="24"/>
          <w:szCs w:val="24"/>
        </w:rPr>
        <w:t>、政府采购严重违法失信行为记录名单，并已经具备《中华人民共和国政府采购法》中规定的参加政府采购活动的供应商应当具备的条件：</w:t>
      </w:r>
    </w:p>
    <w:p w14:paraId="7182E9FE">
      <w:pPr>
        <w:numPr>
          <w:ilvl w:val="0"/>
          <w:numId w:val="2"/>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具有独立承担民事责任的能力；</w:t>
      </w:r>
    </w:p>
    <w:p w14:paraId="7624C8ED">
      <w:pPr>
        <w:numPr>
          <w:ilvl w:val="0"/>
          <w:numId w:val="2"/>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具有良好的商业信誉和健全的财务会计制度；</w:t>
      </w:r>
    </w:p>
    <w:p w14:paraId="13570F9B">
      <w:pPr>
        <w:numPr>
          <w:ilvl w:val="0"/>
          <w:numId w:val="2"/>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具有履行合同所必需的设备和专业技术能力；</w:t>
      </w:r>
    </w:p>
    <w:p w14:paraId="0D734149">
      <w:pPr>
        <w:numPr>
          <w:ilvl w:val="0"/>
          <w:numId w:val="2"/>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有依法缴纳税收和社会保障资金的良好记录；</w:t>
      </w:r>
    </w:p>
    <w:p w14:paraId="7B8DE387">
      <w:pPr>
        <w:numPr>
          <w:ilvl w:val="0"/>
          <w:numId w:val="2"/>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参加政府采购活动前三年内，在经营活动中没有重大违法记录；</w:t>
      </w:r>
    </w:p>
    <w:p w14:paraId="569FC906">
      <w:pPr>
        <w:numPr>
          <w:ilvl w:val="0"/>
          <w:numId w:val="2"/>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法律、行政法规规定的其他条件。</w:t>
      </w:r>
    </w:p>
    <w:p w14:paraId="122A0F2E">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C21EE85">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7、我方已详细审核竞争性磋商采购文件，我方知道必须放弃提出含糊不清或误解问题的权利。</w:t>
      </w:r>
    </w:p>
    <w:p w14:paraId="7A3689D5">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8、我方承诺满足竞争性磋商采购文件第六章“合同文本”的条款，承担完成合同的责任和义务。</w:t>
      </w:r>
    </w:p>
    <w:p w14:paraId="01DA1FD1">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9、我方同意应贵方要求提供与本竞标有关的任何数据或资料。若贵方需要，我方愿意提供我方作出的一切承诺的证明材料。</w:t>
      </w:r>
    </w:p>
    <w:p w14:paraId="05D81931">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10、我方完全理解贵方不一定接受响应报价最低的竞标人为成交供应商的行为。</w:t>
      </w:r>
    </w:p>
    <w:p w14:paraId="548F4C8B">
      <w:pPr>
        <w:spacing w:line="440" w:lineRule="exact"/>
        <w:ind w:firstLine="48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ADF46D">
      <w:pPr>
        <w:numPr>
          <w:ilvl w:val="0"/>
          <w:numId w:val="3"/>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提供虚假材料谋取中标、成交的；</w:t>
      </w:r>
    </w:p>
    <w:p w14:paraId="47D3E52A">
      <w:pPr>
        <w:numPr>
          <w:ilvl w:val="0"/>
          <w:numId w:val="3"/>
        </w:numPr>
        <w:tabs>
          <w:tab w:val="left" w:pos="945"/>
        </w:tabs>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采取不正当手段诋毁、排挤其他供应商的；</w:t>
      </w:r>
    </w:p>
    <w:p w14:paraId="0D176639">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与采购人、其他供应商或者采购代理机构恶意串通的；</w:t>
      </w:r>
    </w:p>
    <w:p w14:paraId="3136B729">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向采购人、采购代理机构行贿或者提供其他不正当利益的；</w:t>
      </w:r>
    </w:p>
    <w:p w14:paraId="50422536">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在采购过程中与采购人进行协商</w:t>
      </w:r>
      <w:r>
        <w:rPr>
          <w:rFonts w:hint="eastAsia" w:ascii="宋体" w:hAnsi="宋体" w:cs="宋体"/>
          <w:color w:val="auto"/>
          <w:kern w:val="0"/>
          <w:sz w:val="24"/>
          <w:szCs w:val="24"/>
          <w:lang w:eastAsia="zh-CN"/>
        </w:rPr>
        <w:t>磋商</w:t>
      </w:r>
      <w:r>
        <w:rPr>
          <w:rFonts w:hint="eastAsia" w:ascii="宋体" w:hAnsi="宋体" w:eastAsia="宋体" w:cs="宋体"/>
          <w:color w:val="auto"/>
          <w:kern w:val="0"/>
          <w:sz w:val="24"/>
          <w:szCs w:val="24"/>
        </w:rPr>
        <w:t>的；</w:t>
      </w:r>
    </w:p>
    <w:p w14:paraId="33C7AF41">
      <w:pPr>
        <w:keepNext w:val="0"/>
        <w:keepLines w:val="0"/>
        <w:pageBreakBefore w:val="0"/>
        <w:widowControl w:val="0"/>
        <w:numPr>
          <w:ilvl w:val="0"/>
          <w:numId w:val="3"/>
        </w:numPr>
        <w:tabs>
          <w:tab w:val="left" w:pos="945"/>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拒绝有关部门监督检查或提供虚假情况的。</w:t>
      </w:r>
    </w:p>
    <w:p w14:paraId="74E034F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12.与本磋商有关的一切正式往来信函请寄：</w:t>
      </w:r>
    </w:p>
    <w:p w14:paraId="4EF4416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73D9990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电话：</w:t>
      </w:r>
      <w:r>
        <w:rPr>
          <w:rFonts w:hint="eastAsia" w:ascii="宋体" w:hAnsi="宋体" w:eastAsia="宋体" w:cs="宋体"/>
          <w:color w:val="auto"/>
          <w:kern w:val="0"/>
          <w:sz w:val="24"/>
          <w:szCs w:val="24"/>
          <w:u w:val="single"/>
        </w:rPr>
        <w:t xml:space="preserve">                                      　　　　　　　　　</w:t>
      </w:r>
    </w:p>
    <w:p w14:paraId="03A7077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传真：</w:t>
      </w:r>
      <w:r>
        <w:rPr>
          <w:rFonts w:hint="eastAsia" w:ascii="宋体" w:hAnsi="宋体" w:eastAsia="宋体" w:cs="宋体"/>
          <w:color w:val="auto"/>
          <w:kern w:val="0"/>
          <w:sz w:val="24"/>
          <w:szCs w:val="24"/>
          <w:u w:val="single"/>
        </w:rPr>
        <w:t>　　　　　　　　　　　　　　　　　　　　　　　　　　　　</w:t>
      </w:r>
    </w:p>
    <w:p w14:paraId="6146006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邮政编码：</w:t>
      </w:r>
      <w:r>
        <w:rPr>
          <w:rFonts w:hint="eastAsia" w:ascii="宋体" w:hAnsi="宋体" w:eastAsia="宋体" w:cs="宋体"/>
          <w:color w:val="auto"/>
          <w:kern w:val="0"/>
          <w:sz w:val="24"/>
          <w:szCs w:val="24"/>
          <w:u w:val="single"/>
        </w:rPr>
        <w:t xml:space="preserve">                                                    </w:t>
      </w:r>
    </w:p>
    <w:p w14:paraId="7F91AF1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开户名称：</w:t>
      </w:r>
      <w:r>
        <w:rPr>
          <w:rFonts w:hint="eastAsia" w:ascii="宋体" w:hAnsi="宋体" w:eastAsia="宋体" w:cs="宋体"/>
          <w:color w:val="auto"/>
          <w:kern w:val="0"/>
          <w:sz w:val="24"/>
          <w:szCs w:val="24"/>
          <w:u w:val="single"/>
        </w:rPr>
        <w:t xml:space="preserve">                                                    </w:t>
      </w:r>
    </w:p>
    <w:p w14:paraId="40909F1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开户银行：</w:t>
      </w:r>
      <w:r>
        <w:rPr>
          <w:rFonts w:hint="eastAsia" w:ascii="宋体" w:hAnsi="宋体" w:eastAsia="宋体" w:cs="宋体"/>
          <w:color w:val="auto"/>
          <w:kern w:val="0"/>
          <w:sz w:val="24"/>
          <w:szCs w:val="24"/>
          <w:u w:val="single"/>
        </w:rPr>
        <w:t xml:space="preserve">                                                    </w:t>
      </w:r>
    </w:p>
    <w:p w14:paraId="0616E30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银行账号：</w:t>
      </w:r>
      <w:r>
        <w:rPr>
          <w:rFonts w:hint="eastAsia" w:ascii="宋体" w:hAnsi="宋体" w:eastAsia="宋体" w:cs="宋体"/>
          <w:color w:val="auto"/>
          <w:kern w:val="0"/>
          <w:sz w:val="24"/>
          <w:szCs w:val="24"/>
          <w:u w:val="single"/>
        </w:rPr>
        <w:t xml:space="preserve">                                                    </w:t>
      </w:r>
    </w:p>
    <w:p w14:paraId="5EA46F87">
      <w:pPr>
        <w:keepNext w:val="0"/>
        <w:keepLines w:val="0"/>
        <w:pageBreakBefore w:val="0"/>
        <w:widowControl w:val="0"/>
        <w:tabs>
          <w:tab w:val="left" w:pos="939"/>
        </w:tabs>
        <w:kinsoku/>
        <w:wordWrap/>
        <w:overflowPunct/>
        <w:topLinePunct w:val="0"/>
        <w:autoSpaceDE/>
        <w:autoSpaceDN/>
        <w:bidi w:val="0"/>
        <w:adjustRightInd/>
        <w:snapToGrid/>
        <w:spacing w:line="440" w:lineRule="exact"/>
        <w:ind w:left="141" w:leftChars="67" w:firstLine="360" w:firstLineChars="15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2C8947AE">
      <w:pPr>
        <w:spacing w:line="360" w:lineRule="auto"/>
        <w:contextualSpacing/>
        <w:jc w:val="left"/>
        <w:rPr>
          <w:rFonts w:hint="eastAsia" w:ascii="宋体" w:hAnsi="宋体" w:eastAsia="宋体" w:cs="宋体"/>
          <w:color w:val="auto"/>
          <w:sz w:val="24"/>
          <w:szCs w:val="24"/>
        </w:rPr>
      </w:pPr>
    </w:p>
    <w:p w14:paraId="4482E93F">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供应商名称（电子签章）：</w:t>
      </w:r>
    </w:p>
    <w:p w14:paraId="2B08F4EC">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387D3617">
      <w:pPr>
        <w:autoSpaceDE w:val="0"/>
        <w:autoSpaceDN w:val="0"/>
        <w:spacing w:line="360" w:lineRule="auto"/>
        <w:ind w:firstLine="6480" w:firstLineChars="2700"/>
        <w:rPr>
          <w:rFonts w:hint="eastAsia" w:ascii="宋体" w:hAnsi="宋体" w:eastAsia="宋体" w:cs="宋体"/>
          <w:color w:val="auto"/>
          <w:kern w:val="0"/>
          <w:sz w:val="24"/>
          <w:szCs w:val="24"/>
          <w:lang w:val="zh-CN"/>
        </w:rPr>
      </w:pPr>
    </w:p>
    <w:p w14:paraId="60870382">
      <w:pPr>
        <w:autoSpaceDE w:val="0"/>
        <w:autoSpaceDN w:val="0"/>
        <w:spacing w:line="360" w:lineRule="auto"/>
        <w:ind w:firstLine="6480" w:firstLineChars="2700"/>
        <w:rPr>
          <w:rFonts w:hint="eastAsia" w:ascii="宋体" w:hAnsi="宋体" w:eastAsia="宋体" w:cs="宋体"/>
          <w:color w:val="auto"/>
          <w:kern w:val="0"/>
          <w:sz w:val="24"/>
          <w:lang w:val="zh-CN"/>
        </w:rPr>
      </w:pPr>
    </w:p>
    <w:p w14:paraId="6760729E">
      <w:pPr>
        <w:autoSpaceDE w:val="0"/>
        <w:autoSpaceDN w:val="0"/>
        <w:spacing w:line="360" w:lineRule="auto"/>
        <w:ind w:firstLine="6480" w:firstLineChars="2700"/>
        <w:rPr>
          <w:rFonts w:hint="eastAsia" w:ascii="宋体" w:hAnsi="宋体" w:eastAsia="宋体" w:cs="宋体"/>
          <w:color w:val="auto"/>
          <w:kern w:val="0"/>
          <w:sz w:val="24"/>
          <w:lang w:val="zh-CN"/>
        </w:rPr>
      </w:pPr>
    </w:p>
    <w:p w14:paraId="2124B496">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firstLine="0"/>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r>
        <w:rPr>
          <w:rFonts w:hint="eastAsia" w:ascii="宋体" w:hAnsi="宋体" w:eastAsia="宋体" w:cs="宋体"/>
          <w:b/>
          <w:bCs/>
          <w:color w:val="auto"/>
          <w:sz w:val="30"/>
          <w:szCs w:val="30"/>
        </w:rPr>
        <w:t>响应报价表</w:t>
      </w:r>
    </w:p>
    <w:p w14:paraId="3855C302">
      <w:pPr>
        <w:snapToGrid w:val="0"/>
        <w:spacing w:before="50" w:after="50" w:line="360" w:lineRule="auto"/>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AF82545">
      <w:pPr>
        <w:snapToGrid w:val="0"/>
        <w:spacing w:before="50" w:after="50" w:line="360" w:lineRule="auto"/>
        <w:rPr>
          <w:rFonts w:ascii="宋体" w:hAnsi="宋体" w:eastAsia="宋体" w:cs="宋体"/>
          <w:color w:val="auto"/>
          <w:sz w:val="24"/>
          <w:u w:val="single"/>
          <w:lang w:val="en-US"/>
        </w:rPr>
      </w:pPr>
      <w:r>
        <w:rPr>
          <w:rFonts w:hint="eastAsia" w:ascii="宋体" w:hAnsi="宋体" w:cs="宋体"/>
          <w:color w:val="auto"/>
          <w:sz w:val="24"/>
          <w:lang w:eastAsia="zh-CN"/>
        </w:rPr>
        <w:t>项目编号：</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p>
    <w:p w14:paraId="5E835469">
      <w:pPr>
        <w:snapToGrid w:val="0"/>
        <w:spacing w:before="50" w:after="50"/>
        <w:ind w:firstLine="420" w:firstLineChars="200"/>
        <w:jc w:val="left"/>
        <w:rPr>
          <w:rFonts w:hint="eastAsia" w:ascii="宋体" w:hAnsi="宋体" w:eastAsia="宋体" w:cs="宋体"/>
          <w:color w:val="auto"/>
          <w:kern w:val="0"/>
          <w:sz w:val="21"/>
          <w:szCs w:val="21"/>
          <w:lang w:val="zh-CN"/>
        </w:rPr>
      </w:pPr>
    </w:p>
    <w:tbl>
      <w:tblPr>
        <w:tblStyle w:val="16"/>
        <w:tblpPr w:leftFromText="180" w:rightFromText="180" w:vertAnchor="text" w:horzAnchor="page" w:tblpX="1404" w:tblpY="182"/>
        <w:tblOverlap w:val="never"/>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111"/>
        <w:gridCol w:w="3240"/>
        <w:gridCol w:w="1154"/>
      </w:tblGrid>
      <w:tr w14:paraId="6876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792" w:type="dxa"/>
            <w:tcBorders>
              <w:top w:val="single" w:color="auto" w:sz="4" w:space="0"/>
              <w:left w:val="single" w:color="auto" w:sz="4" w:space="0"/>
              <w:bottom w:val="single" w:color="auto" w:sz="4" w:space="0"/>
              <w:right w:val="single" w:color="auto" w:sz="4" w:space="0"/>
            </w:tcBorders>
            <w:vAlign w:val="center"/>
          </w:tcPr>
          <w:p w14:paraId="0CD6D1B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111" w:type="dxa"/>
            <w:tcBorders>
              <w:top w:val="single" w:color="auto" w:sz="4" w:space="0"/>
              <w:left w:val="single" w:color="auto" w:sz="4" w:space="0"/>
              <w:bottom w:val="single" w:color="auto" w:sz="4" w:space="0"/>
              <w:right w:val="single" w:color="auto" w:sz="4" w:space="0"/>
            </w:tcBorders>
            <w:vAlign w:val="center"/>
          </w:tcPr>
          <w:p w14:paraId="3A4A938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标的的名称</w:t>
            </w:r>
          </w:p>
        </w:tc>
        <w:tc>
          <w:tcPr>
            <w:tcW w:w="3240" w:type="dxa"/>
            <w:tcBorders>
              <w:top w:val="single" w:color="auto" w:sz="4" w:space="0"/>
              <w:left w:val="single" w:color="auto" w:sz="4" w:space="0"/>
              <w:bottom w:val="single" w:color="auto" w:sz="4" w:space="0"/>
              <w:right w:val="single" w:color="auto" w:sz="4" w:space="0"/>
            </w:tcBorders>
            <w:vAlign w:val="center"/>
          </w:tcPr>
          <w:p w14:paraId="5FA248B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w:t>
            </w:r>
          </w:p>
        </w:tc>
        <w:tc>
          <w:tcPr>
            <w:tcW w:w="1154" w:type="dxa"/>
            <w:tcBorders>
              <w:top w:val="single" w:color="auto" w:sz="4" w:space="0"/>
              <w:left w:val="single" w:color="auto" w:sz="4" w:space="0"/>
              <w:bottom w:val="single" w:color="auto" w:sz="4" w:space="0"/>
              <w:right w:val="single" w:color="auto" w:sz="4" w:space="0"/>
            </w:tcBorders>
            <w:vAlign w:val="center"/>
          </w:tcPr>
          <w:p w14:paraId="2E3CC86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2FB1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792" w:type="dxa"/>
            <w:tcBorders>
              <w:top w:val="single" w:color="auto" w:sz="4" w:space="0"/>
              <w:left w:val="single" w:color="auto" w:sz="4" w:space="0"/>
              <w:bottom w:val="single" w:color="auto" w:sz="4" w:space="0"/>
              <w:right w:val="single" w:color="auto" w:sz="4" w:space="0"/>
            </w:tcBorders>
            <w:vAlign w:val="center"/>
          </w:tcPr>
          <w:p w14:paraId="13B35CE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11" w:type="dxa"/>
            <w:tcBorders>
              <w:top w:val="single" w:color="auto" w:sz="4" w:space="0"/>
              <w:left w:val="single" w:color="auto" w:sz="4" w:space="0"/>
              <w:bottom w:val="single" w:color="auto" w:sz="4" w:space="0"/>
              <w:right w:val="single" w:color="auto" w:sz="4" w:space="0"/>
            </w:tcBorders>
            <w:vAlign w:val="center"/>
          </w:tcPr>
          <w:p w14:paraId="750BCEC0">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泵站、堤防护坡清理维护工程 (2026年度)</w:t>
            </w:r>
          </w:p>
        </w:tc>
        <w:tc>
          <w:tcPr>
            <w:tcW w:w="3240" w:type="dxa"/>
            <w:tcBorders>
              <w:top w:val="single" w:color="auto" w:sz="4" w:space="0"/>
              <w:left w:val="single" w:color="auto" w:sz="4" w:space="0"/>
              <w:bottom w:val="single" w:color="auto" w:sz="4" w:space="0"/>
              <w:right w:val="single" w:color="auto" w:sz="4" w:space="0"/>
            </w:tcBorders>
            <w:vAlign w:val="center"/>
          </w:tcPr>
          <w:p w14:paraId="33C5308B">
            <w:pPr>
              <w:spacing w:line="360" w:lineRule="auto"/>
              <w:jc w:val="both"/>
              <w:rPr>
                <w:rFonts w:hint="eastAsia" w:ascii="宋体" w:hAnsi="宋体" w:eastAsia="宋体" w:cs="宋体"/>
                <w:color w:val="auto"/>
                <w:sz w:val="24"/>
                <w:szCs w:val="24"/>
                <w:u w:val="single"/>
                <w:lang w:val="en-US" w:eastAsia="zh-CN"/>
              </w:rPr>
            </w:pPr>
            <w:r>
              <w:rPr>
                <w:rFonts w:hint="eastAsia" w:ascii="宋体" w:hAnsi="宋体" w:cs="宋体"/>
                <w:color w:val="auto"/>
                <w:sz w:val="24"/>
                <w:szCs w:val="24"/>
                <w:u w:val="single"/>
                <w:lang w:val="en-US" w:eastAsia="zh-CN"/>
              </w:rPr>
              <w:t>（大写）人民币</w:t>
            </w:r>
            <w:r>
              <w:rPr>
                <w:rFonts w:hint="eastAsia" w:ascii="宋体" w:hAnsi="宋体" w:eastAsia="宋体" w:cs="宋体"/>
                <w:color w:val="auto"/>
                <w:sz w:val="24"/>
                <w:szCs w:val="24"/>
                <w:u w:val="single"/>
                <w:lang w:val="en-US" w:eastAsia="zh-CN"/>
              </w:rPr>
              <w:t xml:space="preserve">     </w:t>
            </w:r>
          </w:p>
          <w:p w14:paraId="6975B228">
            <w:pPr>
              <w:spacing w:line="360" w:lineRule="auto"/>
              <w:jc w:val="both"/>
              <w:rPr>
                <w:rFonts w:ascii="宋体" w:hAnsi="宋体" w:eastAsia="宋体" w:cs="宋体"/>
                <w:color w:val="auto"/>
                <w:sz w:val="24"/>
                <w:szCs w:val="24"/>
                <w:lang w:val="en-US" w:eastAsia="zh-CN"/>
              </w:rPr>
            </w:pPr>
            <w:r>
              <w:rPr>
                <w:rFonts w:hint="eastAsia" w:ascii="宋体" w:hAnsi="宋体" w:cs="宋体"/>
                <w:color w:val="auto"/>
                <w:sz w:val="24"/>
                <w:szCs w:val="24"/>
                <w:u w:val="single"/>
                <w:lang w:val="en-US" w:eastAsia="zh-CN"/>
              </w:rPr>
              <w:t>（小写）</w:t>
            </w:r>
            <w:r>
              <w:rPr>
                <w:rFonts w:hint="eastAsia" w:ascii="宋体" w:hAnsi="宋体" w:eastAsia="宋体" w:cs="宋体"/>
                <w:color w:val="auto"/>
                <w:sz w:val="24"/>
                <w:szCs w:val="24"/>
                <w:u w:val="single"/>
                <w:lang w:val="en-US" w:eastAsia="zh-CN"/>
              </w:rPr>
              <w:t xml:space="preserve">¥          </w:t>
            </w:r>
          </w:p>
        </w:tc>
        <w:tc>
          <w:tcPr>
            <w:tcW w:w="1154" w:type="dxa"/>
            <w:tcBorders>
              <w:top w:val="single" w:color="auto" w:sz="4" w:space="0"/>
              <w:left w:val="single" w:color="auto" w:sz="4" w:space="0"/>
              <w:bottom w:val="single" w:color="auto" w:sz="4" w:space="0"/>
              <w:right w:val="single" w:color="auto" w:sz="4" w:space="0"/>
            </w:tcBorders>
            <w:vAlign w:val="center"/>
          </w:tcPr>
          <w:p w14:paraId="37983AA4">
            <w:pPr>
              <w:spacing w:line="360" w:lineRule="auto"/>
              <w:rPr>
                <w:rFonts w:hint="eastAsia" w:ascii="宋体" w:hAnsi="宋体" w:eastAsia="宋体" w:cs="宋体"/>
                <w:color w:val="auto"/>
                <w:sz w:val="24"/>
                <w:szCs w:val="24"/>
              </w:rPr>
            </w:pPr>
          </w:p>
        </w:tc>
      </w:tr>
    </w:tbl>
    <w:p w14:paraId="58731397">
      <w:pPr>
        <w:snapToGrid w:val="0"/>
        <w:spacing w:before="50" w:after="50"/>
        <w:ind w:firstLine="420" w:firstLineChars="200"/>
        <w:jc w:val="left"/>
        <w:rPr>
          <w:rFonts w:hint="eastAsia" w:ascii="宋体" w:hAnsi="宋体" w:eastAsia="宋体" w:cs="宋体"/>
          <w:color w:val="auto"/>
          <w:kern w:val="0"/>
          <w:sz w:val="21"/>
          <w:szCs w:val="21"/>
          <w:lang w:val="zh-CN"/>
        </w:rPr>
      </w:pPr>
    </w:p>
    <w:p w14:paraId="5CBD0BE7">
      <w:pPr>
        <w:snapToGrid w:val="0"/>
        <w:spacing w:before="50" w:after="5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注：</w:t>
      </w:r>
    </w:p>
    <w:p w14:paraId="7D219F75">
      <w:pPr>
        <w:snapToGrid w:val="0"/>
        <w:spacing w:before="50" w:after="5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1、供应商需按本表格式填写，不得自行更改</w:t>
      </w:r>
      <w:r>
        <w:rPr>
          <w:rFonts w:hint="eastAsia" w:ascii="宋体" w:hAnsi="宋体" w:eastAsia="宋体" w:cs="宋体"/>
          <w:b w:val="0"/>
          <w:bCs/>
          <w:color w:val="auto"/>
          <w:kern w:val="0"/>
          <w:sz w:val="21"/>
          <w:szCs w:val="21"/>
          <w:lang w:val="zh-CN"/>
        </w:rPr>
        <w:t>。</w:t>
      </w:r>
    </w:p>
    <w:p w14:paraId="62B5DDB6">
      <w:pPr>
        <w:snapToGrid w:val="0"/>
        <w:ind w:firstLine="422" w:firstLineChars="200"/>
        <w:jc w:val="left"/>
        <w:rPr>
          <w:rFonts w:hint="eastAsia" w:ascii="宋体" w:hAnsi="宋体" w:eastAsia="宋体" w:cs="宋体"/>
          <w:b/>
          <w:bCs/>
          <w:color w:val="auto"/>
          <w:kern w:val="0"/>
          <w:sz w:val="21"/>
          <w:szCs w:val="21"/>
          <w:lang w:val="zh-CN"/>
        </w:rPr>
      </w:pPr>
    </w:p>
    <w:p w14:paraId="71A3C37B">
      <w:pPr>
        <w:autoSpaceDE w:val="0"/>
        <w:autoSpaceDN w:val="0"/>
        <w:spacing w:line="360" w:lineRule="auto"/>
        <w:ind w:left="4305" w:leftChars="1950" w:hanging="210" w:hangingChars="100"/>
        <w:rPr>
          <w:rFonts w:hint="eastAsia" w:ascii="宋体" w:hAnsi="宋体" w:eastAsia="宋体" w:cs="宋体"/>
          <w:color w:val="auto"/>
          <w:kern w:val="0"/>
          <w:sz w:val="21"/>
          <w:szCs w:val="21"/>
        </w:rPr>
      </w:pPr>
    </w:p>
    <w:p w14:paraId="16B06D66">
      <w:pPr>
        <w:autoSpaceDE w:val="0"/>
        <w:autoSpaceDN w:val="0"/>
        <w:spacing w:line="360" w:lineRule="auto"/>
        <w:ind w:left="4305" w:leftChars="1950" w:hanging="210" w:hangingChars="1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供应商名称（电子签章）：</w:t>
      </w:r>
    </w:p>
    <w:p w14:paraId="619D3B4C">
      <w:pPr>
        <w:spacing w:line="360" w:lineRule="auto"/>
        <w:contextualSpacing/>
        <w:jc w:val="righ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日期：  年  月   日</w:t>
      </w:r>
    </w:p>
    <w:p w14:paraId="25FBEE33">
      <w:pPr>
        <w:spacing w:line="360" w:lineRule="auto"/>
        <w:contextualSpacing/>
        <w:jc w:val="right"/>
        <w:rPr>
          <w:rFonts w:hint="eastAsia" w:ascii="宋体" w:hAnsi="宋体" w:eastAsia="宋体" w:cs="宋体"/>
          <w:color w:val="auto"/>
          <w:kern w:val="0"/>
          <w:sz w:val="21"/>
          <w:szCs w:val="21"/>
          <w:lang w:val="zh-CN"/>
        </w:rPr>
      </w:pPr>
    </w:p>
    <w:p w14:paraId="746B2654">
      <w:pPr>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br w:type="page"/>
      </w:r>
    </w:p>
    <w:p w14:paraId="22F36363">
      <w:pPr>
        <w:keepNext w:val="0"/>
        <w:keepLines w:val="0"/>
        <w:pageBreakBefore w:val="0"/>
        <w:widowControl w:val="0"/>
        <w:kinsoku/>
        <w:wordWrap/>
        <w:overflowPunct/>
        <w:topLinePunct w:val="0"/>
        <w:autoSpaceDE/>
        <w:autoSpaceDN/>
        <w:bidi w:val="0"/>
        <w:adjustRightInd/>
        <w:snapToGrid w:val="0"/>
        <w:spacing w:line="360" w:lineRule="auto"/>
        <w:ind w:left="0" w:firstLine="0"/>
        <w:jc w:val="center"/>
        <w:textAlignment w:val="auto"/>
        <w:rPr>
          <w:rFonts w:ascii="宋体" w:hAnsi="宋体" w:eastAsia="宋体" w:cs="宋体"/>
          <w:b/>
          <w:bCs/>
          <w:color w:val="auto"/>
          <w:sz w:val="32"/>
          <w:szCs w:val="32"/>
          <w:lang w:val="en-US" w:eastAsia="zh-CN"/>
        </w:rPr>
      </w:pPr>
      <w:r>
        <w:rPr>
          <w:rFonts w:hint="eastAsia" w:ascii="宋体" w:hAnsi="宋体" w:cs="宋体"/>
          <w:b/>
          <w:bCs/>
          <w:color w:val="auto"/>
          <w:sz w:val="30"/>
          <w:szCs w:val="30"/>
          <w:lang w:val="en-US" w:eastAsia="zh-CN"/>
        </w:rPr>
        <w:t>已标价工程量清单</w:t>
      </w:r>
    </w:p>
    <w:p w14:paraId="14F48FC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eastAsia" w:ascii="宋体" w:hAnsi="宋体" w:eastAsia="宋体" w:cs="宋体"/>
          <w:color w:val="auto"/>
          <w:kern w:val="0"/>
          <w:sz w:val="21"/>
          <w:szCs w:val="21"/>
          <w:lang w:val="zh-CN"/>
        </w:rPr>
      </w:pPr>
      <w:r>
        <w:rPr>
          <w:rFonts w:hint="eastAsia" w:ascii="宋体" w:hAnsi="宋体" w:cs="宋体"/>
          <w:b/>
          <w:bCs/>
          <w:color w:val="auto"/>
          <w:kern w:val="0"/>
          <w:sz w:val="21"/>
          <w:szCs w:val="21"/>
          <w:lang w:val="zh-CN"/>
        </w:rPr>
        <w:t>（</w:t>
      </w:r>
      <w:r>
        <w:rPr>
          <w:rFonts w:hint="eastAsia" w:ascii="宋体" w:hAnsi="宋体" w:eastAsia="宋体" w:cs="宋体"/>
          <w:b/>
          <w:bCs/>
          <w:color w:val="auto"/>
          <w:kern w:val="0"/>
          <w:sz w:val="21"/>
          <w:szCs w:val="21"/>
          <w:lang w:val="zh-CN"/>
        </w:rPr>
        <w:t>以采购人</w:t>
      </w:r>
      <w:r>
        <w:rPr>
          <w:rFonts w:hint="eastAsia" w:ascii="宋体" w:hAnsi="宋体" w:cs="宋体"/>
          <w:b/>
          <w:bCs/>
          <w:color w:val="auto"/>
          <w:kern w:val="0"/>
          <w:sz w:val="21"/>
          <w:szCs w:val="21"/>
          <w:lang w:val="en-US" w:eastAsia="zh-CN"/>
        </w:rPr>
        <w:t>预算控制价格式</w:t>
      </w:r>
      <w:r>
        <w:rPr>
          <w:rFonts w:hint="eastAsia" w:ascii="宋体" w:hAnsi="宋体" w:eastAsia="宋体" w:cs="宋体"/>
          <w:b/>
          <w:bCs/>
          <w:color w:val="auto"/>
          <w:kern w:val="0"/>
          <w:sz w:val="21"/>
          <w:szCs w:val="21"/>
          <w:lang w:val="zh-CN"/>
        </w:rPr>
        <w:t>填写</w:t>
      </w:r>
      <w:r>
        <w:rPr>
          <w:rFonts w:hint="eastAsia" w:ascii="宋体" w:hAnsi="宋体" w:cs="宋体"/>
          <w:b/>
          <w:bCs/>
          <w:color w:val="auto"/>
          <w:kern w:val="0"/>
          <w:sz w:val="21"/>
          <w:szCs w:val="21"/>
          <w:lang w:val="en-US" w:eastAsia="zh-CN"/>
        </w:rPr>
        <w:t>报价</w:t>
      </w:r>
      <w:r>
        <w:rPr>
          <w:rFonts w:hint="eastAsia" w:ascii="宋体" w:hAnsi="宋体" w:eastAsia="宋体" w:cs="宋体"/>
          <w:b/>
          <w:bCs/>
          <w:color w:val="auto"/>
          <w:kern w:val="0"/>
          <w:sz w:val="21"/>
          <w:szCs w:val="21"/>
          <w:lang w:val="zh-CN"/>
        </w:rPr>
        <w:t>金额且加盖电子签章</w:t>
      </w:r>
      <w:r>
        <w:rPr>
          <w:rFonts w:hint="eastAsia" w:ascii="宋体" w:hAnsi="宋体" w:cs="宋体"/>
          <w:b/>
          <w:bCs/>
          <w:color w:val="auto"/>
          <w:kern w:val="0"/>
          <w:sz w:val="21"/>
          <w:szCs w:val="21"/>
          <w:lang w:val="zh-CN"/>
        </w:rPr>
        <w:t>）</w:t>
      </w:r>
    </w:p>
    <w:p w14:paraId="5D8CBFD0">
      <w:pPr>
        <w:snapToGrid w:val="0"/>
        <w:spacing w:before="50" w:after="50"/>
        <w:ind w:firstLine="420" w:firstLineChars="200"/>
        <w:jc w:val="left"/>
        <w:rPr>
          <w:rFonts w:hint="eastAsia" w:ascii="宋体" w:hAnsi="宋体" w:eastAsia="宋体" w:cs="宋体"/>
          <w:color w:val="auto"/>
          <w:kern w:val="0"/>
          <w:sz w:val="21"/>
          <w:szCs w:val="21"/>
          <w:lang w:val="zh-CN"/>
        </w:rPr>
      </w:pPr>
    </w:p>
    <w:p w14:paraId="67088466">
      <w:pPr>
        <w:snapToGrid w:val="0"/>
        <w:spacing w:before="50" w:after="50"/>
        <w:ind w:firstLine="420" w:firstLineChars="200"/>
        <w:jc w:val="left"/>
        <w:rPr>
          <w:rFonts w:hint="eastAsia" w:ascii="宋体" w:hAnsi="宋体" w:eastAsia="宋体" w:cs="宋体"/>
          <w:color w:val="auto"/>
          <w:kern w:val="0"/>
          <w:sz w:val="21"/>
          <w:szCs w:val="21"/>
          <w:lang w:val="zh-CN"/>
        </w:rPr>
      </w:pPr>
    </w:p>
    <w:p w14:paraId="1A67CB75">
      <w:pPr>
        <w:snapToGrid w:val="0"/>
        <w:spacing w:before="50" w:after="50"/>
        <w:ind w:firstLine="420" w:firstLineChars="200"/>
        <w:jc w:val="left"/>
        <w:rPr>
          <w:rFonts w:hint="eastAsia" w:ascii="宋体" w:hAnsi="宋体" w:eastAsia="宋体" w:cs="宋体"/>
          <w:color w:val="auto"/>
          <w:kern w:val="0"/>
          <w:sz w:val="21"/>
          <w:szCs w:val="21"/>
          <w:lang w:val="zh-CN"/>
        </w:rPr>
      </w:pPr>
    </w:p>
    <w:p w14:paraId="3F055EE3">
      <w:pPr>
        <w:snapToGrid w:val="0"/>
        <w:ind w:firstLine="422" w:firstLineChars="200"/>
        <w:jc w:val="left"/>
        <w:rPr>
          <w:rFonts w:hint="eastAsia" w:ascii="宋体" w:hAnsi="宋体" w:eastAsia="宋体" w:cs="宋体"/>
          <w:b/>
          <w:bCs/>
          <w:color w:val="auto"/>
          <w:kern w:val="0"/>
          <w:sz w:val="21"/>
          <w:szCs w:val="21"/>
          <w:lang w:val="zh-CN"/>
        </w:rPr>
      </w:pPr>
    </w:p>
    <w:p w14:paraId="7B23A61C">
      <w:pPr>
        <w:autoSpaceDE w:val="0"/>
        <w:autoSpaceDN w:val="0"/>
        <w:spacing w:line="360" w:lineRule="auto"/>
        <w:ind w:left="4305" w:leftChars="1950" w:hanging="210" w:hangingChars="100"/>
        <w:rPr>
          <w:rFonts w:hint="eastAsia" w:ascii="宋体" w:hAnsi="宋体" w:eastAsia="宋体" w:cs="宋体"/>
          <w:color w:val="auto"/>
          <w:kern w:val="0"/>
          <w:sz w:val="21"/>
          <w:szCs w:val="21"/>
        </w:rPr>
      </w:pPr>
    </w:p>
    <w:p w14:paraId="1831A62D">
      <w:pPr>
        <w:spacing w:line="360" w:lineRule="auto"/>
        <w:contextualSpacing/>
        <w:jc w:val="right"/>
        <w:rPr>
          <w:rFonts w:hint="eastAsia" w:ascii="宋体" w:hAnsi="宋体" w:eastAsia="宋体" w:cs="宋体"/>
          <w:color w:val="auto"/>
          <w:kern w:val="0"/>
          <w:sz w:val="21"/>
          <w:szCs w:val="21"/>
          <w:lang w:val="zh-CN"/>
        </w:rPr>
      </w:pPr>
    </w:p>
    <w:p w14:paraId="1023845B">
      <w:pPr>
        <w:spacing w:line="360" w:lineRule="auto"/>
        <w:contextualSpacing/>
        <w:jc w:val="right"/>
        <w:rPr>
          <w:rFonts w:hint="eastAsia" w:ascii="宋体" w:hAnsi="宋体" w:eastAsia="宋体" w:cs="宋体"/>
          <w:color w:val="auto"/>
          <w:kern w:val="0"/>
          <w:sz w:val="21"/>
          <w:szCs w:val="21"/>
          <w:lang w:val="zh-CN"/>
        </w:rPr>
      </w:pPr>
    </w:p>
    <w:p w14:paraId="3DFC2077">
      <w:pPr>
        <w:rPr>
          <w:rFonts w:hint="eastAsia" w:ascii="宋体" w:hAnsi="宋体" w:eastAsia="宋体" w:cs="宋体"/>
          <w:color w:val="auto"/>
          <w:kern w:val="0"/>
          <w:sz w:val="24"/>
          <w:lang w:val="zh-CN"/>
        </w:rPr>
      </w:pPr>
    </w:p>
    <w:p w14:paraId="28EE66B5">
      <w:pPr>
        <w:pStyle w:val="7"/>
        <w:rPr>
          <w:rFonts w:hint="eastAsia" w:ascii="宋体" w:hAnsi="宋体" w:eastAsia="宋体" w:cs="宋体"/>
          <w:color w:val="auto"/>
          <w:kern w:val="0"/>
          <w:sz w:val="24"/>
          <w:lang w:val="zh-CN"/>
        </w:rPr>
      </w:pPr>
    </w:p>
    <w:p w14:paraId="1B511FA0">
      <w:pPr>
        <w:pStyle w:val="14"/>
        <w:rPr>
          <w:rFonts w:hint="eastAsia" w:ascii="宋体" w:hAnsi="宋体" w:eastAsia="宋体" w:cs="宋体"/>
          <w:lang w:val="zh-CN"/>
        </w:rPr>
        <w:sectPr>
          <w:headerReference r:id="rId9" w:type="default"/>
          <w:footerReference r:id="rId10" w:type="default"/>
          <w:pgSz w:w="11910" w:h="16840"/>
          <w:pgMar w:top="1440" w:right="1080" w:bottom="1440" w:left="1080" w:header="720" w:footer="720" w:gutter="0"/>
          <w:pgNumType w:fmt="decimal"/>
          <w:cols w:space="720" w:num="1"/>
          <w:rtlGutter w:val="1"/>
          <w:docGrid w:linePitch="312" w:charSpace="0"/>
        </w:sectPr>
      </w:pPr>
    </w:p>
    <w:p w14:paraId="4D565DB5">
      <w:pPr>
        <w:spacing w:line="360" w:lineRule="auto"/>
        <w:contextualSpacing/>
        <w:rPr>
          <w:rFonts w:hint="eastAsia" w:ascii="宋体" w:hAnsi="宋体" w:eastAsia="宋体" w:cs="宋体"/>
          <w:color w:val="auto"/>
          <w:sz w:val="24"/>
        </w:rPr>
      </w:pPr>
    </w:p>
    <w:p w14:paraId="32DCFD63">
      <w:pPr>
        <w:spacing w:line="520" w:lineRule="exact"/>
        <w:jc w:val="center"/>
        <w:rPr>
          <w:rFonts w:hint="eastAsia" w:ascii="宋体" w:hAnsi="宋体" w:eastAsia="宋体" w:cs="宋体"/>
          <w:color w:val="auto"/>
          <w:sz w:val="24"/>
        </w:rPr>
      </w:pPr>
    </w:p>
    <w:p w14:paraId="31CDB5A5">
      <w:pPr>
        <w:spacing w:line="520" w:lineRule="exact"/>
        <w:jc w:val="center"/>
        <w:rPr>
          <w:rFonts w:hint="eastAsia" w:ascii="宋体" w:hAnsi="宋体" w:eastAsia="宋体" w:cs="宋体"/>
          <w:color w:val="auto"/>
          <w:sz w:val="24"/>
        </w:rPr>
      </w:pPr>
    </w:p>
    <w:p w14:paraId="2EFEF6BC">
      <w:pPr>
        <w:spacing w:line="520" w:lineRule="exact"/>
        <w:jc w:val="center"/>
        <w:rPr>
          <w:rFonts w:hint="eastAsia" w:ascii="宋体" w:hAnsi="宋体" w:eastAsia="宋体" w:cs="宋体"/>
          <w:color w:val="auto"/>
          <w:sz w:val="24"/>
        </w:rPr>
      </w:pPr>
    </w:p>
    <w:p w14:paraId="006C6C2C">
      <w:pPr>
        <w:spacing w:line="520" w:lineRule="exact"/>
        <w:jc w:val="center"/>
        <w:rPr>
          <w:rFonts w:hint="eastAsia" w:ascii="宋体" w:hAnsi="宋体" w:eastAsia="宋体" w:cs="宋体"/>
          <w:color w:val="auto"/>
          <w:sz w:val="24"/>
        </w:rPr>
      </w:pPr>
    </w:p>
    <w:p w14:paraId="45C01224">
      <w:pPr>
        <w:keepNext/>
        <w:keepLines/>
        <w:spacing w:before="340" w:after="330" w:line="578" w:lineRule="auto"/>
        <w:jc w:val="center"/>
        <w:outlineLvl w:val="0"/>
        <w:rPr>
          <w:rFonts w:hint="eastAsia" w:ascii="宋体" w:hAnsi="宋体" w:eastAsia="宋体" w:cs="宋体"/>
          <w:b/>
          <w:bCs/>
          <w:color w:val="auto"/>
          <w:kern w:val="44"/>
          <w:sz w:val="32"/>
          <w:szCs w:val="32"/>
        </w:rPr>
      </w:pPr>
    </w:p>
    <w:p w14:paraId="7372BD32">
      <w:pPr>
        <w:keepNext/>
        <w:keepLines/>
        <w:spacing w:before="340" w:after="330" w:line="578" w:lineRule="auto"/>
        <w:jc w:val="center"/>
        <w:outlineLvl w:val="0"/>
        <w:rPr>
          <w:rFonts w:hint="eastAsia" w:ascii="宋体" w:hAnsi="宋体" w:eastAsia="宋体" w:cs="宋体"/>
          <w:color w:val="auto"/>
          <w:kern w:val="44"/>
          <w:sz w:val="44"/>
          <w:szCs w:val="44"/>
        </w:rPr>
      </w:pPr>
      <w:bookmarkStart w:id="94" w:name="_Toc25338"/>
      <w:r>
        <w:rPr>
          <w:rFonts w:hint="eastAsia" w:ascii="宋体" w:hAnsi="宋体" w:eastAsia="宋体" w:cs="宋体"/>
          <w:b/>
          <w:bCs/>
          <w:color w:val="auto"/>
          <w:kern w:val="44"/>
          <w:sz w:val="32"/>
          <w:szCs w:val="32"/>
        </w:rPr>
        <w:t>第六章  合同文本</w:t>
      </w:r>
      <w:r>
        <w:rPr>
          <w:rFonts w:hint="eastAsia" w:ascii="宋体" w:hAnsi="宋体" w:eastAsia="宋体" w:cs="宋体"/>
          <w:color w:val="auto"/>
          <w:kern w:val="44"/>
          <w:sz w:val="44"/>
          <w:szCs w:val="44"/>
        </w:rPr>
        <w:br w:type="page"/>
      </w:r>
      <w:bookmarkEnd w:id="94"/>
    </w:p>
    <w:p w14:paraId="7BF2EA95">
      <w:pPr>
        <w:pStyle w:val="7"/>
        <w:wordWrap w:val="0"/>
        <w:spacing w:before="0" w:line="360" w:lineRule="auto"/>
        <w:ind w:left="0" w:firstLine="0"/>
        <w:jc w:val="center"/>
        <w:rPr>
          <w:rFonts w:hint="eastAsia"/>
          <w:b/>
          <w:bCs/>
          <w:color w:val="auto"/>
          <w:spacing w:val="-13"/>
          <w:sz w:val="52"/>
          <w:szCs w:val="52"/>
        </w:rPr>
      </w:pPr>
      <w:r>
        <w:rPr>
          <w:rFonts w:hint="eastAsia"/>
          <w:b/>
          <w:bCs/>
          <w:color w:val="auto"/>
          <w:spacing w:val="-13"/>
          <w:sz w:val="52"/>
          <w:szCs w:val="52"/>
        </w:rPr>
        <w:t>泵站、堤防护坡清理维护</w:t>
      </w:r>
    </w:p>
    <w:p w14:paraId="313DB181">
      <w:pPr>
        <w:pStyle w:val="7"/>
        <w:wordWrap w:val="0"/>
        <w:spacing w:before="0" w:line="360" w:lineRule="auto"/>
        <w:ind w:left="0" w:firstLine="0"/>
        <w:jc w:val="center"/>
        <w:rPr>
          <w:b/>
          <w:bCs/>
          <w:color w:val="auto"/>
          <w:spacing w:val="-13"/>
          <w:sz w:val="52"/>
          <w:szCs w:val="52"/>
        </w:rPr>
      </w:pPr>
      <w:r>
        <w:rPr>
          <w:rFonts w:hint="eastAsia"/>
          <w:b/>
          <w:bCs/>
          <w:color w:val="auto"/>
          <w:spacing w:val="-13"/>
          <w:sz w:val="52"/>
          <w:szCs w:val="52"/>
        </w:rPr>
        <w:t>工程（202</w:t>
      </w:r>
      <w:r>
        <w:rPr>
          <w:rFonts w:hint="eastAsia"/>
          <w:b/>
          <w:bCs/>
          <w:color w:val="auto"/>
          <w:spacing w:val="-13"/>
          <w:sz w:val="52"/>
          <w:szCs w:val="52"/>
          <w:lang w:val="en-US" w:eastAsia="zh-CN"/>
        </w:rPr>
        <w:t>6</w:t>
      </w:r>
      <w:r>
        <w:rPr>
          <w:rFonts w:hint="eastAsia"/>
          <w:b/>
          <w:bCs/>
          <w:color w:val="auto"/>
          <w:spacing w:val="-13"/>
          <w:sz w:val="52"/>
          <w:szCs w:val="52"/>
        </w:rPr>
        <w:t>年）</w:t>
      </w:r>
    </w:p>
    <w:p w14:paraId="41C2846B">
      <w:pPr>
        <w:pStyle w:val="7"/>
        <w:wordWrap w:val="0"/>
        <w:spacing w:before="0" w:line="360" w:lineRule="auto"/>
        <w:ind w:left="0"/>
        <w:jc w:val="center"/>
        <w:rPr>
          <w:color w:val="auto"/>
          <w:sz w:val="72"/>
          <w:szCs w:val="72"/>
        </w:rPr>
      </w:pPr>
      <w:r>
        <w:rPr>
          <w:b/>
          <w:bCs/>
          <w:color w:val="auto"/>
          <w:spacing w:val="-13"/>
          <w:sz w:val="52"/>
          <w:szCs w:val="52"/>
        </w:rPr>
        <w:t>合同协议书</w:t>
      </w:r>
    </w:p>
    <w:p w14:paraId="265D5E59">
      <w:pPr>
        <w:wordWrap w:val="0"/>
        <w:spacing w:line="360" w:lineRule="auto"/>
        <w:rPr>
          <w:rFonts w:ascii="Arial" w:hAnsi="Arial"/>
          <w:color w:val="auto"/>
          <w:sz w:val="21"/>
        </w:rPr>
      </w:pPr>
    </w:p>
    <w:p w14:paraId="0BA0FBEF">
      <w:pPr>
        <w:wordWrap w:val="0"/>
        <w:spacing w:line="360" w:lineRule="auto"/>
        <w:rPr>
          <w:rFonts w:ascii="Arial" w:hAnsi="Arial"/>
          <w:color w:val="auto"/>
          <w:sz w:val="21"/>
        </w:rPr>
      </w:pPr>
    </w:p>
    <w:p w14:paraId="138FF2BA">
      <w:pPr>
        <w:wordWrap w:val="0"/>
        <w:spacing w:line="360" w:lineRule="auto"/>
        <w:rPr>
          <w:rFonts w:ascii="Arial" w:hAnsi="Arial"/>
          <w:color w:val="auto"/>
          <w:sz w:val="21"/>
        </w:rPr>
      </w:pPr>
    </w:p>
    <w:p w14:paraId="5D7CF73E">
      <w:pPr>
        <w:wordWrap w:val="0"/>
        <w:spacing w:line="360" w:lineRule="auto"/>
        <w:rPr>
          <w:rFonts w:ascii="Arial" w:hAnsi="Arial"/>
          <w:color w:val="auto"/>
          <w:sz w:val="21"/>
        </w:rPr>
      </w:pPr>
    </w:p>
    <w:p w14:paraId="0DFDC083">
      <w:pPr>
        <w:wordWrap w:val="0"/>
        <w:spacing w:line="360" w:lineRule="auto"/>
        <w:rPr>
          <w:rFonts w:ascii="Arial" w:hAnsi="Arial"/>
          <w:color w:val="auto"/>
          <w:sz w:val="21"/>
        </w:rPr>
      </w:pPr>
    </w:p>
    <w:p w14:paraId="7635248F">
      <w:pPr>
        <w:wordWrap w:val="0"/>
        <w:spacing w:line="360" w:lineRule="auto"/>
        <w:rPr>
          <w:rFonts w:ascii="Arial" w:hAnsi="Arial"/>
          <w:color w:val="auto"/>
          <w:sz w:val="21"/>
        </w:rPr>
      </w:pPr>
    </w:p>
    <w:p w14:paraId="1900DBDE">
      <w:pPr>
        <w:wordWrap w:val="0"/>
        <w:spacing w:line="360" w:lineRule="auto"/>
        <w:rPr>
          <w:rFonts w:ascii="Arial" w:hAnsi="Arial"/>
          <w:color w:val="auto"/>
          <w:sz w:val="21"/>
        </w:rPr>
      </w:pPr>
    </w:p>
    <w:p w14:paraId="65581D68">
      <w:pPr>
        <w:wordWrap w:val="0"/>
        <w:spacing w:line="360" w:lineRule="auto"/>
        <w:rPr>
          <w:rFonts w:ascii="Arial" w:hAnsi="Arial"/>
          <w:color w:val="auto"/>
          <w:sz w:val="21"/>
        </w:rPr>
      </w:pPr>
    </w:p>
    <w:p w14:paraId="64F8BAAC">
      <w:pPr>
        <w:wordWrap w:val="0"/>
        <w:spacing w:line="360" w:lineRule="auto"/>
        <w:rPr>
          <w:rFonts w:ascii="Arial" w:hAnsi="Arial"/>
          <w:color w:val="auto"/>
          <w:sz w:val="21"/>
        </w:rPr>
      </w:pPr>
    </w:p>
    <w:p w14:paraId="08AB696C">
      <w:pPr>
        <w:wordWrap w:val="0"/>
        <w:spacing w:line="360" w:lineRule="auto"/>
        <w:rPr>
          <w:rFonts w:ascii="Arial" w:hAnsi="Arial"/>
          <w:color w:val="auto"/>
          <w:sz w:val="21"/>
        </w:rPr>
      </w:pPr>
    </w:p>
    <w:p w14:paraId="1603C4B0">
      <w:pPr>
        <w:wordWrap w:val="0"/>
        <w:spacing w:line="360" w:lineRule="auto"/>
        <w:rPr>
          <w:rFonts w:ascii="Arial" w:hAnsi="Arial"/>
          <w:color w:val="auto"/>
          <w:sz w:val="21"/>
        </w:rPr>
      </w:pPr>
    </w:p>
    <w:p w14:paraId="784F6480">
      <w:pPr>
        <w:wordWrap w:val="0"/>
        <w:spacing w:line="360" w:lineRule="auto"/>
        <w:rPr>
          <w:rFonts w:ascii="Arial" w:hAnsi="Arial"/>
          <w:color w:val="auto"/>
          <w:sz w:val="21"/>
        </w:rPr>
      </w:pPr>
    </w:p>
    <w:p w14:paraId="0B113352">
      <w:pPr>
        <w:wordWrap w:val="0"/>
        <w:spacing w:line="360" w:lineRule="auto"/>
        <w:rPr>
          <w:rFonts w:ascii="Arial" w:hAnsi="Arial"/>
          <w:color w:val="auto"/>
          <w:sz w:val="21"/>
        </w:rPr>
      </w:pPr>
    </w:p>
    <w:p w14:paraId="1583DA93">
      <w:pPr>
        <w:wordWrap w:val="0"/>
        <w:spacing w:line="360" w:lineRule="auto"/>
        <w:rPr>
          <w:rFonts w:ascii="Arial" w:hAnsi="Arial"/>
          <w:color w:val="auto"/>
          <w:sz w:val="21"/>
        </w:rPr>
      </w:pPr>
    </w:p>
    <w:p w14:paraId="3831882A">
      <w:pPr>
        <w:wordWrap w:val="0"/>
        <w:spacing w:line="360" w:lineRule="auto"/>
        <w:rPr>
          <w:rFonts w:ascii="Arial" w:hAnsi="Arial"/>
          <w:color w:val="auto"/>
          <w:sz w:val="21"/>
        </w:rPr>
      </w:pPr>
    </w:p>
    <w:p w14:paraId="6C745067">
      <w:pPr>
        <w:wordWrap w:val="0"/>
        <w:spacing w:line="360" w:lineRule="auto"/>
        <w:rPr>
          <w:rFonts w:ascii="Arial" w:hAnsi="Arial"/>
          <w:color w:val="auto"/>
          <w:sz w:val="21"/>
        </w:rPr>
      </w:pPr>
    </w:p>
    <w:p w14:paraId="293C9E9D">
      <w:pPr>
        <w:wordWrap w:val="0"/>
        <w:spacing w:line="360" w:lineRule="auto"/>
        <w:rPr>
          <w:rFonts w:ascii="Arial" w:hAnsi="Arial"/>
          <w:color w:val="auto"/>
          <w:sz w:val="21"/>
        </w:rPr>
      </w:pPr>
    </w:p>
    <w:p w14:paraId="332D8656">
      <w:pPr>
        <w:wordWrap w:val="0"/>
        <w:spacing w:line="360" w:lineRule="auto"/>
        <w:rPr>
          <w:rFonts w:ascii="Arial" w:hAnsi="Arial"/>
          <w:color w:val="auto"/>
          <w:sz w:val="21"/>
        </w:rPr>
      </w:pPr>
    </w:p>
    <w:p w14:paraId="36FCF41B">
      <w:pPr>
        <w:wordWrap w:val="0"/>
        <w:spacing w:line="360" w:lineRule="auto"/>
        <w:rPr>
          <w:rFonts w:ascii="Arial" w:hAnsi="Arial"/>
          <w:color w:val="auto"/>
          <w:sz w:val="21"/>
        </w:rPr>
      </w:pPr>
    </w:p>
    <w:p w14:paraId="72FBAB4B">
      <w:pPr>
        <w:wordWrap w:val="0"/>
        <w:spacing w:line="360" w:lineRule="auto"/>
        <w:rPr>
          <w:rFonts w:ascii="Arial" w:hAnsi="Arial"/>
          <w:color w:val="auto"/>
          <w:sz w:val="21"/>
        </w:rPr>
      </w:pPr>
    </w:p>
    <w:p w14:paraId="65FA8990">
      <w:pPr>
        <w:pStyle w:val="7"/>
        <w:wordWrap w:val="0"/>
        <w:spacing w:before="0" w:line="360" w:lineRule="auto"/>
        <w:ind w:left="0" w:right="0" w:firstLine="3"/>
        <w:rPr>
          <w:color w:val="auto"/>
          <w:spacing w:val="1"/>
          <w:sz w:val="24"/>
          <w:szCs w:val="24"/>
        </w:rPr>
      </w:pPr>
      <w:r>
        <w:rPr>
          <w:color w:val="auto"/>
          <w:spacing w:val="-1"/>
          <w:sz w:val="24"/>
          <w:szCs w:val="24"/>
        </w:rPr>
        <w:t>发包人：柳州市防洪排涝工程管理处</w:t>
      </w:r>
      <w:r>
        <w:rPr>
          <w:color w:val="auto"/>
          <w:spacing w:val="1"/>
          <w:sz w:val="24"/>
          <w:szCs w:val="24"/>
        </w:rPr>
        <w:t xml:space="preserve"> </w:t>
      </w:r>
    </w:p>
    <w:p w14:paraId="5E71FB13">
      <w:pPr>
        <w:pStyle w:val="7"/>
        <w:wordWrap w:val="0"/>
        <w:spacing w:before="0" w:line="360" w:lineRule="auto"/>
        <w:ind w:left="0" w:right="0" w:firstLine="3"/>
        <w:rPr>
          <w:rFonts w:hint="eastAsia"/>
          <w:color w:val="auto"/>
          <w:spacing w:val="-1"/>
          <w:sz w:val="24"/>
          <w:szCs w:val="24"/>
          <w:lang w:eastAsia="zh-CN"/>
        </w:rPr>
      </w:pPr>
      <w:r>
        <w:rPr>
          <w:color w:val="auto"/>
          <w:spacing w:val="-1"/>
          <w:sz w:val="24"/>
          <w:szCs w:val="24"/>
        </w:rPr>
        <w:t>承包人：</w:t>
      </w:r>
    </w:p>
    <w:p w14:paraId="2407A49F">
      <w:pPr>
        <w:pStyle w:val="7"/>
        <w:wordWrap w:val="0"/>
        <w:spacing w:before="0" w:line="360" w:lineRule="auto"/>
        <w:ind w:left="0"/>
        <w:rPr>
          <w:color w:val="auto"/>
          <w:spacing w:val="-3"/>
          <w:sz w:val="24"/>
          <w:szCs w:val="24"/>
        </w:rPr>
      </w:pPr>
      <w:r>
        <w:rPr>
          <w:color w:val="auto"/>
          <w:spacing w:val="-3"/>
          <w:sz w:val="24"/>
          <w:szCs w:val="24"/>
        </w:rPr>
        <w:t>签订时间： 202</w:t>
      </w:r>
      <w:r>
        <w:rPr>
          <w:rFonts w:hint="eastAsia"/>
          <w:color w:val="auto"/>
          <w:spacing w:val="-3"/>
          <w:sz w:val="24"/>
          <w:szCs w:val="24"/>
          <w:lang w:val="en-US" w:eastAsia="zh-CN"/>
        </w:rPr>
        <w:t>6</w:t>
      </w:r>
      <w:r>
        <w:rPr>
          <w:color w:val="auto"/>
          <w:spacing w:val="-47"/>
          <w:sz w:val="24"/>
          <w:szCs w:val="24"/>
        </w:rPr>
        <w:t xml:space="preserve"> </w:t>
      </w:r>
      <w:r>
        <w:rPr>
          <w:color w:val="auto"/>
          <w:spacing w:val="-3"/>
          <w:sz w:val="24"/>
          <w:szCs w:val="24"/>
        </w:rPr>
        <w:t>年</w:t>
      </w:r>
      <w:r>
        <w:rPr>
          <w:color w:val="auto"/>
          <w:spacing w:val="5"/>
          <w:sz w:val="24"/>
          <w:szCs w:val="24"/>
        </w:rPr>
        <w:t xml:space="preserve">   </w:t>
      </w:r>
      <w:r>
        <w:rPr>
          <w:color w:val="auto"/>
          <w:spacing w:val="-3"/>
          <w:sz w:val="24"/>
          <w:szCs w:val="24"/>
        </w:rPr>
        <w:t>月</w:t>
      </w:r>
      <w:r>
        <w:rPr>
          <w:color w:val="auto"/>
          <w:spacing w:val="12"/>
          <w:sz w:val="24"/>
          <w:szCs w:val="24"/>
        </w:rPr>
        <w:t xml:space="preserve">    </w:t>
      </w:r>
      <w:r>
        <w:rPr>
          <w:color w:val="auto"/>
          <w:spacing w:val="-3"/>
          <w:sz w:val="24"/>
          <w:szCs w:val="24"/>
        </w:rPr>
        <w:t>日</w:t>
      </w:r>
    </w:p>
    <w:p w14:paraId="5CC7159F">
      <w:pPr>
        <w:rPr>
          <w:color w:val="auto"/>
          <w:spacing w:val="-3"/>
          <w:sz w:val="24"/>
          <w:szCs w:val="24"/>
        </w:rPr>
      </w:pPr>
      <w:r>
        <w:rPr>
          <w:color w:val="auto"/>
          <w:spacing w:val="-3"/>
          <w:sz w:val="24"/>
          <w:szCs w:val="24"/>
        </w:rPr>
        <w:br w:type="page"/>
      </w:r>
    </w:p>
    <w:p w14:paraId="6877D591">
      <w:pPr>
        <w:pStyle w:val="7"/>
        <w:wordWrap w:val="0"/>
        <w:spacing w:before="0" w:line="360" w:lineRule="auto"/>
        <w:ind w:left="0"/>
        <w:jc w:val="center"/>
        <w:rPr>
          <w:color w:val="auto"/>
        </w:rPr>
      </w:pPr>
      <w:r>
        <w:rPr>
          <w:b/>
          <w:bCs/>
          <w:color w:val="auto"/>
          <w:spacing w:val="6"/>
        </w:rPr>
        <w:t>第一部分</w:t>
      </w:r>
      <w:r>
        <w:rPr>
          <w:color w:val="auto"/>
          <w:spacing w:val="6"/>
        </w:rPr>
        <w:t xml:space="preserve">  </w:t>
      </w:r>
      <w:r>
        <w:rPr>
          <w:b/>
          <w:bCs/>
          <w:color w:val="auto"/>
          <w:spacing w:val="6"/>
        </w:rPr>
        <w:t>合同协议书</w:t>
      </w:r>
    </w:p>
    <w:p w14:paraId="632AC93D">
      <w:pPr>
        <w:wordWrap w:val="0"/>
        <w:spacing w:line="360" w:lineRule="auto"/>
        <w:rPr>
          <w:rFonts w:ascii="Arial" w:hAnsi="Arial"/>
          <w:color w:val="auto"/>
          <w:sz w:val="21"/>
        </w:rPr>
      </w:pPr>
    </w:p>
    <w:p w14:paraId="268B8C1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z w:val="24"/>
          <w:szCs w:val="24"/>
          <w:u w:val="single" w:color="auto"/>
        </w:rPr>
        <w:t xml:space="preserve"> 柳州市防洪排涝工程管理处 </w:t>
      </w:r>
    </w:p>
    <w:p w14:paraId="73F1C64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3"/>
        <w:textAlignment w:val="auto"/>
        <w:rPr>
          <w:rFonts w:ascii="宋体" w:hAnsi="宋体" w:eastAsia="宋体" w:cs="宋体"/>
          <w:color w:val="auto"/>
          <w:sz w:val="24"/>
          <w:szCs w:val="24"/>
          <w:u w:val="single" w:color="auto"/>
        </w:rPr>
      </w:pPr>
      <w:r>
        <w:rPr>
          <w:rFonts w:hint="eastAsia" w:ascii="宋体" w:hAnsi="宋体" w:eastAsia="宋体" w:cs="宋体"/>
          <w:color w:val="auto"/>
          <w:spacing w:val="-3"/>
          <w:sz w:val="24"/>
          <w:szCs w:val="24"/>
        </w:rPr>
        <w:t>承包人：</w:t>
      </w:r>
      <w:r>
        <w:rPr>
          <w:rFonts w:hint="eastAsia" w:ascii="宋体" w:hAnsi="宋体" w:eastAsia="宋体" w:cs="宋体"/>
          <w:color w:val="auto"/>
          <w:sz w:val="24"/>
          <w:szCs w:val="24"/>
          <w:u w:val="single" w:color="auto"/>
          <w:lang w:eastAsia="zh-CN"/>
        </w:rPr>
        <w:t xml:space="preserve">     </w:t>
      </w:r>
      <w:r>
        <w:rPr>
          <w:rFonts w:hint="eastAsia" w:ascii="宋体" w:hAnsi="宋体" w:eastAsia="宋体" w:cs="宋体"/>
          <w:color w:val="auto"/>
          <w:sz w:val="24"/>
          <w:szCs w:val="24"/>
          <w:u w:val="single" w:color="auto"/>
        </w:rPr>
        <w:t xml:space="preserve">         </w:t>
      </w:r>
      <w:r>
        <w:rPr>
          <w:rFonts w:hint="eastAsia" w:ascii="宋体" w:hAnsi="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07FC13E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经发承包双方协商，发包人委托承包人进行</w:t>
      </w:r>
      <w:r>
        <w:rPr>
          <w:rFonts w:hint="eastAsia" w:ascii="宋体" w:hAnsi="宋体" w:eastAsia="宋体" w:cs="宋体"/>
          <w:color w:val="auto"/>
          <w:spacing w:val="-4"/>
          <w:sz w:val="24"/>
          <w:szCs w:val="24"/>
          <w:u w:val="single" w:color="auto"/>
          <w:lang w:eastAsia="zh-CN"/>
        </w:rPr>
        <w:t xml:space="preserve"> </w:t>
      </w:r>
      <w:r>
        <w:rPr>
          <w:rFonts w:hint="eastAsia" w:ascii="宋体" w:hAnsi="宋体" w:cs="宋体"/>
          <w:color w:val="auto"/>
          <w:spacing w:val="-4"/>
          <w:sz w:val="24"/>
          <w:szCs w:val="24"/>
          <w:u w:val="single" w:color="auto"/>
          <w:lang w:eastAsia="zh-CN"/>
        </w:rPr>
        <w:t>泵站、堤防护坡清理维护工程 (2026年度)</w:t>
      </w:r>
      <w:r>
        <w:rPr>
          <w:rFonts w:hint="eastAsia" w:ascii="宋体" w:hAnsi="宋体" w:eastAsia="宋体" w:cs="宋体"/>
          <w:color w:val="auto"/>
          <w:spacing w:val="-1"/>
          <w:sz w:val="24"/>
          <w:szCs w:val="24"/>
        </w:rPr>
        <w:t>施工。发承包双方经充分协商，在平等、自愿、公平和诚实信用的基础上，就施工</w:t>
      </w:r>
      <w:r>
        <w:rPr>
          <w:rFonts w:hint="eastAsia" w:ascii="宋体" w:hAnsi="宋体" w:eastAsia="宋体" w:cs="宋体"/>
          <w:color w:val="auto"/>
          <w:spacing w:val="-3"/>
          <w:sz w:val="24"/>
          <w:szCs w:val="24"/>
        </w:rPr>
        <w:t>事宜达成以下协议，并承诺共同遵守。</w:t>
      </w:r>
    </w:p>
    <w:p w14:paraId="6AB8A16B">
      <w:pPr>
        <w:pStyle w:val="7"/>
        <w:keepNext w:val="0"/>
        <w:keepLines w:val="0"/>
        <w:pageBreakBefore w:val="0"/>
        <w:widowControl w:val="0"/>
        <w:kinsoku/>
        <w:wordWrap w:val="0"/>
        <w:overflowPunct/>
        <w:topLinePunct w:val="0"/>
        <w:autoSpaceDE/>
        <w:autoSpaceDN/>
        <w:bidi w:val="0"/>
        <w:adjustRightInd/>
        <w:snapToGrid/>
        <w:spacing w:after="0" w:line="360" w:lineRule="auto"/>
        <w:ind w:left="0" w:firstLine="458"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一、工程概况</w:t>
      </w:r>
    </w:p>
    <w:p w14:paraId="44D34D7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1.工程名称：</w:t>
      </w:r>
      <w:r>
        <w:rPr>
          <w:rFonts w:hint="eastAsia" w:ascii="宋体" w:hAnsi="宋体" w:cs="宋体"/>
          <w:color w:val="auto"/>
          <w:spacing w:val="-2"/>
          <w:sz w:val="24"/>
          <w:szCs w:val="24"/>
          <w:u w:val="none"/>
          <w:lang w:eastAsia="zh-CN"/>
        </w:rPr>
        <w:t>泵站、堤防护坡清理维护工程 (2026年度)</w:t>
      </w:r>
    </w:p>
    <w:p w14:paraId="1CEFB5A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pacing w:val="-2"/>
          <w:sz w:val="24"/>
          <w:szCs w:val="24"/>
          <w:u w:val="none"/>
          <w:lang w:val="en-US" w:eastAsia="zh-CN"/>
        </w:rPr>
      </w:pPr>
      <w:r>
        <w:rPr>
          <w:rFonts w:hint="eastAsia" w:ascii="宋体" w:hAnsi="宋体" w:eastAsia="宋体" w:cs="宋体"/>
          <w:color w:val="auto"/>
          <w:spacing w:val="-1"/>
          <w:sz w:val="24"/>
          <w:szCs w:val="24"/>
        </w:rPr>
        <w:t>2.工程地点：</w:t>
      </w:r>
      <w:r>
        <w:rPr>
          <w:rFonts w:hint="eastAsia" w:ascii="宋体" w:hAnsi="宋体" w:eastAsia="宋体" w:cs="宋体"/>
          <w:color w:val="auto"/>
          <w:spacing w:val="-2"/>
          <w:sz w:val="24"/>
          <w:szCs w:val="24"/>
          <w:u w:val="none"/>
          <w:lang w:val="en-US" w:eastAsia="zh-CN"/>
        </w:rPr>
        <w:t>业主指定地点</w:t>
      </w:r>
    </w:p>
    <w:p w14:paraId="08588BFB">
      <w:pPr>
        <w:pStyle w:val="7"/>
        <w:keepNext w:val="0"/>
        <w:keepLines w:val="0"/>
        <w:pageBreakBefore w:val="0"/>
        <w:widowControl w:val="0"/>
        <w:kinsoku/>
        <w:wordWrap w:val="0"/>
        <w:overflowPunct/>
        <w:topLinePunct w:val="0"/>
        <w:autoSpaceDE/>
        <w:autoSpaceDN/>
        <w:adjustRightInd/>
        <w:snapToGrid/>
        <w:spacing w:before="0" w:after="0" w:line="360" w:lineRule="auto"/>
        <w:ind w:left="0" w:firstLine="476" w:firstLineChars="200"/>
        <w:rPr>
          <w:rFonts w:hint="eastAsia" w:ascii="宋体" w:hAnsi="宋体" w:eastAsia="宋体" w:cs="宋体"/>
          <w:color w:val="auto"/>
          <w:sz w:val="24"/>
          <w:szCs w:val="24"/>
          <w:highlight w:val="yellow"/>
          <w:lang w:eastAsia="zh-CN"/>
        </w:rPr>
      </w:pPr>
      <w:r>
        <w:rPr>
          <w:rFonts w:hint="eastAsia" w:ascii="宋体" w:hAnsi="宋体" w:eastAsia="宋体" w:cs="宋体"/>
          <w:color w:val="auto"/>
          <w:spacing w:val="-1"/>
          <w:sz w:val="24"/>
          <w:szCs w:val="24"/>
        </w:rPr>
        <w:t>3.工程内容：</w:t>
      </w:r>
      <w:r>
        <w:rPr>
          <w:rFonts w:ascii="宋体" w:hAnsi="宋体" w:eastAsia="宋体" w:cs="宋体"/>
          <w:color w:val="auto"/>
          <w:spacing w:val="-1"/>
          <w:sz w:val="24"/>
          <w:szCs w:val="24"/>
        </w:rPr>
        <w:t>对柳州市业主指定防洪工程的杂树修枝砍伐及杂草割除并做好日常维户，按业主要求随时将杂树杂草清理干净</w:t>
      </w:r>
      <w:r>
        <w:rPr>
          <w:rFonts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u w:val="none"/>
          <w:lang w:val="en-US" w:eastAsia="zh-CN"/>
        </w:rPr>
        <w:t>具体内容详见</w:t>
      </w:r>
      <w:r>
        <w:rPr>
          <w:rFonts w:ascii="宋体" w:hAnsi="宋体" w:eastAsia="宋体" w:cs="宋体"/>
          <w:color w:val="auto"/>
          <w:spacing w:val="-2"/>
          <w:sz w:val="24"/>
          <w:szCs w:val="24"/>
          <w:highlight w:val="none"/>
          <w:u w:val="none"/>
          <w:lang w:val="en-US" w:eastAsia="zh-CN"/>
        </w:rPr>
        <w:t>工程量清单</w:t>
      </w:r>
      <w:r>
        <w:rPr>
          <w:rFonts w:hint="eastAsia" w:ascii="宋体" w:hAnsi="宋体" w:eastAsia="宋体" w:cs="宋体"/>
          <w:color w:val="auto"/>
          <w:spacing w:val="-2"/>
          <w:sz w:val="24"/>
          <w:szCs w:val="24"/>
          <w:highlight w:val="none"/>
          <w:u w:val="none"/>
          <w:lang w:eastAsia="zh-CN"/>
        </w:rPr>
        <w:t>。</w:t>
      </w:r>
    </w:p>
    <w:p w14:paraId="57E0282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6"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二、工程工期</w:t>
      </w:r>
    </w:p>
    <w:p w14:paraId="4EAFC15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施工工期：</w:t>
      </w:r>
      <w:r>
        <w:rPr>
          <w:rFonts w:hint="eastAsia" w:ascii="宋体" w:hAnsi="宋体" w:cs="宋体"/>
          <w:color w:val="auto"/>
          <w:spacing w:val="-2"/>
          <w:sz w:val="24"/>
          <w:szCs w:val="24"/>
          <w:u w:val="none"/>
          <w:lang w:eastAsia="zh-CN"/>
        </w:rPr>
        <w:t>合同签订之日起至2027年6月30日</w:t>
      </w:r>
      <w:r>
        <w:rPr>
          <w:rFonts w:hint="eastAsia" w:ascii="宋体" w:hAnsi="宋体" w:eastAsia="宋体" w:cs="宋体"/>
          <w:color w:val="auto"/>
          <w:spacing w:val="-2"/>
          <w:sz w:val="24"/>
          <w:szCs w:val="24"/>
          <w:u w:val="none"/>
          <w:lang w:eastAsia="zh-CN"/>
        </w:rPr>
        <w:t>。</w:t>
      </w:r>
    </w:p>
    <w:p w14:paraId="58C6D35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三、工程质量及验收</w:t>
      </w:r>
    </w:p>
    <w:p w14:paraId="256964A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工程质量必须符合国家或专业的质量检验评定规范标准,达到</w:t>
      </w:r>
      <w:r>
        <w:rPr>
          <w:rFonts w:hint="eastAsia" w:ascii="宋体" w:hAnsi="宋体" w:eastAsia="宋体" w:cs="宋体"/>
          <w:color w:val="auto"/>
          <w:spacing w:val="-1"/>
          <w:sz w:val="24"/>
          <w:szCs w:val="24"/>
          <w:u w:val="single" w:color="auto"/>
        </w:rPr>
        <w:t>合格</w:t>
      </w:r>
      <w:r>
        <w:rPr>
          <w:rFonts w:hint="eastAsia" w:ascii="宋体" w:hAnsi="宋体" w:eastAsia="宋体" w:cs="宋体"/>
          <w:color w:val="auto"/>
          <w:spacing w:val="-1"/>
          <w:sz w:val="24"/>
          <w:szCs w:val="24"/>
        </w:rPr>
        <w:t>要求，通过发</w:t>
      </w:r>
      <w:r>
        <w:rPr>
          <w:rFonts w:hint="eastAsia" w:ascii="宋体" w:hAnsi="宋体" w:eastAsia="宋体" w:cs="宋体"/>
          <w:color w:val="auto"/>
          <w:spacing w:val="-2"/>
          <w:sz w:val="24"/>
          <w:szCs w:val="24"/>
        </w:rPr>
        <w:t>包人验</w:t>
      </w:r>
      <w:r>
        <w:rPr>
          <w:rFonts w:hint="eastAsia" w:ascii="宋体" w:hAnsi="宋体" w:eastAsia="宋体" w:cs="宋体"/>
          <w:color w:val="auto"/>
          <w:spacing w:val="-14"/>
          <w:sz w:val="24"/>
          <w:szCs w:val="24"/>
        </w:rPr>
        <w:t>收。</w:t>
      </w:r>
    </w:p>
    <w:p w14:paraId="3C93B22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4"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pacing w:val="-7"/>
          <w:sz w:val="24"/>
          <w:szCs w:val="24"/>
        </w:rPr>
        <w:t>四、工程价款</w:t>
      </w:r>
    </w:p>
    <w:p w14:paraId="2622A15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1"/>
          <w:sz w:val="24"/>
          <w:szCs w:val="24"/>
        </w:rPr>
        <w:t>工程预控价为</w:t>
      </w:r>
      <w:r>
        <w:rPr>
          <w:rFonts w:hint="eastAsia" w:ascii="宋体" w:hAnsi="宋体" w:eastAsia="宋体" w:cs="宋体"/>
          <w:color w:val="auto"/>
          <w:spacing w:val="-1"/>
          <w:sz w:val="24"/>
          <w:szCs w:val="24"/>
          <w:u w:val="single" w:color="auto"/>
          <w:lang w:val="en-US" w:eastAsia="zh-CN"/>
        </w:rPr>
        <w:t xml:space="preserve">      </w:t>
      </w:r>
      <w:r>
        <w:rPr>
          <w:rFonts w:hint="eastAsia" w:ascii="宋体" w:hAnsi="宋体" w:eastAsia="宋体" w:cs="宋体"/>
          <w:color w:val="auto"/>
          <w:spacing w:val="-1"/>
          <w:sz w:val="24"/>
          <w:szCs w:val="24"/>
        </w:rPr>
        <w:t>元，让利系数为</w:t>
      </w:r>
      <w:r>
        <w:rPr>
          <w:rFonts w:hint="eastAsia" w:ascii="宋体" w:hAnsi="宋体" w:eastAsia="宋体" w:cs="宋体"/>
          <w:color w:val="auto"/>
          <w:spacing w:val="-120"/>
          <w:sz w:val="24"/>
          <w:szCs w:val="24"/>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rPr>
        <w:t>%，即工程总价</w:t>
      </w:r>
      <w:r>
        <w:rPr>
          <w:rFonts w:hint="eastAsia" w:ascii="宋体" w:hAnsi="宋体" w:eastAsia="宋体" w:cs="宋体"/>
          <w:color w:val="auto"/>
          <w:spacing w:val="-2"/>
          <w:sz w:val="24"/>
          <w:szCs w:val="24"/>
        </w:rPr>
        <w:t>暂定为</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2"/>
          <w:sz w:val="24"/>
          <w:szCs w:val="24"/>
          <w:u w:val="single" w:color="auto"/>
          <w:lang w:val="en-US" w:eastAsia="zh-CN"/>
        </w:rPr>
        <w:t xml:space="preserve">      </w:t>
      </w:r>
      <w:r>
        <w:rPr>
          <w:rFonts w:hint="eastAsia" w:ascii="宋体" w:hAnsi="宋体" w:eastAsia="宋体" w:cs="宋体"/>
          <w:color w:val="auto"/>
          <w:spacing w:val="-2"/>
          <w:sz w:val="24"/>
          <w:szCs w:val="24"/>
          <w:u w:val="single" w:color="auto"/>
        </w:rPr>
        <w:t>元（大写人</w:t>
      </w:r>
      <w:r>
        <w:rPr>
          <w:rFonts w:hint="eastAsia" w:ascii="宋体" w:hAnsi="宋体" w:eastAsia="宋体" w:cs="宋体"/>
          <w:color w:val="auto"/>
          <w:spacing w:val="-7"/>
          <w:sz w:val="24"/>
          <w:szCs w:val="24"/>
          <w:u w:val="single"/>
        </w:rPr>
        <w:t>民币</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8"/>
          <w:sz w:val="24"/>
          <w:szCs w:val="24"/>
        </w:rPr>
        <w:t>）。</w:t>
      </w:r>
    </w:p>
    <w:p w14:paraId="1897985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结算以发包人审核的工程量清单报价单价乘以实际完成</w:t>
      </w:r>
      <w:r>
        <w:rPr>
          <w:rFonts w:hint="eastAsia" w:ascii="宋体" w:hAnsi="宋体" w:eastAsia="宋体" w:cs="宋体"/>
          <w:color w:val="auto"/>
          <w:sz w:val="24"/>
          <w:szCs w:val="24"/>
        </w:rPr>
        <w:t>的工程量作为结算基础价款，</w:t>
      </w:r>
      <w:r>
        <w:rPr>
          <w:rFonts w:hint="eastAsia" w:ascii="宋体" w:hAnsi="宋体" w:eastAsia="宋体" w:cs="宋体"/>
          <w:color w:val="auto"/>
          <w:spacing w:val="-1"/>
          <w:sz w:val="24"/>
          <w:szCs w:val="24"/>
        </w:rPr>
        <w:t>最终的结算价款＝结算基础价款＋签证增加价款×（1－中</w:t>
      </w:r>
      <w:r>
        <w:rPr>
          <w:rFonts w:hint="eastAsia" w:ascii="宋体" w:hAnsi="宋体" w:eastAsia="宋体" w:cs="宋体"/>
          <w:color w:val="auto"/>
          <w:spacing w:val="-2"/>
          <w:sz w:val="24"/>
          <w:szCs w:val="24"/>
        </w:rPr>
        <w:t>标单位让利系数）。</w:t>
      </w:r>
    </w:p>
    <w:p w14:paraId="19F7DAF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最终结算价以发包人审核意见为准。</w:t>
      </w:r>
    </w:p>
    <w:p w14:paraId="738A3ED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4"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7"/>
          <w:sz w:val="24"/>
          <w:szCs w:val="24"/>
          <w:lang w:val="en-US" w:eastAsia="zh-CN"/>
        </w:rPr>
        <w:t>五</w:t>
      </w:r>
      <w:r>
        <w:rPr>
          <w:rFonts w:hint="eastAsia" w:ascii="宋体" w:hAnsi="宋体" w:eastAsia="宋体" w:cs="宋体"/>
          <w:b/>
          <w:bCs/>
          <w:color w:val="auto"/>
          <w:spacing w:val="-7"/>
          <w:sz w:val="24"/>
          <w:szCs w:val="24"/>
        </w:rPr>
        <w:t>、支付方式</w:t>
      </w:r>
    </w:p>
    <w:p w14:paraId="5C6ED51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本合同采用第</w:t>
      </w:r>
      <w:r>
        <w:rPr>
          <w:rFonts w:hint="eastAsia" w:ascii="宋体" w:hAnsi="宋体" w:eastAsia="宋体" w:cs="宋体"/>
          <w:color w:val="auto"/>
          <w:spacing w:val="-3"/>
          <w:sz w:val="24"/>
          <w:szCs w:val="24"/>
          <w:u w:val="single" w:color="auto"/>
        </w:rPr>
        <w:t xml:space="preserve"> 2 </w:t>
      </w:r>
      <w:r>
        <w:rPr>
          <w:rFonts w:hint="eastAsia" w:ascii="宋体" w:hAnsi="宋体" w:eastAsia="宋体" w:cs="宋体"/>
          <w:color w:val="auto"/>
          <w:spacing w:val="-3"/>
          <w:sz w:val="24"/>
          <w:szCs w:val="24"/>
        </w:rPr>
        <w:t>种方式支付。</w:t>
      </w:r>
    </w:p>
    <w:p w14:paraId="6EB919D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（1）一次性支付：</w:t>
      </w:r>
    </w:p>
    <w:p w14:paraId="541EC8D4">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工程完工验收合格后，承包人向发包人递交完整的结算资料，通过发包人审核后，承</w:t>
      </w:r>
      <w:r>
        <w:rPr>
          <w:rFonts w:hint="eastAsia" w:ascii="宋体" w:hAnsi="宋体" w:eastAsia="宋体" w:cs="宋体"/>
          <w:color w:val="auto"/>
          <w:spacing w:val="-2"/>
          <w:sz w:val="24"/>
          <w:szCs w:val="24"/>
        </w:rPr>
        <w:t>包人向发包人提供与结算价款同等金额的有效发票，发包人向承包人一次性支付施工费用。</w:t>
      </w:r>
    </w:p>
    <w:p w14:paraId="66AC299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（2）进度款支付：</w:t>
      </w:r>
    </w:p>
    <w:p w14:paraId="0B36DA8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5.1预付款支付</w:t>
      </w:r>
    </w:p>
    <w:p w14:paraId="2D8D775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8" w:firstLineChars="200"/>
        <w:jc w:val="both"/>
        <w:textAlignment w:val="auto"/>
        <w:rPr>
          <w:rFonts w:hint="eastAsia" w:ascii="宋体" w:hAnsi="宋体" w:eastAsia="宋体" w:cs="宋体"/>
          <w:color w:val="auto"/>
          <w:spacing w:val="-1"/>
          <w:sz w:val="24"/>
          <w:szCs w:val="24"/>
          <w:u w:val="single" w:color="auto"/>
        </w:rPr>
      </w:pPr>
      <w:r>
        <w:rPr>
          <w:rFonts w:hint="eastAsia" w:ascii="宋体" w:hAnsi="宋体" w:eastAsia="宋体" w:cs="宋体"/>
          <w:color w:val="auto"/>
          <w:spacing w:val="2"/>
          <w:sz w:val="24"/>
          <w:szCs w:val="24"/>
        </w:rPr>
        <w:t>合同签订后，发包人</w:t>
      </w:r>
      <w:r>
        <w:rPr>
          <w:rFonts w:hint="eastAsia" w:ascii="宋体" w:hAnsi="宋体" w:cs="宋体"/>
          <w:spacing w:val="2"/>
          <w:sz w:val="24"/>
        </w:rPr>
        <w:t>视资金到位情况</w:t>
      </w:r>
      <w:r>
        <w:rPr>
          <w:rFonts w:hint="eastAsia" w:ascii="宋体" w:hAnsi="宋体" w:eastAsia="宋体" w:cs="宋体"/>
          <w:color w:val="auto"/>
          <w:spacing w:val="2"/>
          <w:sz w:val="24"/>
          <w:szCs w:val="24"/>
        </w:rPr>
        <w:t>向承包人支付预付款，预付款金额为合同价的 30%</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u w:val="single" w:color="auto"/>
          <w:lang w:val="en-US" w:eastAsia="zh-CN"/>
        </w:rPr>
        <w:t>其</w:t>
      </w:r>
      <w:r>
        <w:rPr>
          <w:rFonts w:hint="eastAsia" w:ascii="宋体" w:hAnsi="宋体" w:eastAsia="宋体" w:cs="宋体"/>
          <w:color w:val="auto"/>
          <w:spacing w:val="-1"/>
          <w:sz w:val="24"/>
          <w:szCs w:val="24"/>
          <w:u w:val="single" w:color="auto"/>
        </w:rPr>
        <w:t>中60%转入农民工工资专户，</w:t>
      </w:r>
      <w:r>
        <w:rPr>
          <w:rFonts w:hint="eastAsia" w:ascii="宋体" w:hAnsi="宋体" w:eastAsia="宋体" w:cs="宋体"/>
          <w:color w:val="auto"/>
          <w:spacing w:val="-1"/>
          <w:sz w:val="24"/>
          <w:szCs w:val="24"/>
          <w:u w:val="single" w:color="auto"/>
          <w:lang w:eastAsia="zh-CN"/>
        </w:rPr>
        <w:t>账户名称：</w:t>
      </w:r>
      <w:r>
        <w:rPr>
          <w:rFonts w:hint="eastAsia" w:ascii="宋体" w:hAnsi="宋体" w:eastAsia="宋体" w:cs="宋体"/>
          <w:color w:val="auto"/>
          <w:spacing w:val="-1"/>
          <w:sz w:val="24"/>
          <w:szCs w:val="24"/>
          <w:u w:val="single" w:color="auto"/>
          <w:lang w:val="en-US" w:eastAsia="zh-CN"/>
        </w:rPr>
        <w:t xml:space="preserve">     开户行：      账号：       。</w:t>
      </w:r>
      <w:r>
        <w:rPr>
          <w:rFonts w:hint="eastAsia" w:ascii="宋体" w:hAnsi="宋体" w:eastAsia="宋体" w:cs="宋体"/>
          <w:color w:val="auto"/>
          <w:spacing w:val="-1"/>
          <w:sz w:val="24"/>
          <w:szCs w:val="24"/>
          <w:u w:val="single" w:color="auto"/>
        </w:rPr>
        <w:t>40%转入工程款账户</w:t>
      </w:r>
      <w:r>
        <w:rPr>
          <w:rFonts w:hint="eastAsia" w:ascii="宋体" w:hAnsi="宋体" w:eastAsia="宋体" w:cs="宋体"/>
          <w:color w:val="auto"/>
          <w:spacing w:val="-1"/>
          <w:sz w:val="24"/>
          <w:szCs w:val="24"/>
          <w:u w:val="single" w:color="auto"/>
          <w:lang w:eastAsia="zh-CN"/>
        </w:rPr>
        <w:t>，账户名称：</w:t>
      </w:r>
      <w:r>
        <w:rPr>
          <w:rFonts w:hint="eastAsia" w:ascii="宋体" w:hAnsi="宋体" w:eastAsia="宋体" w:cs="宋体"/>
          <w:color w:val="auto"/>
          <w:spacing w:val="-1"/>
          <w:sz w:val="24"/>
          <w:szCs w:val="24"/>
          <w:u w:val="single" w:color="auto"/>
          <w:lang w:val="en-US" w:eastAsia="zh-CN"/>
        </w:rPr>
        <w:t xml:space="preserve">     开户行：      账号：       。</w:t>
      </w:r>
      <w:r>
        <w:rPr>
          <w:rFonts w:hint="eastAsia" w:ascii="宋体" w:hAnsi="宋体" w:eastAsia="宋体" w:cs="宋体"/>
          <w:color w:val="auto"/>
          <w:spacing w:val="-1"/>
          <w:sz w:val="24"/>
          <w:szCs w:val="24"/>
          <w:u w:val="single" w:color="auto"/>
        </w:rPr>
        <w:t>）</w:t>
      </w:r>
    </w:p>
    <w:p w14:paraId="1A83C4C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5.2进度款支付</w:t>
      </w:r>
    </w:p>
    <w:p w14:paraId="753C9F96">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7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经发包人审核后，进度款拨付的额度为当期完成工程价款的</w:t>
      </w:r>
      <w:r>
        <w:rPr>
          <w:rFonts w:hint="eastAsia" w:ascii="宋体" w:hAnsi="宋体" w:eastAsia="宋体" w:cs="宋体"/>
          <w:color w:val="auto"/>
          <w:spacing w:val="-3"/>
          <w:sz w:val="24"/>
          <w:szCs w:val="24"/>
          <w:u w:val="single" w:color="auto"/>
        </w:rPr>
        <w:t>80%（</w:t>
      </w:r>
      <w:r>
        <w:rPr>
          <w:rFonts w:hint="eastAsia" w:ascii="宋体" w:hAnsi="宋体" w:eastAsia="宋体" w:cs="宋体"/>
          <w:color w:val="auto"/>
          <w:spacing w:val="-3"/>
          <w:sz w:val="24"/>
          <w:szCs w:val="24"/>
          <w:u w:val="single" w:color="auto"/>
          <w:lang w:eastAsia="zh-CN"/>
        </w:rPr>
        <w:t>其中</w:t>
      </w:r>
      <w:r>
        <w:rPr>
          <w:rFonts w:hint="eastAsia" w:ascii="宋体" w:hAnsi="宋体" w:eastAsia="宋体" w:cs="宋体"/>
          <w:color w:val="auto"/>
          <w:spacing w:val="-3"/>
          <w:sz w:val="24"/>
          <w:szCs w:val="24"/>
          <w:u w:val="single" w:color="auto"/>
          <w:lang w:val="en-US" w:eastAsia="zh-CN"/>
        </w:rPr>
        <w:t>60%转入农民工工资专户，40%转入工程款账户）。</w:t>
      </w:r>
    </w:p>
    <w:p w14:paraId="184615C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5.3结算支付</w:t>
      </w:r>
    </w:p>
    <w:p w14:paraId="1D40311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54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6"/>
          <w:sz w:val="24"/>
          <w:szCs w:val="24"/>
          <w:lang w:eastAsia="zh-CN"/>
        </w:rPr>
        <w:t>完工</w:t>
      </w:r>
      <w:r>
        <w:rPr>
          <w:rFonts w:hint="eastAsia" w:ascii="宋体" w:hAnsi="宋体" w:eastAsia="宋体" w:cs="宋体"/>
          <w:color w:val="auto"/>
          <w:spacing w:val="16"/>
          <w:sz w:val="24"/>
          <w:szCs w:val="24"/>
        </w:rPr>
        <w:t>结算报告经发包人或柳州市财政评审中心审核确认后支付至工程结算价款的</w:t>
      </w:r>
      <w:r>
        <w:rPr>
          <w:rFonts w:hint="eastAsia" w:ascii="宋体" w:hAnsi="宋体" w:eastAsia="宋体" w:cs="宋体"/>
          <w:color w:val="auto"/>
          <w:spacing w:val="-5"/>
          <w:sz w:val="24"/>
          <w:szCs w:val="24"/>
          <w:u w:val="single" w:color="auto"/>
        </w:rPr>
        <w:t>100%</w:t>
      </w:r>
      <w:r>
        <w:rPr>
          <w:rFonts w:hint="eastAsia" w:ascii="宋体" w:hAnsi="宋体" w:eastAsia="宋体" w:cs="宋体"/>
          <w:color w:val="auto"/>
          <w:spacing w:val="-5"/>
          <w:sz w:val="24"/>
          <w:szCs w:val="24"/>
        </w:rPr>
        <w:t>。</w:t>
      </w:r>
      <w:r>
        <w:rPr>
          <w:rFonts w:hint="eastAsia" w:ascii="宋体" w:hAnsi="宋体" w:eastAsia="宋体" w:cs="宋体"/>
          <w:strike w:val="0"/>
          <w:dstrike w:val="0"/>
          <w:color w:val="auto"/>
          <w:spacing w:val="-3"/>
          <w:sz w:val="24"/>
          <w:szCs w:val="24"/>
        </w:rPr>
        <w:t>承包人向发包人提供支付金额同等金额的有效发票</w:t>
      </w:r>
      <w:r>
        <w:rPr>
          <w:rFonts w:hint="eastAsia" w:ascii="宋体" w:hAnsi="宋体" w:eastAsia="宋体" w:cs="宋体"/>
          <w:strike w:val="0"/>
          <w:dstrike w:val="0"/>
          <w:color w:val="auto"/>
          <w:spacing w:val="-11"/>
          <w:sz w:val="24"/>
          <w:szCs w:val="24"/>
        </w:rPr>
        <w:t>。</w:t>
      </w:r>
    </w:p>
    <w:p w14:paraId="1E87123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六、双方权利与义务</w:t>
      </w:r>
    </w:p>
    <w:p w14:paraId="608EAA4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（一）发包人权利与义务</w:t>
      </w:r>
    </w:p>
    <w:p w14:paraId="4B01848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4" w:firstLineChars="200"/>
        <w:jc w:val="both"/>
        <w:textAlignment w:val="auto"/>
        <w:rPr>
          <w:rFonts w:hint="eastAsia" w:ascii="宋体" w:hAnsi="宋体" w:eastAsia="宋体" w:cs="宋体"/>
          <w:color w:val="auto"/>
          <w:spacing w:val="9"/>
          <w:sz w:val="24"/>
          <w:szCs w:val="24"/>
          <w:lang w:eastAsia="zh-CN"/>
        </w:rPr>
      </w:pPr>
      <w:r>
        <w:rPr>
          <w:rFonts w:hint="eastAsia" w:ascii="宋体" w:hAnsi="宋体" w:eastAsia="宋体" w:cs="宋体"/>
          <w:color w:val="auto"/>
          <w:spacing w:val="-4"/>
          <w:sz w:val="24"/>
          <w:szCs w:val="24"/>
        </w:rPr>
        <w:t>1.向承包人提供施工用地、用电便利。</w:t>
      </w:r>
    </w:p>
    <w:p w14:paraId="00A5C34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2.按约定支付工程款。</w:t>
      </w:r>
    </w:p>
    <w:p w14:paraId="2F2328F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3.组织、参加工程验收。</w:t>
      </w:r>
    </w:p>
    <w:p w14:paraId="13A9C84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（二）承包人权利与义务</w:t>
      </w:r>
    </w:p>
    <w:p w14:paraId="60581B4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1.按照相关执行规范要求及约定工期完成工程施工。</w:t>
      </w:r>
    </w:p>
    <w:p w14:paraId="338B56A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2.参加工程验收。</w:t>
      </w:r>
    </w:p>
    <w:p w14:paraId="111C0D6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3.按发包人要求提交完工</w:t>
      </w:r>
      <w:r>
        <w:rPr>
          <w:rFonts w:hint="eastAsia" w:ascii="宋体" w:hAnsi="宋体" w:eastAsia="宋体" w:cs="宋体"/>
          <w:color w:val="auto"/>
          <w:spacing w:val="-4"/>
          <w:sz w:val="24"/>
          <w:szCs w:val="24"/>
          <w:lang w:val="en-US" w:eastAsia="zh-CN"/>
        </w:rPr>
        <w:t>及结算</w:t>
      </w:r>
      <w:r>
        <w:rPr>
          <w:rFonts w:hint="eastAsia" w:ascii="宋体" w:hAnsi="宋体" w:eastAsia="宋体" w:cs="宋体"/>
          <w:color w:val="auto"/>
          <w:spacing w:val="-4"/>
          <w:sz w:val="24"/>
          <w:szCs w:val="24"/>
        </w:rPr>
        <w:t>资料。</w:t>
      </w:r>
    </w:p>
    <w:p w14:paraId="4269F7A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4.按施工安全有关规定，采取严格的安全防护措施，并承担由于自身安全措施不力造成伤亡事故的责任和因此发生的一切费用。非承包人责任造成的伤亡事故，由责任方承担</w:t>
      </w:r>
      <w:r>
        <w:rPr>
          <w:rFonts w:hint="eastAsia" w:ascii="宋体" w:hAnsi="宋体" w:eastAsia="宋体" w:cs="宋体"/>
          <w:color w:val="auto"/>
          <w:spacing w:val="-6"/>
          <w:sz w:val="24"/>
          <w:szCs w:val="24"/>
        </w:rPr>
        <w:t>责任和有关费用。</w:t>
      </w:r>
    </w:p>
    <w:p w14:paraId="25228E33">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5.承包人应遵守政府和有关部门对施工场地交通和施工噪音及文明、安</w:t>
      </w:r>
      <w:r>
        <w:rPr>
          <w:rFonts w:hint="eastAsia" w:ascii="宋体" w:hAnsi="宋体" w:eastAsia="宋体" w:cs="宋体"/>
          <w:color w:val="auto"/>
          <w:spacing w:val="1"/>
          <w:sz w:val="24"/>
          <w:szCs w:val="24"/>
        </w:rPr>
        <w:t>全施工等管理</w:t>
      </w:r>
      <w:r>
        <w:rPr>
          <w:rFonts w:hint="eastAsia" w:ascii="宋体" w:hAnsi="宋体" w:eastAsia="宋体" w:cs="宋体"/>
          <w:color w:val="auto"/>
          <w:spacing w:val="-2"/>
          <w:sz w:val="24"/>
          <w:szCs w:val="24"/>
        </w:rPr>
        <w:t>规定。承担因违反有关规定造成的损失和罚</w:t>
      </w:r>
      <w:r>
        <w:rPr>
          <w:rFonts w:hint="eastAsia" w:ascii="宋体" w:hAnsi="宋体" w:eastAsia="宋体" w:cs="宋体"/>
          <w:color w:val="auto"/>
          <w:spacing w:val="-3"/>
          <w:sz w:val="24"/>
          <w:szCs w:val="24"/>
        </w:rPr>
        <w:t>款。</w:t>
      </w:r>
    </w:p>
    <w:p w14:paraId="3C396756">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6.承包人自行负责施工安全保卫工作及施工照明和负责办理有关施工场地交通、环卫</w:t>
      </w:r>
      <w:r>
        <w:rPr>
          <w:rFonts w:hint="eastAsia" w:ascii="宋体" w:hAnsi="宋体" w:eastAsia="宋体" w:cs="宋体"/>
          <w:color w:val="auto"/>
          <w:spacing w:val="-3"/>
          <w:sz w:val="24"/>
          <w:szCs w:val="24"/>
        </w:rPr>
        <w:t>和施工噪音管理等手续，并承担相应的费用。</w:t>
      </w:r>
    </w:p>
    <w:p w14:paraId="577CE7C1">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7.按时、足额发放农民工工资</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支付周期：由承包人按月发放</w:t>
      </w:r>
      <w:r>
        <w:rPr>
          <w:rFonts w:hint="eastAsia" w:ascii="宋体" w:hAnsi="宋体" w:eastAsia="宋体" w:cs="宋体"/>
          <w:color w:val="auto"/>
          <w:spacing w:val="-4"/>
          <w:sz w:val="24"/>
          <w:szCs w:val="24"/>
        </w:rPr>
        <w:t>。</w:t>
      </w:r>
    </w:p>
    <w:p w14:paraId="22D75BB2">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96" w:firstLineChars="200"/>
        <w:jc w:val="both"/>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8.工程完工验收后，承包人须在1个月内向发包人提交完工结算资料。如超过约定时间提交结算资料，发包人可根据实际情况要求承包人支付违约金，违约金按1000元/天标准计算。</w:t>
      </w:r>
    </w:p>
    <w:p w14:paraId="5B854DBC">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96" w:firstLineChars="200"/>
        <w:jc w:val="both"/>
        <w:textAlignment w:val="auto"/>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9.由于承包人原因造成工期延误的，发包人可根据实际情况要求承包人支付违约金，违约金按1000元/天标准计算。</w:t>
      </w:r>
    </w:p>
    <w:p w14:paraId="439BD8B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4"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2"/>
          <w:sz w:val="24"/>
          <w:szCs w:val="24"/>
        </w:rPr>
        <w:t>七、解决争议</w:t>
      </w:r>
    </w:p>
    <w:p w14:paraId="38B8A2F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1.双方在履行该协议过程中发生争议，应协商解决，如协</w:t>
      </w:r>
      <w:r>
        <w:rPr>
          <w:rFonts w:hint="eastAsia" w:ascii="宋体" w:hAnsi="宋体" w:eastAsia="宋体" w:cs="宋体"/>
          <w:color w:val="auto"/>
          <w:spacing w:val="1"/>
          <w:sz w:val="24"/>
          <w:szCs w:val="24"/>
        </w:rPr>
        <w:t>商不成，向柳州市柳北区人</w:t>
      </w:r>
      <w:r>
        <w:rPr>
          <w:rFonts w:hint="eastAsia" w:ascii="宋体" w:hAnsi="宋体" w:eastAsia="宋体" w:cs="宋体"/>
          <w:color w:val="auto"/>
          <w:spacing w:val="-8"/>
          <w:sz w:val="24"/>
          <w:szCs w:val="24"/>
        </w:rPr>
        <w:t>民法院提起诉讼。</w:t>
      </w:r>
    </w:p>
    <w:p w14:paraId="7572D077">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2.双方以诉讼方式解决争议的，违约方或侵权方应当承担守约方或被侵权方为诉讼而支出的所有费用，包括但不限于诉讼费、保全费、执行费、律师费及诉讼财产保全担保保</w:t>
      </w:r>
      <w:r>
        <w:rPr>
          <w:rFonts w:hint="eastAsia" w:ascii="宋体" w:hAnsi="宋体" w:eastAsia="宋体" w:cs="宋体"/>
          <w:color w:val="auto"/>
          <w:spacing w:val="-9"/>
          <w:sz w:val="24"/>
          <w:szCs w:val="24"/>
        </w:rPr>
        <w:t>险费等。</w:t>
      </w:r>
    </w:p>
    <w:p w14:paraId="7416BD3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6"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八、合同生效及其他</w:t>
      </w:r>
    </w:p>
    <w:p w14:paraId="63DCC3F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1.本合同经双方签字或盖章，并加盖公章或合同专用章</w:t>
      </w:r>
      <w:r>
        <w:rPr>
          <w:rFonts w:hint="eastAsia" w:ascii="宋体" w:hAnsi="宋体" w:eastAsia="宋体" w:cs="宋体"/>
          <w:color w:val="auto"/>
          <w:spacing w:val="-3"/>
          <w:sz w:val="24"/>
          <w:szCs w:val="24"/>
        </w:rPr>
        <w:t>后生效。</w:t>
      </w:r>
    </w:p>
    <w:p w14:paraId="23458EA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2.本合同一式</w:t>
      </w:r>
      <w:r>
        <w:rPr>
          <w:rFonts w:hint="eastAsia" w:ascii="宋体" w:hAnsi="宋体" w:eastAsia="宋体" w:cs="宋体"/>
          <w:color w:val="auto"/>
          <w:spacing w:val="-1"/>
          <w:sz w:val="24"/>
          <w:szCs w:val="24"/>
          <w:u w:val="single" w:color="auto"/>
          <w:lang w:eastAsia="zh-CN"/>
        </w:rPr>
        <w:t>捌</w:t>
      </w:r>
      <w:r>
        <w:rPr>
          <w:rFonts w:hint="eastAsia" w:ascii="宋体" w:hAnsi="宋体" w:eastAsia="宋体" w:cs="宋体"/>
          <w:color w:val="auto"/>
          <w:spacing w:val="-1"/>
          <w:sz w:val="24"/>
          <w:szCs w:val="24"/>
        </w:rPr>
        <w:t>份，具有同等法律效力，发包人执</w:t>
      </w:r>
      <w:r>
        <w:rPr>
          <w:rFonts w:hint="eastAsia" w:ascii="宋体" w:hAnsi="宋体" w:eastAsia="宋体" w:cs="宋体"/>
          <w:color w:val="auto"/>
          <w:spacing w:val="-1"/>
          <w:sz w:val="24"/>
          <w:szCs w:val="24"/>
          <w:u w:val="single" w:color="auto"/>
        </w:rPr>
        <w:t>伍</w:t>
      </w:r>
      <w:r>
        <w:rPr>
          <w:rFonts w:hint="eastAsia" w:ascii="宋体" w:hAnsi="宋体" w:eastAsia="宋体" w:cs="宋体"/>
          <w:color w:val="auto"/>
          <w:spacing w:val="-1"/>
          <w:sz w:val="24"/>
          <w:szCs w:val="24"/>
        </w:rPr>
        <w:t>份，承包人执</w:t>
      </w:r>
      <w:r>
        <w:rPr>
          <w:rFonts w:hint="eastAsia" w:ascii="宋体" w:hAnsi="宋体" w:eastAsia="宋体" w:cs="宋体"/>
          <w:color w:val="auto"/>
          <w:spacing w:val="-1"/>
          <w:sz w:val="24"/>
          <w:szCs w:val="24"/>
          <w:u w:val="single" w:color="auto"/>
          <w:lang w:eastAsia="zh-CN"/>
        </w:rPr>
        <w:t>叁</w:t>
      </w:r>
      <w:r>
        <w:rPr>
          <w:rFonts w:hint="eastAsia" w:ascii="宋体" w:hAnsi="宋体" w:eastAsia="宋体" w:cs="宋体"/>
          <w:color w:val="auto"/>
          <w:spacing w:val="-1"/>
          <w:sz w:val="24"/>
          <w:szCs w:val="24"/>
        </w:rPr>
        <w:t>份。</w:t>
      </w:r>
    </w:p>
    <w:p w14:paraId="47BB81C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3.本合同未尽事宜，经双方协商一致并按《中华人民共和国民法典》</w:t>
      </w:r>
      <w:r>
        <w:rPr>
          <w:rFonts w:hint="eastAsia" w:ascii="宋体" w:hAnsi="宋体" w:eastAsia="宋体" w:cs="宋体"/>
          <w:color w:val="auto"/>
          <w:spacing w:val="-2"/>
          <w:sz w:val="24"/>
          <w:szCs w:val="24"/>
        </w:rPr>
        <w:t>有关规定处理。</w:t>
      </w:r>
    </w:p>
    <w:p w14:paraId="30F115A8">
      <w:pPr>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p>
    <w:tbl>
      <w:tblPr>
        <w:tblStyle w:val="16"/>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16"/>
        <w:gridCol w:w="4950"/>
      </w:tblGrid>
      <w:tr w14:paraId="00DC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4316" w:type="dxa"/>
          </w:tcPr>
          <w:p w14:paraId="4311B836">
            <w:pPr>
              <w:pStyle w:val="24"/>
              <w:keepNext w:val="0"/>
              <w:keepLines w:val="0"/>
              <w:pageBreakBefore w:val="0"/>
              <w:widowControl w:val="0"/>
              <w:kinsoku/>
              <w:wordWrap w:val="0"/>
              <w:overflowPunct/>
              <w:topLinePunct w:val="0"/>
              <w:autoSpaceDE/>
              <w:autoSpaceDN/>
              <w:bidi w:val="0"/>
              <w:adjustRightInd/>
              <w:snapToGrid/>
              <w:spacing w:before="0" w:line="360" w:lineRule="auto"/>
              <w:ind w:left="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9"/>
                <w:sz w:val="24"/>
                <w:szCs w:val="24"/>
              </w:rPr>
              <w:t>发包人（盖章</w:t>
            </w:r>
            <w:r>
              <w:rPr>
                <w:rFonts w:hint="eastAsia" w:ascii="宋体" w:hAnsi="宋体" w:eastAsia="宋体" w:cs="宋体"/>
                <w:color w:val="auto"/>
                <w:spacing w:val="-4"/>
                <w:sz w:val="24"/>
                <w:szCs w:val="24"/>
              </w:rPr>
              <w:t>）：</w:t>
            </w:r>
          </w:p>
        </w:tc>
        <w:tc>
          <w:tcPr>
            <w:tcW w:w="4950" w:type="dxa"/>
          </w:tcPr>
          <w:p w14:paraId="6D9BEA6D">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承包人（盖章</w:t>
            </w:r>
            <w:r>
              <w:rPr>
                <w:rFonts w:hint="eastAsia" w:ascii="宋体" w:hAnsi="宋体" w:eastAsia="宋体" w:cs="宋体"/>
                <w:color w:val="auto"/>
                <w:spacing w:val="-2"/>
                <w:sz w:val="24"/>
                <w:szCs w:val="24"/>
              </w:rPr>
              <w:t>）：</w:t>
            </w:r>
          </w:p>
        </w:tc>
      </w:tr>
      <w:tr w14:paraId="406B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4316" w:type="dxa"/>
          </w:tcPr>
          <w:p w14:paraId="568C85B4">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柳州市防洪排涝工程管理处</w:t>
            </w:r>
          </w:p>
          <w:p w14:paraId="5989BDA4">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pacing w:val="-1"/>
                <w:sz w:val="24"/>
                <w:szCs w:val="24"/>
                <w:lang w:val="en-US" w:eastAsia="zh-CN"/>
              </w:rPr>
            </w:pPr>
          </w:p>
        </w:tc>
        <w:tc>
          <w:tcPr>
            <w:tcW w:w="4950" w:type="dxa"/>
            <w:tcBorders>
              <w:left w:val="nil"/>
            </w:tcBorders>
          </w:tcPr>
          <w:p w14:paraId="7AD9F4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28D3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4316" w:type="dxa"/>
          </w:tcPr>
          <w:p w14:paraId="7081152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3"/>
              <w:textAlignment w:val="auto"/>
              <w:rPr>
                <w:rFonts w:hint="eastAsia" w:ascii="宋体" w:hAnsi="宋体" w:eastAsia="宋体" w:cs="宋体"/>
                <w:color w:val="auto"/>
                <w:sz w:val="24"/>
                <w:szCs w:val="24"/>
                <w:u w:val="none" w:color="auto"/>
              </w:rPr>
            </w:pPr>
          </w:p>
          <w:p w14:paraId="0FE6A645">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pacing w:val="-1"/>
                <w:sz w:val="24"/>
                <w:szCs w:val="24"/>
                <w:lang w:val="en-US" w:eastAsia="zh-CN"/>
              </w:rPr>
            </w:pPr>
          </w:p>
        </w:tc>
        <w:tc>
          <w:tcPr>
            <w:tcW w:w="4950" w:type="dxa"/>
            <w:tcBorders>
              <w:left w:val="nil"/>
            </w:tcBorders>
          </w:tcPr>
          <w:p w14:paraId="28C600E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3"/>
              <w:textAlignment w:val="auto"/>
              <w:rPr>
                <w:rFonts w:hint="eastAsia" w:ascii="宋体" w:hAnsi="宋体" w:eastAsia="宋体" w:cs="宋体"/>
                <w:color w:val="auto"/>
                <w:sz w:val="24"/>
                <w:szCs w:val="24"/>
                <w:u w:val="none" w:color="auto"/>
              </w:rPr>
            </w:pPr>
            <w:r>
              <w:rPr>
                <w:rFonts w:ascii="宋体" w:hAnsi="宋体" w:eastAsia="宋体" w:cs="宋体"/>
                <w:color w:val="auto"/>
                <w:sz w:val="24"/>
                <w:szCs w:val="24"/>
                <w:u w:val="none" w:color="auto"/>
              </w:rPr>
              <w:t>统一信用代码：</w:t>
            </w:r>
          </w:p>
          <w:p w14:paraId="0590EF6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p>
        </w:tc>
      </w:tr>
      <w:tr w14:paraId="2F94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4316" w:type="dxa"/>
          </w:tcPr>
          <w:p w14:paraId="49696A91">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w:t>
            </w:r>
          </w:p>
        </w:tc>
        <w:tc>
          <w:tcPr>
            <w:tcW w:w="4950" w:type="dxa"/>
            <w:tcBorders>
              <w:left w:val="nil"/>
            </w:tcBorders>
          </w:tcPr>
          <w:p w14:paraId="0EDC03D8">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w:t>
            </w:r>
          </w:p>
        </w:tc>
      </w:tr>
      <w:tr w14:paraId="0570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4316" w:type="dxa"/>
          </w:tcPr>
          <w:p w14:paraId="2012E01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28C014E">
            <w:pPr>
              <w:pStyle w:val="24"/>
              <w:keepNext w:val="0"/>
              <w:keepLines w:val="0"/>
              <w:pageBreakBefore w:val="0"/>
              <w:widowControl w:val="0"/>
              <w:kinsoku/>
              <w:wordWrap w:val="0"/>
              <w:overflowPunct/>
              <w:topLinePunct w:val="0"/>
              <w:autoSpaceDE/>
              <w:autoSpaceDN/>
              <w:bidi w:val="0"/>
              <w:adjustRightInd/>
              <w:snapToGrid/>
              <w:spacing w:before="0"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或委托代理人：</w:t>
            </w:r>
          </w:p>
        </w:tc>
        <w:tc>
          <w:tcPr>
            <w:tcW w:w="4950" w:type="dxa"/>
            <w:tcBorders>
              <w:left w:val="nil"/>
            </w:tcBorders>
          </w:tcPr>
          <w:p w14:paraId="3D3369C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8969C7C">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或委托代理人：</w:t>
            </w:r>
          </w:p>
        </w:tc>
      </w:tr>
      <w:tr w14:paraId="07E0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4316" w:type="dxa"/>
          </w:tcPr>
          <w:p w14:paraId="558E0EED">
            <w:pPr>
              <w:pStyle w:val="24"/>
              <w:keepNext w:val="0"/>
              <w:keepLines w:val="0"/>
              <w:pageBreakBefore w:val="0"/>
              <w:widowControl w:val="0"/>
              <w:kinsoku/>
              <w:wordWrap w:val="0"/>
              <w:overflowPunct/>
              <w:topLinePunct w:val="0"/>
              <w:autoSpaceDE/>
              <w:autoSpaceDN/>
              <w:bidi w:val="0"/>
              <w:adjustRightInd/>
              <w:snapToGrid/>
              <w:spacing w:before="0"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经办人：</w:t>
            </w:r>
          </w:p>
        </w:tc>
        <w:tc>
          <w:tcPr>
            <w:tcW w:w="4950" w:type="dxa"/>
            <w:tcBorders>
              <w:left w:val="nil"/>
            </w:tcBorders>
          </w:tcPr>
          <w:p w14:paraId="0C129C2C">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经办人：</w:t>
            </w:r>
          </w:p>
        </w:tc>
      </w:tr>
      <w:tr w14:paraId="1337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4316" w:type="dxa"/>
          </w:tcPr>
          <w:p w14:paraId="520D42A0">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联系电话：</w:t>
            </w:r>
          </w:p>
        </w:tc>
        <w:tc>
          <w:tcPr>
            <w:tcW w:w="4950" w:type="dxa"/>
            <w:tcBorders>
              <w:left w:val="nil"/>
            </w:tcBorders>
          </w:tcPr>
          <w:p w14:paraId="1CF9B514">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联系电话：</w:t>
            </w:r>
          </w:p>
        </w:tc>
      </w:tr>
      <w:tr w14:paraId="1BF9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4316" w:type="dxa"/>
          </w:tcPr>
          <w:p w14:paraId="02E18C19">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p>
        </w:tc>
        <w:tc>
          <w:tcPr>
            <w:tcW w:w="4950" w:type="dxa"/>
            <w:tcBorders>
              <w:left w:val="nil"/>
            </w:tcBorders>
          </w:tcPr>
          <w:p w14:paraId="077DC124">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5"/>
                <w:sz w:val="24"/>
                <w:szCs w:val="24"/>
              </w:rPr>
              <w:t>地址：</w:t>
            </w:r>
          </w:p>
        </w:tc>
      </w:tr>
      <w:tr w14:paraId="3C39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4316" w:type="dxa"/>
          </w:tcPr>
          <w:p w14:paraId="5952B93C">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开户行：</w:t>
            </w:r>
          </w:p>
        </w:tc>
        <w:tc>
          <w:tcPr>
            <w:tcW w:w="4950" w:type="dxa"/>
            <w:tcBorders>
              <w:left w:val="nil"/>
            </w:tcBorders>
          </w:tcPr>
          <w:p w14:paraId="3F62A3F2">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开户行：</w:t>
            </w:r>
          </w:p>
        </w:tc>
      </w:tr>
      <w:tr w14:paraId="4B64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4316" w:type="dxa"/>
          </w:tcPr>
          <w:p w14:paraId="7D5E5ADE">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开户账号：</w:t>
            </w:r>
          </w:p>
        </w:tc>
        <w:tc>
          <w:tcPr>
            <w:tcW w:w="4950" w:type="dxa"/>
            <w:tcBorders>
              <w:left w:val="nil"/>
            </w:tcBorders>
          </w:tcPr>
          <w:p w14:paraId="159DE254">
            <w:pPr>
              <w:pStyle w:val="24"/>
              <w:keepNext w:val="0"/>
              <w:keepLines w:val="0"/>
              <w:pageBreakBefore w:val="0"/>
              <w:widowControl w:val="0"/>
              <w:kinsoku/>
              <w:wordWrap w:val="0"/>
              <w:overflowPunct/>
              <w:topLinePunct w:val="0"/>
              <w:autoSpaceDE/>
              <w:autoSpaceDN/>
              <w:bidi w:val="0"/>
              <w:adjustRightInd/>
              <w:snapToGrid/>
              <w:spacing w:before="0" w:line="360" w:lineRule="auto"/>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开户账号：</w:t>
            </w:r>
          </w:p>
        </w:tc>
      </w:tr>
      <w:tr w14:paraId="3B27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4316" w:type="dxa"/>
          </w:tcPr>
          <w:p w14:paraId="1817A926">
            <w:pPr>
              <w:pStyle w:val="24"/>
              <w:keepNext w:val="0"/>
              <w:keepLines w:val="0"/>
              <w:pageBreakBefore w:val="0"/>
              <w:widowControl w:val="0"/>
              <w:kinsoku/>
              <w:wordWrap w:val="0"/>
              <w:overflowPunct/>
              <w:topLinePunct w:val="0"/>
              <w:autoSpaceDE/>
              <w:autoSpaceDN/>
              <w:bidi w:val="0"/>
              <w:adjustRightInd/>
              <w:snapToGrid/>
              <w:spacing w:before="0"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tc>
        <w:tc>
          <w:tcPr>
            <w:tcW w:w="4950" w:type="dxa"/>
            <w:tcBorders>
              <w:left w:val="nil"/>
            </w:tcBorders>
          </w:tcPr>
          <w:p w14:paraId="44C8DB10">
            <w:pPr>
              <w:pStyle w:val="24"/>
              <w:keepNext w:val="0"/>
              <w:keepLines w:val="0"/>
              <w:pageBreakBefore w:val="0"/>
              <w:widowControl w:val="0"/>
              <w:kinsoku/>
              <w:wordWrap w:val="0"/>
              <w:overflowPunct/>
              <w:topLinePunct w:val="0"/>
              <w:autoSpaceDE/>
              <w:autoSpaceDN/>
              <w:bidi w:val="0"/>
              <w:adjustRightInd/>
              <w:snapToGrid/>
              <w:spacing w:before="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pacing w:val="-22"/>
                <w:sz w:val="24"/>
                <w:szCs w:val="24"/>
              </w:rPr>
              <w:t>日期：</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2"/>
                <w:sz w:val="24"/>
                <w:szCs w:val="24"/>
              </w:rPr>
              <w:t>日</w:t>
            </w:r>
          </w:p>
        </w:tc>
      </w:tr>
    </w:tbl>
    <w:p w14:paraId="534C2290">
      <w:pPr>
        <w:ind w:firstLine="1997" w:firstLineChars="850"/>
        <w:rPr>
          <w:b/>
          <w:bCs/>
          <w:color w:val="auto"/>
          <w:spacing w:val="-3"/>
          <w:sz w:val="24"/>
          <w:szCs w:val="24"/>
        </w:rPr>
      </w:pPr>
      <w:r>
        <w:rPr>
          <w:b/>
          <w:bCs/>
          <w:color w:val="auto"/>
          <w:spacing w:val="-3"/>
          <w:sz w:val="24"/>
          <w:szCs w:val="24"/>
        </w:rPr>
        <w:t>签订地点：柳州市防洪排涝工程管理处</w:t>
      </w:r>
    </w:p>
    <w:p w14:paraId="59A5DE84">
      <w:pPr>
        <w:rPr>
          <w:b/>
          <w:bCs/>
          <w:color w:val="auto"/>
          <w:spacing w:val="-3"/>
          <w:sz w:val="24"/>
          <w:szCs w:val="24"/>
        </w:rPr>
      </w:pPr>
      <w:r>
        <w:rPr>
          <w:b/>
          <w:bCs/>
          <w:color w:val="auto"/>
          <w:spacing w:val="-3"/>
          <w:sz w:val="24"/>
          <w:szCs w:val="24"/>
        </w:rPr>
        <w:br w:type="page"/>
      </w:r>
    </w:p>
    <w:p w14:paraId="29E86A79">
      <w:pPr>
        <w:pStyle w:val="7"/>
        <w:wordWrap w:val="0"/>
        <w:spacing w:before="0" w:line="360" w:lineRule="auto"/>
        <w:ind w:left="0"/>
        <w:jc w:val="center"/>
        <w:rPr>
          <w:color w:val="auto"/>
          <w:sz w:val="24"/>
          <w:szCs w:val="24"/>
        </w:rPr>
      </w:pPr>
      <w:r>
        <w:rPr>
          <w:rFonts w:ascii="宋体" w:hAnsi="宋体" w:eastAsia="宋体" w:cs="宋体"/>
          <w:b/>
          <w:bCs/>
          <w:color w:val="auto"/>
          <w:spacing w:val="6"/>
          <w:sz w:val="31"/>
          <w:szCs w:val="31"/>
        </w:rPr>
        <w:t>第二部分  通用合同条款</w:t>
      </w:r>
    </w:p>
    <w:p w14:paraId="64BF1589">
      <w:pPr>
        <w:pStyle w:val="7"/>
        <w:wordWrap w:val="0"/>
        <w:spacing w:before="0" w:line="360" w:lineRule="auto"/>
        <w:ind w:right="0" w:firstLine="480"/>
        <w:rPr>
          <w:color w:val="auto"/>
          <w:sz w:val="24"/>
          <w:szCs w:val="24"/>
        </w:rPr>
      </w:pPr>
      <w:r>
        <w:rPr>
          <w:color w:val="auto"/>
          <w:sz w:val="24"/>
          <w:szCs w:val="24"/>
        </w:rPr>
        <w:t>本通用条款全文应用柳州市政府采购办颁布的《柳州市第</w:t>
      </w:r>
      <w:r>
        <w:rPr>
          <w:color w:val="auto"/>
          <w:spacing w:val="-1"/>
          <w:sz w:val="24"/>
          <w:szCs w:val="24"/>
        </w:rPr>
        <w:t>一期零星工程项目施工合同</w:t>
      </w:r>
      <w:r>
        <w:rPr>
          <w:color w:val="auto"/>
          <w:sz w:val="24"/>
          <w:szCs w:val="24"/>
        </w:rPr>
        <w:t xml:space="preserve"> </w:t>
      </w:r>
      <w:r>
        <w:rPr>
          <w:color w:val="auto"/>
          <w:spacing w:val="-2"/>
          <w:sz w:val="24"/>
          <w:szCs w:val="24"/>
        </w:rPr>
        <w:t>格式》（2014</w:t>
      </w:r>
      <w:r>
        <w:rPr>
          <w:color w:val="auto"/>
          <w:spacing w:val="-47"/>
          <w:sz w:val="24"/>
          <w:szCs w:val="24"/>
        </w:rPr>
        <w:t xml:space="preserve"> </w:t>
      </w:r>
      <w:r>
        <w:rPr>
          <w:color w:val="auto"/>
          <w:spacing w:val="-2"/>
          <w:sz w:val="24"/>
          <w:szCs w:val="24"/>
        </w:rPr>
        <w:t>年）的通用合同条款（本通用合同条款略）。</w:t>
      </w:r>
    </w:p>
    <w:p w14:paraId="1F682C03">
      <w:pPr>
        <w:wordWrap w:val="0"/>
        <w:spacing w:line="360" w:lineRule="auto"/>
        <w:rPr>
          <w:rFonts w:ascii="Arial" w:hAnsi="Arial"/>
          <w:color w:val="auto"/>
          <w:sz w:val="21"/>
        </w:rPr>
      </w:pPr>
    </w:p>
    <w:p w14:paraId="2DDA9975">
      <w:pPr>
        <w:wordWrap/>
        <w:spacing w:line="240" w:lineRule="auto"/>
        <w:rPr>
          <w:rFonts w:ascii="Arial" w:hAnsi="Arial"/>
          <w:color w:val="auto"/>
          <w:sz w:val="21"/>
        </w:rPr>
      </w:pPr>
      <w:r>
        <w:rPr>
          <w:rFonts w:ascii="Arial" w:hAnsi="Arial"/>
          <w:color w:val="auto"/>
          <w:sz w:val="21"/>
        </w:rPr>
        <w:br w:type="page"/>
      </w:r>
    </w:p>
    <w:p w14:paraId="4A722013">
      <w:pPr>
        <w:pStyle w:val="7"/>
        <w:wordWrap w:val="0"/>
        <w:spacing w:before="0" w:line="360" w:lineRule="auto"/>
        <w:ind w:left="0"/>
        <w:jc w:val="center"/>
        <w:rPr>
          <w:color w:val="auto"/>
          <w:sz w:val="24"/>
          <w:szCs w:val="24"/>
        </w:rPr>
      </w:pPr>
      <w:r>
        <w:rPr>
          <w:rFonts w:ascii="宋体" w:hAnsi="宋体" w:eastAsia="宋体" w:cs="宋体"/>
          <w:b/>
          <w:bCs/>
          <w:color w:val="auto"/>
          <w:spacing w:val="6"/>
          <w:sz w:val="31"/>
          <w:szCs w:val="31"/>
        </w:rPr>
        <w:t>第三部分  专用合同条款</w:t>
      </w:r>
    </w:p>
    <w:p w14:paraId="378FF40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1．一般约定</w:t>
      </w:r>
    </w:p>
    <w:p w14:paraId="4BC63AA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1.1</w:t>
      </w:r>
      <w:r>
        <w:rPr>
          <w:rFonts w:hint="eastAsia" w:ascii="宋体" w:hAnsi="宋体" w:eastAsia="宋体" w:cs="宋体"/>
          <w:color w:val="auto"/>
          <w:spacing w:val="17"/>
          <w:sz w:val="24"/>
          <w:szCs w:val="24"/>
        </w:rPr>
        <w:t xml:space="preserve"> </w:t>
      </w:r>
      <w:r>
        <w:rPr>
          <w:rFonts w:hint="eastAsia" w:ascii="宋体" w:hAnsi="宋体" w:eastAsia="宋体" w:cs="宋体"/>
          <w:b/>
          <w:bCs/>
          <w:color w:val="auto"/>
          <w:spacing w:val="-8"/>
          <w:sz w:val="24"/>
          <w:szCs w:val="24"/>
        </w:rPr>
        <w:t>词语定义</w:t>
      </w:r>
    </w:p>
    <w:p w14:paraId="4272DBC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1.1.2  合同当事人和人员</w:t>
      </w:r>
    </w:p>
    <w:p w14:paraId="1E8407D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fldChar w:fldCharType="begin"/>
      </w:r>
      <w:r>
        <w:instrText xml:space="preserve">HYPERLINK "/media/suma/玲&amp;琳小U/项目科/政府采购/2.招标、竞谈资料/2026/竞谈类政采/2.泵站、堤防护坡清理维护工程（2026年度）/1.1.2.2"</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1.1.2.2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发包人：</w:t>
      </w:r>
      <w:r>
        <w:rPr>
          <w:rFonts w:hint="eastAsia" w:ascii="宋体" w:hAnsi="宋体" w:eastAsia="宋体" w:cs="宋体"/>
          <w:color w:val="auto"/>
          <w:spacing w:val="-1"/>
          <w:sz w:val="24"/>
          <w:szCs w:val="24"/>
          <w:u w:val="single" w:color="auto"/>
        </w:rPr>
        <w:t xml:space="preserve">  柳州市防洪排涝工程管理处 </w:t>
      </w:r>
      <w:r>
        <w:rPr>
          <w:rFonts w:hint="eastAsia" w:ascii="宋体" w:hAnsi="宋体" w:eastAsia="宋体" w:cs="宋体"/>
          <w:color w:val="auto"/>
          <w:spacing w:val="-1"/>
          <w:sz w:val="24"/>
          <w:szCs w:val="24"/>
        </w:rPr>
        <w:t>。</w:t>
      </w:r>
    </w:p>
    <w:p w14:paraId="0EE7D4E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fldChar w:fldCharType="begin"/>
      </w:r>
      <w:r>
        <w:instrText xml:space="preserve">HYPERLINK "/media/suma/玲&amp;琳小U/项目科/政府采购/2.招标、竞谈资料/2026/竞谈类政采/2.泵站、堤防护坡清理维护工程（2026年度）/1.1.2.3"</w:instrText>
      </w:r>
      <w:r>
        <w:rPr>
          <w:rFonts w:hint="eastAsia" w:ascii="宋体" w:hAnsi="宋体" w:eastAsia="宋体" w:cs="宋体"/>
          <w:color w:val="auto"/>
          <w:spacing w:val="-2"/>
          <w:sz w:val="24"/>
          <w:szCs w:val="24"/>
        </w:rPr>
        <w:fldChar w:fldCharType="separate"/>
      </w:r>
      <w:r>
        <w:rPr>
          <w:rFonts w:hint="eastAsia" w:ascii="宋体" w:hAnsi="宋体" w:eastAsia="宋体" w:cs="宋体"/>
          <w:color w:val="auto"/>
          <w:spacing w:val="-2"/>
          <w:sz w:val="24"/>
          <w:szCs w:val="24"/>
        </w:rPr>
        <w:t>1.1.2.3</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 xml:space="preserve">  承包人：</w:t>
      </w:r>
      <w:r>
        <w:rPr>
          <w:rFonts w:hint="eastAsia" w:ascii="宋体" w:hAnsi="宋体" w:eastAsia="宋体" w:cs="宋体"/>
          <w:color w:val="auto"/>
          <w:sz w:val="24"/>
          <w:szCs w:val="24"/>
          <w:u w:val="single" w:color="auto"/>
          <w:lang w:eastAsia="zh-CN"/>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2"/>
          <w:sz w:val="24"/>
          <w:szCs w:val="24"/>
        </w:rPr>
        <w:t>。</w:t>
      </w:r>
    </w:p>
    <w:p w14:paraId="1875BCB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1.1.4</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8"/>
          <w:sz w:val="24"/>
          <w:szCs w:val="24"/>
        </w:rPr>
        <w:t>日期</w:t>
      </w:r>
    </w:p>
    <w:p w14:paraId="7FF68CB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fldChar w:fldCharType="begin"/>
      </w:r>
      <w:r>
        <w:instrText xml:space="preserve">HYPERLINK "/media/suma/玲&amp;琳小U/项目科/政府采购/2.招标、竞谈资料/2026/竞谈类政采/2.泵站、堤防护坡清理维护工程（2026年度）/1.1.4.3"</w:instrText>
      </w:r>
      <w:r>
        <w:rPr>
          <w:rFonts w:hint="eastAsia" w:ascii="宋体" w:hAnsi="宋体" w:eastAsia="宋体" w:cs="宋体"/>
          <w:color w:val="auto"/>
          <w:spacing w:val="-3"/>
          <w:sz w:val="24"/>
          <w:szCs w:val="24"/>
        </w:rPr>
        <w:fldChar w:fldCharType="separate"/>
      </w:r>
      <w:r>
        <w:rPr>
          <w:rFonts w:hint="eastAsia" w:ascii="宋体" w:hAnsi="宋体" w:eastAsia="宋体" w:cs="宋体"/>
          <w:color w:val="auto"/>
          <w:spacing w:val="-3"/>
          <w:sz w:val="24"/>
          <w:szCs w:val="24"/>
        </w:rPr>
        <w:t>1.1.4.3</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rPr>
        <w:t xml:space="preserve"> 本项目施工工期</w:t>
      </w:r>
      <w:r>
        <w:rPr>
          <w:rFonts w:hint="eastAsia" w:ascii="宋体" w:hAnsi="宋体" w:eastAsia="宋体" w:cs="宋体"/>
          <w:color w:val="auto"/>
          <w:spacing w:val="-1"/>
          <w:sz w:val="24"/>
          <w:szCs w:val="24"/>
          <w:u w:val="none" w:color="auto"/>
        </w:rPr>
        <w:t>为</w:t>
      </w:r>
      <w:r>
        <w:rPr>
          <w:rFonts w:hint="eastAsia" w:ascii="宋体" w:hAnsi="宋体" w:cs="宋体"/>
          <w:color w:val="auto"/>
          <w:spacing w:val="-1"/>
          <w:sz w:val="24"/>
          <w:szCs w:val="24"/>
          <w:u w:val="single" w:color="auto"/>
          <w:lang w:eastAsia="zh-CN"/>
        </w:rPr>
        <w:t>合同签订之日起至2027年6月30日</w:t>
      </w:r>
      <w:r>
        <w:rPr>
          <w:rFonts w:hint="eastAsia" w:ascii="宋体" w:hAnsi="宋体" w:eastAsia="宋体" w:cs="宋体"/>
          <w:color w:val="auto"/>
          <w:spacing w:val="-1"/>
          <w:sz w:val="24"/>
          <w:szCs w:val="24"/>
          <w:u w:val="single" w:color="auto"/>
          <w:lang w:val="en-US" w:eastAsia="zh-CN"/>
        </w:rPr>
        <w:t xml:space="preserve"> </w:t>
      </w:r>
      <w:r>
        <w:rPr>
          <w:rFonts w:hint="eastAsia" w:ascii="宋体" w:hAnsi="宋体" w:eastAsia="宋体" w:cs="宋体"/>
          <w:color w:val="auto"/>
          <w:spacing w:val="-3"/>
          <w:sz w:val="24"/>
          <w:szCs w:val="24"/>
        </w:rPr>
        <w:t>。</w:t>
      </w:r>
    </w:p>
    <w:p w14:paraId="2DB3D8C5">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fldChar w:fldCharType="begin"/>
      </w:r>
      <w:r>
        <w:instrText xml:space="preserve">HYPERLINK "/media/suma/玲&amp;琳小U/项目科/政府采购/2.招标、竞谈资料/2026/竞谈类政采/2.泵站、堤防护坡清理维护工程（2026年度）/1.1.4.5"</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1.1.4.5</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缺陷责任期：指履行第</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
          <w:sz w:val="24"/>
          <w:szCs w:val="24"/>
        </w:rPr>
        <w:t>19.</w:t>
      </w:r>
      <w:r>
        <w:rPr>
          <w:rFonts w:hint="eastAsia" w:ascii="宋体" w:hAnsi="宋体" w:eastAsia="宋体" w:cs="宋体"/>
          <w:color w:val="auto"/>
          <w:sz w:val="24"/>
          <w:szCs w:val="24"/>
        </w:rPr>
        <w:t xml:space="preserve">2 款约定的缺陷责任的期限，具体期限由专用 </w:t>
      </w:r>
      <w:r>
        <w:rPr>
          <w:rFonts w:hint="eastAsia" w:ascii="宋体" w:hAnsi="宋体" w:eastAsia="宋体" w:cs="宋体"/>
          <w:color w:val="auto"/>
          <w:spacing w:val="-1"/>
          <w:sz w:val="24"/>
          <w:szCs w:val="24"/>
        </w:rPr>
        <w:t>合同条款约定，包括根据第 19.3 款约定所作的延长。本工程约定的缺陷责任期为</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年。</w:t>
      </w:r>
    </w:p>
    <w:p w14:paraId="6B8BB38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1.1.5  合同价格和费用</w:t>
      </w:r>
    </w:p>
    <w:p w14:paraId="3E76AFA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fldChar w:fldCharType="begin"/>
      </w:r>
      <w:r>
        <w:instrText xml:space="preserve">HYPERLINK "/media/suma/玲&amp;琳小U/项目科/政府采购/2.招标、竞谈资料/2026/竞谈类政采/2.泵站、堤防护坡清理维护工程（2026年度）/1.1.5.1"</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1.1.5.1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工程签约合同价：指签定合同时合同协议书中</w:t>
      </w:r>
      <w:r>
        <w:rPr>
          <w:rFonts w:hint="eastAsia" w:ascii="宋体" w:hAnsi="宋体" w:eastAsia="宋体" w:cs="宋体"/>
          <w:color w:val="auto"/>
          <w:sz w:val="24"/>
          <w:szCs w:val="24"/>
        </w:rPr>
        <w:t xml:space="preserve">写明的，包括了暂列金额、 </w:t>
      </w:r>
      <w:r>
        <w:rPr>
          <w:rFonts w:hint="eastAsia" w:ascii="宋体" w:hAnsi="宋体" w:eastAsia="宋体" w:cs="宋体"/>
          <w:color w:val="auto"/>
          <w:spacing w:val="-4"/>
          <w:sz w:val="24"/>
          <w:szCs w:val="24"/>
        </w:rPr>
        <w:t>暂估价、建安劳保费的合同总金额。</w:t>
      </w:r>
    </w:p>
    <w:p w14:paraId="4818F0F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1.4  合同文件的优先顺序</w:t>
      </w:r>
    </w:p>
    <w:p w14:paraId="7BAC917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组成合同的各项文件应互相解释，互为说明。解释合同文件的优先顺序如下：</w:t>
      </w:r>
    </w:p>
    <w:p w14:paraId="3A637F4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1.4.1</w:t>
      </w:r>
    </w:p>
    <w:p w14:paraId="680C1A0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删去通用条款中本款的原文，以下文取代：</w:t>
      </w:r>
    </w:p>
    <w:p w14:paraId="0031183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组成本合同的文件及优先解释顺序如下:</w:t>
      </w:r>
    </w:p>
    <w:p w14:paraId="5E158B5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（1）合同协议书和补充协议书；</w:t>
      </w:r>
    </w:p>
    <w:p w14:paraId="346DC5A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（2）中标通知书</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如有）</w:t>
      </w:r>
    </w:p>
    <w:p w14:paraId="0458F40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（3）审定的预算控制价；</w:t>
      </w:r>
    </w:p>
    <w:p w14:paraId="3AAD809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（4）专用合同条款；</w:t>
      </w:r>
    </w:p>
    <w:p w14:paraId="22E1834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（5）通用合同条款；</w:t>
      </w:r>
    </w:p>
    <w:p w14:paraId="7EDDDB2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（6）技术标准和要求；</w:t>
      </w:r>
    </w:p>
    <w:p w14:paraId="0418D9D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（7）施工方案及设计施工图纸；</w:t>
      </w:r>
    </w:p>
    <w:p w14:paraId="20D1A03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（8）工程变更、签证、施工方案；</w:t>
      </w:r>
    </w:p>
    <w:p w14:paraId="0DEB2E0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（9）其他合同文件。</w:t>
      </w:r>
    </w:p>
    <w:p w14:paraId="071591B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1.4.2</w:t>
      </w:r>
    </w:p>
    <w:p w14:paraId="3F8D3BD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6"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在上述专用条款</w:t>
      </w:r>
      <w:r>
        <w:rPr>
          <w:rFonts w:hint="eastAsia" w:ascii="宋体" w:hAnsi="宋体" w:eastAsia="宋体" w:cs="宋体"/>
          <w:color w:val="auto"/>
          <w:spacing w:val="-31"/>
          <w:sz w:val="24"/>
          <w:szCs w:val="24"/>
        </w:rPr>
        <w:t xml:space="preserve"> </w:t>
      </w:r>
      <w:r>
        <w:rPr>
          <w:rFonts w:hint="eastAsia" w:ascii="宋体" w:hAnsi="宋体" w:eastAsia="宋体" w:cs="宋体"/>
          <w:b/>
          <w:bCs/>
          <w:color w:val="auto"/>
          <w:spacing w:val="-4"/>
          <w:sz w:val="24"/>
          <w:szCs w:val="24"/>
        </w:rPr>
        <w:t>1.4.1</w:t>
      </w:r>
      <w:r>
        <w:rPr>
          <w:rFonts w:hint="eastAsia" w:ascii="宋体" w:hAnsi="宋体" w:eastAsia="宋体" w:cs="宋体"/>
          <w:color w:val="auto"/>
          <w:spacing w:val="-49"/>
          <w:sz w:val="24"/>
          <w:szCs w:val="24"/>
        </w:rPr>
        <w:t xml:space="preserve"> </w:t>
      </w:r>
      <w:r>
        <w:rPr>
          <w:rFonts w:hint="eastAsia" w:ascii="宋体" w:hAnsi="宋体" w:eastAsia="宋体" w:cs="宋体"/>
          <w:b/>
          <w:bCs/>
          <w:color w:val="auto"/>
          <w:spacing w:val="-4"/>
          <w:sz w:val="24"/>
          <w:szCs w:val="24"/>
        </w:rPr>
        <w:t>后，增加以下条款：</w:t>
      </w:r>
    </w:p>
    <w:p w14:paraId="16F9FAA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当合同文件内容含糊不清或不相一致时，在不影响工程正常进行的情况下，提请负责监理的工程师（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
          <w:sz w:val="24"/>
          <w:szCs w:val="24"/>
        </w:rPr>
        <w:t>）作出解释。双方不同意负责监理的工程师的解释</w:t>
      </w:r>
      <w:r>
        <w:rPr>
          <w:rFonts w:hint="eastAsia" w:ascii="宋体" w:hAnsi="宋体" w:eastAsia="宋体" w:cs="宋体"/>
          <w:color w:val="auto"/>
          <w:spacing w:val="-2"/>
          <w:sz w:val="24"/>
          <w:szCs w:val="24"/>
        </w:rPr>
        <w:t>时，按本通用</w:t>
      </w:r>
      <w:r>
        <w:rPr>
          <w:rFonts w:hint="eastAsia" w:ascii="宋体" w:hAnsi="宋体" w:eastAsia="宋体" w:cs="宋体"/>
          <w:color w:val="auto"/>
          <w:spacing w:val="-5"/>
          <w:sz w:val="24"/>
          <w:szCs w:val="24"/>
        </w:rPr>
        <w:t>条款24条关于争议约定处理。</w:t>
      </w:r>
    </w:p>
    <w:p w14:paraId="6C1B515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1.6.1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图纸的提供：发包人向承包人提供图纸日期和套数为根据承包人的进度要求提</w:t>
      </w:r>
      <w:r>
        <w:rPr>
          <w:rFonts w:hint="eastAsia" w:ascii="宋体" w:hAnsi="宋体" w:eastAsia="宋体" w:cs="宋体"/>
          <w:color w:val="auto"/>
          <w:spacing w:val="-6"/>
          <w:sz w:val="24"/>
          <w:szCs w:val="24"/>
        </w:rPr>
        <w:t>供一式叁套。</w:t>
      </w:r>
    </w:p>
    <w:p w14:paraId="5435E14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1.6.3</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6"/>
          <w:sz w:val="24"/>
          <w:szCs w:val="24"/>
        </w:rPr>
        <w:t>图纸的修改</w:t>
      </w:r>
    </w:p>
    <w:p w14:paraId="3E36F5E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图纸需要修改和补充的，应由监理人取得发包人同意后，在该工程或工程相应部位施</w:t>
      </w:r>
      <w:r>
        <w:rPr>
          <w:rFonts w:hint="eastAsia" w:ascii="宋体" w:hAnsi="宋体" w:eastAsia="宋体" w:cs="宋体"/>
          <w:color w:val="auto"/>
          <w:spacing w:val="-4"/>
          <w:sz w:val="24"/>
          <w:szCs w:val="24"/>
        </w:rPr>
        <w:t>工前的</w:t>
      </w:r>
      <w:r>
        <w:rPr>
          <w:rFonts w:hint="eastAsia" w:ascii="宋体" w:hAnsi="宋体" w:eastAsia="宋体" w:cs="宋体"/>
          <w:color w:val="auto"/>
          <w:spacing w:val="-4"/>
          <w:sz w:val="24"/>
          <w:szCs w:val="24"/>
          <w:u w:val="single" w:color="auto"/>
        </w:rPr>
        <w:t xml:space="preserve"> 7日</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4"/>
          <w:sz w:val="24"/>
          <w:szCs w:val="24"/>
        </w:rPr>
        <w:t>内签发图纸修改图给承包人。承包人应按修</w:t>
      </w:r>
      <w:r>
        <w:rPr>
          <w:rFonts w:hint="eastAsia" w:ascii="宋体" w:hAnsi="宋体" w:eastAsia="宋体" w:cs="宋体"/>
          <w:color w:val="auto"/>
          <w:spacing w:val="-5"/>
          <w:sz w:val="24"/>
          <w:szCs w:val="24"/>
        </w:rPr>
        <w:t>改后的图纸施工。</w:t>
      </w:r>
    </w:p>
    <w:p w14:paraId="2292BAB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2.3  提供施工场地</w:t>
      </w:r>
    </w:p>
    <w:p w14:paraId="40B2E4DC">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发包人向承包人提供施工场地，以及施工场地内地下管</w:t>
      </w:r>
      <w:r>
        <w:rPr>
          <w:rFonts w:hint="eastAsia" w:ascii="宋体" w:hAnsi="宋体" w:eastAsia="宋体" w:cs="宋体"/>
          <w:color w:val="auto"/>
          <w:spacing w:val="-1"/>
          <w:sz w:val="24"/>
          <w:szCs w:val="24"/>
        </w:rPr>
        <w:t>线和地下设施等有关资料内容</w:t>
      </w:r>
      <w:r>
        <w:rPr>
          <w:rFonts w:hint="eastAsia" w:ascii="宋体" w:hAnsi="宋体" w:eastAsia="宋体" w:cs="宋体"/>
          <w:color w:val="auto"/>
          <w:spacing w:val="-15"/>
          <w:sz w:val="24"/>
          <w:szCs w:val="24"/>
        </w:rPr>
        <w:t>包括：</w:t>
      </w:r>
    </w:p>
    <w:p w14:paraId="40FBA3AD">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（1）施工场地具备施工条件的要求及完成的时间</w:t>
      </w:r>
      <w:r>
        <w:rPr>
          <w:rFonts w:hint="eastAsia" w:ascii="宋体" w:hAnsi="宋体" w:eastAsia="宋体" w:cs="宋体"/>
          <w:color w:val="auto"/>
          <w:spacing w:val="-1"/>
          <w:sz w:val="24"/>
          <w:szCs w:val="24"/>
        </w:rPr>
        <w:t>：在开工前完成土地征用、青苗树</w:t>
      </w:r>
      <w:r>
        <w:rPr>
          <w:rFonts w:hint="eastAsia" w:ascii="宋体" w:hAnsi="宋体" w:eastAsia="宋体" w:cs="宋体"/>
          <w:color w:val="auto"/>
          <w:spacing w:val="-5"/>
          <w:sz w:val="24"/>
          <w:szCs w:val="24"/>
        </w:rPr>
        <w:t>木赔偿、房屋拆迁。</w:t>
      </w:r>
    </w:p>
    <w:p w14:paraId="2E2E125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（2）发包人提供用水、用电便利。</w:t>
      </w:r>
    </w:p>
    <w:p w14:paraId="595FFB26">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（3）施工场地与公共道路的通道开通时间和</w:t>
      </w:r>
      <w:r>
        <w:rPr>
          <w:rFonts w:hint="eastAsia" w:ascii="宋体" w:hAnsi="宋体" w:eastAsia="宋体" w:cs="宋体"/>
          <w:color w:val="auto"/>
          <w:spacing w:val="-2"/>
          <w:sz w:val="24"/>
          <w:szCs w:val="24"/>
        </w:rPr>
        <w:t>要求：由承包人负责，费用包含在预算单</w:t>
      </w:r>
      <w:r>
        <w:rPr>
          <w:rFonts w:hint="eastAsia" w:ascii="宋体" w:hAnsi="宋体" w:eastAsia="宋体" w:cs="宋体"/>
          <w:color w:val="auto"/>
          <w:spacing w:val="-11"/>
          <w:sz w:val="24"/>
          <w:szCs w:val="24"/>
        </w:rPr>
        <w:t>价中。</w:t>
      </w:r>
    </w:p>
    <w:p w14:paraId="69B48B6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（4）需承包人办理的有关施工场地交通、环卫和施工噪音管理等手续：由承包人负责，</w:t>
      </w:r>
      <w:r>
        <w:rPr>
          <w:rFonts w:hint="eastAsia" w:ascii="宋体" w:hAnsi="宋体" w:eastAsia="宋体" w:cs="宋体"/>
          <w:color w:val="auto"/>
          <w:spacing w:val="-5"/>
          <w:sz w:val="24"/>
          <w:szCs w:val="24"/>
        </w:rPr>
        <w:t>费用包含在预算单价中。</w:t>
      </w:r>
    </w:p>
    <w:p w14:paraId="1706935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（5）发包人在开工前负责提供工程地质资料。但发包人对承包人由</w:t>
      </w:r>
      <w:r>
        <w:rPr>
          <w:rFonts w:hint="eastAsia" w:ascii="宋体" w:hAnsi="宋体" w:eastAsia="宋体" w:cs="宋体"/>
          <w:color w:val="auto"/>
          <w:spacing w:val="-2"/>
          <w:sz w:val="24"/>
          <w:szCs w:val="24"/>
        </w:rPr>
        <w:t>此而作出的推论和</w:t>
      </w:r>
      <w:r>
        <w:rPr>
          <w:rFonts w:hint="eastAsia" w:ascii="宋体" w:hAnsi="宋体" w:eastAsia="宋体" w:cs="宋体"/>
          <w:color w:val="auto"/>
          <w:spacing w:val="-7"/>
          <w:sz w:val="24"/>
          <w:szCs w:val="24"/>
        </w:rPr>
        <w:t>结论概不负责。</w:t>
      </w:r>
    </w:p>
    <w:p w14:paraId="53184CA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（6）由发包人办理的施工所需证件、批件的名称和完成时间：</w:t>
      </w:r>
      <w:r>
        <w:rPr>
          <w:rFonts w:hint="eastAsia" w:ascii="宋体" w:hAnsi="宋体" w:eastAsia="宋体" w:cs="宋体"/>
          <w:color w:val="auto"/>
          <w:spacing w:val="-2"/>
          <w:sz w:val="24"/>
          <w:szCs w:val="24"/>
        </w:rPr>
        <w:t>待定。</w:t>
      </w:r>
    </w:p>
    <w:p w14:paraId="17BC16A8">
      <w:pPr>
        <w:keepNext w:val="0"/>
        <w:keepLines w:val="0"/>
        <w:pageBreakBefore w:val="0"/>
        <w:widowControl w:val="0"/>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（7）协调处理施工场地周围地下管线和邻近建筑物、构筑物（含文物保护</w:t>
      </w:r>
      <w:r>
        <w:rPr>
          <w:rFonts w:hint="eastAsia" w:ascii="宋体" w:hAnsi="宋体" w:eastAsia="宋体" w:cs="宋体"/>
          <w:color w:val="auto"/>
          <w:spacing w:val="-2"/>
          <w:sz w:val="24"/>
          <w:szCs w:val="24"/>
        </w:rPr>
        <w:t>建筑）、古</w:t>
      </w:r>
      <w:r>
        <w:rPr>
          <w:rFonts w:hint="eastAsia" w:ascii="宋体" w:hAnsi="宋体" w:eastAsia="宋体" w:cs="宋体"/>
          <w:color w:val="auto"/>
          <w:sz w:val="24"/>
          <w:szCs w:val="24"/>
        </w:rPr>
        <w:t>树名木的保护工作：发包人负责有关外部协调工作，承包人负责</w:t>
      </w:r>
      <w:r>
        <w:rPr>
          <w:rFonts w:hint="eastAsia" w:ascii="宋体" w:hAnsi="宋体" w:eastAsia="宋体" w:cs="宋体"/>
          <w:color w:val="auto"/>
          <w:spacing w:val="-1"/>
          <w:sz w:val="24"/>
          <w:szCs w:val="24"/>
        </w:rPr>
        <w:t>处理施工中保护工作，保</w:t>
      </w:r>
      <w:r>
        <w:rPr>
          <w:rFonts w:hint="eastAsia" w:ascii="宋体" w:hAnsi="宋体" w:eastAsia="宋体" w:cs="宋体"/>
          <w:color w:val="auto"/>
          <w:spacing w:val="-2"/>
          <w:sz w:val="24"/>
          <w:szCs w:val="24"/>
        </w:rPr>
        <w:t>护要达到有关部门的要求和满足工程施工的需要。</w:t>
      </w:r>
    </w:p>
    <w:p w14:paraId="4063089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3.</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5"/>
          <w:sz w:val="24"/>
          <w:szCs w:val="24"/>
        </w:rPr>
        <w:t>监理人</w:t>
      </w:r>
    </w:p>
    <w:p w14:paraId="46B7281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本工程的监理单位为：</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w:t>
      </w:r>
    </w:p>
    <w:p w14:paraId="670F5A56">
      <w:pPr>
        <w:pStyle w:val="7"/>
        <w:keepNext w:val="0"/>
        <w:keepLines w:val="0"/>
        <w:pageBreakBefore w:val="0"/>
        <w:widowControl w:val="0"/>
        <w:kinsoku/>
        <w:overflowPunct/>
        <w:topLinePunct w:val="0"/>
        <w:autoSpaceDE/>
        <w:autoSpaceDN/>
        <w:bidi w:val="0"/>
        <w:adjustRightInd/>
        <w:snapToGrid/>
        <w:spacing w:after="0" w:line="360" w:lineRule="auto"/>
        <w:ind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本工程监理工程师为</w:t>
      </w:r>
      <w:r>
        <w:rPr>
          <w:rFonts w:hint="eastAsia" w:ascii="宋体" w:hAnsi="宋体" w:eastAsia="宋体" w:cs="宋体"/>
          <w:color w:val="auto"/>
          <w:spacing w:val="-7"/>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rPr>
        <w:t>监理工程师更换时，应在调离14天</w:t>
      </w:r>
      <w:r>
        <w:rPr>
          <w:rFonts w:hint="eastAsia" w:ascii="宋体" w:hAnsi="宋体" w:eastAsia="宋体" w:cs="宋体"/>
          <w:color w:val="auto"/>
          <w:spacing w:val="-6"/>
          <w:sz w:val="24"/>
          <w:szCs w:val="24"/>
        </w:rPr>
        <w:t>前通知承包人。监理工程师短期离开施工场地的，应委派代表代</w:t>
      </w:r>
      <w:r>
        <w:rPr>
          <w:rFonts w:hint="eastAsia" w:ascii="宋体" w:hAnsi="宋体" w:eastAsia="宋体" w:cs="宋体"/>
          <w:color w:val="auto"/>
          <w:spacing w:val="-7"/>
          <w:sz w:val="24"/>
          <w:szCs w:val="24"/>
        </w:rPr>
        <w:t>行其职责，并通知承包人。</w:t>
      </w:r>
    </w:p>
    <w:p w14:paraId="3E4CC3B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4.</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3"/>
          <w:sz w:val="24"/>
          <w:szCs w:val="24"/>
        </w:rPr>
        <w:t>承包人</w:t>
      </w:r>
    </w:p>
    <w:p w14:paraId="75A7C25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4.3</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分包</w:t>
      </w:r>
    </w:p>
    <w:p w14:paraId="4EC62EB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6"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在通用条款4.3.2后，增加以下内容：</w:t>
      </w:r>
    </w:p>
    <w:p w14:paraId="69F291A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承包人取得批准分包并不解除合同规定的承包人的任何责任或</w:t>
      </w:r>
      <w:r>
        <w:rPr>
          <w:rFonts w:hint="eastAsia" w:ascii="宋体" w:hAnsi="宋体" w:eastAsia="宋体" w:cs="宋体"/>
          <w:color w:val="auto"/>
          <w:spacing w:val="-2"/>
          <w:sz w:val="24"/>
          <w:szCs w:val="24"/>
        </w:rPr>
        <w:t>义务，他应对分包人加</w:t>
      </w:r>
      <w:r>
        <w:rPr>
          <w:rFonts w:hint="eastAsia" w:ascii="宋体" w:hAnsi="宋体" w:eastAsia="宋体" w:cs="宋体"/>
          <w:color w:val="auto"/>
          <w:spacing w:val="-1"/>
          <w:sz w:val="24"/>
          <w:szCs w:val="24"/>
        </w:rPr>
        <w:t>强监督和管理，并对分包人的工程质量及其职</w:t>
      </w:r>
      <w:r>
        <w:rPr>
          <w:rFonts w:hint="eastAsia" w:ascii="宋体" w:hAnsi="宋体" w:eastAsia="宋体" w:cs="宋体"/>
          <w:color w:val="auto"/>
          <w:spacing w:val="-2"/>
          <w:sz w:val="24"/>
          <w:szCs w:val="24"/>
        </w:rPr>
        <w:t>工的行为、违约和疏忽完全负责。</w:t>
      </w:r>
    </w:p>
    <w:p w14:paraId="26A8FAF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发包人对承包人与分包人之间的法律与经济纠纷不</w:t>
      </w:r>
      <w:r>
        <w:rPr>
          <w:rFonts w:hint="eastAsia" w:ascii="宋体" w:hAnsi="宋体" w:eastAsia="宋体" w:cs="宋体"/>
          <w:color w:val="auto"/>
          <w:spacing w:val="-1"/>
          <w:sz w:val="24"/>
          <w:szCs w:val="24"/>
        </w:rPr>
        <w:t>承担任何责任和义务。对于提供劳</w:t>
      </w:r>
      <w:r>
        <w:rPr>
          <w:rFonts w:hint="eastAsia" w:ascii="宋体" w:hAnsi="宋体" w:eastAsia="宋体" w:cs="宋体"/>
          <w:color w:val="auto"/>
          <w:sz w:val="24"/>
          <w:szCs w:val="24"/>
        </w:rPr>
        <w:t>务的自然人或由企业法人提供的劳务合作，虽不要求承包人</w:t>
      </w:r>
      <w:r>
        <w:rPr>
          <w:rFonts w:hint="eastAsia" w:ascii="宋体" w:hAnsi="宋体" w:eastAsia="宋体" w:cs="宋体"/>
          <w:color w:val="auto"/>
          <w:spacing w:val="-1"/>
          <w:sz w:val="24"/>
          <w:szCs w:val="24"/>
        </w:rPr>
        <w:t>取得上述批准，但承包人应将</w:t>
      </w:r>
      <w:r>
        <w:rPr>
          <w:rFonts w:hint="eastAsia" w:ascii="宋体" w:hAnsi="宋体" w:eastAsia="宋体" w:cs="宋体"/>
          <w:color w:val="auto"/>
          <w:sz w:val="24"/>
          <w:szCs w:val="24"/>
        </w:rPr>
        <w:t>劳务协议（含支付条款）报工程师备案，工程师对此有权进行</w:t>
      </w:r>
      <w:r>
        <w:rPr>
          <w:rFonts w:hint="eastAsia" w:ascii="宋体" w:hAnsi="宋体" w:eastAsia="宋体" w:cs="宋体"/>
          <w:color w:val="auto"/>
          <w:spacing w:val="-1"/>
          <w:sz w:val="24"/>
          <w:szCs w:val="24"/>
        </w:rPr>
        <w:t>核查。劳务合作应防止由包工头包揽，劳务人员应加入到承包人施工班组，并持项目经理签发的</w:t>
      </w:r>
      <w:r>
        <w:rPr>
          <w:rFonts w:hint="eastAsia" w:ascii="宋体" w:hAnsi="宋体" w:eastAsia="宋体" w:cs="宋体"/>
          <w:color w:val="auto"/>
          <w:spacing w:val="-2"/>
          <w:sz w:val="24"/>
          <w:szCs w:val="24"/>
        </w:rPr>
        <w:t>劳务人员证上岗。</w:t>
      </w:r>
    </w:p>
    <w:p w14:paraId="5CA15C8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不允许假劳务之名，行分包之实。不得向个人分包。一经查出，按22.1款承包人违约</w:t>
      </w:r>
      <w:r>
        <w:rPr>
          <w:rFonts w:hint="eastAsia" w:ascii="宋体" w:hAnsi="宋体" w:eastAsia="宋体" w:cs="宋体"/>
          <w:color w:val="auto"/>
          <w:spacing w:val="-11"/>
          <w:sz w:val="24"/>
          <w:szCs w:val="24"/>
        </w:rPr>
        <w:t>处理。</w:t>
      </w:r>
    </w:p>
    <w:p w14:paraId="7586F07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4.5  承包人项目经理</w:t>
      </w:r>
    </w:p>
    <w:p w14:paraId="653F984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本工程项目经理姓名：</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u w:val="single" w:color="auto"/>
          <w:lang w:val="en-US" w:eastAsia="zh-CN"/>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注册证号：</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u w:val="single" w:color="auto"/>
          <w:lang w:val="en-US" w:eastAsia="zh-CN"/>
        </w:rPr>
        <w:t xml:space="preserve">          </w:t>
      </w:r>
      <w:r>
        <w:rPr>
          <w:rFonts w:hint="eastAsia" w:ascii="宋体" w:hAnsi="宋体" w:eastAsia="宋体" w:cs="宋体"/>
          <w:color w:val="auto"/>
          <w:spacing w:val="-3"/>
          <w:sz w:val="24"/>
          <w:szCs w:val="24"/>
          <w:u w:val="single" w:color="auto"/>
        </w:rPr>
        <w:t xml:space="preserve">  </w:t>
      </w:r>
    </w:p>
    <w:p w14:paraId="290E3271">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4.5.1  承包人应按合同约定指派项目经理，并在约定的期限内</w:t>
      </w:r>
      <w:r>
        <w:rPr>
          <w:rFonts w:hint="eastAsia" w:ascii="宋体" w:hAnsi="宋体" w:eastAsia="宋体" w:cs="宋体"/>
          <w:color w:val="auto"/>
          <w:spacing w:val="1"/>
          <w:sz w:val="24"/>
          <w:szCs w:val="24"/>
        </w:rPr>
        <w:t>到职。承包人更换项</w:t>
      </w:r>
      <w:r>
        <w:rPr>
          <w:rFonts w:hint="eastAsia" w:ascii="宋体" w:hAnsi="宋体" w:eastAsia="宋体" w:cs="宋体"/>
          <w:color w:val="auto"/>
          <w:spacing w:val="-2"/>
          <w:sz w:val="24"/>
          <w:szCs w:val="24"/>
        </w:rPr>
        <w:t>目经理应事先征得发包人同意并经建设行政主管部门批准，并应在更换14天前通知发</w:t>
      </w:r>
      <w:r>
        <w:rPr>
          <w:rFonts w:hint="eastAsia" w:ascii="宋体" w:hAnsi="宋体" w:eastAsia="宋体" w:cs="宋体"/>
          <w:color w:val="auto"/>
          <w:spacing w:val="-3"/>
          <w:sz w:val="24"/>
          <w:szCs w:val="24"/>
        </w:rPr>
        <w:t>包人</w:t>
      </w:r>
      <w:r>
        <w:rPr>
          <w:rFonts w:hint="eastAsia" w:ascii="宋体" w:hAnsi="宋体" w:eastAsia="宋体" w:cs="宋体"/>
          <w:color w:val="auto"/>
          <w:spacing w:val="2"/>
          <w:sz w:val="24"/>
          <w:szCs w:val="24"/>
        </w:rPr>
        <w:t>和监理人。承包人项目经理短期离开施工场地，应事先征得监理</w:t>
      </w:r>
      <w:r>
        <w:rPr>
          <w:rFonts w:hint="eastAsia" w:ascii="宋体" w:hAnsi="宋体" w:eastAsia="宋体" w:cs="宋体"/>
          <w:color w:val="auto"/>
          <w:spacing w:val="1"/>
          <w:sz w:val="24"/>
          <w:szCs w:val="24"/>
        </w:rPr>
        <w:t>人同意，并委派代表代行</w:t>
      </w:r>
      <w:r>
        <w:rPr>
          <w:rFonts w:hint="eastAsia" w:ascii="宋体" w:hAnsi="宋体" w:eastAsia="宋体" w:cs="宋体"/>
          <w:color w:val="auto"/>
          <w:spacing w:val="-9"/>
          <w:sz w:val="24"/>
          <w:szCs w:val="24"/>
        </w:rPr>
        <w:t>其职责。</w:t>
      </w:r>
    </w:p>
    <w:p w14:paraId="33F19EC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7.</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5"/>
          <w:sz w:val="24"/>
          <w:szCs w:val="24"/>
        </w:rPr>
        <w:t>交通运输</w:t>
      </w:r>
    </w:p>
    <w:p w14:paraId="576DD67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道路通行权和场外设施：</w:t>
      </w:r>
      <w:r>
        <w:rPr>
          <w:rFonts w:hint="eastAsia" w:ascii="宋体" w:hAnsi="宋体" w:eastAsia="宋体" w:cs="宋体"/>
          <w:color w:val="auto"/>
          <w:sz w:val="24"/>
          <w:szCs w:val="24"/>
          <w:u w:val="single" w:color="auto"/>
        </w:rPr>
        <w:t>由承包</w:t>
      </w:r>
      <w:r>
        <w:rPr>
          <w:rFonts w:hint="eastAsia" w:ascii="宋体" w:hAnsi="宋体" w:eastAsia="宋体" w:cs="宋体"/>
          <w:color w:val="auto"/>
          <w:spacing w:val="-1"/>
          <w:sz w:val="24"/>
          <w:szCs w:val="24"/>
          <w:u w:val="single" w:color="auto"/>
        </w:rPr>
        <w:t>人负责，费用包含在预算单价中。</w:t>
      </w:r>
    </w:p>
    <w:p w14:paraId="51DF029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0"/>
          <w:sz w:val="24"/>
          <w:szCs w:val="24"/>
        </w:rPr>
        <w:t xml:space="preserve">7.2  </w:t>
      </w:r>
      <w:r>
        <w:rPr>
          <w:rFonts w:hint="eastAsia" w:ascii="宋体" w:hAnsi="宋体" w:eastAsia="宋体" w:cs="宋体"/>
          <w:color w:val="auto"/>
          <w:spacing w:val="-1"/>
          <w:sz w:val="24"/>
          <w:szCs w:val="24"/>
        </w:rPr>
        <w:t>场内施工道路：</w:t>
      </w:r>
      <w:r>
        <w:rPr>
          <w:rFonts w:hint="eastAsia" w:ascii="宋体" w:hAnsi="宋体" w:eastAsia="宋体" w:cs="宋体"/>
          <w:color w:val="auto"/>
          <w:spacing w:val="-1"/>
          <w:sz w:val="24"/>
          <w:szCs w:val="24"/>
          <w:u w:val="single" w:color="auto"/>
        </w:rPr>
        <w:t>由承包人负责，费用包含在预算单价中。</w:t>
      </w:r>
    </w:p>
    <w:p w14:paraId="77F40FE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8.</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4"/>
          <w:sz w:val="24"/>
          <w:szCs w:val="24"/>
        </w:rPr>
        <w:t>测量放线</w:t>
      </w:r>
    </w:p>
    <w:p w14:paraId="499A4F6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8.1  施工控制网</w:t>
      </w:r>
    </w:p>
    <w:p w14:paraId="3B28DAB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0"/>
          <w:sz w:val="24"/>
          <w:szCs w:val="24"/>
        </w:rPr>
        <w:t xml:space="preserve">8.1.1  </w:t>
      </w:r>
      <w:r>
        <w:rPr>
          <w:rFonts w:hint="eastAsia" w:ascii="宋体" w:hAnsi="宋体" w:eastAsia="宋体" w:cs="宋体"/>
          <w:color w:val="auto"/>
          <w:spacing w:val="-1"/>
          <w:sz w:val="24"/>
          <w:szCs w:val="24"/>
        </w:rPr>
        <w:t>发包人通过监理人向承包人提供测量基准点、基准线和水准点及其书面资料</w:t>
      </w:r>
      <w:r>
        <w:rPr>
          <w:rFonts w:hint="eastAsia" w:ascii="宋体" w:hAnsi="宋体" w:eastAsia="宋体" w:cs="宋体"/>
          <w:color w:val="auto"/>
          <w:spacing w:val="1"/>
          <w:sz w:val="24"/>
          <w:szCs w:val="24"/>
        </w:rPr>
        <w:t>的期限为</w:t>
      </w:r>
      <w:r>
        <w:rPr>
          <w:rFonts w:hint="eastAsia" w:ascii="宋体" w:hAnsi="宋体" w:eastAsia="宋体" w:cs="宋体"/>
          <w:color w:val="auto"/>
          <w:spacing w:val="1"/>
          <w:sz w:val="24"/>
          <w:szCs w:val="24"/>
          <w:u w:val="single" w:color="auto"/>
        </w:rPr>
        <w:t>开工前七天</w:t>
      </w:r>
      <w:r>
        <w:rPr>
          <w:rFonts w:hint="eastAsia" w:ascii="宋体" w:hAnsi="宋体" w:eastAsia="宋体" w:cs="宋体"/>
          <w:color w:val="auto"/>
          <w:spacing w:val="1"/>
          <w:sz w:val="24"/>
          <w:szCs w:val="24"/>
        </w:rPr>
        <w:t>。承包人应根据国家测绘基准、测绘系统和工</w:t>
      </w:r>
      <w:r>
        <w:rPr>
          <w:rFonts w:hint="eastAsia" w:ascii="宋体" w:hAnsi="宋体" w:eastAsia="宋体" w:cs="宋体"/>
          <w:color w:val="auto"/>
          <w:sz w:val="24"/>
          <w:szCs w:val="24"/>
        </w:rPr>
        <w:t>程测量技术规范，按</w:t>
      </w:r>
      <w:r>
        <w:rPr>
          <w:rFonts w:hint="eastAsia" w:ascii="宋体" w:hAnsi="宋体" w:eastAsia="宋体" w:cs="宋体"/>
          <w:color w:val="auto"/>
          <w:spacing w:val="-8"/>
          <w:sz w:val="24"/>
          <w:szCs w:val="24"/>
        </w:rPr>
        <w:t>上述基准点（线）以及合同工程精度要求，测设施工控制网，并在</w:t>
      </w:r>
      <w:r>
        <w:rPr>
          <w:rFonts w:hint="eastAsia" w:ascii="宋体" w:hAnsi="宋体" w:eastAsia="宋体" w:cs="宋体"/>
          <w:color w:val="auto"/>
          <w:spacing w:val="-8"/>
          <w:sz w:val="24"/>
          <w:szCs w:val="24"/>
          <w:u w:val="single" w:color="auto"/>
        </w:rPr>
        <w:t>合</w:t>
      </w:r>
      <w:r>
        <w:rPr>
          <w:rFonts w:hint="eastAsia" w:ascii="宋体" w:hAnsi="宋体" w:eastAsia="宋体" w:cs="宋体"/>
          <w:color w:val="auto"/>
          <w:spacing w:val="-9"/>
          <w:sz w:val="24"/>
          <w:szCs w:val="24"/>
          <w:u w:val="single" w:color="auto"/>
        </w:rPr>
        <w:t>同签订之日起7日</w:t>
      </w:r>
      <w:r>
        <w:rPr>
          <w:rFonts w:hint="eastAsia" w:ascii="宋体" w:hAnsi="宋体" w:eastAsia="宋体" w:cs="宋体"/>
          <w:color w:val="auto"/>
          <w:spacing w:val="-9"/>
          <w:sz w:val="24"/>
          <w:szCs w:val="24"/>
        </w:rPr>
        <w:t>期</w:t>
      </w:r>
      <w:r>
        <w:rPr>
          <w:rFonts w:hint="eastAsia" w:ascii="宋体" w:hAnsi="宋体" w:eastAsia="宋体" w:cs="宋体"/>
          <w:color w:val="auto"/>
          <w:spacing w:val="-3"/>
          <w:sz w:val="24"/>
          <w:szCs w:val="24"/>
        </w:rPr>
        <w:t>限内，将施工控制网资料报送监理人审批。</w:t>
      </w:r>
    </w:p>
    <w:p w14:paraId="0282DE4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11.  开工和</w:t>
      </w:r>
      <w:r>
        <w:rPr>
          <w:rFonts w:hint="eastAsia" w:ascii="宋体" w:hAnsi="宋体" w:eastAsia="宋体" w:cs="宋体"/>
          <w:color w:val="auto"/>
          <w:spacing w:val="-3"/>
          <w:sz w:val="24"/>
          <w:szCs w:val="24"/>
          <w:lang w:eastAsia="zh-CN"/>
        </w:rPr>
        <w:t>完工</w:t>
      </w:r>
    </w:p>
    <w:p w14:paraId="67178CF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11.6</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工期提前</w:t>
      </w:r>
    </w:p>
    <w:p w14:paraId="4984DA26">
      <w:pPr>
        <w:pStyle w:val="7"/>
        <w:keepNext w:val="0"/>
        <w:keepLines w:val="0"/>
        <w:pageBreakBefore w:val="0"/>
        <w:widowControl w:val="0"/>
        <w:kinsoku/>
        <w:overflowPunct/>
        <w:topLinePunct w:val="0"/>
        <w:autoSpaceDE/>
        <w:autoSpaceDN/>
        <w:bidi w:val="0"/>
        <w:adjustRightInd/>
        <w:snapToGrid/>
        <w:spacing w:after="0" w:line="360" w:lineRule="auto"/>
        <w:ind w:firstLine="50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发包人要求承包人提前</w:t>
      </w:r>
      <w:r>
        <w:rPr>
          <w:rFonts w:hint="eastAsia" w:ascii="宋体" w:hAnsi="宋体" w:eastAsia="宋体" w:cs="宋体"/>
          <w:color w:val="auto"/>
          <w:spacing w:val="6"/>
          <w:sz w:val="24"/>
          <w:szCs w:val="24"/>
          <w:lang w:eastAsia="zh-CN"/>
        </w:rPr>
        <w:t>完工</w:t>
      </w:r>
      <w:r>
        <w:rPr>
          <w:rFonts w:hint="eastAsia" w:ascii="宋体" w:hAnsi="宋体" w:eastAsia="宋体" w:cs="宋体"/>
          <w:color w:val="auto"/>
          <w:spacing w:val="6"/>
          <w:sz w:val="24"/>
          <w:szCs w:val="24"/>
        </w:rPr>
        <w:t>，或承包人提出提前</w:t>
      </w:r>
      <w:r>
        <w:rPr>
          <w:rFonts w:hint="eastAsia" w:ascii="宋体" w:hAnsi="宋体" w:eastAsia="宋体" w:cs="宋体"/>
          <w:color w:val="auto"/>
          <w:spacing w:val="6"/>
          <w:sz w:val="24"/>
          <w:szCs w:val="24"/>
          <w:lang w:eastAsia="zh-CN"/>
        </w:rPr>
        <w:t>完工</w:t>
      </w:r>
      <w:r>
        <w:rPr>
          <w:rFonts w:hint="eastAsia" w:ascii="宋体" w:hAnsi="宋体" w:eastAsia="宋体" w:cs="宋体"/>
          <w:color w:val="auto"/>
          <w:spacing w:val="5"/>
          <w:sz w:val="24"/>
          <w:szCs w:val="24"/>
        </w:rPr>
        <w:t>的建议能够给发包人带来效益</w:t>
      </w:r>
      <w:r>
        <w:rPr>
          <w:rFonts w:hint="eastAsia" w:ascii="宋体" w:hAnsi="宋体" w:eastAsia="宋体" w:cs="宋体"/>
          <w:color w:val="auto"/>
          <w:spacing w:val="-1"/>
          <w:sz w:val="24"/>
          <w:szCs w:val="24"/>
        </w:rPr>
        <w:t>的，应由监理人与承包人共同协商采取加快工程进度的措施和修订合同。发包人应承担承</w:t>
      </w:r>
      <w:r>
        <w:rPr>
          <w:rFonts w:hint="eastAsia" w:ascii="宋体" w:hAnsi="宋体" w:eastAsia="宋体" w:cs="宋体"/>
          <w:color w:val="auto"/>
          <w:sz w:val="24"/>
          <w:szCs w:val="24"/>
        </w:rPr>
        <w:t>包人由此增加的费用，并向承包人支付相应的奖</w:t>
      </w:r>
      <w:r>
        <w:rPr>
          <w:rFonts w:hint="eastAsia" w:ascii="宋体" w:hAnsi="宋体" w:eastAsia="宋体" w:cs="宋体"/>
          <w:color w:val="auto"/>
          <w:spacing w:val="-1"/>
          <w:sz w:val="24"/>
          <w:szCs w:val="24"/>
        </w:rPr>
        <w:t>金的额度为：无。</w:t>
      </w:r>
    </w:p>
    <w:p w14:paraId="47F8B82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13</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7"/>
          <w:sz w:val="24"/>
          <w:szCs w:val="24"/>
        </w:rPr>
        <w:t>工程质量</w:t>
      </w:r>
    </w:p>
    <w:p w14:paraId="40B1C94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13.1  工程质量要求</w:t>
      </w:r>
    </w:p>
    <w:p w14:paraId="5C0C49A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8"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删去通用条款原13.1.1原文，以下文取代：</w:t>
      </w:r>
    </w:p>
    <w:p w14:paraId="3350258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13.1.1 本工程应达到国家工程质量检验评定标准</w:t>
      </w:r>
      <w:r>
        <w:rPr>
          <w:rFonts w:hint="eastAsia" w:ascii="宋体" w:hAnsi="宋体" w:eastAsia="宋体" w:cs="宋体"/>
          <w:color w:val="auto"/>
          <w:spacing w:val="-2"/>
          <w:sz w:val="24"/>
          <w:szCs w:val="24"/>
        </w:rPr>
        <w:t>的工程质量合格等级。承包人应按现</w:t>
      </w:r>
      <w:r>
        <w:rPr>
          <w:rFonts w:hint="eastAsia" w:ascii="宋体" w:hAnsi="宋体" w:eastAsia="宋体" w:cs="宋体"/>
          <w:color w:val="auto"/>
          <w:spacing w:val="-3"/>
          <w:sz w:val="24"/>
          <w:szCs w:val="24"/>
        </w:rPr>
        <w:t>行的国家施工验收规范和质量评定标准施工。</w:t>
      </w:r>
    </w:p>
    <w:p w14:paraId="6A7BBB7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13.2  承包人的质量管理</w:t>
      </w:r>
    </w:p>
    <w:p w14:paraId="5B393017">
      <w:pPr>
        <w:pStyle w:val="7"/>
        <w:keepNext w:val="0"/>
        <w:keepLines w:val="0"/>
        <w:pageBreakBefore w:val="0"/>
        <w:widowControl w:val="0"/>
        <w:kinsoku/>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13.2.1  承包人应在施工场地设置专门的质量检查</w:t>
      </w:r>
      <w:r>
        <w:rPr>
          <w:rFonts w:hint="eastAsia" w:ascii="宋体" w:hAnsi="宋体" w:eastAsia="宋体" w:cs="宋体"/>
          <w:color w:val="auto"/>
          <w:spacing w:val="-2"/>
          <w:sz w:val="24"/>
          <w:szCs w:val="24"/>
        </w:rPr>
        <w:t>机构，配备专职质量检查人员，建</w:t>
      </w:r>
      <w:r>
        <w:rPr>
          <w:rFonts w:hint="eastAsia" w:ascii="宋体" w:hAnsi="宋体" w:eastAsia="宋体" w:cs="宋体"/>
          <w:color w:val="auto"/>
          <w:spacing w:val="-1"/>
          <w:sz w:val="24"/>
          <w:szCs w:val="24"/>
        </w:rPr>
        <w:t>立完善的质量检查制度。承包人应在</w:t>
      </w:r>
      <w:r>
        <w:rPr>
          <w:rFonts w:hint="eastAsia" w:ascii="宋体" w:hAnsi="宋体" w:eastAsia="宋体" w:cs="宋体"/>
          <w:color w:val="auto"/>
          <w:spacing w:val="-1"/>
          <w:sz w:val="24"/>
          <w:szCs w:val="24"/>
          <w:u w:val="single" w:color="auto"/>
        </w:rPr>
        <w:t>开工前七日</w:t>
      </w:r>
      <w:r>
        <w:rPr>
          <w:rFonts w:hint="eastAsia" w:ascii="宋体" w:hAnsi="宋体" w:eastAsia="宋体" w:cs="宋体"/>
          <w:color w:val="auto"/>
          <w:spacing w:val="-1"/>
          <w:sz w:val="24"/>
          <w:szCs w:val="24"/>
        </w:rPr>
        <w:t>期限内，提交工程质量保证措施文件，</w:t>
      </w:r>
      <w:r>
        <w:rPr>
          <w:rFonts w:hint="eastAsia" w:ascii="宋体" w:hAnsi="宋体" w:eastAsia="宋体" w:cs="宋体"/>
          <w:color w:val="auto"/>
          <w:spacing w:val="2"/>
          <w:sz w:val="24"/>
          <w:szCs w:val="24"/>
        </w:rPr>
        <w:t>包括质量检查机构的组织和岗位责任、质检人员的组成、质量检查程序和实施细则等，报</w:t>
      </w:r>
      <w:r>
        <w:rPr>
          <w:rFonts w:hint="eastAsia" w:ascii="宋体" w:hAnsi="宋体" w:eastAsia="宋体" w:cs="宋体"/>
          <w:color w:val="auto"/>
          <w:spacing w:val="-6"/>
          <w:sz w:val="24"/>
          <w:szCs w:val="24"/>
        </w:rPr>
        <w:t>送监理人审批。</w:t>
      </w:r>
    </w:p>
    <w:p w14:paraId="73596B2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15</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变更</w:t>
      </w:r>
    </w:p>
    <w:p w14:paraId="1AE6FD6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15.4  变更的估价原则</w:t>
      </w:r>
    </w:p>
    <w:p w14:paraId="24551CD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取消合同通用条款15.4.1、15.4.2、15.4.3款内容。因变更引起的价格调整按照本</w:t>
      </w:r>
      <w:r>
        <w:rPr>
          <w:rFonts w:hint="eastAsia" w:ascii="宋体" w:hAnsi="宋体" w:eastAsia="宋体" w:cs="宋体"/>
          <w:color w:val="auto"/>
          <w:spacing w:val="-6"/>
          <w:sz w:val="24"/>
          <w:szCs w:val="24"/>
        </w:rPr>
        <w:t>专用条款16.2款约定处理。</w:t>
      </w:r>
    </w:p>
    <w:p w14:paraId="60C3D0B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15.5.2承包人提出的合理化建议降低了合</w:t>
      </w:r>
      <w:r>
        <w:rPr>
          <w:rFonts w:hint="eastAsia" w:ascii="宋体" w:hAnsi="宋体" w:eastAsia="宋体" w:cs="宋体"/>
          <w:color w:val="auto"/>
          <w:spacing w:val="1"/>
          <w:sz w:val="24"/>
          <w:szCs w:val="24"/>
        </w:rPr>
        <w:t>同价格、缩短了工期或者提高了工程经济</w:t>
      </w:r>
      <w:r>
        <w:rPr>
          <w:rFonts w:hint="eastAsia" w:ascii="宋体" w:hAnsi="宋体" w:eastAsia="宋体" w:cs="宋体"/>
          <w:color w:val="auto"/>
          <w:spacing w:val="-3"/>
          <w:sz w:val="24"/>
          <w:szCs w:val="24"/>
        </w:rPr>
        <w:t>效益的，发包人按</w:t>
      </w:r>
      <w:r>
        <w:rPr>
          <w:rFonts w:hint="eastAsia" w:ascii="宋体" w:hAnsi="宋体" w:eastAsia="宋体" w:cs="宋体"/>
          <w:color w:val="auto"/>
          <w:spacing w:val="-3"/>
          <w:sz w:val="24"/>
          <w:szCs w:val="24"/>
          <w:u w:val="single" w:color="auto"/>
        </w:rPr>
        <w:t>不</w:t>
      </w:r>
      <w:r>
        <w:rPr>
          <w:rFonts w:hint="eastAsia" w:ascii="宋体" w:hAnsi="宋体" w:eastAsia="宋体" w:cs="宋体"/>
          <w:color w:val="auto"/>
          <w:spacing w:val="-3"/>
          <w:sz w:val="24"/>
          <w:szCs w:val="24"/>
        </w:rPr>
        <w:t>给予奖励。</w:t>
      </w:r>
    </w:p>
    <w:p w14:paraId="3DC61C0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15.6</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5"/>
          <w:sz w:val="24"/>
          <w:szCs w:val="24"/>
        </w:rPr>
        <w:t>暂列金额</w:t>
      </w:r>
    </w:p>
    <w:p w14:paraId="482934B9">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暂列金额只能按照监理人的指示使用，结算时减去工程价款调整与索赔、现场签证金</w:t>
      </w:r>
      <w:r>
        <w:rPr>
          <w:rFonts w:hint="eastAsia" w:ascii="宋体" w:hAnsi="宋体" w:eastAsia="宋体" w:cs="宋体"/>
          <w:color w:val="auto"/>
          <w:spacing w:val="-1"/>
          <w:sz w:val="24"/>
          <w:szCs w:val="24"/>
        </w:rPr>
        <w:t>额计算，如有余额归发包人，如出现差额则由发包人补足并反映</w:t>
      </w:r>
      <w:r>
        <w:rPr>
          <w:rFonts w:hint="eastAsia" w:ascii="宋体" w:hAnsi="宋体" w:eastAsia="宋体" w:cs="宋体"/>
          <w:color w:val="auto"/>
          <w:spacing w:val="-2"/>
          <w:sz w:val="24"/>
          <w:szCs w:val="24"/>
        </w:rPr>
        <w:t>在相应的价款中。</w:t>
      </w:r>
    </w:p>
    <w:p w14:paraId="33A5FC8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15.8</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6"/>
          <w:sz w:val="24"/>
          <w:szCs w:val="24"/>
        </w:rPr>
        <w:t>暂估价</w:t>
      </w:r>
    </w:p>
    <w:p w14:paraId="65791D6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15.8.4  当暂估价中的材料是招标采购的，其材</w:t>
      </w:r>
      <w:r>
        <w:rPr>
          <w:rFonts w:hint="eastAsia" w:ascii="宋体" w:hAnsi="宋体" w:eastAsia="宋体" w:cs="宋体"/>
          <w:color w:val="auto"/>
          <w:spacing w:val="-2"/>
          <w:sz w:val="24"/>
          <w:szCs w:val="24"/>
        </w:rPr>
        <w:t>料单价按中标价在综合单价中调整。</w:t>
      </w:r>
      <w:r>
        <w:rPr>
          <w:rFonts w:hint="eastAsia" w:ascii="宋体" w:hAnsi="宋体" w:eastAsia="宋体" w:cs="宋体"/>
          <w:color w:val="auto"/>
          <w:spacing w:val="2"/>
          <w:sz w:val="24"/>
          <w:szCs w:val="24"/>
        </w:rPr>
        <w:t>当暂估价中的材料为非招标采购的，其单价按发、承包双方最终确认的单价在综合单价中</w:t>
      </w:r>
      <w:r>
        <w:rPr>
          <w:rFonts w:hint="eastAsia" w:ascii="宋体" w:hAnsi="宋体" w:eastAsia="宋体" w:cs="宋体"/>
          <w:color w:val="auto"/>
          <w:spacing w:val="-11"/>
          <w:sz w:val="24"/>
          <w:szCs w:val="24"/>
        </w:rPr>
        <w:t>调整。</w:t>
      </w:r>
    </w:p>
    <w:p w14:paraId="54D6E10C">
      <w:pPr>
        <w:keepNext w:val="0"/>
        <w:keepLines w:val="0"/>
        <w:pageBreakBefore w:val="0"/>
        <w:widowControl w:val="0"/>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15.8.5 当暂估</w:t>
      </w:r>
      <w:r>
        <w:rPr>
          <w:rFonts w:hint="eastAsia" w:ascii="宋体" w:hAnsi="宋体" w:eastAsia="宋体" w:cs="宋体"/>
          <w:color w:val="auto"/>
          <w:spacing w:val="-3"/>
          <w:sz w:val="24"/>
          <w:szCs w:val="24"/>
        </w:rPr>
        <w:t>价中的专业工程是招标分</w:t>
      </w:r>
      <w:r>
        <w:rPr>
          <w:rFonts w:hint="eastAsia" w:ascii="宋体" w:hAnsi="宋体" w:eastAsia="宋体" w:cs="宋体"/>
          <w:color w:val="auto"/>
          <w:spacing w:val="-4"/>
          <w:sz w:val="24"/>
          <w:szCs w:val="24"/>
        </w:rPr>
        <w:t>包的，其金额按中标价计算。当暂估价中的专</w:t>
      </w:r>
      <w:r>
        <w:rPr>
          <w:rFonts w:hint="eastAsia" w:ascii="宋体" w:hAnsi="宋体" w:eastAsia="宋体" w:cs="宋体"/>
          <w:color w:val="auto"/>
          <w:spacing w:val="-1"/>
          <w:sz w:val="24"/>
          <w:szCs w:val="24"/>
        </w:rPr>
        <w:t>业工程为非招标分包的，其金额按发、承包双方最终</w:t>
      </w:r>
      <w:r>
        <w:rPr>
          <w:rFonts w:hint="eastAsia" w:ascii="宋体" w:hAnsi="宋体" w:eastAsia="宋体" w:cs="宋体"/>
          <w:color w:val="auto"/>
          <w:spacing w:val="-2"/>
          <w:sz w:val="24"/>
          <w:szCs w:val="24"/>
        </w:rPr>
        <w:t>结算确认的金额计算。</w:t>
      </w:r>
    </w:p>
    <w:p w14:paraId="65DA4AF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6"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16</w:t>
      </w:r>
      <w:r>
        <w:rPr>
          <w:rFonts w:hint="eastAsia" w:ascii="宋体" w:hAnsi="宋体" w:eastAsia="宋体" w:cs="宋体"/>
          <w:color w:val="auto"/>
          <w:spacing w:val="-4"/>
          <w:sz w:val="24"/>
          <w:szCs w:val="24"/>
        </w:rPr>
        <w:t xml:space="preserve">  </w:t>
      </w:r>
      <w:r>
        <w:rPr>
          <w:rFonts w:hint="eastAsia" w:ascii="宋体" w:hAnsi="宋体" w:eastAsia="宋体" w:cs="宋体"/>
          <w:b/>
          <w:bCs/>
          <w:color w:val="auto"/>
          <w:spacing w:val="-4"/>
          <w:sz w:val="24"/>
          <w:szCs w:val="24"/>
        </w:rPr>
        <w:t>工程结算价款及调整方法。</w:t>
      </w:r>
    </w:p>
    <w:p w14:paraId="0F15551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本合同采用固定单价合同；合同中的分部分项工程量清单工程量按实际完成工程量计算。合同价款中包括的风险范围：承包人应承担约定范围内物价波动、施工组织和技术方案变化、气候条件恶劣及其他意外困难等风险（设计变更、招标人预算控制价工程量清单</w:t>
      </w:r>
      <w:r>
        <w:rPr>
          <w:rFonts w:hint="eastAsia" w:ascii="宋体" w:hAnsi="宋体" w:eastAsia="宋体" w:cs="宋体"/>
          <w:color w:val="auto"/>
          <w:spacing w:val="-3"/>
          <w:sz w:val="24"/>
          <w:szCs w:val="24"/>
        </w:rPr>
        <w:t>与图纸不符或漏项、不可抗力除外）。</w:t>
      </w:r>
    </w:p>
    <w:p w14:paraId="3F5825B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结算以业主审定的预算单价乘以实际完成的工程量作为结算基础价</w:t>
      </w:r>
      <w:r>
        <w:rPr>
          <w:rFonts w:hint="eastAsia" w:ascii="宋体" w:hAnsi="宋体" w:eastAsia="宋体" w:cs="宋体"/>
          <w:color w:val="auto"/>
          <w:spacing w:val="1"/>
          <w:sz w:val="24"/>
          <w:szCs w:val="24"/>
        </w:rPr>
        <w:t>款，最终的结算价</w:t>
      </w:r>
      <w:r>
        <w:rPr>
          <w:rFonts w:hint="eastAsia" w:ascii="宋体" w:hAnsi="宋体" w:eastAsia="宋体" w:cs="宋体"/>
          <w:color w:val="auto"/>
          <w:spacing w:val="-1"/>
          <w:sz w:val="24"/>
          <w:szCs w:val="24"/>
        </w:rPr>
        <w:t>款＝结算基础价款</w:t>
      </w:r>
      <w:r>
        <w:rPr>
          <w:rFonts w:hint="eastAsia" w:ascii="宋体" w:hAnsi="宋体" w:eastAsia="宋体" w:cs="宋体"/>
          <w:color w:val="auto"/>
          <w:spacing w:val="-2"/>
          <w:sz w:val="24"/>
          <w:szCs w:val="24"/>
        </w:rPr>
        <w:t>＋（</w:t>
      </w:r>
      <w:r>
        <w:rPr>
          <w:rFonts w:hint="eastAsia" w:ascii="宋体" w:hAnsi="宋体" w:eastAsia="宋体" w:cs="宋体"/>
          <w:color w:val="auto"/>
          <w:spacing w:val="-1"/>
          <w:sz w:val="24"/>
          <w:szCs w:val="24"/>
        </w:rPr>
        <w:t>工程变更新增价款＋签证增加价款）×（1－中标单</w:t>
      </w:r>
      <w:r>
        <w:rPr>
          <w:rFonts w:hint="eastAsia" w:ascii="宋体" w:hAnsi="宋体" w:eastAsia="宋体" w:cs="宋体"/>
          <w:color w:val="auto"/>
          <w:spacing w:val="-2"/>
          <w:sz w:val="24"/>
          <w:szCs w:val="24"/>
        </w:rPr>
        <w:t>位让利系数），本工程让利系数为</w:t>
      </w:r>
      <w:r>
        <w:rPr>
          <w:rFonts w:hint="eastAsia" w:ascii="宋体" w:hAnsi="宋体" w:eastAsia="宋体" w:cs="宋体"/>
          <w:color w:val="auto"/>
          <w:spacing w:val="-2"/>
          <w:sz w:val="24"/>
          <w:szCs w:val="24"/>
          <w:u w:val="single" w:color="auto"/>
          <w:lang w:val="en-US" w:eastAsia="zh-CN"/>
        </w:rPr>
        <w:t xml:space="preserve">   </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，工程变更</w:t>
      </w:r>
      <w:r>
        <w:rPr>
          <w:rFonts w:hint="eastAsia" w:ascii="宋体" w:hAnsi="宋体" w:eastAsia="宋体" w:cs="宋体"/>
          <w:color w:val="auto"/>
          <w:spacing w:val="-3"/>
          <w:sz w:val="24"/>
          <w:szCs w:val="24"/>
        </w:rPr>
        <w:t>新增价款及签证增加价款按16.2.3原则计算。</w:t>
      </w:r>
    </w:p>
    <w:p w14:paraId="10186BF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16.1</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物价波动引起的价格调整</w:t>
      </w:r>
    </w:p>
    <w:p w14:paraId="0221D74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取消合同通用条款16.1.1和16.1.</w:t>
      </w:r>
      <w:r>
        <w:rPr>
          <w:rFonts w:hint="eastAsia" w:ascii="宋体" w:hAnsi="宋体" w:eastAsia="宋体" w:cs="宋体"/>
          <w:b/>
          <w:bCs/>
          <w:color w:val="auto"/>
          <w:spacing w:val="-4"/>
          <w:sz w:val="24"/>
          <w:szCs w:val="24"/>
        </w:rPr>
        <w:t>2项内容,以下文代替:</w:t>
      </w:r>
    </w:p>
    <w:p w14:paraId="507DEEA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16.1.1</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采用造价信息调整材料价格差额</w:t>
      </w:r>
    </w:p>
    <w:p w14:paraId="06FC2901">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fldChar w:fldCharType="begin"/>
      </w:r>
      <w:r>
        <w:instrText xml:space="preserve">HYPERLINK "/media/suma/玲&amp;琳小U/项目科/政府采购/2.招标、竞谈资料/2026/竞谈类政采/2.泵站、堤防护坡清理维护工程（2026年度）/16.1.1.1"</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16.1.1.1</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 xml:space="preserve"> 合同中的《主要材料及价格表》、《税前</w:t>
      </w:r>
      <w:r>
        <w:rPr>
          <w:rFonts w:hint="eastAsia" w:ascii="宋体" w:hAnsi="宋体" w:eastAsia="宋体" w:cs="宋体"/>
          <w:color w:val="auto"/>
          <w:spacing w:val="-2"/>
          <w:sz w:val="24"/>
          <w:szCs w:val="24"/>
        </w:rPr>
        <w:t>项目清单与计价表》、《设备及价</w:t>
      </w:r>
      <w:r>
        <w:rPr>
          <w:rFonts w:hint="eastAsia" w:ascii="宋体" w:hAnsi="宋体" w:eastAsia="宋体" w:cs="宋体"/>
          <w:color w:val="auto"/>
          <w:spacing w:val="2"/>
          <w:sz w:val="24"/>
          <w:szCs w:val="24"/>
        </w:rPr>
        <w:t>格表》所列材料（含机械台班中的动力燃料）价格与施工期相比，变化超过±5%时，按以</w:t>
      </w:r>
      <w:r>
        <w:rPr>
          <w:rFonts w:hint="eastAsia" w:ascii="宋体" w:hAnsi="宋体" w:eastAsia="宋体" w:cs="宋体"/>
          <w:color w:val="auto"/>
          <w:spacing w:val="-8"/>
          <w:sz w:val="24"/>
          <w:szCs w:val="24"/>
        </w:rPr>
        <w:t>下原则进行调整：</w:t>
      </w:r>
    </w:p>
    <w:p w14:paraId="0AC36E10">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16.1.1.1.1 施工期间工程造价管理部公布的价格与招标期相</w:t>
      </w:r>
      <w:r>
        <w:rPr>
          <w:rFonts w:hint="eastAsia" w:ascii="宋体" w:hAnsi="宋体" w:eastAsia="宋体" w:cs="宋体"/>
          <w:color w:val="auto"/>
          <w:spacing w:val="-2"/>
          <w:sz w:val="24"/>
          <w:szCs w:val="24"/>
        </w:rPr>
        <w:t>比，变化超过±5%时，按</w:t>
      </w:r>
      <w:r>
        <w:rPr>
          <w:rFonts w:hint="eastAsia" w:ascii="宋体" w:hAnsi="宋体" w:eastAsia="宋体" w:cs="宋体"/>
          <w:color w:val="auto"/>
          <w:spacing w:val="-4"/>
          <w:sz w:val="24"/>
          <w:szCs w:val="24"/>
        </w:rPr>
        <w:t>超出±5%的部分做调整。</w:t>
      </w:r>
    </w:p>
    <w:p w14:paraId="50B8420F">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16.1.1.1.2 工程造价管理部门未公布的价格：招标期价</w:t>
      </w:r>
      <w:r>
        <w:rPr>
          <w:rFonts w:hint="eastAsia" w:ascii="宋体" w:hAnsi="宋体" w:eastAsia="宋体" w:cs="宋体"/>
          <w:color w:val="auto"/>
          <w:spacing w:val="-2"/>
          <w:sz w:val="24"/>
          <w:szCs w:val="24"/>
        </w:rPr>
        <w:t>格按发包人提供的预算控制价</w:t>
      </w:r>
      <w:r>
        <w:rPr>
          <w:rFonts w:hint="eastAsia" w:ascii="宋体" w:hAnsi="宋体" w:eastAsia="宋体" w:cs="宋体"/>
          <w:color w:val="auto"/>
          <w:spacing w:val="2"/>
          <w:sz w:val="24"/>
          <w:szCs w:val="24"/>
        </w:rPr>
        <w:t>确定，施工期价格上涨时由承包人提出，下降时由发包人提出，调整后的价格经发包人审</w:t>
      </w:r>
      <w:r>
        <w:rPr>
          <w:rFonts w:hint="eastAsia" w:ascii="宋体" w:hAnsi="宋体" w:eastAsia="宋体" w:cs="宋体"/>
          <w:color w:val="auto"/>
          <w:spacing w:val="-9"/>
          <w:sz w:val="24"/>
          <w:szCs w:val="24"/>
        </w:rPr>
        <w:t>查确认。</w:t>
      </w:r>
    </w:p>
    <w:p w14:paraId="5E28D8D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16.1.1.1.3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材料价格调整具体调整公式为：</w:t>
      </w:r>
    </w:p>
    <w:p w14:paraId="6FE79BE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（1）施工期价格上涨，当涨幅＞5%时，</w:t>
      </w:r>
      <w:r>
        <w:rPr>
          <w:rFonts w:hint="eastAsia" w:ascii="宋体" w:hAnsi="宋体" w:eastAsia="宋体" w:cs="宋体"/>
          <w:color w:val="auto"/>
          <w:spacing w:val="-1"/>
          <w:sz w:val="24"/>
          <w:szCs w:val="24"/>
        </w:rPr>
        <w:t>P=C×（A/B－1.05）</w:t>
      </w:r>
    </w:p>
    <w:p w14:paraId="2FA280B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（2）施工期价格下降，当跌幅＞5%时，P=C×（0.95－A/B）</w:t>
      </w:r>
      <w:r>
        <w:rPr>
          <w:rFonts w:hint="eastAsia" w:ascii="宋体" w:hAnsi="宋体" w:eastAsia="宋体" w:cs="宋体"/>
          <w:color w:val="auto"/>
          <w:spacing w:val="-6"/>
          <w:sz w:val="24"/>
          <w:szCs w:val="24"/>
        </w:rPr>
        <w:t>式中P－可调整的材料差额；</w:t>
      </w:r>
    </w:p>
    <w:p w14:paraId="14FD60B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C－预算控制价中的本细目材料价；</w:t>
      </w:r>
    </w:p>
    <w:p w14:paraId="0F47B69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A－施工期《柳州市建设工程造价信息》刊登的本细目材料价；B－招标期《柳州市建设工程造价信息》刊登的本细目材料价。</w:t>
      </w:r>
    </w:p>
    <w:p w14:paraId="6D940291">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16.1.1.1.4需要进行价格调整的材料、设备，其单价和</w:t>
      </w:r>
      <w:r>
        <w:rPr>
          <w:rFonts w:hint="eastAsia" w:ascii="宋体" w:hAnsi="宋体" w:eastAsia="宋体" w:cs="宋体"/>
          <w:color w:val="auto"/>
          <w:spacing w:val="-2"/>
          <w:sz w:val="24"/>
          <w:szCs w:val="24"/>
        </w:rPr>
        <w:t>数量应由监理人复核，监理人</w:t>
      </w:r>
      <w:r>
        <w:rPr>
          <w:rFonts w:hint="eastAsia" w:ascii="宋体" w:hAnsi="宋体" w:eastAsia="宋体" w:cs="宋体"/>
          <w:color w:val="auto"/>
          <w:spacing w:val="2"/>
          <w:sz w:val="24"/>
          <w:szCs w:val="24"/>
        </w:rPr>
        <w:t>确认需调整的单价及数量，作为调整暂列金额差额的依据，调整部分仅计差额及相应的税</w:t>
      </w:r>
      <w:r>
        <w:rPr>
          <w:rFonts w:hint="eastAsia" w:ascii="宋体" w:hAnsi="宋体" w:eastAsia="宋体" w:cs="宋体"/>
          <w:color w:val="auto"/>
          <w:spacing w:val="1"/>
          <w:sz w:val="24"/>
          <w:szCs w:val="24"/>
        </w:rPr>
        <w:t>金，不计其对分部分项工程量清单综合单价的影响（即不再计算管理费、利润、规费）。</w:t>
      </w:r>
      <w:r>
        <w:rPr>
          <w:rFonts w:hint="eastAsia" w:ascii="宋体" w:hAnsi="宋体" w:eastAsia="宋体" w:cs="宋体"/>
          <w:color w:val="auto"/>
          <w:spacing w:val="-3"/>
          <w:sz w:val="24"/>
          <w:szCs w:val="24"/>
        </w:rPr>
        <w:t>材料价格调整后均要求乘以中标让利系数。</w:t>
      </w:r>
    </w:p>
    <w:p w14:paraId="2807F82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16.2分部分项工程量清单变化或设计变更引</w:t>
      </w:r>
      <w:r>
        <w:rPr>
          <w:rFonts w:hint="eastAsia" w:ascii="宋体" w:hAnsi="宋体" w:eastAsia="宋体" w:cs="宋体"/>
          <w:b/>
          <w:bCs/>
          <w:color w:val="auto"/>
          <w:spacing w:val="-4"/>
          <w:sz w:val="24"/>
          <w:szCs w:val="24"/>
        </w:rPr>
        <w:t>起的价格调整</w:t>
      </w:r>
    </w:p>
    <w:p w14:paraId="69093E8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16.2.1施工中出现施工图纸（含设计变更）与工程量清单</w:t>
      </w:r>
      <w:r>
        <w:rPr>
          <w:rFonts w:hint="eastAsia" w:ascii="宋体" w:hAnsi="宋体" w:eastAsia="宋体" w:cs="宋体"/>
          <w:color w:val="auto"/>
          <w:spacing w:val="-3"/>
          <w:sz w:val="24"/>
          <w:szCs w:val="24"/>
        </w:rPr>
        <w:t>项目特征描述不符的，按新的项目特征和本专用条款第16.2.3款原则确定相应工程量清单的综合单价。</w:t>
      </w:r>
    </w:p>
    <w:p w14:paraId="667872E8">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16.2.2由于工程量清单的工程数量有误，或非承包人原因的工程变更引起的工程量增减在原工程数量的</w:t>
      </w:r>
      <w:r>
        <w:rPr>
          <w:rFonts w:hint="eastAsia" w:ascii="宋体" w:hAnsi="宋体" w:eastAsia="宋体" w:cs="宋体"/>
          <w:color w:val="auto"/>
          <w:spacing w:val="-3"/>
          <w:sz w:val="24"/>
          <w:szCs w:val="24"/>
          <w:u w:val="single" w:color="auto"/>
        </w:rPr>
        <w:t>±10%</w:t>
      </w:r>
      <w:r>
        <w:rPr>
          <w:rFonts w:hint="eastAsia" w:ascii="宋体" w:hAnsi="宋体" w:eastAsia="宋体" w:cs="宋体"/>
          <w:b/>
          <w:bCs/>
          <w:color w:val="auto"/>
          <w:spacing w:val="-3"/>
          <w:sz w:val="24"/>
          <w:szCs w:val="24"/>
          <w:u w:val="single" w:color="auto"/>
        </w:rPr>
        <w:t>且其影响分部分项工程费超过0.1%</w:t>
      </w:r>
      <w:r>
        <w:rPr>
          <w:rFonts w:hint="eastAsia" w:ascii="宋体" w:hAnsi="宋体" w:eastAsia="宋体" w:cs="宋体"/>
          <w:color w:val="auto"/>
          <w:spacing w:val="-3"/>
          <w:sz w:val="24"/>
          <w:szCs w:val="24"/>
        </w:rPr>
        <w:t>以内时</w:t>
      </w:r>
      <w:r>
        <w:rPr>
          <w:rFonts w:hint="eastAsia" w:ascii="宋体" w:hAnsi="宋体" w:eastAsia="宋体" w:cs="宋体"/>
          <w:color w:val="auto"/>
          <w:spacing w:val="-4"/>
          <w:sz w:val="24"/>
          <w:szCs w:val="24"/>
        </w:rPr>
        <w:t>，执行原有的综合单价，</w:t>
      </w:r>
      <w:r>
        <w:rPr>
          <w:rFonts w:hint="eastAsia" w:ascii="宋体" w:hAnsi="宋体" w:eastAsia="宋体" w:cs="宋体"/>
          <w:color w:val="auto"/>
          <w:spacing w:val="9"/>
          <w:sz w:val="24"/>
          <w:szCs w:val="24"/>
        </w:rPr>
        <w:t>措施项目费除安全文明施工费按合同约定的计算</w:t>
      </w:r>
      <w:r>
        <w:rPr>
          <w:rFonts w:hint="eastAsia" w:ascii="宋体" w:hAnsi="宋体" w:eastAsia="宋体" w:cs="宋体"/>
          <w:color w:val="auto"/>
          <w:spacing w:val="8"/>
          <w:sz w:val="24"/>
          <w:szCs w:val="24"/>
        </w:rPr>
        <w:t>基础和费率计算进行调整外其余不予调</w:t>
      </w:r>
      <w:r>
        <w:rPr>
          <w:rFonts w:hint="eastAsia" w:ascii="宋体" w:hAnsi="宋体" w:eastAsia="宋体" w:cs="宋体"/>
          <w:color w:val="auto"/>
          <w:sz w:val="24"/>
          <w:szCs w:val="24"/>
        </w:rPr>
        <w:t>整，但遇物价波动引起《主要材料及价格表》、《税前项目清单与计价表》、《设备及价</w:t>
      </w:r>
      <w:r>
        <w:rPr>
          <w:rFonts w:hint="eastAsia" w:ascii="宋体" w:hAnsi="宋体" w:eastAsia="宋体" w:cs="宋体"/>
          <w:color w:val="auto"/>
          <w:spacing w:val="2"/>
          <w:sz w:val="24"/>
          <w:szCs w:val="24"/>
        </w:rPr>
        <w:t>格表》所列材料（含机械台班中的动力燃料）、税前项目及设备用量发生变化及国家政策</w:t>
      </w:r>
      <w:r>
        <w:rPr>
          <w:rFonts w:hint="eastAsia" w:ascii="宋体" w:hAnsi="宋体" w:eastAsia="宋体" w:cs="宋体"/>
          <w:color w:val="auto"/>
          <w:spacing w:val="-2"/>
          <w:sz w:val="24"/>
          <w:szCs w:val="24"/>
        </w:rPr>
        <w:t>性调整时仍需按本合同专用条款16.1和</w:t>
      </w:r>
      <w:r>
        <w:rPr>
          <w:rFonts w:hint="eastAsia" w:ascii="宋体" w:hAnsi="宋体" w:eastAsia="宋体" w:cs="宋体"/>
          <w:color w:val="auto"/>
          <w:spacing w:val="-3"/>
          <w:sz w:val="24"/>
          <w:szCs w:val="24"/>
        </w:rPr>
        <w:t>16.3款原则调整暂列金额差额。</w:t>
      </w:r>
    </w:p>
    <w:p w14:paraId="22A54350">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16.2.3由于工程量清单的工程数量有误，或非承包人原因的工程变更引起的工程量增</w:t>
      </w:r>
      <w:r>
        <w:rPr>
          <w:rFonts w:hint="eastAsia" w:ascii="宋体" w:hAnsi="宋体" w:eastAsia="宋体" w:cs="宋体"/>
          <w:color w:val="auto"/>
          <w:spacing w:val="-1"/>
          <w:sz w:val="24"/>
          <w:szCs w:val="24"/>
        </w:rPr>
        <w:t>加超过原工程数量的</w:t>
      </w:r>
      <w:r>
        <w:rPr>
          <w:rFonts w:hint="eastAsia" w:ascii="宋体" w:hAnsi="宋体" w:eastAsia="宋体" w:cs="宋体"/>
          <w:color w:val="auto"/>
          <w:spacing w:val="-1"/>
          <w:sz w:val="24"/>
          <w:szCs w:val="24"/>
          <w:u w:val="single" w:color="auto"/>
        </w:rPr>
        <w:t>±10%</w:t>
      </w:r>
      <w:r>
        <w:rPr>
          <w:rFonts w:hint="eastAsia" w:ascii="宋体" w:hAnsi="宋体" w:eastAsia="宋体" w:cs="宋体"/>
          <w:b/>
          <w:bCs/>
          <w:color w:val="auto"/>
          <w:spacing w:val="-1"/>
          <w:sz w:val="24"/>
          <w:szCs w:val="24"/>
          <w:u w:val="single" w:color="auto"/>
        </w:rPr>
        <w:t>且其影响分部分项工程费超过0.1%以外</w:t>
      </w:r>
      <w:r>
        <w:rPr>
          <w:rFonts w:hint="eastAsia" w:ascii="宋体" w:hAnsi="宋体" w:eastAsia="宋体" w:cs="宋体"/>
          <w:b/>
          <w:bCs/>
          <w:color w:val="auto"/>
          <w:spacing w:val="-2"/>
          <w:sz w:val="24"/>
          <w:szCs w:val="24"/>
          <w:u w:val="single" w:color="auto"/>
        </w:rPr>
        <w:t>时</w:t>
      </w:r>
      <w:r>
        <w:rPr>
          <w:rFonts w:hint="eastAsia" w:ascii="宋体" w:hAnsi="宋体" w:eastAsia="宋体" w:cs="宋体"/>
          <w:color w:val="auto"/>
          <w:spacing w:val="-2"/>
          <w:sz w:val="24"/>
          <w:szCs w:val="24"/>
          <w:u w:val="single" w:color="auto"/>
        </w:rPr>
        <w:t>，也</w:t>
      </w:r>
      <w:r>
        <w:rPr>
          <w:rFonts w:hint="eastAsia" w:ascii="宋体" w:hAnsi="宋体" w:eastAsia="宋体" w:cs="宋体"/>
          <w:color w:val="auto"/>
          <w:spacing w:val="-2"/>
          <w:sz w:val="24"/>
          <w:szCs w:val="24"/>
        </w:rPr>
        <w:t>执行原有的综合</w:t>
      </w:r>
      <w:r>
        <w:rPr>
          <w:rFonts w:hint="eastAsia" w:ascii="宋体" w:hAnsi="宋体" w:eastAsia="宋体" w:cs="宋体"/>
          <w:color w:val="auto"/>
          <w:spacing w:val="-10"/>
          <w:sz w:val="24"/>
          <w:szCs w:val="24"/>
        </w:rPr>
        <w:t>单价。</w:t>
      </w:r>
    </w:p>
    <w:p w14:paraId="4637A5DB">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非承包人原因的工程变更引起新增的工程量清单项目相应综合单价参照预算控制价的编制方法计算，具体计算方法为：分部分项工程量清单的材料价格按施</w:t>
      </w:r>
      <w:r>
        <w:rPr>
          <w:rFonts w:hint="eastAsia" w:ascii="宋体" w:hAnsi="宋体" w:eastAsia="宋体" w:cs="宋体"/>
          <w:color w:val="auto"/>
          <w:spacing w:val="1"/>
          <w:sz w:val="24"/>
          <w:szCs w:val="24"/>
        </w:rPr>
        <w:t>工期《柳州市建设</w:t>
      </w:r>
      <w:r>
        <w:rPr>
          <w:rFonts w:hint="eastAsia" w:ascii="宋体" w:hAnsi="宋体" w:eastAsia="宋体" w:cs="宋体"/>
          <w:color w:val="auto"/>
          <w:spacing w:val="2"/>
          <w:sz w:val="24"/>
          <w:szCs w:val="24"/>
        </w:rPr>
        <w:t>工程造价信息》的平均价计算（造价信息未发布的特殊材料、设备材料，其价格按市场调</w:t>
      </w:r>
      <w:r>
        <w:rPr>
          <w:rFonts w:hint="eastAsia" w:ascii="宋体" w:hAnsi="宋体" w:eastAsia="宋体" w:cs="宋体"/>
          <w:color w:val="auto"/>
          <w:sz w:val="24"/>
          <w:szCs w:val="24"/>
        </w:rPr>
        <w:t>查的实际购买价格加材料运费、采购及保管费计），管理费和利润费率按预算控制价</w:t>
      </w:r>
      <w:r>
        <w:rPr>
          <w:rFonts w:hint="eastAsia" w:ascii="宋体" w:hAnsi="宋体" w:eastAsia="宋体" w:cs="宋体"/>
          <w:color w:val="auto"/>
          <w:spacing w:val="-1"/>
          <w:sz w:val="24"/>
          <w:szCs w:val="24"/>
        </w:rPr>
        <w:t>相应</w:t>
      </w:r>
      <w:r>
        <w:rPr>
          <w:rFonts w:hint="eastAsia" w:ascii="宋体" w:hAnsi="宋体" w:eastAsia="宋体" w:cs="宋体"/>
          <w:color w:val="auto"/>
          <w:spacing w:val="2"/>
          <w:sz w:val="24"/>
          <w:szCs w:val="24"/>
        </w:rPr>
        <w:t>专业的费率，风险费不计，变更价格由承包人提出，经发包人审核，由财政投资评审中心</w:t>
      </w:r>
      <w:r>
        <w:rPr>
          <w:rFonts w:hint="eastAsia" w:ascii="宋体" w:hAnsi="宋体" w:eastAsia="宋体" w:cs="宋体"/>
          <w:color w:val="auto"/>
          <w:spacing w:val="-4"/>
          <w:sz w:val="24"/>
          <w:szCs w:val="24"/>
        </w:rPr>
        <w:t>审定后作为结算的依据。</w:t>
      </w:r>
    </w:p>
    <w:p w14:paraId="2A1BE8F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16.2.4由于工程量清单的工程数量有误，或非承包人原因的工程变更引起的工程量增</w:t>
      </w:r>
    </w:p>
    <w:p w14:paraId="219D4B19">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加或减少超过原工程数量的</w:t>
      </w:r>
      <w:r>
        <w:rPr>
          <w:rFonts w:hint="eastAsia" w:ascii="宋体" w:hAnsi="宋体" w:eastAsia="宋体" w:cs="宋体"/>
          <w:b/>
          <w:bCs/>
          <w:color w:val="auto"/>
          <w:spacing w:val="-1"/>
          <w:sz w:val="24"/>
          <w:szCs w:val="24"/>
          <w:u w:val="single" w:color="auto"/>
        </w:rPr>
        <w:t>10%且其影响分部分项工程费超过0.1</w:t>
      </w:r>
      <w:r>
        <w:rPr>
          <w:rFonts w:hint="eastAsia" w:ascii="宋体" w:hAnsi="宋体" w:eastAsia="宋体" w:cs="宋体"/>
          <w:b/>
          <w:bCs/>
          <w:color w:val="auto"/>
          <w:spacing w:val="-2"/>
          <w:sz w:val="24"/>
          <w:szCs w:val="24"/>
          <w:u w:val="single" w:color="auto"/>
        </w:rPr>
        <w:t>%，</w:t>
      </w:r>
      <w:r>
        <w:rPr>
          <w:rFonts w:hint="eastAsia" w:ascii="宋体" w:hAnsi="宋体" w:eastAsia="宋体" w:cs="宋体"/>
          <w:color w:val="auto"/>
          <w:spacing w:val="-2"/>
          <w:sz w:val="24"/>
          <w:szCs w:val="24"/>
        </w:rPr>
        <w:t>或新增工程量清单项</w:t>
      </w:r>
      <w:r>
        <w:rPr>
          <w:rFonts w:hint="eastAsia" w:ascii="宋体" w:hAnsi="宋体" w:eastAsia="宋体" w:cs="宋体"/>
          <w:color w:val="auto"/>
          <w:spacing w:val="2"/>
          <w:sz w:val="24"/>
          <w:szCs w:val="24"/>
        </w:rPr>
        <w:t>目，引起措施项目发生变化，造成施工组织设计或施工方案变更，原措施费中已有的措施项目，按原措施费的组价方法调整；原措施费中没有的措施项目，由承包人根据措施项目</w:t>
      </w:r>
      <w:r>
        <w:rPr>
          <w:rFonts w:hint="eastAsia" w:ascii="宋体" w:hAnsi="宋体" w:eastAsia="宋体" w:cs="宋体"/>
          <w:color w:val="auto"/>
          <w:spacing w:val="-2"/>
          <w:sz w:val="24"/>
          <w:szCs w:val="24"/>
        </w:rPr>
        <w:t>变更情况，提出适当的措施费变更，经发包人确认后调整。调整公</w:t>
      </w:r>
      <w:r>
        <w:rPr>
          <w:rFonts w:hint="eastAsia" w:ascii="宋体" w:hAnsi="宋体" w:eastAsia="宋体" w:cs="宋体"/>
          <w:color w:val="auto"/>
          <w:spacing w:val="-3"/>
          <w:sz w:val="24"/>
          <w:szCs w:val="24"/>
        </w:rPr>
        <w:t>式：</w:t>
      </w:r>
    </w:p>
    <w:p w14:paraId="1086055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（1）当S</w:t>
      </w:r>
      <w:r>
        <w:rPr>
          <w:rFonts w:hint="eastAsia" w:ascii="宋体" w:hAnsi="宋体" w:eastAsia="宋体" w:cs="宋体"/>
          <w:color w:val="auto"/>
          <w:spacing w:val="-2"/>
          <w:position w:val="-1"/>
          <w:sz w:val="24"/>
          <w:szCs w:val="24"/>
        </w:rPr>
        <w:t>1</w:t>
      </w:r>
      <w:r>
        <w:rPr>
          <w:rFonts w:hint="eastAsia" w:ascii="宋体" w:hAnsi="宋体" w:eastAsia="宋体" w:cs="宋体"/>
          <w:color w:val="auto"/>
          <w:spacing w:val="-2"/>
          <w:sz w:val="24"/>
          <w:szCs w:val="24"/>
        </w:rPr>
        <w:t>＞1.1S</w:t>
      </w:r>
      <w:r>
        <w:rPr>
          <w:rFonts w:hint="eastAsia" w:ascii="宋体" w:hAnsi="宋体" w:eastAsia="宋体" w:cs="宋体"/>
          <w:color w:val="auto"/>
          <w:spacing w:val="-2"/>
          <w:position w:val="-1"/>
          <w:sz w:val="24"/>
          <w:szCs w:val="24"/>
        </w:rPr>
        <w:t>0</w:t>
      </w:r>
      <w:r>
        <w:rPr>
          <w:rFonts w:hint="eastAsia" w:ascii="宋体" w:hAnsi="宋体" w:eastAsia="宋体" w:cs="宋体"/>
          <w:color w:val="auto"/>
          <w:spacing w:val="-2"/>
          <w:sz w:val="24"/>
          <w:szCs w:val="24"/>
        </w:rPr>
        <w:t>时,由承包人根据本条款在递交</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结算文件时,参照下述公式向发发人提出,由发、承包双方人员核实确认后执行。</w:t>
      </w:r>
    </w:p>
    <w:p w14:paraId="29EF93E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M</w:t>
      </w:r>
      <w:r>
        <w:rPr>
          <w:rFonts w:hint="eastAsia" w:ascii="宋体" w:hAnsi="宋体" w:eastAsia="宋体" w:cs="宋体"/>
          <w:color w:val="auto"/>
          <w:spacing w:val="-3"/>
          <w:position w:val="-1"/>
          <w:sz w:val="24"/>
          <w:szCs w:val="24"/>
        </w:rPr>
        <w:t>1</w:t>
      </w:r>
      <w:r>
        <w:rPr>
          <w:rFonts w:hint="eastAsia" w:ascii="宋体" w:hAnsi="宋体" w:eastAsia="宋体" w:cs="宋体"/>
          <w:color w:val="auto"/>
          <w:spacing w:val="-3"/>
          <w:sz w:val="24"/>
          <w:szCs w:val="24"/>
        </w:rPr>
        <w:t>=M</w:t>
      </w:r>
      <w:r>
        <w:rPr>
          <w:rFonts w:hint="eastAsia" w:ascii="宋体" w:hAnsi="宋体" w:eastAsia="宋体" w:cs="宋体"/>
          <w:color w:val="auto"/>
          <w:spacing w:val="-3"/>
          <w:position w:val="-1"/>
          <w:sz w:val="24"/>
          <w:szCs w:val="24"/>
        </w:rPr>
        <w:t>0</w:t>
      </w:r>
      <w:r>
        <w:rPr>
          <w:rFonts w:hint="eastAsia" w:ascii="宋体" w:hAnsi="宋体" w:eastAsia="宋体" w:cs="宋体"/>
          <w:color w:val="auto"/>
          <w:spacing w:val="-3"/>
          <w:sz w:val="24"/>
          <w:szCs w:val="24"/>
        </w:rPr>
        <w:t>×（S</w:t>
      </w:r>
      <w:r>
        <w:rPr>
          <w:rFonts w:hint="eastAsia" w:ascii="宋体" w:hAnsi="宋体" w:eastAsia="宋体" w:cs="宋体"/>
          <w:color w:val="auto"/>
          <w:spacing w:val="-3"/>
          <w:position w:val="-1"/>
          <w:sz w:val="24"/>
          <w:szCs w:val="24"/>
        </w:rPr>
        <w:t>1</w:t>
      </w:r>
      <w:r>
        <w:rPr>
          <w:rFonts w:hint="eastAsia" w:ascii="宋体" w:hAnsi="宋体" w:eastAsia="宋体" w:cs="宋体"/>
          <w:color w:val="auto"/>
          <w:spacing w:val="-3"/>
          <w:sz w:val="24"/>
          <w:szCs w:val="24"/>
        </w:rPr>
        <w:t>/S</w:t>
      </w:r>
      <w:r>
        <w:rPr>
          <w:rFonts w:hint="eastAsia" w:ascii="宋体" w:hAnsi="宋体" w:eastAsia="宋体" w:cs="宋体"/>
          <w:color w:val="auto"/>
          <w:spacing w:val="-3"/>
          <w:position w:val="-1"/>
          <w:sz w:val="24"/>
          <w:szCs w:val="24"/>
        </w:rPr>
        <w:t>0</w:t>
      </w:r>
      <w:r>
        <w:rPr>
          <w:rFonts w:hint="eastAsia" w:ascii="宋体" w:hAnsi="宋体" w:eastAsia="宋体" w:cs="宋体"/>
          <w:color w:val="auto"/>
          <w:spacing w:val="-3"/>
          <w:sz w:val="24"/>
          <w:szCs w:val="24"/>
        </w:rPr>
        <w:t>-0.1）</w:t>
      </w:r>
    </w:p>
    <w:p w14:paraId="5390CF4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（2）当S</w:t>
      </w:r>
      <w:r>
        <w:rPr>
          <w:rFonts w:hint="eastAsia" w:ascii="宋体" w:hAnsi="宋体" w:eastAsia="宋体" w:cs="宋体"/>
          <w:color w:val="auto"/>
          <w:spacing w:val="-2"/>
          <w:position w:val="-1"/>
          <w:sz w:val="24"/>
          <w:szCs w:val="24"/>
        </w:rPr>
        <w:t>1</w:t>
      </w:r>
      <w:r>
        <w:rPr>
          <w:rFonts w:hint="eastAsia" w:ascii="宋体" w:hAnsi="宋体" w:eastAsia="宋体" w:cs="宋体"/>
          <w:color w:val="auto"/>
          <w:spacing w:val="-2"/>
          <w:sz w:val="24"/>
          <w:szCs w:val="24"/>
        </w:rPr>
        <w:t>＜0.9S</w:t>
      </w:r>
      <w:r>
        <w:rPr>
          <w:rFonts w:hint="eastAsia" w:ascii="宋体" w:hAnsi="宋体" w:eastAsia="宋体" w:cs="宋体"/>
          <w:color w:val="auto"/>
          <w:spacing w:val="-2"/>
          <w:position w:val="-1"/>
          <w:sz w:val="24"/>
          <w:szCs w:val="24"/>
        </w:rPr>
        <w:t>0</w:t>
      </w:r>
      <w:r>
        <w:rPr>
          <w:rFonts w:hint="eastAsia" w:ascii="宋体" w:hAnsi="宋体" w:eastAsia="宋体" w:cs="宋体"/>
          <w:color w:val="auto"/>
          <w:spacing w:val="-2"/>
          <w:sz w:val="24"/>
          <w:szCs w:val="24"/>
        </w:rPr>
        <w:t>时,由发包人根据本条款在递交</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结算文件时,参照下述公式向发发人提出,由发、承包双方人员核实确认后执行。</w:t>
      </w:r>
    </w:p>
    <w:p w14:paraId="75B8362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M</w:t>
      </w:r>
      <w:r>
        <w:rPr>
          <w:rFonts w:hint="eastAsia" w:ascii="宋体" w:hAnsi="宋体" w:eastAsia="宋体" w:cs="宋体"/>
          <w:color w:val="auto"/>
          <w:spacing w:val="-3"/>
          <w:position w:val="-1"/>
          <w:sz w:val="24"/>
          <w:szCs w:val="24"/>
        </w:rPr>
        <w:t>1</w:t>
      </w:r>
      <w:r>
        <w:rPr>
          <w:rFonts w:hint="eastAsia" w:ascii="宋体" w:hAnsi="宋体" w:eastAsia="宋体" w:cs="宋体"/>
          <w:color w:val="auto"/>
          <w:spacing w:val="-3"/>
          <w:sz w:val="24"/>
          <w:szCs w:val="24"/>
        </w:rPr>
        <w:t>=M</w:t>
      </w:r>
      <w:r>
        <w:rPr>
          <w:rFonts w:hint="eastAsia" w:ascii="宋体" w:hAnsi="宋体" w:eastAsia="宋体" w:cs="宋体"/>
          <w:color w:val="auto"/>
          <w:spacing w:val="-3"/>
          <w:position w:val="-1"/>
          <w:sz w:val="24"/>
          <w:szCs w:val="24"/>
        </w:rPr>
        <w:t>0</w:t>
      </w:r>
      <w:r>
        <w:rPr>
          <w:rFonts w:hint="eastAsia" w:ascii="宋体" w:hAnsi="宋体" w:eastAsia="宋体" w:cs="宋体"/>
          <w:color w:val="auto"/>
          <w:spacing w:val="-3"/>
          <w:sz w:val="24"/>
          <w:szCs w:val="24"/>
        </w:rPr>
        <w:t>×（S</w:t>
      </w:r>
      <w:r>
        <w:rPr>
          <w:rFonts w:hint="eastAsia" w:ascii="宋体" w:hAnsi="宋体" w:eastAsia="宋体" w:cs="宋体"/>
          <w:color w:val="auto"/>
          <w:spacing w:val="-3"/>
          <w:position w:val="-1"/>
          <w:sz w:val="24"/>
          <w:szCs w:val="24"/>
        </w:rPr>
        <w:t>1</w:t>
      </w:r>
      <w:r>
        <w:rPr>
          <w:rFonts w:hint="eastAsia" w:ascii="宋体" w:hAnsi="宋体" w:eastAsia="宋体" w:cs="宋体"/>
          <w:color w:val="auto"/>
          <w:spacing w:val="-3"/>
          <w:sz w:val="24"/>
          <w:szCs w:val="24"/>
        </w:rPr>
        <w:t>/S</w:t>
      </w:r>
      <w:r>
        <w:rPr>
          <w:rFonts w:hint="eastAsia" w:ascii="宋体" w:hAnsi="宋体" w:eastAsia="宋体" w:cs="宋体"/>
          <w:color w:val="auto"/>
          <w:spacing w:val="-3"/>
          <w:position w:val="-1"/>
          <w:sz w:val="24"/>
          <w:szCs w:val="24"/>
        </w:rPr>
        <w:t>0</w:t>
      </w:r>
      <w:r>
        <w:rPr>
          <w:rFonts w:hint="eastAsia" w:ascii="宋体" w:hAnsi="宋体" w:eastAsia="宋体" w:cs="宋体"/>
          <w:color w:val="auto"/>
          <w:spacing w:val="-3"/>
          <w:sz w:val="24"/>
          <w:szCs w:val="24"/>
        </w:rPr>
        <w:t>+0.1）</w:t>
      </w:r>
    </w:p>
    <w:p w14:paraId="605FA05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式中：S</w:t>
      </w:r>
      <w:r>
        <w:rPr>
          <w:rFonts w:hint="eastAsia" w:ascii="宋体" w:hAnsi="宋体" w:eastAsia="宋体" w:cs="宋体"/>
          <w:color w:val="auto"/>
          <w:spacing w:val="-3"/>
          <w:position w:val="-1"/>
          <w:sz w:val="24"/>
          <w:szCs w:val="24"/>
        </w:rPr>
        <w:t>1</w:t>
      </w:r>
      <w:r>
        <w:rPr>
          <w:rFonts w:hint="eastAsia" w:ascii="宋体" w:hAnsi="宋体" w:eastAsia="宋体" w:cs="宋体"/>
          <w:color w:val="auto"/>
          <w:spacing w:val="-3"/>
          <w:sz w:val="24"/>
          <w:szCs w:val="24"/>
        </w:rPr>
        <w:t>是最终完成的分部分项工程项目费。</w:t>
      </w:r>
    </w:p>
    <w:p w14:paraId="41434EE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3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S</w:t>
      </w:r>
      <w:r>
        <w:rPr>
          <w:rFonts w:hint="eastAsia" w:ascii="宋体" w:hAnsi="宋体" w:eastAsia="宋体" w:cs="宋体"/>
          <w:color w:val="auto"/>
          <w:spacing w:val="-3"/>
          <w:position w:val="-1"/>
          <w:sz w:val="24"/>
          <w:szCs w:val="24"/>
        </w:rPr>
        <w:t>0</w:t>
      </w:r>
      <w:r>
        <w:rPr>
          <w:rFonts w:hint="eastAsia" w:ascii="宋体" w:hAnsi="宋体" w:eastAsia="宋体" w:cs="宋体"/>
          <w:color w:val="auto"/>
          <w:spacing w:val="-3"/>
          <w:sz w:val="24"/>
          <w:szCs w:val="24"/>
        </w:rPr>
        <w:t>是承包人报价文件的分部分项工程项目费。</w:t>
      </w:r>
      <w:r>
        <w:rPr>
          <w:rFonts w:hint="eastAsia" w:ascii="宋体" w:hAnsi="宋体" w:eastAsia="宋体" w:cs="宋体"/>
          <w:color w:val="auto"/>
          <w:spacing w:val="-4"/>
          <w:sz w:val="24"/>
          <w:szCs w:val="24"/>
        </w:rPr>
        <w:t>M</w:t>
      </w:r>
      <w:r>
        <w:rPr>
          <w:rFonts w:hint="eastAsia" w:ascii="宋体" w:hAnsi="宋体" w:eastAsia="宋体" w:cs="宋体"/>
          <w:color w:val="auto"/>
          <w:spacing w:val="-4"/>
          <w:position w:val="-1"/>
          <w:sz w:val="24"/>
          <w:szCs w:val="24"/>
        </w:rPr>
        <w:t>1</w:t>
      </w:r>
      <w:r>
        <w:rPr>
          <w:rFonts w:hint="eastAsia" w:ascii="宋体" w:hAnsi="宋体" w:eastAsia="宋体" w:cs="宋体"/>
          <w:color w:val="auto"/>
          <w:spacing w:val="-4"/>
          <w:sz w:val="24"/>
          <w:szCs w:val="24"/>
        </w:rPr>
        <w:t>是调整后的结算措施项目费。</w:t>
      </w:r>
    </w:p>
    <w:p w14:paraId="13DF401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M</w:t>
      </w:r>
      <w:r>
        <w:rPr>
          <w:rFonts w:hint="eastAsia" w:ascii="宋体" w:hAnsi="宋体" w:eastAsia="宋体" w:cs="宋体"/>
          <w:color w:val="auto"/>
          <w:spacing w:val="-3"/>
          <w:position w:val="-1"/>
          <w:sz w:val="24"/>
          <w:szCs w:val="24"/>
        </w:rPr>
        <w:t>0</w:t>
      </w:r>
      <w:r>
        <w:rPr>
          <w:rFonts w:hint="eastAsia" w:ascii="宋体" w:hAnsi="宋体" w:eastAsia="宋体" w:cs="宋体"/>
          <w:color w:val="auto"/>
          <w:spacing w:val="-3"/>
          <w:sz w:val="24"/>
          <w:szCs w:val="24"/>
        </w:rPr>
        <w:t>是承包人在工程量清单中填报的措施项目费。</w:t>
      </w:r>
    </w:p>
    <w:p w14:paraId="765CAD22">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16.2.5施工过程中，国家或省级、行业建</w:t>
      </w:r>
      <w:r>
        <w:rPr>
          <w:rFonts w:hint="eastAsia" w:ascii="宋体" w:hAnsi="宋体" w:eastAsia="宋体" w:cs="宋体"/>
          <w:color w:val="auto"/>
          <w:spacing w:val="-6"/>
          <w:sz w:val="24"/>
          <w:szCs w:val="24"/>
        </w:rPr>
        <w:t>设主管部门对安全文明施工费进行了调整的，</w:t>
      </w:r>
      <w:r>
        <w:rPr>
          <w:rFonts w:hint="eastAsia" w:ascii="宋体" w:hAnsi="宋体" w:eastAsia="宋体" w:cs="宋体"/>
          <w:color w:val="auto"/>
          <w:spacing w:val="-2"/>
          <w:sz w:val="24"/>
          <w:szCs w:val="24"/>
        </w:rPr>
        <w:t>措施项目费中的安全文明施工费应作相应调</w:t>
      </w:r>
      <w:r>
        <w:rPr>
          <w:rFonts w:hint="eastAsia" w:ascii="宋体" w:hAnsi="宋体" w:eastAsia="宋体" w:cs="宋体"/>
          <w:color w:val="auto"/>
          <w:spacing w:val="-3"/>
          <w:sz w:val="24"/>
          <w:szCs w:val="24"/>
        </w:rPr>
        <w:t>整。</w:t>
      </w:r>
    </w:p>
    <w:p w14:paraId="61A858D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暂估价、暂列金额、非承包人原因的工程变更引起的材料、设备的采购和专业工程的</w:t>
      </w:r>
      <w:r>
        <w:rPr>
          <w:rFonts w:hint="eastAsia" w:ascii="宋体" w:hAnsi="宋体" w:eastAsia="宋体" w:cs="宋体"/>
          <w:color w:val="auto"/>
          <w:spacing w:val="-3"/>
          <w:sz w:val="24"/>
          <w:szCs w:val="24"/>
        </w:rPr>
        <w:t>分包以及造价变更的确认按相关程序办理。</w:t>
      </w:r>
    </w:p>
    <w:p w14:paraId="48662B2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16.3法律变化引起的价格调整</w:t>
      </w:r>
    </w:p>
    <w:p w14:paraId="016D819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在投标截止日前28天，非招标工程以合同签订前28天为基准日，其</w:t>
      </w:r>
      <w:r>
        <w:rPr>
          <w:rFonts w:hint="eastAsia" w:ascii="宋体" w:hAnsi="宋体" w:eastAsia="宋体" w:cs="宋体"/>
          <w:color w:val="auto"/>
          <w:spacing w:val="-3"/>
          <w:sz w:val="24"/>
          <w:szCs w:val="24"/>
        </w:rPr>
        <w:t>后国家的法律、</w:t>
      </w:r>
      <w:r>
        <w:rPr>
          <w:rFonts w:hint="eastAsia" w:ascii="宋体" w:hAnsi="宋体" w:eastAsia="宋体" w:cs="宋体"/>
          <w:color w:val="auto"/>
          <w:spacing w:val="2"/>
          <w:sz w:val="24"/>
          <w:szCs w:val="24"/>
        </w:rPr>
        <w:t>法规、规章和政策发生变化影响工程造价的，应按自治区建设主管部门或其授权的工程造</w:t>
      </w:r>
      <w:r>
        <w:rPr>
          <w:rFonts w:hint="eastAsia" w:ascii="宋体" w:hAnsi="宋体" w:eastAsia="宋体" w:cs="宋体"/>
          <w:color w:val="auto"/>
          <w:spacing w:val="-2"/>
          <w:sz w:val="24"/>
          <w:szCs w:val="24"/>
        </w:rPr>
        <w:t>价管理机构发布的规定，按第3.5款商定或确定需调整</w:t>
      </w:r>
      <w:r>
        <w:rPr>
          <w:rFonts w:hint="eastAsia" w:ascii="宋体" w:hAnsi="宋体" w:eastAsia="宋体" w:cs="宋体"/>
          <w:color w:val="auto"/>
          <w:spacing w:val="-3"/>
          <w:sz w:val="24"/>
          <w:szCs w:val="24"/>
        </w:rPr>
        <w:t>的合同价款。</w:t>
      </w:r>
    </w:p>
    <w:p w14:paraId="7AF0E863">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16.4</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rPr>
        <w:t>由于上述16.1、16.2、16</w:t>
      </w:r>
      <w:r>
        <w:rPr>
          <w:rFonts w:hint="eastAsia" w:ascii="宋体" w:hAnsi="宋体" w:eastAsia="宋体" w:cs="宋体"/>
          <w:color w:val="auto"/>
          <w:spacing w:val="-3"/>
          <w:sz w:val="24"/>
          <w:szCs w:val="24"/>
        </w:rPr>
        <w:t>.3款调整引起措施项目费中的安全文明施工费、规费</w:t>
      </w:r>
      <w:r>
        <w:rPr>
          <w:rFonts w:hint="eastAsia" w:ascii="宋体" w:hAnsi="宋体" w:eastAsia="宋体" w:cs="宋体"/>
          <w:color w:val="auto"/>
          <w:spacing w:val="-2"/>
          <w:sz w:val="24"/>
          <w:szCs w:val="24"/>
        </w:rPr>
        <w:t>税金变化的，按规定的计算基础乘以规定的费率计算。</w:t>
      </w:r>
    </w:p>
    <w:p w14:paraId="53371FF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16.5</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rPr>
        <w:t>由于承包人原因造成工期延误的，其合同价款在按本合同专用条款</w:t>
      </w:r>
      <w:r>
        <w:rPr>
          <w:rFonts w:hint="eastAsia" w:ascii="宋体" w:hAnsi="宋体" w:eastAsia="宋体" w:cs="宋体"/>
          <w:color w:val="auto"/>
          <w:spacing w:val="-5"/>
          <w:sz w:val="24"/>
          <w:szCs w:val="24"/>
        </w:rPr>
        <w:t>16.1和16.3</w:t>
      </w:r>
      <w:r>
        <w:rPr>
          <w:rFonts w:hint="eastAsia" w:ascii="宋体" w:hAnsi="宋体" w:eastAsia="宋体" w:cs="宋体"/>
          <w:color w:val="auto"/>
          <w:spacing w:val="2"/>
          <w:sz w:val="24"/>
          <w:szCs w:val="24"/>
        </w:rPr>
        <w:t>款进行调整时，其施工期价格平均价应采用原约定</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日期与实际</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日期的两个价格平均价中较低的一个作为施工期市场价格平均价；由于发包人原因造成工期延误的，其合同</w:t>
      </w:r>
      <w:r>
        <w:rPr>
          <w:rFonts w:hint="eastAsia" w:ascii="宋体" w:hAnsi="宋体" w:eastAsia="宋体" w:cs="宋体"/>
          <w:color w:val="auto"/>
          <w:spacing w:val="-5"/>
          <w:sz w:val="24"/>
          <w:szCs w:val="24"/>
        </w:rPr>
        <w:t>价款仍按本合同专用条款16.1和16.3款进行调整。</w:t>
      </w:r>
    </w:p>
    <w:p w14:paraId="271A2A8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17  计量与支付</w:t>
      </w:r>
    </w:p>
    <w:p w14:paraId="1418A54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17.2</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
          <w:sz w:val="24"/>
          <w:szCs w:val="24"/>
        </w:rPr>
        <w:t>预付款</w:t>
      </w:r>
    </w:p>
    <w:p w14:paraId="56A0F0A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17.2.1</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4"/>
          <w:sz w:val="24"/>
          <w:szCs w:val="24"/>
        </w:rPr>
        <w:t>预付款</w:t>
      </w:r>
    </w:p>
    <w:p w14:paraId="2950041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本工程预付款为签约合同价30%。</w:t>
      </w:r>
    </w:p>
    <w:p w14:paraId="5713B1B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8" w:firstLineChars="200"/>
        <w:jc w:val="both"/>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3"/>
          <w:sz w:val="24"/>
          <w:szCs w:val="24"/>
        </w:rPr>
        <w:t>17.3 工程进度付款</w:t>
      </w:r>
      <w:r>
        <w:rPr>
          <w:rFonts w:hint="eastAsia" w:ascii="宋体" w:hAnsi="宋体" w:eastAsia="宋体" w:cs="宋体"/>
          <w:color w:val="auto"/>
          <w:spacing w:val="8"/>
          <w:sz w:val="24"/>
          <w:szCs w:val="24"/>
        </w:rPr>
        <w:t xml:space="preserve"> </w:t>
      </w:r>
    </w:p>
    <w:p w14:paraId="7FA5278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17.3.1 付款周期</w:t>
      </w:r>
    </w:p>
    <w:p w14:paraId="1EA6CA6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付款周期同计量周期。</w:t>
      </w:r>
    </w:p>
    <w:p w14:paraId="0FB29D5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进度款拨付的额度为当期完成工程价款的</w:t>
      </w:r>
      <w:r>
        <w:rPr>
          <w:rFonts w:hint="eastAsia" w:ascii="宋体" w:hAnsi="宋体" w:eastAsia="宋体" w:cs="宋体"/>
          <w:color w:val="auto"/>
          <w:spacing w:val="1"/>
          <w:sz w:val="24"/>
          <w:szCs w:val="24"/>
          <w:u w:val="single" w:color="auto"/>
        </w:rPr>
        <w:t xml:space="preserve"> 80%</w:t>
      </w:r>
      <w:r>
        <w:rPr>
          <w:rFonts w:hint="eastAsia" w:ascii="宋体" w:hAnsi="宋体" w:eastAsia="宋体" w:cs="宋体"/>
          <w:color w:val="auto"/>
          <w:spacing w:val="46"/>
          <w:sz w:val="24"/>
          <w:szCs w:val="24"/>
          <w:u w:val="single" w:color="auto"/>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eastAsia="zh-CN"/>
        </w:rPr>
        <w:t>完工</w:t>
      </w:r>
      <w:r>
        <w:rPr>
          <w:rFonts w:hint="eastAsia" w:ascii="宋体" w:hAnsi="宋体" w:eastAsia="宋体" w:cs="宋体"/>
          <w:color w:val="auto"/>
          <w:spacing w:val="1"/>
          <w:sz w:val="24"/>
          <w:szCs w:val="24"/>
        </w:rPr>
        <w:t>结算报告经审核确认后支付至</w:t>
      </w:r>
      <w:r>
        <w:rPr>
          <w:rFonts w:hint="eastAsia" w:ascii="宋体" w:hAnsi="宋体" w:eastAsia="宋体" w:cs="宋体"/>
          <w:color w:val="auto"/>
          <w:spacing w:val="-2"/>
          <w:sz w:val="24"/>
          <w:szCs w:val="24"/>
        </w:rPr>
        <w:t>工程价款的</w:t>
      </w:r>
      <w:r>
        <w:rPr>
          <w:rFonts w:hint="eastAsia" w:ascii="宋体" w:hAnsi="宋体" w:eastAsia="宋体" w:cs="宋体"/>
          <w:color w:val="auto"/>
          <w:spacing w:val="-2"/>
          <w:sz w:val="24"/>
          <w:szCs w:val="24"/>
          <w:u w:val="single" w:color="auto"/>
        </w:rPr>
        <w:t>100%</w:t>
      </w:r>
      <w:r>
        <w:rPr>
          <w:rFonts w:hint="eastAsia" w:ascii="宋体" w:hAnsi="宋体" w:eastAsia="宋体" w:cs="宋体"/>
          <w:color w:val="auto"/>
          <w:spacing w:val="-2"/>
          <w:sz w:val="24"/>
          <w:szCs w:val="24"/>
        </w:rPr>
        <w:t>，保留工程价款的</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u w:val="single" w:color="auto"/>
        </w:rPr>
        <w:t xml:space="preserve">  /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2"/>
          <w:sz w:val="24"/>
          <w:szCs w:val="24"/>
        </w:rPr>
        <w:t>作为质量保证(保修)金。</w:t>
      </w:r>
    </w:p>
    <w:p w14:paraId="39F0D9B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17.4  质量保证金</w:t>
      </w:r>
    </w:p>
    <w:p w14:paraId="3B2DD9F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17.4.1  监理人应从第一个付款周期开始，在发包人的进度付款中，按进度款的</w:t>
      </w:r>
      <w:r>
        <w:rPr>
          <w:rFonts w:hint="eastAsia" w:ascii="宋体" w:hAnsi="宋体" w:eastAsia="宋体" w:cs="宋体"/>
          <w:color w:val="auto"/>
          <w:spacing w:val="-94"/>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扣留质量保证金。</w:t>
      </w:r>
    </w:p>
    <w:p w14:paraId="7A1C216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17.5</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lang w:eastAsia="zh-CN"/>
        </w:rPr>
        <w:t>完工</w:t>
      </w:r>
      <w:r>
        <w:rPr>
          <w:rFonts w:hint="eastAsia" w:ascii="宋体" w:hAnsi="宋体" w:eastAsia="宋体" w:cs="宋体"/>
          <w:color w:val="auto"/>
          <w:spacing w:val="-5"/>
          <w:sz w:val="24"/>
          <w:szCs w:val="24"/>
        </w:rPr>
        <w:t>结算</w:t>
      </w:r>
    </w:p>
    <w:p w14:paraId="2F4C9874">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17.5.1 工程</w:t>
      </w:r>
      <w:r>
        <w:rPr>
          <w:rFonts w:hint="eastAsia" w:ascii="宋体" w:hAnsi="宋体" w:eastAsia="宋体" w:cs="宋体"/>
          <w:color w:val="auto"/>
          <w:spacing w:val="-1"/>
          <w:sz w:val="24"/>
          <w:szCs w:val="24"/>
          <w:lang w:eastAsia="zh-CN"/>
        </w:rPr>
        <w:t>完工</w:t>
      </w:r>
      <w:r>
        <w:rPr>
          <w:rFonts w:hint="eastAsia" w:ascii="宋体" w:hAnsi="宋体" w:eastAsia="宋体" w:cs="宋体"/>
          <w:color w:val="auto"/>
          <w:spacing w:val="-1"/>
          <w:sz w:val="24"/>
          <w:szCs w:val="24"/>
        </w:rPr>
        <w:t>验收报告经发包人认可后28天，承包</w:t>
      </w:r>
      <w:r>
        <w:rPr>
          <w:rFonts w:hint="eastAsia" w:ascii="宋体" w:hAnsi="宋体" w:eastAsia="宋体" w:cs="宋体"/>
          <w:color w:val="auto"/>
          <w:spacing w:val="-2"/>
          <w:sz w:val="24"/>
          <w:szCs w:val="24"/>
        </w:rPr>
        <w:t>人向发包人递交</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结算报告</w:t>
      </w:r>
      <w:r>
        <w:rPr>
          <w:rFonts w:hint="eastAsia" w:ascii="宋体" w:hAnsi="宋体" w:eastAsia="宋体" w:cs="宋体"/>
          <w:color w:val="auto"/>
          <w:spacing w:val="2"/>
          <w:sz w:val="24"/>
          <w:szCs w:val="24"/>
        </w:rPr>
        <w:t>及完整的结算资料，双方按照协议书约定的合同价款及专用条款约定的合同价</w:t>
      </w:r>
      <w:r>
        <w:rPr>
          <w:rFonts w:hint="eastAsia" w:ascii="宋体" w:hAnsi="宋体" w:eastAsia="宋体" w:cs="宋体"/>
          <w:color w:val="auto"/>
          <w:spacing w:val="1"/>
          <w:sz w:val="24"/>
          <w:szCs w:val="24"/>
        </w:rPr>
        <w:t>调整内容，</w:t>
      </w:r>
      <w:r>
        <w:rPr>
          <w:rFonts w:hint="eastAsia" w:ascii="宋体" w:hAnsi="宋体" w:eastAsia="宋体" w:cs="宋体"/>
          <w:color w:val="auto"/>
          <w:spacing w:val="2"/>
          <w:sz w:val="24"/>
          <w:szCs w:val="24"/>
        </w:rPr>
        <w:t>进行工程</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结算。若承包人拖延递交</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结算报告及完整的结算资料，则发包人</w:t>
      </w:r>
      <w:r>
        <w:rPr>
          <w:rFonts w:hint="eastAsia" w:ascii="宋体" w:hAnsi="宋体" w:eastAsia="宋体" w:cs="宋体"/>
          <w:color w:val="auto"/>
          <w:spacing w:val="2"/>
          <w:sz w:val="24"/>
          <w:szCs w:val="24"/>
          <w:lang w:val="en-US" w:eastAsia="zh-CN"/>
        </w:rPr>
        <w:t>视实际工作情况</w:t>
      </w:r>
      <w:r>
        <w:rPr>
          <w:rFonts w:hint="eastAsia" w:ascii="宋体" w:hAnsi="宋体" w:eastAsia="宋体" w:cs="宋体"/>
          <w:color w:val="auto"/>
          <w:spacing w:val="2"/>
          <w:sz w:val="24"/>
          <w:szCs w:val="24"/>
        </w:rPr>
        <w:t>每</w:t>
      </w:r>
      <w:r>
        <w:rPr>
          <w:rFonts w:hint="eastAsia" w:ascii="宋体" w:hAnsi="宋体" w:eastAsia="宋体" w:cs="宋体"/>
          <w:color w:val="auto"/>
          <w:spacing w:val="-1"/>
          <w:sz w:val="24"/>
          <w:szCs w:val="24"/>
        </w:rPr>
        <w:t>拖延一天扣罚承包人壹仟元人民币。</w:t>
      </w:r>
    </w:p>
    <w:p w14:paraId="44587AB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17.5.2发包人收到承包人递交的</w:t>
      </w:r>
      <w:r>
        <w:rPr>
          <w:rFonts w:hint="eastAsia" w:ascii="宋体" w:hAnsi="宋体" w:eastAsia="宋体" w:cs="宋体"/>
          <w:color w:val="auto"/>
          <w:spacing w:val="-4"/>
          <w:sz w:val="24"/>
          <w:szCs w:val="24"/>
          <w:lang w:eastAsia="zh-CN"/>
        </w:rPr>
        <w:t>完工</w:t>
      </w:r>
      <w:r>
        <w:rPr>
          <w:rFonts w:hint="eastAsia" w:ascii="宋体" w:hAnsi="宋体" w:eastAsia="宋体" w:cs="宋体"/>
          <w:color w:val="auto"/>
          <w:spacing w:val="-5"/>
          <w:sz w:val="24"/>
          <w:szCs w:val="24"/>
        </w:rPr>
        <w:t>结算报告及结算资料后尽快进行审核，给予确认，</w:t>
      </w:r>
      <w:r>
        <w:rPr>
          <w:rFonts w:hint="eastAsia" w:ascii="宋体" w:hAnsi="宋体" w:eastAsia="宋体" w:cs="宋体"/>
          <w:color w:val="auto"/>
          <w:spacing w:val="2"/>
          <w:sz w:val="24"/>
          <w:szCs w:val="24"/>
        </w:rPr>
        <w:t>按业主审定后的结算价款，向承包人支付工程</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结算价款。承包人应根据发包人的需要</w:t>
      </w:r>
      <w:r>
        <w:rPr>
          <w:rFonts w:hint="eastAsia" w:ascii="宋体" w:hAnsi="宋体" w:eastAsia="宋体" w:cs="宋体"/>
          <w:color w:val="auto"/>
          <w:spacing w:val="-4"/>
          <w:sz w:val="24"/>
          <w:szCs w:val="24"/>
        </w:rPr>
        <w:t>随时将</w:t>
      </w:r>
      <w:r>
        <w:rPr>
          <w:rFonts w:hint="eastAsia" w:ascii="宋体" w:hAnsi="宋体" w:eastAsia="宋体" w:cs="宋体"/>
          <w:color w:val="auto"/>
          <w:spacing w:val="-4"/>
          <w:sz w:val="24"/>
          <w:szCs w:val="24"/>
          <w:lang w:eastAsia="zh-CN"/>
        </w:rPr>
        <w:t>完工</w:t>
      </w:r>
      <w:r>
        <w:rPr>
          <w:rFonts w:hint="eastAsia" w:ascii="宋体" w:hAnsi="宋体" w:eastAsia="宋体" w:cs="宋体"/>
          <w:color w:val="auto"/>
          <w:spacing w:val="-4"/>
          <w:sz w:val="24"/>
          <w:szCs w:val="24"/>
        </w:rPr>
        <w:t>工程交付发包人。</w:t>
      </w:r>
    </w:p>
    <w:p w14:paraId="4E5E85F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17.5.3为规范施工单位结算送审行为，减</w:t>
      </w:r>
      <w:r>
        <w:rPr>
          <w:rFonts w:hint="eastAsia" w:ascii="宋体" w:hAnsi="宋体" w:eastAsia="宋体" w:cs="宋体"/>
          <w:color w:val="auto"/>
          <w:spacing w:val="-2"/>
          <w:sz w:val="24"/>
          <w:szCs w:val="24"/>
        </w:rPr>
        <w:t>少施工单位送审结算时虚报送结算价款，提</w:t>
      </w:r>
      <w:r>
        <w:rPr>
          <w:rFonts w:hint="eastAsia" w:ascii="宋体" w:hAnsi="宋体" w:eastAsia="宋体" w:cs="宋体"/>
          <w:color w:val="auto"/>
          <w:spacing w:val="-8"/>
          <w:sz w:val="24"/>
          <w:szCs w:val="24"/>
        </w:rPr>
        <w:t>高政府投资效益</w:t>
      </w:r>
      <w:r>
        <w:rPr>
          <w:rFonts w:hint="eastAsia" w:ascii="宋体" w:hAnsi="宋体" w:eastAsia="宋体" w:cs="宋体"/>
          <w:color w:val="auto"/>
          <w:spacing w:val="-8"/>
          <w:sz w:val="24"/>
          <w:szCs w:val="24"/>
          <w:lang w:eastAsia="zh-CN"/>
        </w:rPr>
        <w:t>。</w:t>
      </w:r>
    </w:p>
    <w:p w14:paraId="2D54ED3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fldChar w:fldCharType="begin"/>
      </w:r>
      <w:r>
        <w:instrText xml:space="preserve">HYPERLINK "/media/suma/玲&amp;琳小U/项目科/政府采购/2.招标、竞谈资料/2026/竞谈类政采/2.泵站、堤防护坡清理维护工程（2026年度）/17.5.3.1"</w:instrText>
      </w:r>
      <w:r>
        <w:rPr>
          <w:rFonts w:hint="eastAsia" w:ascii="宋体" w:hAnsi="宋体" w:eastAsia="宋体" w:cs="宋体"/>
          <w:color w:val="auto"/>
          <w:spacing w:val="-3"/>
          <w:sz w:val="24"/>
          <w:szCs w:val="24"/>
        </w:rPr>
        <w:fldChar w:fldCharType="separate"/>
      </w:r>
      <w:r>
        <w:rPr>
          <w:rFonts w:hint="eastAsia" w:ascii="宋体" w:hAnsi="宋体" w:eastAsia="宋体" w:cs="宋体"/>
          <w:color w:val="auto"/>
          <w:spacing w:val="-3"/>
          <w:sz w:val="24"/>
          <w:szCs w:val="24"/>
        </w:rPr>
        <w:t>17.5.3.1</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rPr>
        <w:t>经财政或审计部门审核，工程结算送审金额与审定金额相比，误差在+10%</w:t>
      </w:r>
      <w:r>
        <w:rPr>
          <w:rFonts w:hint="eastAsia" w:ascii="宋体" w:hAnsi="宋体" w:eastAsia="宋体" w:cs="宋体"/>
          <w:color w:val="auto"/>
          <w:spacing w:val="-2"/>
          <w:sz w:val="24"/>
          <w:szCs w:val="24"/>
        </w:rPr>
        <w:t>以上（含10%）的，则超出10%以上部</w:t>
      </w:r>
      <w:r>
        <w:rPr>
          <w:rFonts w:hint="eastAsia" w:ascii="宋体" w:hAnsi="宋体" w:eastAsia="宋体" w:cs="宋体"/>
          <w:color w:val="auto"/>
          <w:spacing w:val="-3"/>
          <w:sz w:val="24"/>
          <w:szCs w:val="24"/>
        </w:rPr>
        <w:t>分的审核费，由承包人承担，费用发包人从承包人的</w:t>
      </w:r>
      <w:r>
        <w:rPr>
          <w:rFonts w:hint="eastAsia" w:ascii="宋体" w:hAnsi="宋体" w:eastAsia="宋体" w:cs="宋体"/>
          <w:color w:val="auto"/>
          <w:sz w:val="24"/>
          <w:szCs w:val="24"/>
        </w:rPr>
        <w:t>结算款中相应扣除，审减率=（送审造价-审定造价）/送审造价X100%；当审</w:t>
      </w:r>
      <w:r>
        <w:rPr>
          <w:rFonts w:hint="eastAsia" w:ascii="宋体" w:hAnsi="宋体" w:eastAsia="宋体" w:cs="宋体"/>
          <w:color w:val="auto"/>
          <w:spacing w:val="-1"/>
          <w:sz w:val="24"/>
          <w:szCs w:val="24"/>
        </w:rPr>
        <w:t>减率在10%以上（含10%）时，承包人应承担的审核费=（送审金额×0.9-审定金额）×5%。</w:t>
      </w:r>
    </w:p>
    <w:p w14:paraId="01BBE3C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fldChar w:fldCharType="begin"/>
      </w:r>
      <w:r>
        <w:instrText xml:space="preserve">HYPERLINK "/media/suma/玲&amp;琳小U/项目科/政府采购/2.招标、竞谈资料/2026/竞谈类政采/2.泵站、堤防护坡清理维护工程（2026年度）/17.5.3.2"</w:instrText>
      </w:r>
      <w:r>
        <w:rPr>
          <w:rFonts w:hint="eastAsia" w:ascii="宋体" w:hAnsi="宋体" w:eastAsia="宋体" w:cs="宋体"/>
          <w:color w:val="auto"/>
          <w:spacing w:val="1"/>
          <w:sz w:val="24"/>
          <w:szCs w:val="24"/>
        </w:rPr>
        <w:fldChar w:fldCharType="separate"/>
      </w:r>
      <w:r>
        <w:rPr>
          <w:rFonts w:hint="eastAsia" w:ascii="宋体" w:hAnsi="宋体" w:eastAsia="宋体" w:cs="宋体"/>
          <w:color w:val="auto"/>
          <w:spacing w:val="1"/>
          <w:sz w:val="24"/>
          <w:szCs w:val="24"/>
        </w:rPr>
        <w:t>17.5.3.2</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建设工程造价员负责编制的结算文件误差大，经财政或审计部门审核，并</w:t>
      </w:r>
      <w:r>
        <w:rPr>
          <w:rFonts w:hint="eastAsia" w:ascii="宋体" w:hAnsi="宋体" w:eastAsia="宋体" w:cs="宋体"/>
          <w:color w:val="auto"/>
          <w:spacing w:val="-1"/>
          <w:sz w:val="24"/>
          <w:szCs w:val="24"/>
        </w:rPr>
        <w:t>经自治区或市工程造价管理机构调查核实，误差在±6%以</w:t>
      </w:r>
      <w:r>
        <w:rPr>
          <w:rFonts w:hint="eastAsia" w:ascii="宋体" w:hAnsi="宋体" w:eastAsia="宋体" w:cs="宋体"/>
          <w:color w:val="auto"/>
          <w:spacing w:val="-2"/>
          <w:sz w:val="24"/>
          <w:szCs w:val="24"/>
        </w:rPr>
        <w:t>上（含本数）累计三次（含本数）</w:t>
      </w:r>
      <w:r>
        <w:rPr>
          <w:rFonts w:hint="eastAsia" w:ascii="宋体" w:hAnsi="宋体" w:eastAsia="宋体" w:cs="宋体"/>
          <w:color w:val="auto"/>
          <w:spacing w:val="2"/>
          <w:sz w:val="24"/>
          <w:szCs w:val="24"/>
        </w:rPr>
        <w:t>以上者，验证不合格并注销《全国建设工程造价员资格证书》和专用章。造价师有以上行</w:t>
      </w:r>
      <w:r>
        <w:rPr>
          <w:rFonts w:hint="eastAsia" w:ascii="宋体" w:hAnsi="宋体" w:eastAsia="宋体" w:cs="宋体"/>
          <w:color w:val="auto"/>
          <w:spacing w:val="-2"/>
          <w:sz w:val="24"/>
          <w:szCs w:val="24"/>
        </w:rPr>
        <w:t>为的，发包人将向建设行政主管部门进行通报，将其纳入不良记录。</w:t>
      </w:r>
    </w:p>
    <w:p w14:paraId="1B50DB00">
      <w:pPr>
        <w:keepNext w:val="0"/>
        <w:keepLines w:val="0"/>
        <w:pageBreakBefore w:val="0"/>
        <w:widowControl w:val="0"/>
        <w:kinsoku/>
        <w:wordWrap w:val="0"/>
        <w:overflowPunct/>
        <w:topLinePunct w:val="0"/>
        <w:autoSpaceDE/>
        <w:autoSpaceDN/>
        <w:bidi w:val="0"/>
        <w:adjustRightInd/>
        <w:snapToGrid/>
        <w:spacing w:line="360" w:lineRule="auto"/>
        <w:ind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17.5.4如该项目列入审计计划，必须经审计机关审计后方可办理结算或</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结算。</w:t>
      </w:r>
    </w:p>
    <w:p w14:paraId="45EE80E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6"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18</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9"/>
          <w:sz w:val="24"/>
          <w:szCs w:val="24"/>
          <w:lang w:eastAsia="zh-CN"/>
        </w:rPr>
        <w:t>完工</w:t>
      </w:r>
      <w:r>
        <w:rPr>
          <w:rFonts w:hint="eastAsia" w:ascii="宋体" w:hAnsi="宋体" w:eastAsia="宋体" w:cs="宋体"/>
          <w:b/>
          <w:bCs/>
          <w:color w:val="auto"/>
          <w:spacing w:val="-9"/>
          <w:sz w:val="24"/>
          <w:szCs w:val="24"/>
        </w:rPr>
        <w:t>验收</w:t>
      </w:r>
    </w:p>
    <w:p w14:paraId="311788D1">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18.9 工程具备</w:t>
      </w:r>
      <w:r>
        <w:rPr>
          <w:rFonts w:hint="eastAsia" w:ascii="宋体" w:hAnsi="宋体" w:eastAsia="宋体" w:cs="宋体"/>
          <w:color w:val="auto"/>
          <w:spacing w:val="-1"/>
          <w:sz w:val="24"/>
          <w:szCs w:val="24"/>
          <w:lang w:eastAsia="zh-CN"/>
        </w:rPr>
        <w:t>完工</w:t>
      </w:r>
      <w:r>
        <w:rPr>
          <w:rFonts w:hint="eastAsia" w:ascii="宋体" w:hAnsi="宋体" w:eastAsia="宋体" w:cs="宋体"/>
          <w:color w:val="auto"/>
          <w:spacing w:val="-1"/>
          <w:sz w:val="24"/>
          <w:szCs w:val="24"/>
        </w:rPr>
        <w:t>验收条件，承包人按国家工</w:t>
      </w:r>
      <w:r>
        <w:rPr>
          <w:rFonts w:hint="eastAsia" w:ascii="宋体" w:hAnsi="宋体" w:eastAsia="宋体" w:cs="宋体"/>
          <w:color w:val="auto"/>
          <w:spacing w:val="-2"/>
          <w:sz w:val="24"/>
          <w:szCs w:val="24"/>
        </w:rPr>
        <w:t>程</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验收有关规定，向发包人提供完整的（含现场照片、录像）</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资料一式</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rPr>
        <w:t>份及</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验收报告。</w:t>
      </w:r>
    </w:p>
    <w:p w14:paraId="07A4345C">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18.10 发包人收到</w:t>
      </w:r>
      <w:r>
        <w:rPr>
          <w:rFonts w:hint="eastAsia" w:ascii="宋体" w:hAnsi="宋体" w:eastAsia="宋体" w:cs="宋体"/>
          <w:color w:val="auto"/>
          <w:spacing w:val="1"/>
          <w:sz w:val="24"/>
          <w:szCs w:val="24"/>
          <w:lang w:eastAsia="zh-CN"/>
        </w:rPr>
        <w:t>完工</w:t>
      </w:r>
      <w:r>
        <w:rPr>
          <w:rFonts w:hint="eastAsia" w:ascii="宋体" w:hAnsi="宋体" w:eastAsia="宋体" w:cs="宋体"/>
          <w:color w:val="auto"/>
          <w:spacing w:val="1"/>
          <w:sz w:val="24"/>
          <w:szCs w:val="24"/>
        </w:rPr>
        <w:t>验收报告后尽快协调有关部门组织有关单位验收，并在验收后</w:t>
      </w:r>
      <w:r>
        <w:rPr>
          <w:rFonts w:hint="eastAsia" w:ascii="宋体" w:hAnsi="宋体" w:eastAsia="宋体" w:cs="宋体"/>
          <w:color w:val="auto"/>
          <w:spacing w:val="-6"/>
          <w:sz w:val="24"/>
          <w:szCs w:val="24"/>
        </w:rPr>
        <w:t>14天内给予认可或提出修改意见。承包人按要求修改，并承担由自身原因造成修改的费用。</w:t>
      </w:r>
    </w:p>
    <w:p w14:paraId="062FC41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18.11 发包人收到承包人送交的</w:t>
      </w:r>
      <w:r>
        <w:rPr>
          <w:rFonts w:hint="eastAsia" w:ascii="宋体" w:hAnsi="宋体" w:eastAsia="宋体" w:cs="宋体"/>
          <w:color w:val="auto"/>
          <w:spacing w:val="-1"/>
          <w:sz w:val="24"/>
          <w:szCs w:val="24"/>
          <w:lang w:eastAsia="zh-CN"/>
        </w:rPr>
        <w:t>完工</w:t>
      </w:r>
      <w:r>
        <w:rPr>
          <w:rFonts w:hint="eastAsia" w:ascii="宋体" w:hAnsi="宋体" w:eastAsia="宋体" w:cs="宋体"/>
          <w:color w:val="auto"/>
          <w:spacing w:val="-1"/>
          <w:sz w:val="24"/>
          <w:szCs w:val="24"/>
        </w:rPr>
        <w:t>验收报告后无特</w:t>
      </w:r>
      <w:r>
        <w:rPr>
          <w:rFonts w:hint="eastAsia" w:ascii="宋体" w:hAnsi="宋体" w:eastAsia="宋体" w:cs="宋体"/>
          <w:color w:val="auto"/>
          <w:spacing w:val="-2"/>
          <w:sz w:val="24"/>
          <w:szCs w:val="24"/>
        </w:rPr>
        <w:t>殊情况不组织验收，或验收后14天内不提出修改意见的，视为</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验收报告已被认可。</w:t>
      </w:r>
    </w:p>
    <w:p w14:paraId="4A60FEC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18.12 发包人收到承包人</w:t>
      </w:r>
      <w:r>
        <w:rPr>
          <w:rFonts w:hint="eastAsia" w:ascii="宋体" w:hAnsi="宋体" w:eastAsia="宋体" w:cs="宋体"/>
          <w:color w:val="auto"/>
          <w:spacing w:val="2"/>
          <w:sz w:val="24"/>
          <w:szCs w:val="24"/>
          <w:lang w:eastAsia="zh-CN"/>
        </w:rPr>
        <w:t>完工</w:t>
      </w:r>
      <w:r>
        <w:rPr>
          <w:rFonts w:hint="eastAsia" w:ascii="宋体" w:hAnsi="宋体" w:eastAsia="宋体" w:cs="宋体"/>
          <w:color w:val="auto"/>
          <w:spacing w:val="2"/>
          <w:sz w:val="24"/>
          <w:szCs w:val="24"/>
        </w:rPr>
        <w:t>验收报告后至</w:t>
      </w:r>
      <w:r>
        <w:rPr>
          <w:rFonts w:hint="eastAsia" w:ascii="宋体" w:hAnsi="宋体" w:eastAsia="宋体" w:cs="宋体"/>
          <w:color w:val="auto"/>
          <w:spacing w:val="1"/>
          <w:sz w:val="24"/>
          <w:szCs w:val="24"/>
        </w:rPr>
        <w:t>组织验收移交前工程保管及一切意外责任</w:t>
      </w:r>
      <w:r>
        <w:rPr>
          <w:rFonts w:hint="eastAsia" w:ascii="宋体" w:hAnsi="宋体" w:eastAsia="宋体" w:cs="宋体"/>
          <w:color w:val="auto"/>
          <w:spacing w:val="-6"/>
          <w:sz w:val="24"/>
          <w:szCs w:val="24"/>
        </w:rPr>
        <w:t>仍由承包人负责。</w:t>
      </w:r>
    </w:p>
    <w:p w14:paraId="4BE40B2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20</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
          <w:sz w:val="24"/>
          <w:szCs w:val="24"/>
        </w:rPr>
        <w:t>保险</w:t>
      </w:r>
    </w:p>
    <w:p w14:paraId="0BDC298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20.1</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工程保险</w:t>
      </w:r>
    </w:p>
    <w:p w14:paraId="70D1A12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20.2  人员工伤事故的保险</w:t>
      </w:r>
    </w:p>
    <w:p w14:paraId="7A36E90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20.2.1  承包人员工伤事故的保险</w:t>
      </w:r>
    </w:p>
    <w:p w14:paraId="67B27CB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20.2.2  发包人员工伤事故的保险</w:t>
      </w:r>
    </w:p>
    <w:p w14:paraId="251ABC9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20.3  人身意外伤害险</w:t>
      </w:r>
    </w:p>
    <w:p w14:paraId="1F78AEAF">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20.4  第三者责任险</w:t>
      </w:r>
    </w:p>
    <w:p w14:paraId="33FBCE14">
      <w:pPr>
        <w:keepNext w:val="0"/>
        <w:keepLines w:val="0"/>
        <w:pageBreakBefore w:val="0"/>
        <w:widowControl w:val="0"/>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20.5  其他保险</w:t>
      </w:r>
    </w:p>
    <w:p w14:paraId="6AD292C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21</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4"/>
          <w:sz w:val="24"/>
          <w:szCs w:val="24"/>
        </w:rPr>
        <w:t>不可抗力</w:t>
      </w:r>
    </w:p>
    <w:p w14:paraId="77EB51B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4" w:firstLineChars="200"/>
        <w:jc w:val="both"/>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21.1 双方关于不可抗力的约定：</w:t>
      </w:r>
    </w:p>
    <w:p w14:paraId="26F5533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a.风力大于八级；</w:t>
      </w:r>
    </w:p>
    <w:p w14:paraId="1379D66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b.日最大降水量超过</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6"/>
          <w:sz w:val="24"/>
          <w:szCs w:val="24"/>
        </w:rPr>
        <w:t>175mm；</w:t>
      </w:r>
    </w:p>
    <w:p w14:paraId="2BFB8C5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c.空中飞行物坠落；</w:t>
      </w:r>
    </w:p>
    <w:p w14:paraId="6F3B609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d.非发包人、承包人责任造成的爆炸、火灾。</w:t>
      </w:r>
    </w:p>
    <w:p w14:paraId="1B7EE6D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对以上几种形式，应以造成灾害和影响</w:t>
      </w:r>
    </w:p>
    <w:p w14:paraId="783EB40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22</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
          <w:sz w:val="24"/>
          <w:szCs w:val="24"/>
        </w:rPr>
        <w:t>违约</w:t>
      </w:r>
    </w:p>
    <w:p w14:paraId="03B85D2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22.1  承包人违约</w:t>
      </w:r>
    </w:p>
    <w:p w14:paraId="654AA12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22.1.1  承包人违约的情形</w:t>
      </w:r>
      <w:r>
        <w:rPr>
          <w:rFonts w:hint="eastAsia" w:ascii="宋体" w:hAnsi="宋体" w:eastAsia="宋体" w:cs="宋体"/>
          <w:color w:val="auto"/>
          <w:spacing w:val="-3"/>
          <w:sz w:val="24"/>
          <w:szCs w:val="24"/>
        </w:rPr>
        <w:t>在履行合同过程中发生的下列情况属承包人违约：</w:t>
      </w:r>
    </w:p>
    <w:p w14:paraId="654E941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（1）承包人违反第1.8款或第4.3款</w:t>
      </w:r>
      <w:r>
        <w:rPr>
          <w:rFonts w:hint="eastAsia" w:ascii="宋体" w:hAnsi="宋体" w:eastAsia="宋体" w:cs="宋体"/>
          <w:color w:val="auto"/>
          <w:sz w:val="24"/>
          <w:szCs w:val="24"/>
        </w:rPr>
        <w:t>的约定，私自将合同的全部或部分权利转让</w:t>
      </w:r>
      <w:r>
        <w:rPr>
          <w:rFonts w:hint="eastAsia" w:ascii="宋体" w:hAnsi="宋体" w:eastAsia="宋体" w:cs="宋体"/>
          <w:color w:val="auto"/>
          <w:spacing w:val="-3"/>
          <w:sz w:val="24"/>
          <w:szCs w:val="24"/>
        </w:rPr>
        <w:t>给其他人，或私自将合同的全部或部分义务转移给其他人；</w:t>
      </w:r>
    </w:p>
    <w:p w14:paraId="37B9373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（2）承包人违反第5.3款或第6.4款的约定，未经监理人批准，私</w:t>
      </w:r>
      <w:r>
        <w:rPr>
          <w:rFonts w:hint="eastAsia" w:ascii="宋体" w:hAnsi="宋体" w:eastAsia="宋体" w:cs="宋体"/>
          <w:color w:val="auto"/>
          <w:sz w:val="24"/>
          <w:szCs w:val="24"/>
        </w:rPr>
        <w:t>自将已按合同</w:t>
      </w:r>
      <w:r>
        <w:rPr>
          <w:rFonts w:hint="eastAsia" w:ascii="宋体" w:hAnsi="宋体" w:eastAsia="宋体" w:cs="宋体"/>
          <w:color w:val="auto"/>
          <w:spacing w:val="-3"/>
          <w:sz w:val="24"/>
          <w:szCs w:val="24"/>
        </w:rPr>
        <w:t>约定进入施工场地的施工设备、临时设施或材料撤离施工场地；</w:t>
      </w:r>
    </w:p>
    <w:p w14:paraId="03C8112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（3）承包人违反第5.4款的约定使用了不合格材料或工程设备，工程</w:t>
      </w:r>
      <w:r>
        <w:rPr>
          <w:rFonts w:hint="eastAsia" w:ascii="宋体" w:hAnsi="宋体" w:eastAsia="宋体" w:cs="宋体"/>
          <w:color w:val="auto"/>
          <w:spacing w:val="-2"/>
          <w:sz w:val="24"/>
          <w:szCs w:val="24"/>
        </w:rPr>
        <w:t>质量达不到标</w:t>
      </w:r>
      <w:r>
        <w:rPr>
          <w:rFonts w:hint="eastAsia" w:ascii="宋体" w:hAnsi="宋体" w:eastAsia="宋体" w:cs="宋体"/>
          <w:color w:val="auto"/>
          <w:spacing w:val="-5"/>
          <w:sz w:val="24"/>
          <w:szCs w:val="24"/>
        </w:rPr>
        <w:t>准要求，又拒绝清除不合格工程；</w:t>
      </w:r>
    </w:p>
    <w:p w14:paraId="6186D6A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（4）承包人未能按合同及时完成合同约定的工作，已造成或预期造成工期延误；</w:t>
      </w:r>
    </w:p>
    <w:p w14:paraId="046A94C3">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（5）承包人在缺陷责任期内，未能对工程接收证书</w:t>
      </w:r>
      <w:r>
        <w:rPr>
          <w:rFonts w:hint="eastAsia" w:ascii="宋体" w:hAnsi="宋体" w:eastAsia="宋体" w:cs="宋体"/>
          <w:color w:val="auto"/>
          <w:spacing w:val="1"/>
          <w:sz w:val="24"/>
          <w:szCs w:val="24"/>
        </w:rPr>
        <w:t>所列的缺陷清单的内容或缺陷责</w:t>
      </w:r>
      <w:r>
        <w:rPr>
          <w:rFonts w:hint="eastAsia" w:ascii="宋体" w:hAnsi="宋体" w:eastAsia="宋体" w:cs="宋体"/>
          <w:color w:val="auto"/>
          <w:spacing w:val="-2"/>
          <w:sz w:val="24"/>
          <w:szCs w:val="24"/>
        </w:rPr>
        <w:t>任期内发生的缺陷进行修复，而又拒绝按监理人指示</w:t>
      </w:r>
      <w:r>
        <w:rPr>
          <w:rFonts w:hint="eastAsia" w:ascii="宋体" w:hAnsi="宋体" w:eastAsia="宋体" w:cs="宋体"/>
          <w:color w:val="auto"/>
          <w:spacing w:val="-3"/>
          <w:sz w:val="24"/>
          <w:szCs w:val="24"/>
        </w:rPr>
        <w:t>再进行修补；</w:t>
      </w:r>
    </w:p>
    <w:p w14:paraId="13683E3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（6）承包人无法继续履行或明确表示不履行或实质上</w:t>
      </w:r>
      <w:r>
        <w:rPr>
          <w:rFonts w:hint="eastAsia" w:ascii="宋体" w:hAnsi="宋体" w:eastAsia="宋体" w:cs="宋体"/>
          <w:color w:val="auto"/>
          <w:spacing w:val="-3"/>
          <w:sz w:val="24"/>
          <w:szCs w:val="24"/>
        </w:rPr>
        <w:t>已停止履行合同；</w:t>
      </w:r>
    </w:p>
    <w:p w14:paraId="709BE4E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（7）承包人不按合同约定履行义务的其他情况。</w:t>
      </w:r>
    </w:p>
    <w:p w14:paraId="3513E44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22.1.2对承包人违约的处理</w:t>
      </w:r>
    </w:p>
    <w:p w14:paraId="520D294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（1）承包人发生第22.1.1（6）目约定的违约情况时，发包人可通知承包人</w:t>
      </w:r>
      <w:r>
        <w:rPr>
          <w:rFonts w:hint="eastAsia" w:ascii="宋体" w:hAnsi="宋体" w:eastAsia="宋体" w:cs="宋体"/>
          <w:color w:val="auto"/>
          <w:spacing w:val="-2"/>
          <w:sz w:val="24"/>
          <w:szCs w:val="24"/>
        </w:rPr>
        <w:t>立即解</w:t>
      </w:r>
      <w:r>
        <w:rPr>
          <w:rFonts w:hint="eastAsia" w:ascii="宋体" w:hAnsi="宋体" w:eastAsia="宋体" w:cs="宋体"/>
          <w:color w:val="auto"/>
          <w:spacing w:val="-5"/>
          <w:sz w:val="24"/>
          <w:szCs w:val="24"/>
        </w:rPr>
        <w:t>除合同，并按有关法律处理。</w:t>
      </w:r>
    </w:p>
    <w:p w14:paraId="7298444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（2）承包人发生除第22.1.1（6）目约定以外的其他违约情</w:t>
      </w:r>
      <w:r>
        <w:rPr>
          <w:rFonts w:hint="eastAsia" w:ascii="宋体" w:hAnsi="宋体" w:eastAsia="宋体" w:cs="宋体"/>
          <w:color w:val="auto"/>
          <w:spacing w:val="-3"/>
          <w:sz w:val="24"/>
          <w:szCs w:val="24"/>
        </w:rPr>
        <w:t>况时，监理人可向承包</w:t>
      </w:r>
      <w:r>
        <w:rPr>
          <w:rFonts w:hint="eastAsia" w:ascii="宋体" w:hAnsi="宋体" w:eastAsia="宋体" w:cs="宋体"/>
          <w:color w:val="auto"/>
          <w:spacing w:val="2"/>
          <w:sz w:val="24"/>
          <w:szCs w:val="24"/>
        </w:rPr>
        <w:t>人发出整改通知，要求其在指定的期限内改正。承包人应承担其违约所引起的费用增加和</w:t>
      </w:r>
      <w:r>
        <w:rPr>
          <w:rFonts w:hint="eastAsia" w:ascii="宋体" w:hAnsi="宋体" w:eastAsia="宋体" w:cs="宋体"/>
          <w:color w:val="auto"/>
          <w:spacing w:val="-6"/>
          <w:sz w:val="24"/>
          <w:szCs w:val="24"/>
        </w:rPr>
        <w:t>（或）工期延误。</w:t>
      </w:r>
    </w:p>
    <w:p w14:paraId="084D07C0">
      <w:pPr>
        <w:keepNext w:val="0"/>
        <w:keepLines w:val="0"/>
        <w:pageBreakBefore w:val="0"/>
        <w:widowControl w:val="0"/>
        <w:kinsoku/>
        <w:wordWrap w:val="0"/>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（3）经检查证明承包人已采取了有效措施纠正</w:t>
      </w:r>
      <w:r>
        <w:rPr>
          <w:rFonts w:hint="eastAsia" w:ascii="宋体" w:hAnsi="宋体" w:eastAsia="宋体" w:cs="宋体"/>
          <w:color w:val="auto"/>
          <w:spacing w:val="-2"/>
          <w:sz w:val="24"/>
          <w:szCs w:val="24"/>
        </w:rPr>
        <w:t>违约行为，具备复工条件的，可由监理</w:t>
      </w:r>
      <w:r>
        <w:rPr>
          <w:rFonts w:hint="eastAsia" w:ascii="宋体" w:hAnsi="宋体" w:eastAsia="宋体" w:cs="宋体"/>
          <w:color w:val="auto"/>
          <w:spacing w:val="-5"/>
          <w:sz w:val="24"/>
          <w:szCs w:val="24"/>
        </w:rPr>
        <w:t>人签发复工通知复工。</w:t>
      </w:r>
    </w:p>
    <w:p w14:paraId="16D854C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24</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4"/>
          <w:sz w:val="24"/>
          <w:szCs w:val="24"/>
        </w:rPr>
        <w:t>争议的解决</w:t>
      </w:r>
    </w:p>
    <w:p w14:paraId="57937ED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24.1  争议的解决方式</w:t>
      </w:r>
    </w:p>
    <w:p w14:paraId="21070CDE">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发包人和承包人在履行合同中发生争议的，可以友好协商解决或者提</w:t>
      </w:r>
      <w:r>
        <w:rPr>
          <w:rFonts w:hint="eastAsia" w:ascii="宋体" w:hAnsi="宋体" w:eastAsia="宋体" w:cs="宋体"/>
          <w:color w:val="auto"/>
          <w:spacing w:val="-2"/>
          <w:sz w:val="24"/>
          <w:szCs w:val="24"/>
        </w:rPr>
        <w:t>请争议评审组评</w:t>
      </w:r>
      <w:r>
        <w:rPr>
          <w:rFonts w:hint="eastAsia" w:ascii="宋体" w:hAnsi="宋体" w:eastAsia="宋体" w:cs="宋体"/>
          <w:color w:val="auto"/>
          <w:spacing w:val="2"/>
          <w:sz w:val="24"/>
          <w:szCs w:val="24"/>
        </w:rPr>
        <w:t>审。合同当事人友好协商解决不成、不愿提请争议评审或者不接受争议评审组意</w:t>
      </w:r>
      <w:r>
        <w:rPr>
          <w:rFonts w:hint="eastAsia" w:ascii="宋体" w:hAnsi="宋体" w:eastAsia="宋体" w:cs="宋体"/>
          <w:color w:val="auto"/>
          <w:spacing w:val="1"/>
          <w:sz w:val="24"/>
          <w:szCs w:val="24"/>
        </w:rPr>
        <w:t>见的，按</w:t>
      </w:r>
      <w:r>
        <w:rPr>
          <w:rFonts w:hint="eastAsia" w:ascii="宋体" w:hAnsi="宋体" w:eastAsia="宋体" w:cs="宋体"/>
          <w:color w:val="auto"/>
          <w:spacing w:val="-8"/>
          <w:sz w:val="24"/>
          <w:szCs w:val="24"/>
        </w:rPr>
        <w:t>下列</w:t>
      </w:r>
      <w:r>
        <w:rPr>
          <w:rFonts w:hint="eastAsia" w:ascii="宋体" w:hAnsi="宋体" w:eastAsia="宋体" w:cs="宋体"/>
          <w:color w:val="auto"/>
          <w:spacing w:val="-8"/>
          <w:sz w:val="24"/>
          <w:szCs w:val="24"/>
          <w:u w:val="single" w:color="auto"/>
        </w:rPr>
        <w:t>(2)</w:t>
      </w:r>
      <w:r>
        <w:rPr>
          <w:rFonts w:hint="eastAsia" w:ascii="宋体" w:hAnsi="宋体" w:eastAsia="宋体" w:cs="宋体"/>
          <w:color w:val="auto"/>
          <w:spacing w:val="-8"/>
          <w:sz w:val="24"/>
          <w:szCs w:val="24"/>
        </w:rPr>
        <w:t>种方式解决。</w:t>
      </w:r>
    </w:p>
    <w:p w14:paraId="7CC2514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（1）向约定的仲裁委员会申请仲裁(向柳州仲裁委员会提请仲裁，双方同意仲裁为最终裁决)；</w:t>
      </w:r>
    </w:p>
    <w:p w14:paraId="52A85CB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（2）向有管辖权的人民法院提起诉讼。</w:t>
      </w:r>
    </w:p>
    <w:p w14:paraId="4DC52D3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0"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25</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补充条款</w:t>
      </w:r>
    </w:p>
    <w:p w14:paraId="7C1AFC1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2"/>
          <w:sz w:val="24"/>
          <w:szCs w:val="24"/>
        </w:rPr>
        <w:t>25.1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由于征地拆迁原因引起延期开工或工期顺延，承包人可提出顺</w:t>
      </w:r>
      <w:r>
        <w:rPr>
          <w:rFonts w:hint="eastAsia" w:ascii="宋体" w:hAnsi="宋体" w:eastAsia="宋体" w:cs="宋体"/>
          <w:color w:val="auto"/>
          <w:spacing w:val="-3"/>
          <w:sz w:val="24"/>
          <w:szCs w:val="24"/>
        </w:rPr>
        <w:t>延工期索赔，但发</w:t>
      </w:r>
      <w:r>
        <w:rPr>
          <w:rFonts w:hint="eastAsia" w:ascii="宋体" w:hAnsi="宋体" w:eastAsia="宋体" w:cs="宋体"/>
          <w:color w:val="auto"/>
          <w:spacing w:val="-4"/>
          <w:sz w:val="24"/>
          <w:szCs w:val="24"/>
        </w:rPr>
        <w:t>包人不补偿相关费用。</w:t>
      </w:r>
    </w:p>
    <w:p w14:paraId="5BD7083F">
      <w:pPr>
        <w:rPr>
          <w:color w:val="auto"/>
          <w:spacing w:val="-4"/>
          <w:sz w:val="24"/>
          <w:szCs w:val="24"/>
        </w:rPr>
      </w:pPr>
      <w:r>
        <w:rPr>
          <w:color w:val="auto"/>
          <w:spacing w:val="-4"/>
          <w:sz w:val="24"/>
          <w:szCs w:val="24"/>
        </w:rPr>
        <w:br w:type="page"/>
      </w:r>
    </w:p>
    <w:p w14:paraId="715F36C7">
      <w:pPr>
        <w:pStyle w:val="7"/>
        <w:wordWrap w:val="0"/>
        <w:spacing w:before="0" w:line="360" w:lineRule="auto"/>
        <w:ind w:left="0" w:right="0" w:firstLine="0"/>
        <w:jc w:val="center"/>
        <w:rPr>
          <w:color w:val="auto"/>
          <w:sz w:val="24"/>
          <w:szCs w:val="24"/>
        </w:rPr>
      </w:pPr>
      <w:r>
        <w:rPr>
          <w:rFonts w:ascii="宋体" w:hAnsi="宋体" w:eastAsia="宋体" w:cs="宋体"/>
          <w:b/>
          <w:bCs/>
          <w:color w:val="auto"/>
          <w:spacing w:val="6"/>
          <w:sz w:val="31"/>
          <w:szCs w:val="31"/>
        </w:rPr>
        <w:t>第四部分  合同附件</w:t>
      </w:r>
    </w:p>
    <w:p w14:paraId="489A9366">
      <w:pPr>
        <w:pStyle w:val="7"/>
        <w:wordWrap w:val="0"/>
        <w:spacing w:before="0" w:line="360" w:lineRule="auto"/>
        <w:ind w:left="0"/>
        <w:rPr>
          <w:color w:val="auto"/>
          <w:sz w:val="24"/>
          <w:szCs w:val="24"/>
        </w:rPr>
      </w:pPr>
      <w:r>
        <w:rPr>
          <w:b/>
          <w:bCs/>
          <w:color w:val="auto"/>
          <w:spacing w:val="-12"/>
          <w:sz w:val="24"/>
          <w:szCs w:val="24"/>
        </w:rPr>
        <w:t>附件</w:t>
      </w:r>
      <w:r>
        <w:rPr>
          <w:color w:val="auto"/>
          <w:spacing w:val="-32"/>
          <w:sz w:val="24"/>
          <w:szCs w:val="24"/>
        </w:rPr>
        <w:t xml:space="preserve"> </w:t>
      </w:r>
      <w:r>
        <w:rPr>
          <w:b/>
          <w:bCs/>
          <w:color w:val="auto"/>
          <w:spacing w:val="-12"/>
          <w:sz w:val="24"/>
          <w:szCs w:val="24"/>
        </w:rPr>
        <w:t>1</w:t>
      </w:r>
    </w:p>
    <w:p w14:paraId="292DDB4E">
      <w:pPr>
        <w:pStyle w:val="7"/>
        <w:wordWrap w:val="0"/>
        <w:spacing w:before="0" w:line="360" w:lineRule="auto"/>
        <w:ind w:left="0"/>
        <w:jc w:val="center"/>
        <w:rPr>
          <w:color w:val="auto"/>
          <w:sz w:val="24"/>
          <w:szCs w:val="24"/>
        </w:rPr>
      </w:pPr>
      <w:r>
        <w:rPr>
          <w:b/>
          <w:bCs/>
          <w:color w:val="auto"/>
          <w:spacing w:val="-12"/>
          <w:sz w:val="24"/>
          <w:szCs w:val="24"/>
        </w:rPr>
        <w:t>补</w:t>
      </w:r>
      <w:r>
        <w:rPr>
          <w:color w:val="auto"/>
          <w:spacing w:val="18"/>
          <w:sz w:val="24"/>
          <w:szCs w:val="24"/>
        </w:rPr>
        <w:t xml:space="preserve"> </w:t>
      </w:r>
      <w:r>
        <w:rPr>
          <w:b/>
          <w:bCs/>
          <w:color w:val="auto"/>
          <w:spacing w:val="-12"/>
          <w:sz w:val="24"/>
          <w:szCs w:val="24"/>
        </w:rPr>
        <w:t>充</w:t>
      </w:r>
      <w:r>
        <w:rPr>
          <w:color w:val="auto"/>
          <w:spacing w:val="12"/>
          <w:sz w:val="24"/>
          <w:szCs w:val="24"/>
        </w:rPr>
        <w:t xml:space="preserve"> </w:t>
      </w:r>
      <w:r>
        <w:rPr>
          <w:b/>
          <w:bCs/>
          <w:color w:val="auto"/>
          <w:spacing w:val="-12"/>
          <w:sz w:val="24"/>
          <w:szCs w:val="24"/>
        </w:rPr>
        <w:t>协</w:t>
      </w:r>
      <w:r>
        <w:rPr>
          <w:color w:val="auto"/>
          <w:spacing w:val="12"/>
          <w:sz w:val="24"/>
          <w:szCs w:val="24"/>
        </w:rPr>
        <w:t xml:space="preserve"> </w:t>
      </w:r>
      <w:r>
        <w:rPr>
          <w:b/>
          <w:bCs/>
          <w:color w:val="auto"/>
          <w:spacing w:val="-12"/>
          <w:sz w:val="24"/>
          <w:szCs w:val="24"/>
        </w:rPr>
        <w:t>议</w:t>
      </w:r>
      <w:r>
        <w:rPr>
          <w:color w:val="auto"/>
          <w:spacing w:val="16"/>
          <w:sz w:val="24"/>
          <w:szCs w:val="24"/>
        </w:rPr>
        <w:t xml:space="preserve"> </w:t>
      </w:r>
      <w:r>
        <w:rPr>
          <w:b/>
          <w:bCs/>
          <w:color w:val="auto"/>
          <w:spacing w:val="-12"/>
          <w:sz w:val="24"/>
          <w:szCs w:val="24"/>
        </w:rPr>
        <w:t>书</w:t>
      </w:r>
    </w:p>
    <w:p w14:paraId="0F5C1D72">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4" w:firstLineChars="200"/>
        <w:jc w:val="both"/>
        <w:textAlignment w:val="auto"/>
        <w:rPr>
          <w:color w:val="auto"/>
          <w:sz w:val="24"/>
          <w:szCs w:val="24"/>
        </w:rPr>
      </w:pPr>
      <w:r>
        <w:rPr>
          <w:color w:val="auto"/>
          <w:spacing w:val="1"/>
          <w:sz w:val="24"/>
          <w:szCs w:val="24"/>
        </w:rPr>
        <w:t>本补充协议书是</w:t>
      </w:r>
      <w:r>
        <w:rPr>
          <w:color w:val="auto"/>
          <w:spacing w:val="1"/>
          <w:sz w:val="24"/>
          <w:szCs w:val="24"/>
          <w:u w:val="single" w:color="auto"/>
        </w:rPr>
        <w:t xml:space="preserve"> 柳州市防洪排涝工程管理处</w:t>
      </w:r>
      <w:r>
        <w:rPr>
          <w:color w:val="auto"/>
          <w:spacing w:val="1"/>
          <w:sz w:val="24"/>
          <w:szCs w:val="24"/>
        </w:rPr>
        <w:t>（下称“发包人”）和</w:t>
      </w:r>
      <w:r>
        <w:rPr>
          <w:rFonts w:hint="eastAsia"/>
          <w:color w:val="auto"/>
          <w:spacing w:val="1"/>
          <w:sz w:val="24"/>
          <w:szCs w:val="24"/>
          <w:u w:val="single" w:color="auto"/>
          <w:lang w:eastAsia="zh-CN"/>
        </w:rPr>
        <w:t xml:space="preserve">     </w:t>
      </w:r>
      <w:r>
        <w:rPr>
          <w:color w:val="auto"/>
          <w:spacing w:val="1"/>
          <w:sz w:val="24"/>
          <w:szCs w:val="24"/>
          <w:u w:val="single" w:color="auto"/>
        </w:rPr>
        <w:t xml:space="preserve"> </w:t>
      </w:r>
      <w:r>
        <w:rPr>
          <w:color w:val="auto"/>
          <w:spacing w:val="1"/>
          <w:sz w:val="24"/>
          <w:szCs w:val="24"/>
        </w:rPr>
        <w:t>（下称“承</w:t>
      </w:r>
      <w:r>
        <w:rPr>
          <w:color w:val="auto"/>
          <w:spacing w:val="-6"/>
          <w:sz w:val="24"/>
          <w:szCs w:val="24"/>
        </w:rPr>
        <w:t>包人”）在</w:t>
      </w:r>
      <w:r>
        <w:rPr>
          <w:rFonts w:hint="eastAsia"/>
          <w:color w:val="auto"/>
          <w:spacing w:val="-6"/>
          <w:sz w:val="24"/>
          <w:szCs w:val="24"/>
          <w:u w:val="single" w:color="auto"/>
          <w:lang w:eastAsia="zh-CN"/>
        </w:rPr>
        <w:t xml:space="preserve"> 泵站、堤防护坡清理维护工程 (2026年度)</w:t>
      </w:r>
      <w:r>
        <w:rPr>
          <w:color w:val="auto"/>
          <w:spacing w:val="-6"/>
          <w:sz w:val="24"/>
          <w:szCs w:val="24"/>
        </w:rPr>
        <w:t>合同谈判中于</w:t>
      </w:r>
      <w:r>
        <w:rPr>
          <w:color w:val="auto"/>
          <w:spacing w:val="-6"/>
          <w:sz w:val="24"/>
          <w:szCs w:val="24"/>
          <w:u w:val="single" w:color="auto"/>
        </w:rPr>
        <w:t xml:space="preserve"> </w:t>
      </w:r>
      <w:r>
        <w:rPr>
          <w:color w:val="auto"/>
          <w:spacing w:val="-7"/>
          <w:sz w:val="24"/>
          <w:szCs w:val="24"/>
          <w:u w:val="single" w:color="auto"/>
        </w:rPr>
        <w:t xml:space="preserve"> 202</w:t>
      </w:r>
      <w:r>
        <w:rPr>
          <w:rFonts w:hint="eastAsia"/>
          <w:color w:val="auto"/>
          <w:spacing w:val="-7"/>
          <w:sz w:val="24"/>
          <w:szCs w:val="24"/>
          <w:u w:val="single" w:color="auto"/>
          <w:lang w:val="en-US" w:eastAsia="zh-CN"/>
        </w:rPr>
        <w:t>6</w:t>
      </w:r>
      <w:r>
        <w:rPr>
          <w:color w:val="auto"/>
          <w:spacing w:val="-7"/>
          <w:sz w:val="24"/>
          <w:szCs w:val="24"/>
        </w:rPr>
        <w:t>年</w:t>
      </w:r>
      <w:r>
        <w:rPr>
          <w:color w:val="auto"/>
          <w:spacing w:val="-7"/>
          <w:sz w:val="24"/>
          <w:szCs w:val="24"/>
          <w:u w:val="single" w:color="auto"/>
        </w:rPr>
        <w:t xml:space="preserve">   </w:t>
      </w:r>
      <w:r>
        <w:rPr>
          <w:color w:val="auto"/>
          <w:spacing w:val="-105"/>
          <w:sz w:val="24"/>
          <w:szCs w:val="24"/>
        </w:rPr>
        <w:t xml:space="preserve"> </w:t>
      </w:r>
      <w:r>
        <w:rPr>
          <w:color w:val="auto"/>
          <w:spacing w:val="-7"/>
          <w:sz w:val="24"/>
          <w:szCs w:val="24"/>
        </w:rPr>
        <w:t>月</w:t>
      </w:r>
      <w:r>
        <w:rPr>
          <w:rFonts w:hint="eastAsia"/>
          <w:color w:val="auto"/>
          <w:sz w:val="24"/>
          <w:szCs w:val="24"/>
          <w:u w:val="single"/>
          <w:lang w:val="en-US" w:eastAsia="zh-CN"/>
        </w:rPr>
        <w:t xml:space="preserve">   </w:t>
      </w:r>
      <w:r>
        <w:rPr>
          <w:color w:val="auto"/>
          <w:spacing w:val="-5"/>
          <w:sz w:val="24"/>
          <w:szCs w:val="24"/>
        </w:rPr>
        <w:t>日共同达成签订的。</w:t>
      </w:r>
    </w:p>
    <w:p w14:paraId="3510206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48" w:firstLineChars="200"/>
        <w:jc w:val="both"/>
        <w:textAlignment w:val="auto"/>
        <w:rPr>
          <w:color w:val="auto"/>
          <w:sz w:val="24"/>
          <w:szCs w:val="24"/>
        </w:rPr>
      </w:pPr>
      <w:r>
        <w:rPr>
          <w:color w:val="auto"/>
          <w:spacing w:val="-8"/>
          <w:sz w:val="24"/>
          <w:szCs w:val="24"/>
        </w:rPr>
        <w:t>本补充协议如下：</w:t>
      </w:r>
    </w:p>
    <w:p w14:paraId="2AF54D2B">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88" w:firstLineChars="200"/>
        <w:jc w:val="both"/>
        <w:textAlignment w:val="auto"/>
        <w:rPr>
          <w:color w:val="auto"/>
          <w:sz w:val="24"/>
          <w:szCs w:val="24"/>
        </w:rPr>
      </w:pPr>
      <w:r>
        <w:rPr>
          <w:color w:val="auto"/>
          <w:spacing w:val="2"/>
          <w:sz w:val="24"/>
          <w:szCs w:val="24"/>
        </w:rPr>
        <w:t>1、承包人在投标书中承诺本工程项目部经理及专业技</w:t>
      </w:r>
      <w:r>
        <w:rPr>
          <w:color w:val="auto"/>
          <w:spacing w:val="1"/>
          <w:sz w:val="24"/>
          <w:szCs w:val="24"/>
        </w:rPr>
        <w:t>术人员名单和机械进场计划作为本</w:t>
      </w:r>
      <w:r>
        <w:rPr>
          <w:color w:val="auto"/>
          <w:spacing w:val="-5"/>
          <w:sz w:val="24"/>
          <w:szCs w:val="24"/>
        </w:rPr>
        <w:t>合同附件。承包人在其工程实施、完成和缺陷修复期间，保证按照本补充协</w:t>
      </w:r>
      <w:r>
        <w:rPr>
          <w:color w:val="auto"/>
          <w:spacing w:val="-6"/>
          <w:sz w:val="24"/>
          <w:szCs w:val="24"/>
        </w:rPr>
        <w:t>议书附件的人员和</w:t>
      </w:r>
      <w:r>
        <w:rPr>
          <w:color w:val="auto"/>
          <w:spacing w:val="-5"/>
          <w:sz w:val="24"/>
          <w:szCs w:val="24"/>
        </w:rPr>
        <w:t>机械设备进场时间表的进场日期进场相应的人员和设备机具。在上述的计划进场日期后7</w:t>
      </w:r>
      <w:r>
        <w:rPr>
          <w:color w:val="auto"/>
          <w:spacing w:val="-6"/>
          <w:sz w:val="24"/>
          <w:szCs w:val="24"/>
        </w:rPr>
        <w:t>天内，</w:t>
      </w:r>
      <w:r>
        <w:rPr>
          <w:color w:val="auto"/>
          <w:spacing w:val="-5"/>
          <w:sz w:val="24"/>
          <w:szCs w:val="24"/>
        </w:rPr>
        <w:t>承包人的人员、机械和设备仍未按投标书中的要求按时到位，则属</w:t>
      </w:r>
      <w:r>
        <w:rPr>
          <w:color w:val="auto"/>
          <w:spacing w:val="-6"/>
          <w:sz w:val="24"/>
          <w:szCs w:val="24"/>
        </w:rPr>
        <w:t>于承包人违约，发包人可宣</w:t>
      </w:r>
      <w:r>
        <w:rPr>
          <w:color w:val="auto"/>
          <w:spacing w:val="-2"/>
          <w:sz w:val="24"/>
          <w:szCs w:val="24"/>
        </w:rPr>
        <w:t>布本合同作废，由此而产生的一切损失由承包人负责。</w:t>
      </w:r>
    </w:p>
    <w:p w14:paraId="56BE48E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color w:val="auto"/>
          <w:sz w:val="24"/>
          <w:szCs w:val="24"/>
        </w:rPr>
      </w:pPr>
      <w:r>
        <w:rPr>
          <w:color w:val="auto"/>
          <w:spacing w:val="2"/>
          <w:sz w:val="24"/>
          <w:szCs w:val="24"/>
        </w:rPr>
        <w:t>2、尽管有本补充协议书的规定，当发包人发现工程负责</w:t>
      </w:r>
      <w:r>
        <w:rPr>
          <w:color w:val="auto"/>
          <w:spacing w:val="1"/>
          <w:sz w:val="24"/>
          <w:szCs w:val="24"/>
        </w:rPr>
        <w:t>人、专业技术人员和机械设备不</w:t>
      </w:r>
      <w:r>
        <w:rPr>
          <w:color w:val="auto"/>
          <w:spacing w:val="-1"/>
          <w:sz w:val="24"/>
          <w:szCs w:val="24"/>
        </w:rPr>
        <w:t>能适应工程进度和工程质量管理需要时，仍有权要求承包人增加或更换其相关人员和施工机械设备，对此要求，承包人应予接受，否则，视承包人违约，</w:t>
      </w:r>
      <w:r>
        <w:rPr>
          <w:color w:val="auto"/>
          <w:spacing w:val="-2"/>
          <w:sz w:val="24"/>
          <w:szCs w:val="24"/>
        </w:rPr>
        <w:t>由承包人承担违约责任。</w:t>
      </w:r>
    </w:p>
    <w:p w14:paraId="0DA34D4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color w:val="auto"/>
          <w:sz w:val="24"/>
          <w:szCs w:val="24"/>
        </w:rPr>
      </w:pPr>
      <w:r>
        <w:rPr>
          <w:color w:val="auto"/>
          <w:spacing w:val="-1"/>
          <w:sz w:val="24"/>
          <w:szCs w:val="24"/>
        </w:rPr>
        <w:t>3、项目经理和技术负责人要在合同签订后7天内进场，各专业技术工程师根据施</w:t>
      </w:r>
      <w:r>
        <w:rPr>
          <w:color w:val="auto"/>
          <w:spacing w:val="-2"/>
          <w:sz w:val="24"/>
          <w:szCs w:val="24"/>
        </w:rPr>
        <w:t>工进度的需要进场，并且未经监理工程师允许不得随便更换或</w:t>
      </w:r>
      <w:r>
        <w:rPr>
          <w:color w:val="auto"/>
          <w:spacing w:val="-3"/>
          <w:sz w:val="24"/>
          <w:szCs w:val="24"/>
        </w:rPr>
        <w:t>离开现场。</w:t>
      </w:r>
    </w:p>
    <w:p w14:paraId="050F10CB">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color w:val="auto"/>
          <w:sz w:val="24"/>
          <w:szCs w:val="24"/>
        </w:rPr>
      </w:pPr>
      <w:r>
        <w:rPr>
          <w:color w:val="auto"/>
          <w:spacing w:val="2"/>
          <w:sz w:val="24"/>
          <w:szCs w:val="24"/>
        </w:rPr>
        <w:t>4、本工程项目经理未经工程师同意和发包人批准不得更换。如因特殊原因</w:t>
      </w:r>
      <w:r>
        <w:rPr>
          <w:color w:val="auto"/>
          <w:spacing w:val="1"/>
          <w:sz w:val="24"/>
          <w:szCs w:val="24"/>
        </w:rPr>
        <w:t>需更换的，接</w:t>
      </w:r>
      <w:r>
        <w:rPr>
          <w:color w:val="auto"/>
          <w:spacing w:val="-1"/>
          <w:sz w:val="24"/>
          <w:szCs w:val="24"/>
        </w:rPr>
        <w:t>替的人员的学历、资历、技术职称、管理和技术水平不能低于原来的人员，并且要接替人员到施工现场工作15天后，被更换的人员才能离开，同时发包人收取承包人违约金人民币壹拾万</w:t>
      </w:r>
      <w:r>
        <w:rPr>
          <w:color w:val="auto"/>
          <w:spacing w:val="-5"/>
          <w:sz w:val="24"/>
          <w:szCs w:val="24"/>
        </w:rPr>
        <w:t>元。项目经理或技术负责人未经批准，擅自离开工地现场，则发包人可从承包</w:t>
      </w:r>
      <w:r>
        <w:rPr>
          <w:color w:val="auto"/>
          <w:spacing w:val="-6"/>
          <w:sz w:val="24"/>
          <w:szCs w:val="24"/>
        </w:rPr>
        <w:t>人应得工程款中</w:t>
      </w:r>
      <w:r>
        <w:rPr>
          <w:color w:val="auto"/>
          <w:spacing w:val="-3"/>
          <w:sz w:val="24"/>
          <w:szCs w:val="24"/>
        </w:rPr>
        <w:t>按每人每离开一天扣罚人民币壹仟元。</w:t>
      </w:r>
    </w:p>
    <w:p w14:paraId="6627A8A7">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color w:val="auto"/>
          <w:sz w:val="24"/>
          <w:szCs w:val="24"/>
        </w:rPr>
      </w:pPr>
      <w:r>
        <w:rPr>
          <w:color w:val="auto"/>
          <w:spacing w:val="2"/>
          <w:sz w:val="24"/>
          <w:szCs w:val="24"/>
        </w:rPr>
        <w:t>5、在承包人机械设备、人员按进场时间表进场，并具备开</w:t>
      </w:r>
      <w:r>
        <w:rPr>
          <w:color w:val="auto"/>
          <w:spacing w:val="1"/>
          <w:sz w:val="24"/>
          <w:szCs w:val="24"/>
        </w:rPr>
        <w:t>工条件后，发包人将按合同条</w:t>
      </w:r>
      <w:r>
        <w:rPr>
          <w:color w:val="auto"/>
          <w:spacing w:val="-3"/>
          <w:sz w:val="24"/>
          <w:szCs w:val="24"/>
        </w:rPr>
        <w:t>件规定付给承包人工程预付款。</w:t>
      </w:r>
    </w:p>
    <w:p w14:paraId="715ADDE7">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4" w:firstLineChars="200"/>
        <w:jc w:val="both"/>
        <w:textAlignment w:val="auto"/>
        <w:rPr>
          <w:color w:val="auto"/>
          <w:sz w:val="24"/>
          <w:szCs w:val="24"/>
        </w:rPr>
      </w:pPr>
      <w:r>
        <w:rPr>
          <w:color w:val="auto"/>
          <w:spacing w:val="1"/>
          <w:sz w:val="24"/>
          <w:szCs w:val="24"/>
        </w:rPr>
        <w:t>6、承包人在投标书中承诺采用的新技术、新工艺必须在施工过程中严格遵守实施，否则</w:t>
      </w:r>
      <w:r>
        <w:rPr>
          <w:color w:val="auto"/>
          <w:spacing w:val="-3"/>
          <w:sz w:val="24"/>
          <w:szCs w:val="24"/>
        </w:rPr>
        <w:t>承包人的行为将被视为违约行为。</w:t>
      </w:r>
    </w:p>
    <w:p w14:paraId="388AB2BB">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color w:val="auto"/>
          <w:sz w:val="24"/>
          <w:szCs w:val="24"/>
        </w:rPr>
      </w:pPr>
      <w:r>
        <w:rPr>
          <w:color w:val="auto"/>
          <w:spacing w:val="2"/>
          <w:sz w:val="24"/>
          <w:szCs w:val="24"/>
        </w:rPr>
        <w:t>7、本工程合同总价是根据中标综合单价与业主估计的工程量暂定的，结算按现场实</w:t>
      </w:r>
      <w:r>
        <w:rPr>
          <w:color w:val="auto"/>
          <w:spacing w:val="1"/>
          <w:sz w:val="24"/>
          <w:szCs w:val="24"/>
        </w:rPr>
        <w:t>际计</w:t>
      </w:r>
      <w:r>
        <w:rPr>
          <w:color w:val="auto"/>
          <w:spacing w:val="-5"/>
          <w:sz w:val="24"/>
          <w:szCs w:val="24"/>
        </w:rPr>
        <w:t>量和中标综合单价进行。承包人必须按合同文件要求完成本工程全部工程的施工，任何超</w:t>
      </w:r>
      <w:r>
        <w:rPr>
          <w:color w:val="auto"/>
          <w:spacing w:val="-6"/>
          <w:sz w:val="24"/>
          <w:szCs w:val="24"/>
        </w:rPr>
        <w:t>出本</w:t>
      </w:r>
      <w:r>
        <w:rPr>
          <w:color w:val="auto"/>
          <w:spacing w:val="5"/>
          <w:sz w:val="24"/>
          <w:szCs w:val="24"/>
        </w:rPr>
        <w:t>合同文件范围工程量的增减及单价的确定都必须经监理工程师认可并由发包人审查通过方可</w:t>
      </w:r>
      <w:r>
        <w:rPr>
          <w:color w:val="auto"/>
          <w:spacing w:val="-1"/>
          <w:sz w:val="24"/>
          <w:szCs w:val="24"/>
        </w:rPr>
        <w:t>实施，最终结算以柳州市财政投资评审中心审核为准，否则，由此产生的一切后果均</w:t>
      </w:r>
      <w:r>
        <w:rPr>
          <w:color w:val="auto"/>
          <w:spacing w:val="-2"/>
          <w:sz w:val="24"/>
          <w:szCs w:val="24"/>
        </w:rPr>
        <w:t>由承包人</w:t>
      </w:r>
      <w:r>
        <w:rPr>
          <w:color w:val="auto"/>
          <w:spacing w:val="-14"/>
          <w:sz w:val="24"/>
          <w:szCs w:val="24"/>
        </w:rPr>
        <w:t>自行承担。</w:t>
      </w:r>
    </w:p>
    <w:p w14:paraId="60CA89CA">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88" w:firstLineChars="200"/>
        <w:jc w:val="both"/>
        <w:textAlignment w:val="auto"/>
        <w:rPr>
          <w:color w:val="auto"/>
          <w:sz w:val="24"/>
          <w:szCs w:val="24"/>
        </w:rPr>
      </w:pPr>
      <w:r>
        <w:rPr>
          <w:color w:val="auto"/>
          <w:spacing w:val="2"/>
          <w:sz w:val="24"/>
          <w:szCs w:val="24"/>
        </w:rPr>
        <w:t>8、承包人保险责任：承包人应对其为本合同工</w:t>
      </w:r>
      <w:r>
        <w:rPr>
          <w:color w:val="auto"/>
          <w:spacing w:val="1"/>
          <w:sz w:val="24"/>
          <w:szCs w:val="24"/>
        </w:rPr>
        <w:t>程派遣或雇用的任何人员进行意外伤亡和</w:t>
      </w:r>
      <w:r>
        <w:rPr>
          <w:color w:val="auto"/>
          <w:spacing w:val="-1"/>
          <w:sz w:val="24"/>
          <w:szCs w:val="24"/>
        </w:rPr>
        <w:t>人身事故保险，保险费用包含在工程报价中。发包人因此不承担由承包人责任造成一切伤害赔偿，也不补偿与此有关的一切索赔、诉讼、损害赔偿、诉讼费及其他开支。承包人在办理保险</w:t>
      </w:r>
      <w:r>
        <w:rPr>
          <w:color w:val="auto"/>
          <w:spacing w:val="-5"/>
          <w:sz w:val="24"/>
          <w:szCs w:val="24"/>
        </w:rPr>
        <w:t>前应征得发包人同意。若承包人不办理保险，发包人可代办，保</w:t>
      </w:r>
      <w:r>
        <w:rPr>
          <w:color w:val="auto"/>
          <w:spacing w:val="-6"/>
          <w:sz w:val="24"/>
          <w:szCs w:val="24"/>
        </w:rPr>
        <w:t>险费用从工程款中扣回，同时</w:t>
      </w:r>
      <w:r>
        <w:rPr>
          <w:color w:val="auto"/>
          <w:spacing w:val="-4"/>
          <w:sz w:val="24"/>
          <w:szCs w:val="24"/>
        </w:rPr>
        <w:t>发包人可进行经济处罚。</w:t>
      </w:r>
    </w:p>
    <w:p w14:paraId="1B2E4EF0">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0" w:firstLineChars="200"/>
        <w:jc w:val="both"/>
        <w:textAlignment w:val="auto"/>
        <w:rPr>
          <w:color w:val="auto"/>
          <w:sz w:val="24"/>
          <w:szCs w:val="24"/>
        </w:rPr>
      </w:pPr>
      <w:r>
        <w:rPr>
          <w:color w:val="auto"/>
          <w:sz w:val="24"/>
          <w:szCs w:val="24"/>
        </w:rPr>
        <w:t>9、施工单位的施工进度不能满足承诺工期（包括阶段工期）时，承包人同</w:t>
      </w:r>
      <w:r>
        <w:rPr>
          <w:color w:val="auto"/>
          <w:spacing w:val="-1"/>
          <w:sz w:val="24"/>
          <w:szCs w:val="24"/>
        </w:rPr>
        <w:t>意发包人调集</w:t>
      </w:r>
      <w:r>
        <w:rPr>
          <w:color w:val="auto"/>
          <w:spacing w:val="-3"/>
          <w:sz w:val="24"/>
          <w:szCs w:val="24"/>
        </w:rPr>
        <w:t>具有资质的其他施工单位进场施工。</w:t>
      </w:r>
    </w:p>
    <w:p w14:paraId="7002B552">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56" w:firstLineChars="200"/>
        <w:jc w:val="both"/>
        <w:textAlignment w:val="auto"/>
        <w:rPr>
          <w:color w:val="auto"/>
          <w:sz w:val="24"/>
          <w:szCs w:val="24"/>
        </w:rPr>
      </w:pPr>
      <w:r>
        <w:rPr>
          <w:color w:val="auto"/>
          <w:spacing w:val="-6"/>
          <w:sz w:val="24"/>
          <w:szCs w:val="24"/>
        </w:rPr>
        <w:t>10、承包人应及时提交</w:t>
      </w:r>
      <w:r>
        <w:rPr>
          <w:rFonts w:hint="eastAsia"/>
          <w:color w:val="auto"/>
          <w:spacing w:val="-6"/>
          <w:sz w:val="24"/>
          <w:szCs w:val="24"/>
          <w:lang w:eastAsia="zh-CN"/>
        </w:rPr>
        <w:t>完工</w:t>
      </w:r>
      <w:r>
        <w:rPr>
          <w:color w:val="auto"/>
          <w:spacing w:val="-6"/>
          <w:sz w:val="24"/>
          <w:szCs w:val="24"/>
        </w:rPr>
        <w:t>结算报告及完整的结算资料，否则发包人将按每拖延一天扣罚</w:t>
      </w:r>
      <w:r>
        <w:rPr>
          <w:color w:val="auto"/>
          <w:spacing w:val="-4"/>
          <w:sz w:val="24"/>
          <w:szCs w:val="24"/>
        </w:rPr>
        <w:t>承包人壹仟元人民币。</w:t>
      </w:r>
    </w:p>
    <w:p w14:paraId="1DEB082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color w:val="auto"/>
          <w:sz w:val="24"/>
          <w:szCs w:val="24"/>
        </w:rPr>
      </w:pPr>
      <w:r>
        <w:rPr>
          <w:color w:val="auto"/>
          <w:spacing w:val="-3"/>
          <w:sz w:val="24"/>
          <w:szCs w:val="24"/>
        </w:rPr>
        <w:t>11、承包人在投标书中承诺的《</w:t>
      </w:r>
      <w:r>
        <w:rPr>
          <w:rFonts w:hint="eastAsia"/>
          <w:color w:val="auto"/>
          <w:spacing w:val="-3"/>
          <w:sz w:val="24"/>
          <w:szCs w:val="24"/>
          <w:u w:val="single" w:color="auto"/>
          <w:lang w:eastAsia="zh-CN"/>
        </w:rPr>
        <w:t>泵站、堤防护坡清理维护工程 (2026年度)</w:t>
      </w:r>
      <w:r>
        <w:rPr>
          <w:color w:val="auto"/>
          <w:spacing w:val="-4"/>
          <w:sz w:val="24"/>
          <w:szCs w:val="24"/>
        </w:rPr>
        <w:t>承诺</w:t>
      </w:r>
      <w:r>
        <w:rPr>
          <w:color w:val="auto"/>
          <w:spacing w:val="-3"/>
          <w:sz w:val="24"/>
          <w:szCs w:val="24"/>
        </w:rPr>
        <w:t>书》作为合同补充协议，具备同等的法律效力。</w:t>
      </w:r>
    </w:p>
    <w:p w14:paraId="255821B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56" w:firstLineChars="200"/>
        <w:jc w:val="both"/>
        <w:textAlignment w:val="auto"/>
        <w:rPr>
          <w:color w:val="auto"/>
          <w:sz w:val="24"/>
          <w:szCs w:val="24"/>
        </w:rPr>
      </w:pPr>
      <w:r>
        <w:rPr>
          <w:color w:val="auto"/>
          <w:spacing w:val="-6"/>
          <w:sz w:val="24"/>
          <w:szCs w:val="24"/>
        </w:rPr>
        <w:t>12、工程实施过程中，如果发生分包人就工程费、材料商就材料款或农民工就工资等以被</w:t>
      </w:r>
      <w:r>
        <w:rPr>
          <w:color w:val="auto"/>
          <w:spacing w:val="-2"/>
          <w:sz w:val="24"/>
          <w:szCs w:val="24"/>
        </w:rPr>
        <w:t>拖欠为由到发包人办公场所追索或闹事，发包人有权做出</w:t>
      </w:r>
      <w:r>
        <w:rPr>
          <w:color w:val="auto"/>
          <w:spacing w:val="-3"/>
          <w:sz w:val="24"/>
          <w:szCs w:val="24"/>
        </w:rPr>
        <w:t>以下处理：</w:t>
      </w:r>
    </w:p>
    <w:p w14:paraId="3A3DB1BC">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88" w:firstLineChars="200"/>
        <w:jc w:val="both"/>
        <w:textAlignment w:val="auto"/>
        <w:rPr>
          <w:color w:val="auto"/>
          <w:sz w:val="24"/>
          <w:szCs w:val="24"/>
        </w:rPr>
      </w:pPr>
      <w:r>
        <w:rPr>
          <w:color w:val="auto"/>
          <w:spacing w:val="2"/>
          <w:sz w:val="24"/>
          <w:szCs w:val="24"/>
        </w:rPr>
        <w:t>（1）谢绝承包人今后参加发包人各类工程的投标，属区外承包人的，建议柳州</w:t>
      </w:r>
      <w:r>
        <w:rPr>
          <w:color w:val="auto"/>
          <w:spacing w:val="1"/>
          <w:sz w:val="24"/>
          <w:szCs w:val="24"/>
        </w:rPr>
        <w:t>市建委不</w:t>
      </w:r>
      <w:r>
        <w:rPr>
          <w:color w:val="auto"/>
          <w:spacing w:val="2"/>
          <w:sz w:val="24"/>
          <w:szCs w:val="24"/>
        </w:rPr>
        <w:t>再接受其在柳州市的投标资格，同时建议自治区建设厅停办其进桂参加招投标的手续,承包人</w:t>
      </w:r>
      <w:r>
        <w:rPr>
          <w:color w:val="auto"/>
          <w:spacing w:val="-6"/>
          <w:sz w:val="24"/>
          <w:szCs w:val="24"/>
        </w:rPr>
        <w:t>对此应无异议。</w:t>
      </w:r>
    </w:p>
    <w:p w14:paraId="444B48F5">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88" w:firstLineChars="200"/>
        <w:jc w:val="both"/>
        <w:textAlignment w:val="auto"/>
        <w:rPr>
          <w:color w:val="auto"/>
          <w:sz w:val="24"/>
          <w:szCs w:val="24"/>
        </w:rPr>
      </w:pPr>
      <w:r>
        <w:rPr>
          <w:color w:val="auto"/>
          <w:spacing w:val="2"/>
          <w:sz w:val="24"/>
          <w:szCs w:val="24"/>
        </w:rPr>
        <w:t>（2）发生分包人就工程费、材料商就材料款或</w:t>
      </w:r>
      <w:r>
        <w:rPr>
          <w:color w:val="auto"/>
          <w:spacing w:val="1"/>
          <w:sz w:val="24"/>
          <w:szCs w:val="24"/>
        </w:rPr>
        <w:t>农民工就工资等以被拖欠为由到发包人办</w:t>
      </w:r>
      <w:r>
        <w:rPr>
          <w:color w:val="auto"/>
          <w:spacing w:val="5"/>
          <w:sz w:val="24"/>
          <w:szCs w:val="24"/>
        </w:rPr>
        <w:t>公场所追索或闹事等类似情形，每发生一次发包人可以在应付承包</w:t>
      </w:r>
      <w:r>
        <w:rPr>
          <w:color w:val="auto"/>
          <w:spacing w:val="4"/>
          <w:sz w:val="24"/>
          <w:szCs w:val="24"/>
        </w:rPr>
        <w:t>人的工程款中扣罚伍拾万</w:t>
      </w:r>
      <w:r>
        <w:rPr>
          <w:color w:val="auto"/>
          <w:spacing w:val="-12"/>
          <w:sz w:val="24"/>
          <w:szCs w:val="24"/>
        </w:rPr>
        <w:t>元。</w:t>
      </w:r>
    </w:p>
    <w:p w14:paraId="5CEC937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68" w:firstLineChars="200"/>
        <w:jc w:val="both"/>
        <w:textAlignment w:val="auto"/>
        <w:rPr>
          <w:color w:val="auto"/>
          <w:sz w:val="24"/>
          <w:szCs w:val="24"/>
        </w:rPr>
      </w:pPr>
      <w:r>
        <w:rPr>
          <w:color w:val="auto"/>
          <w:spacing w:val="-3"/>
          <w:sz w:val="24"/>
          <w:szCs w:val="24"/>
        </w:rPr>
        <w:t>13、双方未尽事宜，可另签订补充协议协商解决。</w:t>
      </w:r>
    </w:p>
    <w:p w14:paraId="6DC3E78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color w:val="auto"/>
          <w:spacing w:val="-2"/>
          <w:sz w:val="24"/>
          <w:szCs w:val="24"/>
        </w:rPr>
      </w:pPr>
      <w:r>
        <w:rPr>
          <w:color w:val="auto"/>
          <w:spacing w:val="-2"/>
          <w:sz w:val="24"/>
          <w:szCs w:val="24"/>
        </w:rPr>
        <w:t>本补充协议书自双方签字盖章之日起生效，与合同协议书同时终止。</w:t>
      </w:r>
    </w:p>
    <w:p w14:paraId="4F154D3B">
      <w:pPr>
        <w:rPr>
          <w:color w:val="auto"/>
          <w:spacing w:val="-2"/>
          <w:sz w:val="24"/>
          <w:szCs w:val="24"/>
        </w:rPr>
      </w:pPr>
      <w:r>
        <w:rPr>
          <w:color w:val="auto"/>
          <w:spacing w:val="-2"/>
          <w:sz w:val="24"/>
          <w:szCs w:val="24"/>
        </w:rPr>
        <w:br w:type="page"/>
      </w:r>
    </w:p>
    <w:p w14:paraId="155C7D1F">
      <w:pPr>
        <w:wordWrap w:val="0"/>
        <w:spacing w:line="360" w:lineRule="auto"/>
        <w:rPr>
          <w:rFonts w:hint="eastAsia" w:ascii="Arial" w:hAnsi="Arial" w:eastAsia="宋体"/>
          <w:color w:val="auto"/>
          <w:sz w:val="21"/>
          <w:lang w:eastAsia="zh-CN"/>
        </w:rPr>
      </w:pPr>
    </w:p>
    <w:p w14:paraId="032410E7">
      <w:pPr>
        <w:pStyle w:val="7"/>
        <w:wordWrap w:val="0"/>
        <w:spacing w:before="0" w:line="360" w:lineRule="auto"/>
        <w:ind w:left="0"/>
        <w:rPr>
          <w:color w:val="auto"/>
          <w:sz w:val="24"/>
          <w:szCs w:val="24"/>
        </w:rPr>
      </w:pPr>
      <w:r>
        <w:rPr>
          <w:b/>
          <w:bCs/>
          <w:color w:val="auto"/>
          <w:spacing w:val="-12"/>
          <w:sz w:val="24"/>
          <w:szCs w:val="24"/>
        </w:rPr>
        <w:t>附件2</w:t>
      </w:r>
    </w:p>
    <w:p w14:paraId="11B18855">
      <w:pPr>
        <w:pStyle w:val="7"/>
        <w:wordWrap w:val="0"/>
        <w:spacing w:before="0" w:line="360" w:lineRule="auto"/>
        <w:ind w:right="0" w:firstLine="1875"/>
        <w:rPr>
          <w:color w:val="auto"/>
          <w:sz w:val="24"/>
          <w:szCs w:val="24"/>
        </w:rPr>
      </w:pPr>
      <w:r>
        <w:rPr>
          <w:rFonts w:hint="eastAsia"/>
          <w:color w:val="auto"/>
          <w:spacing w:val="-1"/>
          <w:sz w:val="24"/>
          <w:szCs w:val="24"/>
          <w:u w:val="single" w:color="auto"/>
          <w:lang w:eastAsia="zh-CN"/>
        </w:rPr>
        <w:t>泵站、堤防护坡清理维护工程 (2026年度)</w:t>
      </w:r>
      <w:r>
        <w:rPr>
          <w:b/>
          <w:bCs/>
          <w:color w:val="auto"/>
          <w:spacing w:val="-1"/>
          <w:sz w:val="24"/>
          <w:szCs w:val="24"/>
          <w:u w:val="single" w:color="auto"/>
        </w:rPr>
        <w:t>承诺书</w:t>
      </w:r>
      <w:r>
        <w:rPr>
          <w:color w:val="auto"/>
          <w:sz w:val="24"/>
          <w:szCs w:val="24"/>
        </w:rPr>
        <w:t xml:space="preserve"> </w:t>
      </w:r>
    </w:p>
    <w:p w14:paraId="1CE5CF8B">
      <w:pPr>
        <w:pStyle w:val="7"/>
        <w:keepNext w:val="0"/>
        <w:keepLines w:val="0"/>
        <w:pageBreakBefore w:val="0"/>
        <w:widowControl w:val="0"/>
        <w:kinsoku/>
        <w:wordWrap w:val="0"/>
        <w:overflowPunct/>
        <w:topLinePunct w:val="0"/>
        <w:autoSpaceDE/>
        <w:autoSpaceDN/>
        <w:bidi w:val="0"/>
        <w:adjustRightInd/>
        <w:snapToGrid/>
        <w:spacing w:before="0" w:line="360" w:lineRule="auto"/>
        <w:ind w:right="0"/>
        <w:jc w:val="left"/>
        <w:textAlignment w:val="auto"/>
        <w:rPr>
          <w:color w:val="auto"/>
          <w:sz w:val="24"/>
          <w:szCs w:val="24"/>
        </w:rPr>
      </w:pPr>
      <w:r>
        <w:rPr>
          <w:color w:val="auto"/>
          <w:spacing w:val="-1"/>
          <w:sz w:val="24"/>
          <w:szCs w:val="24"/>
        </w:rPr>
        <w:t>致（发包人全称</w:t>
      </w:r>
      <w:r>
        <w:rPr>
          <w:color w:val="auto"/>
          <w:spacing w:val="4"/>
          <w:sz w:val="24"/>
          <w:szCs w:val="24"/>
        </w:rPr>
        <w:t>）：</w:t>
      </w:r>
      <w:r>
        <w:rPr>
          <w:color w:val="auto"/>
          <w:spacing w:val="-1"/>
          <w:sz w:val="24"/>
          <w:szCs w:val="24"/>
          <w:u w:val="single" w:color="auto"/>
        </w:rPr>
        <w:t>柳州市防洪排涝工程管理处</w:t>
      </w:r>
    </w:p>
    <w:p w14:paraId="3880A41C">
      <w:pPr>
        <w:pStyle w:val="7"/>
        <w:keepNext w:val="0"/>
        <w:keepLines w:val="0"/>
        <w:pageBreakBefore w:val="0"/>
        <w:widowControl w:val="0"/>
        <w:kinsoku/>
        <w:wordWrap w:val="0"/>
        <w:overflowPunct/>
        <w:topLinePunct w:val="0"/>
        <w:autoSpaceDE/>
        <w:autoSpaceDN/>
        <w:bidi w:val="0"/>
        <w:adjustRightInd/>
        <w:snapToGrid/>
        <w:spacing w:before="0" w:line="360" w:lineRule="auto"/>
        <w:ind w:right="0" w:firstLine="476" w:firstLineChars="200"/>
        <w:jc w:val="both"/>
        <w:textAlignment w:val="auto"/>
        <w:rPr>
          <w:color w:val="auto"/>
          <w:sz w:val="24"/>
          <w:szCs w:val="24"/>
        </w:rPr>
      </w:pPr>
      <w:r>
        <w:rPr>
          <w:color w:val="auto"/>
          <w:spacing w:val="-1"/>
          <w:sz w:val="24"/>
          <w:szCs w:val="24"/>
        </w:rPr>
        <w:t>根据《中华人民共和国建筑法》以及国务院办公厅《关于加强基础设</w:t>
      </w:r>
      <w:r>
        <w:rPr>
          <w:color w:val="auto"/>
          <w:spacing w:val="-2"/>
          <w:sz w:val="24"/>
          <w:szCs w:val="24"/>
        </w:rPr>
        <w:t>施工程质量管理的通</w:t>
      </w:r>
      <w:r>
        <w:rPr>
          <w:color w:val="auto"/>
          <w:spacing w:val="2"/>
          <w:sz w:val="24"/>
          <w:szCs w:val="24"/>
        </w:rPr>
        <w:t>知》等国家相关建筑法律、法规以及贵公司要求，我单位再次明确对</w:t>
      </w:r>
      <w:r>
        <w:rPr>
          <w:rFonts w:hint="eastAsia"/>
          <w:color w:val="auto"/>
          <w:spacing w:val="2"/>
          <w:sz w:val="24"/>
          <w:szCs w:val="24"/>
          <w:u w:val="single" w:color="auto"/>
          <w:lang w:eastAsia="zh-CN"/>
        </w:rPr>
        <w:t>泵站、堤防护坡清理维护工程 (2026年度)</w:t>
      </w:r>
      <w:r>
        <w:rPr>
          <w:color w:val="auto"/>
          <w:spacing w:val="-3"/>
          <w:sz w:val="24"/>
          <w:szCs w:val="24"/>
          <w:u w:val="single" w:color="auto"/>
        </w:rPr>
        <w:t xml:space="preserve"> </w:t>
      </w:r>
      <w:r>
        <w:rPr>
          <w:color w:val="auto"/>
          <w:spacing w:val="-109"/>
          <w:sz w:val="24"/>
          <w:szCs w:val="24"/>
        </w:rPr>
        <w:t xml:space="preserve"> </w:t>
      </w:r>
      <w:r>
        <w:rPr>
          <w:color w:val="auto"/>
          <w:spacing w:val="-3"/>
          <w:sz w:val="24"/>
          <w:szCs w:val="24"/>
        </w:rPr>
        <w:t>质量、资金、工期、廉政的责任：</w:t>
      </w:r>
    </w:p>
    <w:p w14:paraId="52A1359D">
      <w:pPr>
        <w:pStyle w:val="7"/>
        <w:keepNext w:val="0"/>
        <w:keepLines w:val="0"/>
        <w:pageBreakBefore w:val="0"/>
        <w:widowControl w:val="0"/>
        <w:kinsoku/>
        <w:wordWrap w:val="0"/>
        <w:overflowPunct/>
        <w:topLinePunct w:val="0"/>
        <w:autoSpaceDE/>
        <w:autoSpaceDN/>
        <w:bidi w:val="0"/>
        <w:adjustRightInd/>
        <w:snapToGrid/>
        <w:spacing w:before="0" w:line="360" w:lineRule="auto"/>
        <w:ind w:right="0" w:firstLine="476" w:firstLineChars="200"/>
        <w:jc w:val="both"/>
        <w:textAlignment w:val="auto"/>
        <w:rPr>
          <w:color w:val="auto"/>
          <w:sz w:val="24"/>
          <w:szCs w:val="24"/>
        </w:rPr>
      </w:pPr>
      <w:r>
        <w:rPr>
          <w:color w:val="auto"/>
          <w:spacing w:val="-1"/>
          <w:sz w:val="24"/>
          <w:szCs w:val="24"/>
        </w:rPr>
        <w:t>1、保证按投标中拟投入工程技术人员和机械设备进场，按发包人工期完成本</w:t>
      </w:r>
      <w:r>
        <w:rPr>
          <w:color w:val="auto"/>
          <w:spacing w:val="-2"/>
          <w:sz w:val="24"/>
          <w:szCs w:val="24"/>
        </w:rPr>
        <w:t>工程。超期</w:t>
      </w:r>
      <w:r>
        <w:rPr>
          <w:color w:val="auto"/>
          <w:spacing w:val="-1"/>
          <w:sz w:val="24"/>
          <w:szCs w:val="24"/>
        </w:rPr>
        <w:t>损失赔偿金每天按合同价格的0.04%赔偿，并承担</w:t>
      </w:r>
      <w:r>
        <w:rPr>
          <w:color w:val="auto"/>
          <w:spacing w:val="-2"/>
          <w:sz w:val="24"/>
          <w:szCs w:val="24"/>
        </w:rPr>
        <w:t>超期施工全过程监理的额外费用。</w:t>
      </w:r>
    </w:p>
    <w:p w14:paraId="40339FEB">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76" w:firstLineChars="200"/>
        <w:jc w:val="both"/>
        <w:textAlignment w:val="auto"/>
        <w:rPr>
          <w:color w:val="auto"/>
          <w:sz w:val="24"/>
          <w:szCs w:val="24"/>
        </w:rPr>
      </w:pPr>
      <w:r>
        <w:rPr>
          <w:color w:val="auto"/>
          <w:spacing w:val="-1"/>
          <w:sz w:val="24"/>
          <w:szCs w:val="24"/>
        </w:rPr>
        <w:t>2、严格禁止不合格的材料进入工地，执行严格的自检制度，任何进入工地的材料，必须</w:t>
      </w:r>
      <w:r>
        <w:rPr>
          <w:color w:val="auto"/>
          <w:spacing w:val="-3"/>
          <w:sz w:val="24"/>
          <w:szCs w:val="24"/>
        </w:rPr>
        <w:t>经过监理工程师和发包人的认可才能使用。</w:t>
      </w:r>
    </w:p>
    <w:p w14:paraId="2E0833B6">
      <w:pPr>
        <w:pStyle w:val="7"/>
        <w:keepNext w:val="0"/>
        <w:keepLines w:val="0"/>
        <w:pageBreakBefore w:val="0"/>
        <w:widowControl w:val="0"/>
        <w:kinsoku/>
        <w:wordWrap w:val="0"/>
        <w:overflowPunct/>
        <w:topLinePunct w:val="0"/>
        <w:autoSpaceDE/>
        <w:autoSpaceDN/>
        <w:bidi w:val="0"/>
        <w:adjustRightInd/>
        <w:snapToGrid/>
        <w:spacing w:before="0" w:line="360" w:lineRule="auto"/>
        <w:ind w:left="0" w:firstLine="476" w:firstLineChars="200"/>
        <w:jc w:val="both"/>
        <w:textAlignment w:val="auto"/>
        <w:rPr>
          <w:color w:val="auto"/>
          <w:sz w:val="24"/>
          <w:szCs w:val="24"/>
        </w:rPr>
      </w:pPr>
      <w:r>
        <w:rPr>
          <w:color w:val="auto"/>
          <w:spacing w:val="-1"/>
          <w:sz w:val="24"/>
          <w:szCs w:val="24"/>
        </w:rPr>
        <w:t>3、严格按照国家有关法律规定和工程技术规范要求施工，保证我单位</w:t>
      </w:r>
    </w:p>
    <w:p w14:paraId="2C479B48">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72" w:firstLineChars="200"/>
        <w:jc w:val="both"/>
        <w:textAlignment w:val="auto"/>
        <w:rPr>
          <w:color w:val="auto"/>
          <w:sz w:val="24"/>
          <w:szCs w:val="24"/>
        </w:rPr>
      </w:pPr>
      <w:r>
        <w:rPr>
          <w:color w:val="auto"/>
          <w:spacing w:val="-2"/>
          <w:sz w:val="24"/>
          <w:szCs w:val="24"/>
        </w:rPr>
        <w:t>承建的</w:t>
      </w:r>
      <w:r>
        <w:rPr>
          <w:rFonts w:hint="eastAsia"/>
          <w:color w:val="auto"/>
          <w:spacing w:val="-2"/>
          <w:sz w:val="24"/>
          <w:szCs w:val="24"/>
          <w:u w:val="single" w:color="auto"/>
          <w:lang w:eastAsia="zh-CN"/>
        </w:rPr>
        <w:t>泵站、堤防护坡清理维护工程 (2026年度)</w:t>
      </w:r>
      <w:r>
        <w:rPr>
          <w:color w:val="auto"/>
          <w:spacing w:val="-3"/>
          <w:sz w:val="24"/>
          <w:szCs w:val="24"/>
        </w:rPr>
        <w:t>工程质量达到部颁合格标准，否</w:t>
      </w:r>
      <w:r>
        <w:rPr>
          <w:color w:val="auto"/>
          <w:spacing w:val="-4"/>
          <w:sz w:val="24"/>
          <w:szCs w:val="24"/>
        </w:rPr>
        <w:t>则将承担质量违约的全部责任。</w:t>
      </w:r>
    </w:p>
    <w:p w14:paraId="12F0A657">
      <w:pPr>
        <w:pStyle w:val="7"/>
        <w:keepNext w:val="0"/>
        <w:keepLines w:val="0"/>
        <w:pageBreakBefore w:val="0"/>
        <w:widowControl w:val="0"/>
        <w:kinsoku/>
        <w:wordWrap w:val="0"/>
        <w:overflowPunct/>
        <w:topLinePunct w:val="0"/>
        <w:autoSpaceDE/>
        <w:autoSpaceDN/>
        <w:bidi w:val="0"/>
        <w:adjustRightInd/>
        <w:snapToGrid/>
        <w:spacing w:before="0" w:line="360" w:lineRule="auto"/>
        <w:ind w:right="0" w:firstLine="480" w:firstLineChars="200"/>
        <w:jc w:val="both"/>
        <w:textAlignment w:val="auto"/>
        <w:rPr>
          <w:color w:val="auto"/>
          <w:sz w:val="24"/>
          <w:szCs w:val="24"/>
        </w:rPr>
      </w:pPr>
      <w:r>
        <w:rPr>
          <w:color w:val="auto"/>
          <w:sz w:val="24"/>
          <w:szCs w:val="24"/>
        </w:rPr>
        <w:t>4、在工程交付使用后，如发生工程质量事故，由我公司负责一切</w:t>
      </w:r>
      <w:r>
        <w:rPr>
          <w:color w:val="auto"/>
          <w:spacing w:val="-1"/>
          <w:sz w:val="24"/>
          <w:szCs w:val="24"/>
        </w:rPr>
        <w:t>经济损失，并对工程质</w:t>
      </w:r>
      <w:r>
        <w:rPr>
          <w:color w:val="auto"/>
          <w:spacing w:val="-6"/>
          <w:sz w:val="24"/>
          <w:szCs w:val="24"/>
        </w:rPr>
        <w:t>量负终身责任。</w:t>
      </w:r>
    </w:p>
    <w:p w14:paraId="5B77AF28">
      <w:pPr>
        <w:pStyle w:val="7"/>
        <w:keepNext w:val="0"/>
        <w:keepLines w:val="0"/>
        <w:pageBreakBefore w:val="0"/>
        <w:widowControl w:val="0"/>
        <w:kinsoku/>
        <w:wordWrap w:val="0"/>
        <w:overflowPunct/>
        <w:topLinePunct w:val="0"/>
        <w:autoSpaceDE/>
        <w:autoSpaceDN/>
        <w:bidi w:val="0"/>
        <w:adjustRightInd/>
        <w:snapToGrid/>
        <w:spacing w:before="0" w:line="360" w:lineRule="auto"/>
        <w:ind w:firstLine="456" w:firstLineChars="200"/>
        <w:jc w:val="both"/>
        <w:textAlignment w:val="auto"/>
        <w:rPr>
          <w:color w:val="auto"/>
          <w:sz w:val="24"/>
          <w:szCs w:val="24"/>
        </w:rPr>
      </w:pPr>
      <w:r>
        <w:rPr>
          <w:color w:val="auto"/>
          <w:spacing w:val="-6"/>
          <w:sz w:val="24"/>
          <w:szCs w:val="24"/>
        </w:rPr>
        <w:t>5、保证按国家法律、法规和政策履行廉政行为</w:t>
      </w:r>
      <w:r>
        <w:rPr>
          <w:color w:val="auto"/>
          <w:spacing w:val="-7"/>
          <w:sz w:val="24"/>
          <w:szCs w:val="24"/>
        </w:rPr>
        <w:t>，不与各责任方相互串通损害发包人利益。</w:t>
      </w:r>
    </w:p>
    <w:p w14:paraId="63396472">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80" w:firstLineChars="200"/>
        <w:jc w:val="both"/>
        <w:textAlignment w:val="auto"/>
        <w:rPr>
          <w:color w:val="auto"/>
          <w:sz w:val="24"/>
          <w:szCs w:val="24"/>
        </w:rPr>
      </w:pPr>
      <w:r>
        <w:rPr>
          <w:color w:val="auto"/>
          <w:sz w:val="24"/>
          <w:szCs w:val="24"/>
        </w:rPr>
        <w:t>6、不挂靠施工和违法分包。若有挂靠施工或违法分包行为</w:t>
      </w:r>
      <w:r>
        <w:rPr>
          <w:color w:val="auto"/>
          <w:spacing w:val="-1"/>
          <w:sz w:val="24"/>
          <w:szCs w:val="24"/>
        </w:rPr>
        <w:t>，发包人有权没收承包人全部</w:t>
      </w:r>
      <w:r>
        <w:rPr>
          <w:color w:val="auto"/>
          <w:spacing w:val="-3"/>
          <w:sz w:val="24"/>
          <w:szCs w:val="24"/>
        </w:rPr>
        <w:t>履约保证金，并处以合同价1%的罚款直至终止合同。</w:t>
      </w:r>
    </w:p>
    <w:p w14:paraId="27DF2F68">
      <w:pPr>
        <w:pStyle w:val="7"/>
        <w:keepNext w:val="0"/>
        <w:keepLines w:val="0"/>
        <w:pageBreakBefore w:val="0"/>
        <w:widowControl w:val="0"/>
        <w:kinsoku/>
        <w:wordWrap w:val="0"/>
        <w:overflowPunct/>
        <w:topLinePunct w:val="0"/>
        <w:autoSpaceDE/>
        <w:autoSpaceDN/>
        <w:bidi w:val="0"/>
        <w:adjustRightInd/>
        <w:snapToGrid/>
        <w:spacing w:before="0" w:line="360" w:lineRule="auto"/>
        <w:ind w:right="0" w:firstLine="480" w:firstLineChars="200"/>
        <w:jc w:val="both"/>
        <w:textAlignment w:val="auto"/>
        <w:rPr>
          <w:color w:val="auto"/>
          <w:sz w:val="24"/>
          <w:szCs w:val="24"/>
        </w:rPr>
      </w:pPr>
      <w:r>
        <w:rPr>
          <w:color w:val="auto"/>
          <w:sz w:val="24"/>
          <w:szCs w:val="24"/>
        </w:rPr>
        <w:t>7、保证工程款专款专用，使用由发包人同意的专门账</w:t>
      </w:r>
      <w:r>
        <w:rPr>
          <w:color w:val="auto"/>
          <w:spacing w:val="-1"/>
          <w:sz w:val="24"/>
          <w:szCs w:val="24"/>
        </w:rPr>
        <w:t>户、银行开户格式。严格遵守工程款使用制度，如违反专款专用规定，发包人有权没收承包人全部履约保证金，并更换项目经理</w:t>
      </w:r>
      <w:r>
        <w:rPr>
          <w:color w:val="auto"/>
          <w:spacing w:val="-7"/>
          <w:sz w:val="24"/>
          <w:szCs w:val="24"/>
        </w:rPr>
        <w:t>或终止合同。</w:t>
      </w:r>
    </w:p>
    <w:p w14:paraId="0B6154EE">
      <w:pPr>
        <w:pStyle w:val="7"/>
        <w:keepNext w:val="0"/>
        <w:keepLines w:val="0"/>
        <w:pageBreakBefore w:val="0"/>
        <w:widowControl w:val="0"/>
        <w:kinsoku/>
        <w:wordWrap w:val="0"/>
        <w:overflowPunct/>
        <w:topLinePunct w:val="0"/>
        <w:autoSpaceDE/>
        <w:autoSpaceDN/>
        <w:bidi w:val="0"/>
        <w:adjustRightInd/>
        <w:snapToGrid/>
        <w:spacing w:before="0" w:line="360" w:lineRule="auto"/>
        <w:ind w:right="0" w:firstLine="440" w:firstLineChars="200"/>
        <w:jc w:val="both"/>
        <w:textAlignment w:val="auto"/>
        <w:rPr>
          <w:color w:val="auto"/>
          <w:spacing w:val="-4"/>
          <w:sz w:val="24"/>
          <w:szCs w:val="24"/>
        </w:rPr>
      </w:pPr>
      <w:r>
        <w:rPr>
          <w:color w:val="auto"/>
          <w:spacing w:val="-10"/>
          <w:sz w:val="24"/>
          <w:szCs w:val="24"/>
        </w:rPr>
        <w:t>8、保证在施工期间做到道路施工交通安全及文明施工：工地无扬尘、路面无撒漏；围栏、</w:t>
      </w:r>
      <w:r>
        <w:rPr>
          <w:color w:val="auto"/>
          <w:spacing w:val="-1"/>
          <w:sz w:val="24"/>
          <w:szCs w:val="24"/>
        </w:rPr>
        <w:t>警示牌（灯）到位；临时便道平整通畅；现场告示、标语齐全。配合发包人协调各项工作，主</w:t>
      </w:r>
      <w:r>
        <w:rPr>
          <w:color w:val="auto"/>
          <w:spacing w:val="-4"/>
          <w:sz w:val="24"/>
          <w:szCs w:val="24"/>
        </w:rPr>
        <w:t>动创造条件推进工程进展。</w:t>
      </w:r>
    </w:p>
    <w:p w14:paraId="10E3C746">
      <w:pPr>
        <w:rPr>
          <w:color w:val="auto"/>
          <w:spacing w:val="-4"/>
          <w:sz w:val="24"/>
          <w:szCs w:val="24"/>
        </w:rPr>
      </w:pPr>
      <w:r>
        <w:rPr>
          <w:color w:val="auto"/>
          <w:spacing w:val="-4"/>
          <w:sz w:val="24"/>
          <w:szCs w:val="24"/>
        </w:rPr>
        <w:br w:type="page"/>
      </w:r>
    </w:p>
    <w:p w14:paraId="078BA9CD">
      <w:pPr>
        <w:pStyle w:val="7"/>
        <w:wordWrap w:val="0"/>
        <w:spacing w:before="0" w:line="360" w:lineRule="auto"/>
        <w:ind w:left="0"/>
        <w:rPr>
          <w:color w:val="auto"/>
          <w:sz w:val="24"/>
          <w:szCs w:val="24"/>
        </w:rPr>
      </w:pPr>
      <w:r>
        <w:rPr>
          <w:b/>
          <w:bCs/>
          <w:color w:val="auto"/>
          <w:spacing w:val="-12"/>
          <w:sz w:val="24"/>
          <w:szCs w:val="24"/>
        </w:rPr>
        <w:t>附件3</w:t>
      </w:r>
    </w:p>
    <w:p w14:paraId="62D46E66">
      <w:pPr>
        <w:pStyle w:val="7"/>
        <w:wordWrap w:val="0"/>
        <w:spacing w:before="0" w:line="360" w:lineRule="auto"/>
        <w:ind w:left="0"/>
        <w:jc w:val="center"/>
        <w:rPr>
          <w:color w:val="auto"/>
          <w:sz w:val="24"/>
          <w:szCs w:val="24"/>
        </w:rPr>
      </w:pPr>
      <w:r>
        <w:rPr>
          <w:b/>
          <w:bCs/>
          <w:color w:val="auto"/>
          <w:spacing w:val="-3"/>
          <w:sz w:val="24"/>
          <w:szCs w:val="24"/>
        </w:rPr>
        <w:t>工程建设项目廉政责任书</w:t>
      </w:r>
    </w:p>
    <w:p w14:paraId="2F81CE3A">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textAlignment w:val="auto"/>
        <w:rPr>
          <w:rFonts w:hint="eastAsia" w:eastAsia="宋体"/>
          <w:color w:val="auto"/>
          <w:sz w:val="24"/>
          <w:szCs w:val="24"/>
          <w:lang w:eastAsia="zh-CN"/>
        </w:rPr>
      </w:pPr>
      <w:r>
        <w:rPr>
          <w:color w:val="auto"/>
          <w:spacing w:val="-1"/>
          <w:sz w:val="24"/>
          <w:szCs w:val="24"/>
        </w:rPr>
        <w:t>工程名称：</w:t>
      </w:r>
      <w:r>
        <w:rPr>
          <w:rFonts w:hint="eastAsia"/>
          <w:color w:val="auto"/>
          <w:spacing w:val="-1"/>
          <w:sz w:val="24"/>
          <w:szCs w:val="24"/>
          <w:u w:val="single" w:color="auto"/>
          <w:lang w:eastAsia="zh-CN"/>
        </w:rPr>
        <w:t xml:space="preserve"> 泵站、堤防护坡清理维护工程 (2026年度)</w:t>
      </w:r>
    </w:p>
    <w:p w14:paraId="6B636D88">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textAlignment w:val="auto"/>
        <w:rPr>
          <w:color w:val="auto"/>
          <w:sz w:val="24"/>
          <w:szCs w:val="24"/>
        </w:rPr>
      </w:pPr>
      <w:r>
        <w:rPr>
          <w:color w:val="auto"/>
          <w:spacing w:val="-1"/>
          <w:sz w:val="24"/>
          <w:szCs w:val="24"/>
        </w:rPr>
        <w:t>工程建设地址：</w:t>
      </w:r>
      <w:r>
        <w:rPr>
          <w:color w:val="auto"/>
          <w:spacing w:val="-1"/>
          <w:sz w:val="24"/>
          <w:szCs w:val="24"/>
          <w:u w:val="single" w:color="auto"/>
        </w:rPr>
        <w:t>柳州市区</w:t>
      </w:r>
    </w:p>
    <w:p w14:paraId="6B77639B">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3"/>
        <w:textAlignment w:val="auto"/>
        <w:rPr>
          <w:color w:val="auto"/>
          <w:sz w:val="24"/>
          <w:szCs w:val="24"/>
        </w:rPr>
      </w:pPr>
      <w:r>
        <w:rPr>
          <w:color w:val="auto"/>
          <w:spacing w:val="-2"/>
          <w:sz w:val="24"/>
          <w:szCs w:val="24"/>
        </w:rPr>
        <w:t xml:space="preserve">发包人： </w:t>
      </w:r>
      <w:r>
        <w:rPr>
          <w:color w:val="auto"/>
          <w:spacing w:val="-101"/>
          <w:sz w:val="24"/>
          <w:szCs w:val="24"/>
          <w:u w:val="single" w:color="auto"/>
        </w:rPr>
        <w:t xml:space="preserve"> </w:t>
      </w:r>
      <w:r>
        <w:rPr>
          <w:color w:val="auto"/>
          <w:spacing w:val="-2"/>
          <w:sz w:val="24"/>
          <w:szCs w:val="24"/>
          <w:u w:val="single" w:color="auto"/>
        </w:rPr>
        <w:t>柳州市防洪排涝工程管理处</w:t>
      </w:r>
      <w:r>
        <w:rPr>
          <w:color w:val="auto"/>
          <w:sz w:val="24"/>
          <w:szCs w:val="24"/>
        </w:rPr>
        <w:t xml:space="preserve"> </w:t>
      </w:r>
    </w:p>
    <w:p w14:paraId="08700E0D">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3"/>
        <w:textAlignment w:val="auto"/>
        <w:rPr>
          <w:color w:val="auto"/>
          <w:sz w:val="24"/>
          <w:szCs w:val="24"/>
        </w:rPr>
      </w:pPr>
      <w:r>
        <w:rPr>
          <w:color w:val="auto"/>
          <w:spacing w:val="-2"/>
          <w:sz w:val="24"/>
          <w:szCs w:val="24"/>
        </w:rPr>
        <w:t>承包人：</w:t>
      </w:r>
      <w:r>
        <w:rPr>
          <w:rFonts w:hint="eastAsia"/>
          <w:color w:val="auto"/>
          <w:spacing w:val="-2"/>
          <w:sz w:val="24"/>
          <w:szCs w:val="24"/>
          <w:lang w:eastAsia="zh-CN"/>
        </w:rPr>
        <w:t xml:space="preserve">     </w:t>
      </w:r>
    </w:p>
    <w:p w14:paraId="28D6B52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color w:val="auto"/>
          <w:sz w:val="24"/>
          <w:szCs w:val="24"/>
        </w:rPr>
      </w:pPr>
      <w:r>
        <w:rPr>
          <w:color w:val="auto"/>
          <w:spacing w:val="-1"/>
          <w:sz w:val="24"/>
          <w:szCs w:val="24"/>
        </w:rPr>
        <w:t>为加强工程建设中的廉政建设，规范工程建设项目承发包双方的各项活动，防止</w:t>
      </w:r>
      <w:r>
        <w:rPr>
          <w:color w:val="auto"/>
          <w:spacing w:val="-2"/>
          <w:sz w:val="24"/>
          <w:szCs w:val="24"/>
        </w:rPr>
        <w:t>发生各种</w:t>
      </w:r>
      <w:r>
        <w:rPr>
          <w:color w:val="auto"/>
          <w:spacing w:val="-5"/>
          <w:sz w:val="24"/>
          <w:szCs w:val="24"/>
        </w:rPr>
        <w:t>谋取不正当利益的违法违纪行为，保护国家、集体和当事人的合法权益，</w:t>
      </w:r>
      <w:r>
        <w:rPr>
          <w:color w:val="auto"/>
          <w:spacing w:val="-6"/>
          <w:sz w:val="24"/>
          <w:szCs w:val="24"/>
        </w:rPr>
        <w:t>根据国家有关工程建</w:t>
      </w:r>
      <w:r>
        <w:rPr>
          <w:color w:val="auto"/>
          <w:spacing w:val="-2"/>
          <w:sz w:val="24"/>
          <w:szCs w:val="24"/>
        </w:rPr>
        <w:t>设的法律法规和廉政建设责任制规定，特订立本廉政责任书。</w:t>
      </w:r>
    </w:p>
    <w:p w14:paraId="411107E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第一条  发包人和承包人双方的责任</w:t>
      </w:r>
    </w:p>
    <w:p w14:paraId="1B0CD16E">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color w:val="auto"/>
          <w:sz w:val="24"/>
          <w:szCs w:val="24"/>
        </w:rPr>
      </w:pPr>
      <w:r>
        <w:rPr>
          <w:color w:val="auto"/>
          <w:spacing w:val="-1"/>
          <w:sz w:val="24"/>
          <w:szCs w:val="24"/>
        </w:rPr>
        <w:t>（一）应严格遵守国家关于市场准入、项目招标投标、工程建设、施工安装</w:t>
      </w:r>
      <w:r>
        <w:rPr>
          <w:color w:val="auto"/>
          <w:spacing w:val="-2"/>
          <w:sz w:val="24"/>
          <w:szCs w:val="24"/>
        </w:rPr>
        <w:t>和市场活动等有关法律、法规、相关政策，以及廉政建设的各项规定。</w:t>
      </w:r>
    </w:p>
    <w:p w14:paraId="31A2AA67">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color w:val="auto"/>
          <w:sz w:val="24"/>
          <w:szCs w:val="24"/>
        </w:rPr>
      </w:pPr>
      <w:r>
        <w:rPr>
          <w:color w:val="auto"/>
          <w:spacing w:val="-2"/>
          <w:sz w:val="24"/>
          <w:szCs w:val="24"/>
        </w:rPr>
        <w:t>（二）严格执行建设工程项目承发包合同文件，自觉按合同办事。</w:t>
      </w:r>
    </w:p>
    <w:p w14:paraId="2511A66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color w:val="auto"/>
          <w:sz w:val="24"/>
          <w:szCs w:val="24"/>
        </w:rPr>
      </w:pPr>
      <w:r>
        <w:rPr>
          <w:color w:val="auto"/>
          <w:spacing w:val="-1"/>
          <w:sz w:val="24"/>
          <w:szCs w:val="24"/>
        </w:rPr>
        <w:t>（三）业务活动必须坚持公开、公平、公正、诚</w:t>
      </w:r>
      <w:r>
        <w:rPr>
          <w:color w:val="auto"/>
          <w:spacing w:val="-2"/>
          <w:sz w:val="24"/>
          <w:szCs w:val="24"/>
        </w:rPr>
        <w:t>信、透明的原则（除法律法规另有规定者</w:t>
      </w:r>
      <w:r>
        <w:rPr>
          <w:color w:val="auto"/>
          <w:spacing w:val="-6"/>
          <w:sz w:val="24"/>
          <w:szCs w:val="24"/>
        </w:rPr>
        <w:t>外</w:t>
      </w:r>
      <w:r>
        <w:rPr>
          <w:color w:val="auto"/>
          <w:spacing w:val="4"/>
          <w:sz w:val="24"/>
          <w:szCs w:val="24"/>
        </w:rPr>
        <w:t>），</w:t>
      </w:r>
      <w:r>
        <w:rPr>
          <w:color w:val="auto"/>
          <w:spacing w:val="-6"/>
          <w:sz w:val="24"/>
          <w:szCs w:val="24"/>
        </w:rPr>
        <w:t>不得为获取不正当的利益，损害国家、集体和对方利益，不得违反工程建设管理、施工</w:t>
      </w:r>
      <w:r>
        <w:rPr>
          <w:color w:val="auto"/>
          <w:spacing w:val="-2"/>
          <w:sz w:val="24"/>
          <w:szCs w:val="24"/>
        </w:rPr>
        <w:t>安装的规章制度。</w:t>
      </w:r>
    </w:p>
    <w:p w14:paraId="3CB1703B">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48" w:firstLineChars="200"/>
        <w:jc w:val="both"/>
        <w:textAlignment w:val="auto"/>
        <w:rPr>
          <w:color w:val="auto"/>
          <w:sz w:val="24"/>
          <w:szCs w:val="24"/>
        </w:rPr>
      </w:pPr>
      <w:r>
        <w:rPr>
          <w:color w:val="auto"/>
          <w:spacing w:val="-8"/>
          <w:sz w:val="24"/>
          <w:szCs w:val="24"/>
        </w:rPr>
        <w:t>（四）发现对方在业务活动中有违规、违纪、违法行为的，应及</w:t>
      </w:r>
      <w:r>
        <w:rPr>
          <w:color w:val="auto"/>
          <w:spacing w:val="-9"/>
          <w:sz w:val="24"/>
          <w:szCs w:val="24"/>
        </w:rPr>
        <w:t>时提醒对方，情节严重的，</w:t>
      </w:r>
      <w:r>
        <w:rPr>
          <w:color w:val="auto"/>
          <w:spacing w:val="-2"/>
          <w:sz w:val="24"/>
          <w:szCs w:val="24"/>
        </w:rPr>
        <w:t>应向其上级主管部门或纪检监察、司法等有关机关举报。</w:t>
      </w:r>
    </w:p>
    <w:p w14:paraId="408862AC">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第二条  发包人的责任</w:t>
      </w:r>
    </w:p>
    <w:p w14:paraId="20566CA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color w:val="auto"/>
          <w:sz w:val="24"/>
          <w:szCs w:val="24"/>
        </w:rPr>
      </w:pPr>
      <w:r>
        <w:rPr>
          <w:color w:val="auto"/>
          <w:spacing w:val="-1"/>
          <w:sz w:val="24"/>
          <w:szCs w:val="24"/>
        </w:rPr>
        <w:t>发包人的领导和从事该建设工程项目的工作人员，在工程建设的事前、事中、事</w:t>
      </w:r>
      <w:r>
        <w:rPr>
          <w:color w:val="auto"/>
          <w:spacing w:val="-2"/>
          <w:sz w:val="24"/>
          <w:szCs w:val="24"/>
        </w:rPr>
        <w:t>后应遵守</w:t>
      </w:r>
      <w:r>
        <w:rPr>
          <w:color w:val="auto"/>
          <w:spacing w:val="-15"/>
          <w:sz w:val="24"/>
          <w:szCs w:val="24"/>
        </w:rPr>
        <w:t>以下规定：</w:t>
      </w:r>
    </w:p>
    <w:p w14:paraId="4501437D">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6" w:firstLineChars="200"/>
        <w:jc w:val="both"/>
        <w:textAlignment w:val="auto"/>
        <w:rPr>
          <w:color w:val="auto"/>
          <w:sz w:val="24"/>
          <w:szCs w:val="24"/>
        </w:rPr>
      </w:pPr>
      <w:r>
        <w:rPr>
          <w:color w:val="auto"/>
          <w:spacing w:val="-1"/>
          <w:sz w:val="24"/>
          <w:szCs w:val="24"/>
        </w:rPr>
        <w:t>（一）不准向承包人和相关单位索要或接受回扣、礼金、有</w:t>
      </w:r>
      <w:r>
        <w:rPr>
          <w:color w:val="auto"/>
          <w:spacing w:val="-2"/>
          <w:sz w:val="24"/>
          <w:szCs w:val="24"/>
        </w:rPr>
        <w:t>价证卷、贵重物品和好处费、</w:t>
      </w:r>
      <w:r>
        <w:rPr>
          <w:color w:val="auto"/>
          <w:spacing w:val="-8"/>
          <w:sz w:val="24"/>
          <w:szCs w:val="24"/>
        </w:rPr>
        <w:t>感谢费等。</w:t>
      </w:r>
    </w:p>
    <w:p w14:paraId="4B898F1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color w:val="auto"/>
          <w:sz w:val="24"/>
          <w:szCs w:val="24"/>
        </w:rPr>
      </w:pPr>
      <w:r>
        <w:rPr>
          <w:color w:val="auto"/>
          <w:spacing w:val="-2"/>
          <w:sz w:val="24"/>
          <w:szCs w:val="24"/>
        </w:rPr>
        <w:t>（二）不准在承包人和相关单位报销任何应由发包人或个人支付的费用。</w:t>
      </w:r>
    </w:p>
    <w:p w14:paraId="4E24CCF9">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color w:val="auto"/>
          <w:sz w:val="24"/>
          <w:szCs w:val="24"/>
        </w:rPr>
      </w:pPr>
      <w:r>
        <w:rPr>
          <w:color w:val="auto"/>
          <w:spacing w:val="-2"/>
          <w:sz w:val="24"/>
          <w:szCs w:val="24"/>
        </w:rPr>
        <w:t>（三）不准要求、暗示和接受承包人和相关单位为个人装修住房、婚丧嫁娶、配偶子女的</w:t>
      </w:r>
      <w:r>
        <w:rPr>
          <w:color w:val="auto"/>
          <w:spacing w:val="-3"/>
          <w:sz w:val="24"/>
          <w:szCs w:val="24"/>
        </w:rPr>
        <w:t>工作安排以及出国（境）、旅游等提供方便。</w:t>
      </w:r>
    </w:p>
    <w:p w14:paraId="02A3F4BA">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60" w:firstLineChars="200"/>
        <w:jc w:val="both"/>
        <w:textAlignment w:val="auto"/>
        <w:rPr>
          <w:color w:val="auto"/>
          <w:sz w:val="24"/>
          <w:szCs w:val="24"/>
        </w:rPr>
      </w:pPr>
      <w:r>
        <w:rPr>
          <w:color w:val="auto"/>
          <w:spacing w:val="-5"/>
          <w:sz w:val="24"/>
          <w:szCs w:val="24"/>
        </w:rPr>
        <w:t>（四）不准参加有可能影响公正执行公务的承包人和相关单位的宴请和健身、娱乐等活动。</w:t>
      </w:r>
    </w:p>
    <w:p w14:paraId="2FB9271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color w:val="auto"/>
          <w:sz w:val="24"/>
          <w:szCs w:val="24"/>
        </w:rPr>
      </w:pPr>
      <w:r>
        <w:rPr>
          <w:color w:val="auto"/>
          <w:spacing w:val="-1"/>
          <w:sz w:val="24"/>
          <w:szCs w:val="24"/>
        </w:rPr>
        <w:t>（五）不准向承包人介绍或为配偶、子女、亲属参与同发包人项目工程施</w:t>
      </w:r>
      <w:r>
        <w:rPr>
          <w:color w:val="auto"/>
          <w:spacing w:val="-2"/>
          <w:sz w:val="24"/>
          <w:szCs w:val="24"/>
        </w:rPr>
        <w:t>工合同有关的设</w:t>
      </w:r>
      <w:r>
        <w:rPr>
          <w:color w:val="auto"/>
          <w:spacing w:val="-1"/>
          <w:sz w:val="24"/>
          <w:szCs w:val="24"/>
        </w:rPr>
        <w:t>备、材料、工程分包、劳务等经济活动。不得以任何理由向承包人和相关单位推荐分包单</w:t>
      </w:r>
      <w:r>
        <w:rPr>
          <w:color w:val="auto"/>
          <w:spacing w:val="-2"/>
          <w:sz w:val="24"/>
          <w:szCs w:val="24"/>
        </w:rPr>
        <w:t>位和</w:t>
      </w:r>
    </w:p>
    <w:p w14:paraId="06562BB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Arial" w:hAnsi="Arial" w:eastAsia="宋体"/>
          <w:color w:val="auto"/>
          <w:sz w:val="21"/>
          <w:lang w:eastAsia="zh-CN"/>
        </w:rPr>
      </w:pPr>
    </w:p>
    <w:p w14:paraId="04D82AC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2" w:firstLineChars="200"/>
        <w:jc w:val="both"/>
        <w:textAlignment w:val="auto"/>
        <w:rPr>
          <w:color w:val="auto"/>
          <w:spacing w:val="-2"/>
          <w:sz w:val="24"/>
          <w:szCs w:val="24"/>
        </w:rPr>
      </w:pPr>
      <w:r>
        <w:rPr>
          <w:color w:val="auto"/>
          <w:spacing w:val="-2"/>
          <w:sz w:val="24"/>
          <w:szCs w:val="24"/>
        </w:rPr>
        <w:t>要求承包人购买项目工程施工合同规定以外的材料、设备等。</w:t>
      </w:r>
    </w:p>
    <w:p w14:paraId="6F5E690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76" w:firstLineChars="200"/>
        <w:jc w:val="both"/>
        <w:textAlignment w:val="auto"/>
        <w:rPr>
          <w:color w:val="auto"/>
          <w:sz w:val="24"/>
          <w:szCs w:val="24"/>
        </w:rPr>
      </w:pPr>
      <w:r>
        <w:rPr>
          <w:color w:val="auto"/>
          <w:spacing w:val="-1"/>
          <w:sz w:val="24"/>
          <w:szCs w:val="24"/>
        </w:rPr>
        <w:t>第三条  承包人的责任</w:t>
      </w:r>
    </w:p>
    <w:p w14:paraId="603E9ED2">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应与发包人保持正常的业务交往，按照有关法律法规和程序开展业务工作，严格执行工程</w:t>
      </w:r>
      <w:r>
        <w:rPr>
          <w:color w:val="auto"/>
          <w:spacing w:val="-2"/>
          <w:sz w:val="24"/>
          <w:szCs w:val="24"/>
        </w:rPr>
        <w:t>建设的有关方针、政策，尤其是有关建筑施工安装的强制性标准和规范，并遵守以下规定：</w:t>
      </w:r>
    </w:p>
    <w:p w14:paraId="601327EB">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（一）不准以任何理由向发包人、相关单位及其工作人员索要、接受或赠</w:t>
      </w:r>
      <w:r>
        <w:rPr>
          <w:color w:val="auto"/>
          <w:spacing w:val="-2"/>
          <w:sz w:val="24"/>
          <w:szCs w:val="24"/>
        </w:rPr>
        <w:t>送礼金、有价证</w:t>
      </w:r>
      <w:r>
        <w:rPr>
          <w:color w:val="auto"/>
          <w:spacing w:val="-3"/>
          <w:sz w:val="24"/>
          <w:szCs w:val="24"/>
        </w:rPr>
        <w:t>卷、贵重物品和回扣、好处费、感谢费等。</w:t>
      </w:r>
    </w:p>
    <w:p w14:paraId="4B2BCADD">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2" w:firstLineChars="200"/>
        <w:jc w:val="both"/>
        <w:textAlignment w:val="auto"/>
        <w:rPr>
          <w:color w:val="auto"/>
          <w:sz w:val="24"/>
          <w:szCs w:val="24"/>
        </w:rPr>
      </w:pPr>
      <w:r>
        <w:rPr>
          <w:color w:val="auto"/>
          <w:spacing w:val="-2"/>
          <w:sz w:val="24"/>
          <w:szCs w:val="24"/>
        </w:rPr>
        <w:t>（二）不准以任何理由为发包人和相关单位报销应由对方或个人支付的费用。</w:t>
      </w:r>
    </w:p>
    <w:p w14:paraId="6917C0F1">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（三）不准接受或暗示为发包人、相关单位或个人装修住房、婚丧嫁娶、</w:t>
      </w:r>
      <w:r>
        <w:rPr>
          <w:color w:val="auto"/>
          <w:spacing w:val="-2"/>
          <w:sz w:val="24"/>
          <w:szCs w:val="24"/>
        </w:rPr>
        <w:t>配偶子女的工作</w:t>
      </w:r>
      <w:r>
        <w:rPr>
          <w:color w:val="auto"/>
          <w:spacing w:val="-3"/>
          <w:sz w:val="24"/>
          <w:szCs w:val="24"/>
        </w:rPr>
        <w:t>安排以及出国（境）、旅游等提供方便。</w:t>
      </w:r>
    </w:p>
    <w:p w14:paraId="29578F4F">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72" w:firstLineChars="200"/>
        <w:jc w:val="both"/>
        <w:textAlignment w:val="auto"/>
        <w:rPr>
          <w:color w:val="auto"/>
          <w:sz w:val="24"/>
          <w:szCs w:val="24"/>
        </w:rPr>
      </w:pPr>
      <w:r>
        <w:rPr>
          <w:color w:val="auto"/>
          <w:spacing w:val="-2"/>
          <w:sz w:val="24"/>
          <w:szCs w:val="24"/>
        </w:rPr>
        <w:t>（四）不准以任何理由为发包人、相关单位或个人组织有可能影响公正执行公务的宴请和</w:t>
      </w:r>
      <w:r>
        <w:rPr>
          <w:color w:val="auto"/>
          <w:spacing w:val="-5"/>
          <w:sz w:val="24"/>
          <w:szCs w:val="24"/>
        </w:rPr>
        <w:t>健身、娱乐等活动。</w:t>
      </w:r>
    </w:p>
    <w:p w14:paraId="13694AB3">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第四条  违约责任</w:t>
      </w:r>
    </w:p>
    <w:p w14:paraId="7D129375">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56" w:firstLineChars="200"/>
        <w:jc w:val="both"/>
        <w:textAlignment w:val="auto"/>
        <w:rPr>
          <w:color w:val="auto"/>
          <w:sz w:val="24"/>
          <w:szCs w:val="24"/>
        </w:rPr>
      </w:pPr>
      <w:r>
        <w:rPr>
          <w:color w:val="auto"/>
          <w:spacing w:val="-6"/>
          <w:sz w:val="24"/>
          <w:szCs w:val="24"/>
        </w:rPr>
        <w:t>（一）发包人工作人员有违反本责任书第一、二条责任行为的，按照管理权限，依据有关</w:t>
      </w:r>
      <w:r>
        <w:rPr>
          <w:color w:val="auto"/>
          <w:spacing w:val="-1"/>
          <w:sz w:val="24"/>
          <w:szCs w:val="24"/>
        </w:rPr>
        <w:t>法律法规和规定给予党纪、政纪处分或组织处理；涉嫌犯罪的，移交</w:t>
      </w:r>
      <w:r>
        <w:rPr>
          <w:color w:val="auto"/>
          <w:spacing w:val="-2"/>
          <w:sz w:val="24"/>
          <w:szCs w:val="24"/>
        </w:rPr>
        <w:t>司法机关追究刑事责任；</w:t>
      </w:r>
      <w:r>
        <w:rPr>
          <w:color w:val="auto"/>
          <w:spacing w:val="-3"/>
          <w:sz w:val="24"/>
          <w:szCs w:val="24"/>
        </w:rPr>
        <w:t>给承包人单位造成经济损失的，应予赔偿。</w:t>
      </w:r>
    </w:p>
    <w:p w14:paraId="64AC891F">
      <w:pPr>
        <w:pStyle w:val="7"/>
        <w:keepNext w:val="0"/>
        <w:keepLines w:val="0"/>
        <w:pageBreakBefore w:val="0"/>
        <w:widowControl w:val="0"/>
        <w:kinsoku/>
        <w:wordWrap w:val="0"/>
        <w:overflowPunct/>
        <w:topLinePunct w:val="0"/>
        <w:autoSpaceDE/>
        <w:autoSpaceDN/>
        <w:bidi w:val="0"/>
        <w:adjustRightInd/>
        <w:snapToGrid/>
        <w:spacing w:before="0" w:after="0" w:line="360" w:lineRule="auto"/>
        <w:ind w:right="0" w:firstLine="456" w:firstLineChars="200"/>
        <w:jc w:val="both"/>
        <w:textAlignment w:val="auto"/>
        <w:rPr>
          <w:color w:val="auto"/>
          <w:sz w:val="24"/>
          <w:szCs w:val="24"/>
        </w:rPr>
      </w:pPr>
      <w:r>
        <w:rPr>
          <w:color w:val="auto"/>
          <w:spacing w:val="-6"/>
          <w:sz w:val="24"/>
          <w:szCs w:val="24"/>
        </w:rPr>
        <w:t>（二）承包人工作人员有违反本责任书第一、三条责任行为的，按照管理权限，依据有关</w:t>
      </w:r>
      <w:r>
        <w:rPr>
          <w:color w:val="auto"/>
          <w:spacing w:val="-1"/>
          <w:sz w:val="24"/>
          <w:szCs w:val="24"/>
        </w:rPr>
        <w:t>法律法规和规定给予党纪、政纪处分或组织处理；涉嫌犯罪的，移交司</w:t>
      </w:r>
      <w:r>
        <w:rPr>
          <w:color w:val="auto"/>
          <w:spacing w:val="-2"/>
          <w:sz w:val="24"/>
          <w:szCs w:val="24"/>
        </w:rPr>
        <w:t>法机关追究刑事责任；</w:t>
      </w:r>
      <w:r>
        <w:rPr>
          <w:color w:val="auto"/>
          <w:spacing w:val="-3"/>
          <w:sz w:val="24"/>
          <w:szCs w:val="24"/>
        </w:rPr>
        <w:t>给发包人单位造成经济损失的，应予赔偿。</w:t>
      </w:r>
    </w:p>
    <w:p w14:paraId="405E82B6">
      <w:pPr>
        <w:pStyle w:val="7"/>
        <w:keepNext w:val="0"/>
        <w:keepLines w:val="0"/>
        <w:pageBreakBefore w:val="0"/>
        <w:widowControl w:val="0"/>
        <w:kinsoku/>
        <w:wordWrap w:val="0"/>
        <w:overflowPunct/>
        <w:topLinePunct w:val="0"/>
        <w:autoSpaceDE/>
        <w:autoSpaceDN/>
        <w:bidi w:val="0"/>
        <w:adjustRightInd/>
        <w:snapToGrid/>
        <w:spacing w:before="0" w:after="0" w:line="360" w:lineRule="auto"/>
        <w:ind w:firstLine="476" w:firstLineChars="200"/>
        <w:jc w:val="both"/>
        <w:textAlignment w:val="auto"/>
        <w:rPr>
          <w:color w:val="auto"/>
          <w:sz w:val="24"/>
          <w:szCs w:val="24"/>
        </w:rPr>
      </w:pPr>
      <w:r>
        <w:rPr>
          <w:color w:val="auto"/>
          <w:spacing w:val="-1"/>
          <w:sz w:val="24"/>
          <w:szCs w:val="24"/>
        </w:rPr>
        <w:t xml:space="preserve">第五条 </w:t>
      </w:r>
      <w:r>
        <w:rPr>
          <w:rFonts w:hint="eastAsia"/>
          <w:color w:val="auto"/>
          <w:spacing w:val="-1"/>
          <w:sz w:val="24"/>
          <w:szCs w:val="24"/>
          <w:lang w:val="en-US" w:eastAsia="zh-CN"/>
        </w:rPr>
        <w:t xml:space="preserve"> </w:t>
      </w:r>
      <w:r>
        <w:rPr>
          <w:color w:val="auto"/>
          <w:spacing w:val="-1"/>
          <w:sz w:val="24"/>
          <w:szCs w:val="24"/>
        </w:rPr>
        <w:t>本责任书为工程施工合同的附件，与工程施工合同具有同等法律效力。经双方签</w:t>
      </w:r>
      <w:r>
        <w:rPr>
          <w:color w:val="auto"/>
          <w:spacing w:val="-6"/>
          <w:sz w:val="24"/>
          <w:szCs w:val="24"/>
        </w:rPr>
        <w:t>署后立即生效。</w:t>
      </w:r>
    </w:p>
    <w:p w14:paraId="778188F6">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z w:val="24"/>
          <w:szCs w:val="24"/>
        </w:rPr>
      </w:pPr>
      <w:r>
        <w:rPr>
          <w:color w:val="auto"/>
          <w:spacing w:val="-1"/>
          <w:sz w:val="24"/>
          <w:szCs w:val="24"/>
        </w:rPr>
        <w:t>第六条  本责任书的有效期为双方签署之日起至该工程项目</w:t>
      </w:r>
      <w:r>
        <w:rPr>
          <w:rFonts w:hint="eastAsia"/>
          <w:color w:val="auto"/>
          <w:spacing w:val="-1"/>
          <w:sz w:val="24"/>
          <w:szCs w:val="24"/>
          <w:lang w:eastAsia="zh-CN"/>
        </w:rPr>
        <w:t>完工</w:t>
      </w:r>
      <w:r>
        <w:rPr>
          <w:color w:val="auto"/>
          <w:spacing w:val="-2"/>
          <w:sz w:val="24"/>
          <w:szCs w:val="24"/>
        </w:rPr>
        <w:t>验收合格时止。</w:t>
      </w:r>
    </w:p>
    <w:p w14:paraId="6D8279F4">
      <w:pPr>
        <w:pStyle w:val="7"/>
        <w:keepNext w:val="0"/>
        <w:keepLines w:val="0"/>
        <w:pageBreakBefore w:val="0"/>
        <w:widowControl w:val="0"/>
        <w:kinsoku/>
        <w:wordWrap w:val="0"/>
        <w:overflowPunct/>
        <w:topLinePunct w:val="0"/>
        <w:autoSpaceDE/>
        <w:autoSpaceDN/>
        <w:bidi w:val="0"/>
        <w:adjustRightInd/>
        <w:snapToGrid/>
        <w:spacing w:before="0" w:after="0" w:line="360" w:lineRule="auto"/>
        <w:ind w:left="0" w:firstLine="476" w:firstLineChars="200"/>
        <w:jc w:val="both"/>
        <w:textAlignment w:val="auto"/>
        <w:rPr>
          <w:color w:val="auto"/>
          <w:spacing w:val="-6"/>
          <w:sz w:val="24"/>
          <w:szCs w:val="24"/>
        </w:rPr>
      </w:pPr>
      <w:r>
        <w:rPr>
          <w:color w:val="auto"/>
          <w:spacing w:val="-1"/>
          <w:sz w:val="24"/>
          <w:szCs w:val="24"/>
        </w:rPr>
        <w:t>第七条  本责任书一式肆份，发包人执壹份，承包人执壹份，送交发包人承包人双方的监</w:t>
      </w:r>
      <w:r>
        <w:rPr>
          <w:color w:val="auto"/>
          <w:spacing w:val="-6"/>
          <w:sz w:val="24"/>
          <w:szCs w:val="24"/>
        </w:rPr>
        <w:t>督单位各壹份。</w:t>
      </w:r>
    </w:p>
    <w:p w14:paraId="5E3F20DB">
      <w:pPr>
        <w:rPr>
          <w:color w:val="auto"/>
          <w:spacing w:val="-6"/>
          <w:sz w:val="24"/>
          <w:szCs w:val="24"/>
        </w:rPr>
      </w:pPr>
      <w:r>
        <w:rPr>
          <w:color w:val="auto"/>
          <w:spacing w:val="-6"/>
          <w:sz w:val="24"/>
          <w:szCs w:val="24"/>
        </w:rPr>
        <w:br w:type="page"/>
      </w:r>
    </w:p>
    <w:p w14:paraId="302ABE31">
      <w:pPr>
        <w:pStyle w:val="7"/>
        <w:wordWrap w:val="0"/>
        <w:spacing w:before="0" w:line="360" w:lineRule="auto"/>
        <w:ind w:left="0"/>
        <w:rPr>
          <w:b/>
          <w:bCs/>
          <w:color w:val="auto"/>
          <w:spacing w:val="-12"/>
          <w:sz w:val="24"/>
          <w:szCs w:val="24"/>
        </w:rPr>
      </w:pPr>
      <w:r>
        <w:rPr>
          <w:b/>
          <w:bCs/>
          <w:color w:val="auto"/>
          <w:spacing w:val="-12"/>
          <w:sz w:val="24"/>
          <w:szCs w:val="24"/>
        </w:rPr>
        <w:t>附件</w:t>
      </w:r>
      <w:r>
        <w:rPr>
          <w:color w:val="auto"/>
          <w:spacing w:val="-50"/>
          <w:sz w:val="24"/>
          <w:szCs w:val="24"/>
        </w:rPr>
        <w:t xml:space="preserve"> </w:t>
      </w:r>
      <w:r>
        <w:rPr>
          <w:b/>
          <w:bCs/>
          <w:color w:val="auto"/>
          <w:spacing w:val="-12"/>
          <w:sz w:val="24"/>
          <w:szCs w:val="24"/>
        </w:rPr>
        <w:t>4</w:t>
      </w:r>
    </w:p>
    <w:p w14:paraId="6F7CA157">
      <w:pPr>
        <w:pStyle w:val="7"/>
        <w:wordWrap w:val="0"/>
        <w:spacing w:before="0" w:line="360" w:lineRule="auto"/>
        <w:ind w:left="0"/>
        <w:jc w:val="center"/>
        <w:rPr>
          <w:color w:val="auto"/>
          <w:sz w:val="24"/>
          <w:szCs w:val="24"/>
        </w:rPr>
      </w:pPr>
      <w:r>
        <w:rPr>
          <w:rFonts w:hint="eastAsia"/>
          <w:color w:val="auto"/>
          <w:spacing w:val="-1"/>
          <w:sz w:val="24"/>
          <w:szCs w:val="24"/>
          <w:u w:val="single" w:color="auto"/>
          <w:lang w:eastAsia="zh-CN"/>
        </w:rPr>
        <w:t xml:space="preserve"> 泵站、堤防护坡清理维护工程 (2026年度)</w:t>
      </w:r>
      <w:r>
        <w:rPr>
          <w:rFonts w:hint="eastAsia"/>
          <w:b/>
          <w:bCs/>
          <w:color w:val="auto"/>
          <w:spacing w:val="-1"/>
          <w:sz w:val="24"/>
          <w:szCs w:val="24"/>
          <w:lang w:eastAsia="zh-CN"/>
        </w:rPr>
        <w:t>完工</w:t>
      </w:r>
      <w:r>
        <w:rPr>
          <w:b/>
          <w:bCs/>
          <w:color w:val="auto"/>
          <w:spacing w:val="-1"/>
          <w:sz w:val="24"/>
          <w:szCs w:val="24"/>
        </w:rPr>
        <w:t>结算的承</w:t>
      </w:r>
      <w:r>
        <w:rPr>
          <w:b/>
          <w:bCs/>
          <w:color w:val="auto"/>
          <w:spacing w:val="-2"/>
          <w:sz w:val="24"/>
          <w:szCs w:val="24"/>
        </w:rPr>
        <w:t>诺书</w:t>
      </w:r>
    </w:p>
    <w:p w14:paraId="3FFDFA13">
      <w:pPr>
        <w:pStyle w:val="7"/>
        <w:keepNext w:val="0"/>
        <w:keepLines w:val="0"/>
        <w:pageBreakBefore w:val="0"/>
        <w:widowControl w:val="0"/>
        <w:kinsoku/>
        <w:wordWrap w:val="0"/>
        <w:overflowPunct/>
        <w:topLinePunct w:val="0"/>
        <w:autoSpaceDE/>
        <w:autoSpaceDN/>
        <w:bidi w:val="0"/>
        <w:adjustRightInd/>
        <w:snapToGrid/>
        <w:spacing w:before="0" w:line="360" w:lineRule="auto"/>
        <w:ind w:firstLine="460" w:firstLineChars="200"/>
        <w:jc w:val="both"/>
        <w:textAlignment w:val="auto"/>
        <w:rPr>
          <w:color w:val="auto"/>
          <w:spacing w:val="-5"/>
          <w:sz w:val="24"/>
          <w:szCs w:val="24"/>
        </w:rPr>
      </w:pPr>
      <w:r>
        <w:rPr>
          <w:color w:val="auto"/>
          <w:spacing w:val="-5"/>
          <w:sz w:val="24"/>
          <w:szCs w:val="24"/>
        </w:rPr>
        <w:t>根据有关法律规定，遵循平等、自愿、公平和诚实信用的原则，发包人：柳州市防洪排涝工程管理处和承包人：</w:t>
      </w:r>
      <w:r>
        <w:rPr>
          <w:rFonts w:hint="eastAsia"/>
          <w:color w:val="auto"/>
          <w:spacing w:val="-5"/>
          <w:sz w:val="24"/>
          <w:szCs w:val="24"/>
          <w:u w:val="single"/>
          <w:lang w:val="en-US" w:eastAsia="zh-CN"/>
        </w:rPr>
        <w:t xml:space="preserve">         </w:t>
      </w:r>
      <w:r>
        <w:rPr>
          <w:color w:val="auto"/>
          <w:spacing w:val="-5"/>
          <w:sz w:val="24"/>
          <w:szCs w:val="24"/>
        </w:rPr>
        <w:t>就</w:t>
      </w:r>
      <w:r>
        <w:rPr>
          <w:rFonts w:hint="eastAsia"/>
          <w:color w:val="auto"/>
          <w:spacing w:val="-5"/>
          <w:sz w:val="24"/>
          <w:szCs w:val="24"/>
          <w:u w:val="single"/>
          <w:lang w:eastAsia="zh-CN"/>
        </w:rPr>
        <w:t xml:space="preserve"> 泵站、堤防护坡清理维护工程 (2026年度)</w:t>
      </w:r>
      <w:r>
        <w:rPr>
          <w:color w:val="auto"/>
          <w:spacing w:val="-5"/>
          <w:sz w:val="24"/>
          <w:szCs w:val="24"/>
        </w:rPr>
        <w:t xml:space="preserve">  的</w:t>
      </w:r>
      <w:r>
        <w:rPr>
          <w:rFonts w:hint="eastAsia"/>
          <w:color w:val="auto"/>
          <w:spacing w:val="-5"/>
          <w:sz w:val="24"/>
          <w:szCs w:val="24"/>
          <w:lang w:eastAsia="zh-CN"/>
        </w:rPr>
        <w:t>完工</w:t>
      </w:r>
      <w:r>
        <w:rPr>
          <w:color w:val="auto"/>
          <w:spacing w:val="-5"/>
          <w:sz w:val="24"/>
          <w:szCs w:val="24"/>
        </w:rPr>
        <w:t>结算编制和报审作如下承诺</w:t>
      </w:r>
    </w:p>
    <w:p w14:paraId="7B2A56C4">
      <w:pPr>
        <w:pStyle w:val="7"/>
        <w:keepNext w:val="0"/>
        <w:keepLines w:val="0"/>
        <w:pageBreakBefore w:val="0"/>
        <w:widowControl w:val="0"/>
        <w:kinsoku/>
        <w:wordWrap w:val="0"/>
        <w:overflowPunct/>
        <w:topLinePunct w:val="0"/>
        <w:autoSpaceDE/>
        <w:autoSpaceDN/>
        <w:bidi w:val="0"/>
        <w:adjustRightInd/>
        <w:snapToGrid/>
        <w:spacing w:before="0" w:line="360" w:lineRule="auto"/>
        <w:ind w:firstLine="460" w:firstLineChars="200"/>
        <w:jc w:val="both"/>
        <w:textAlignment w:val="auto"/>
        <w:rPr>
          <w:color w:val="auto"/>
          <w:sz w:val="24"/>
          <w:szCs w:val="24"/>
        </w:rPr>
      </w:pPr>
      <w:r>
        <w:rPr>
          <w:color w:val="auto"/>
          <w:spacing w:val="-5"/>
          <w:sz w:val="24"/>
          <w:szCs w:val="24"/>
        </w:rPr>
        <w:t>一、承包人按合同及相关规定的对所编制的工程</w:t>
      </w:r>
      <w:r>
        <w:rPr>
          <w:rFonts w:hint="eastAsia"/>
          <w:color w:val="auto"/>
          <w:spacing w:val="-5"/>
          <w:sz w:val="24"/>
          <w:szCs w:val="24"/>
          <w:lang w:eastAsia="zh-CN"/>
        </w:rPr>
        <w:t>完工</w:t>
      </w:r>
      <w:r>
        <w:rPr>
          <w:color w:val="auto"/>
          <w:spacing w:val="-5"/>
          <w:sz w:val="24"/>
          <w:szCs w:val="24"/>
        </w:rPr>
        <w:t>结算资料和结算书的合法性、真实性、</w:t>
      </w:r>
      <w:r>
        <w:rPr>
          <w:color w:val="auto"/>
          <w:sz w:val="24"/>
          <w:szCs w:val="24"/>
        </w:rPr>
        <w:t>完整性、正确性负责。不经发包人同意，承包人漏报的结算资料</w:t>
      </w:r>
      <w:r>
        <w:rPr>
          <w:color w:val="auto"/>
          <w:spacing w:val="-1"/>
          <w:sz w:val="24"/>
          <w:szCs w:val="24"/>
        </w:rPr>
        <w:t>不再作为</w:t>
      </w:r>
      <w:r>
        <w:rPr>
          <w:rFonts w:hint="eastAsia"/>
          <w:color w:val="auto"/>
          <w:spacing w:val="-1"/>
          <w:sz w:val="24"/>
          <w:szCs w:val="24"/>
          <w:lang w:eastAsia="zh-CN"/>
        </w:rPr>
        <w:t>完工</w:t>
      </w:r>
      <w:r>
        <w:rPr>
          <w:color w:val="auto"/>
          <w:spacing w:val="-1"/>
          <w:sz w:val="24"/>
          <w:szCs w:val="24"/>
        </w:rPr>
        <w:t>结算审核依据，</w:t>
      </w:r>
      <w:r>
        <w:rPr>
          <w:color w:val="auto"/>
          <w:spacing w:val="-6"/>
          <w:sz w:val="24"/>
          <w:szCs w:val="24"/>
        </w:rPr>
        <w:t>按自动放弃处理。</w:t>
      </w:r>
    </w:p>
    <w:p w14:paraId="39828AB6">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80" w:firstLineChars="200"/>
        <w:jc w:val="both"/>
        <w:textAlignment w:val="auto"/>
        <w:rPr>
          <w:color w:val="auto"/>
          <w:sz w:val="24"/>
          <w:szCs w:val="24"/>
        </w:rPr>
      </w:pPr>
      <w:r>
        <w:rPr>
          <w:color w:val="auto"/>
          <w:sz w:val="24"/>
          <w:szCs w:val="24"/>
        </w:rPr>
        <w:t>二、发包人按合同及相关规定对承包人报审的工程</w:t>
      </w:r>
      <w:r>
        <w:rPr>
          <w:rFonts w:hint="eastAsia"/>
          <w:color w:val="auto"/>
          <w:sz w:val="24"/>
          <w:szCs w:val="24"/>
          <w:lang w:eastAsia="zh-CN"/>
        </w:rPr>
        <w:t>完工</w:t>
      </w:r>
      <w:r>
        <w:rPr>
          <w:color w:val="auto"/>
          <w:sz w:val="24"/>
          <w:szCs w:val="24"/>
        </w:rPr>
        <w:t>结算资料和结算书及时审核，出</w:t>
      </w:r>
      <w:r>
        <w:rPr>
          <w:color w:val="auto"/>
          <w:spacing w:val="-1"/>
          <w:sz w:val="24"/>
          <w:szCs w:val="24"/>
        </w:rPr>
        <w:t>具审核意见，并对经审核后的</w:t>
      </w:r>
      <w:r>
        <w:rPr>
          <w:rFonts w:hint="eastAsia"/>
          <w:color w:val="auto"/>
          <w:spacing w:val="-1"/>
          <w:sz w:val="24"/>
          <w:szCs w:val="24"/>
          <w:lang w:eastAsia="zh-CN"/>
        </w:rPr>
        <w:t>完工</w:t>
      </w:r>
      <w:r>
        <w:rPr>
          <w:color w:val="auto"/>
          <w:spacing w:val="-1"/>
          <w:sz w:val="24"/>
          <w:szCs w:val="24"/>
        </w:rPr>
        <w:t>结算资料和结算书的合法性、真实性、完整</w:t>
      </w:r>
      <w:r>
        <w:rPr>
          <w:color w:val="auto"/>
          <w:spacing w:val="-2"/>
          <w:sz w:val="24"/>
          <w:szCs w:val="24"/>
        </w:rPr>
        <w:t>性负责。</w:t>
      </w:r>
    </w:p>
    <w:p w14:paraId="36FF58B4">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84" w:firstLineChars="200"/>
        <w:jc w:val="both"/>
        <w:textAlignment w:val="auto"/>
        <w:rPr>
          <w:color w:val="auto"/>
          <w:sz w:val="24"/>
          <w:szCs w:val="24"/>
        </w:rPr>
      </w:pPr>
      <w:r>
        <w:rPr>
          <w:color w:val="auto"/>
          <w:spacing w:val="1"/>
          <w:sz w:val="24"/>
          <w:szCs w:val="24"/>
        </w:rPr>
        <w:t>三、承包人如实编制工程</w:t>
      </w:r>
      <w:r>
        <w:rPr>
          <w:rFonts w:hint="eastAsia"/>
          <w:color w:val="auto"/>
          <w:spacing w:val="1"/>
          <w:sz w:val="24"/>
          <w:szCs w:val="24"/>
          <w:lang w:eastAsia="zh-CN"/>
        </w:rPr>
        <w:t>完工</w:t>
      </w:r>
      <w:r>
        <w:rPr>
          <w:color w:val="auto"/>
          <w:spacing w:val="1"/>
          <w:sz w:val="24"/>
          <w:szCs w:val="24"/>
        </w:rPr>
        <w:t>结算，不得弄虚作假和高估冒算，如承包人</w:t>
      </w:r>
      <w:r>
        <w:rPr>
          <w:color w:val="auto"/>
          <w:sz w:val="24"/>
          <w:szCs w:val="24"/>
        </w:rPr>
        <w:t>报送的工程竣</w:t>
      </w:r>
      <w:r>
        <w:rPr>
          <w:color w:val="auto"/>
          <w:spacing w:val="-3"/>
          <w:sz w:val="24"/>
          <w:szCs w:val="24"/>
        </w:rPr>
        <w:t>工结算总价过高，造成该结算审减率过高，按以下原则处理：</w:t>
      </w:r>
    </w:p>
    <w:p w14:paraId="6E91107C">
      <w:pPr>
        <w:pStyle w:val="7"/>
        <w:keepNext w:val="0"/>
        <w:keepLines w:val="0"/>
        <w:pageBreakBefore w:val="0"/>
        <w:widowControl w:val="0"/>
        <w:kinsoku/>
        <w:wordWrap w:val="0"/>
        <w:overflowPunct/>
        <w:topLinePunct w:val="0"/>
        <w:autoSpaceDE/>
        <w:autoSpaceDN/>
        <w:bidi w:val="0"/>
        <w:adjustRightInd/>
        <w:snapToGrid/>
        <w:spacing w:before="0" w:line="360" w:lineRule="auto"/>
        <w:ind w:left="0" w:firstLine="472" w:firstLineChars="200"/>
        <w:jc w:val="both"/>
        <w:textAlignment w:val="auto"/>
        <w:rPr>
          <w:color w:val="auto"/>
          <w:sz w:val="24"/>
          <w:szCs w:val="24"/>
        </w:rPr>
      </w:pPr>
      <w:r>
        <w:rPr>
          <w:color w:val="auto"/>
          <w:spacing w:val="-2"/>
          <w:sz w:val="24"/>
          <w:szCs w:val="24"/>
        </w:rPr>
        <w:t>1.有合同规定，按合同约定计算违约金，违约金</w:t>
      </w:r>
      <w:r>
        <w:rPr>
          <w:color w:val="auto"/>
          <w:spacing w:val="-3"/>
          <w:sz w:val="24"/>
          <w:szCs w:val="24"/>
        </w:rPr>
        <w:t>从承包人工程结算款中扣除；</w:t>
      </w:r>
    </w:p>
    <w:p w14:paraId="163DFB3B">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64" w:firstLineChars="200"/>
        <w:jc w:val="both"/>
        <w:textAlignment w:val="auto"/>
        <w:rPr>
          <w:color w:val="auto"/>
          <w:sz w:val="24"/>
          <w:szCs w:val="24"/>
        </w:rPr>
      </w:pPr>
      <w:r>
        <w:rPr>
          <w:color w:val="auto"/>
          <w:spacing w:val="-4"/>
          <w:sz w:val="24"/>
          <w:szCs w:val="24"/>
        </w:rPr>
        <w:t>2.无合同规定的，结算审减率在10%以上（含10%）的，则超出10%以上部分</w:t>
      </w:r>
      <w:r>
        <w:rPr>
          <w:color w:val="auto"/>
          <w:spacing w:val="-5"/>
          <w:sz w:val="24"/>
          <w:szCs w:val="24"/>
        </w:rPr>
        <w:t>的审核费，</w:t>
      </w:r>
      <w:r>
        <w:rPr>
          <w:color w:val="auto"/>
          <w:spacing w:val="-3"/>
          <w:sz w:val="24"/>
          <w:szCs w:val="24"/>
        </w:rPr>
        <w:t>由承包人承担，费用由发包人从承包人工程结算款中扣除。</w:t>
      </w:r>
    </w:p>
    <w:p w14:paraId="0457E8C8">
      <w:pPr>
        <w:pStyle w:val="7"/>
        <w:keepNext w:val="0"/>
        <w:keepLines w:val="0"/>
        <w:pageBreakBefore w:val="0"/>
        <w:widowControl w:val="0"/>
        <w:kinsoku/>
        <w:wordWrap w:val="0"/>
        <w:overflowPunct/>
        <w:topLinePunct w:val="0"/>
        <w:autoSpaceDE/>
        <w:autoSpaceDN/>
        <w:bidi w:val="0"/>
        <w:adjustRightInd/>
        <w:snapToGrid/>
        <w:spacing w:before="0" w:line="360" w:lineRule="auto"/>
        <w:ind w:left="0" w:right="0" w:firstLine="476" w:firstLineChars="200"/>
        <w:jc w:val="both"/>
        <w:textAlignment w:val="auto"/>
        <w:rPr>
          <w:color w:val="auto"/>
          <w:sz w:val="24"/>
          <w:szCs w:val="24"/>
        </w:rPr>
      </w:pPr>
      <w:r>
        <w:rPr>
          <w:color w:val="auto"/>
          <w:spacing w:val="-1"/>
          <w:sz w:val="24"/>
          <w:szCs w:val="24"/>
        </w:rPr>
        <w:t>计算公式如下：审减率=（送审造价-审定造价）/送审造价×100%；当审减率在</w:t>
      </w:r>
      <w:r>
        <w:rPr>
          <w:color w:val="auto"/>
          <w:spacing w:val="-2"/>
          <w:sz w:val="24"/>
          <w:szCs w:val="24"/>
        </w:rPr>
        <w:t>10%以上（不含10%）时，承包人应承担的审核费</w:t>
      </w:r>
      <w:r>
        <w:rPr>
          <w:color w:val="auto"/>
          <w:spacing w:val="-3"/>
          <w:sz w:val="24"/>
          <w:szCs w:val="24"/>
        </w:rPr>
        <w:t>=（送审金额×0.9-审定金额）×5%。</w:t>
      </w:r>
    </w:p>
    <w:p w14:paraId="0E13D835">
      <w:pPr>
        <w:pStyle w:val="7"/>
        <w:keepNext w:val="0"/>
        <w:keepLines w:val="0"/>
        <w:pageBreakBefore w:val="0"/>
        <w:widowControl w:val="0"/>
        <w:kinsoku/>
        <w:wordWrap w:val="0"/>
        <w:overflowPunct/>
        <w:topLinePunct w:val="0"/>
        <w:autoSpaceDE/>
        <w:autoSpaceDN/>
        <w:bidi w:val="0"/>
        <w:adjustRightInd/>
        <w:snapToGrid/>
        <w:spacing w:before="0" w:line="360" w:lineRule="auto"/>
        <w:ind w:left="0" w:firstLine="472" w:firstLineChars="200"/>
        <w:jc w:val="both"/>
        <w:textAlignment w:val="auto"/>
        <w:rPr>
          <w:color w:val="auto"/>
          <w:sz w:val="24"/>
          <w:szCs w:val="24"/>
        </w:rPr>
      </w:pPr>
      <w:r>
        <w:rPr>
          <w:color w:val="auto"/>
          <w:spacing w:val="-2"/>
          <w:sz w:val="24"/>
          <w:szCs w:val="24"/>
        </w:rPr>
        <w:t>四、承诺书经发包人、承包人签字盖章，是工程</w:t>
      </w:r>
      <w:r>
        <w:rPr>
          <w:rFonts w:hint="eastAsia"/>
          <w:color w:val="auto"/>
          <w:spacing w:val="-2"/>
          <w:sz w:val="24"/>
          <w:szCs w:val="24"/>
          <w:lang w:eastAsia="zh-CN"/>
        </w:rPr>
        <w:t>完工</w:t>
      </w:r>
      <w:r>
        <w:rPr>
          <w:color w:val="auto"/>
          <w:spacing w:val="-2"/>
          <w:sz w:val="24"/>
          <w:szCs w:val="24"/>
        </w:rPr>
        <w:t>结算资料的组成部分。</w:t>
      </w:r>
    </w:p>
    <w:p w14:paraId="3A251503">
      <w:pPr>
        <w:wordWrap w:val="0"/>
        <w:spacing w:line="360" w:lineRule="auto"/>
        <w:rPr>
          <w:rFonts w:ascii="Arial" w:hAnsi="Arial"/>
          <w:color w:val="auto"/>
          <w:sz w:val="21"/>
        </w:rPr>
      </w:pPr>
    </w:p>
    <w:p w14:paraId="0EC5AEA7">
      <w:pPr>
        <w:wordWrap w:val="0"/>
        <w:spacing w:line="360" w:lineRule="auto"/>
        <w:rPr>
          <w:rFonts w:ascii="Arial" w:hAnsi="Arial"/>
          <w:color w:val="auto"/>
          <w:sz w:val="21"/>
        </w:rPr>
      </w:pPr>
    </w:p>
    <w:p w14:paraId="72079B78">
      <w:pPr>
        <w:pStyle w:val="7"/>
        <w:wordWrap w:val="0"/>
        <w:spacing w:before="0" w:line="360" w:lineRule="auto"/>
        <w:ind w:left="0"/>
        <w:rPr>
          <w:color w:val="auto"/>
          <w:sz w:val="24"/>
          <w:szCs w:val="24"/>
        </w:rPr>
      </w:pPr>
      <w:r>
        <w:rPr>
          <w:color w:val="auto"/>
          <w:spacing w:val="-1"/>
          <w:sz w:val="24"/>
          <w:szCs w:val="24"/>
        </w:rPr>
        <w:t>发包人：柳州市防洪排涝工程管理处（公章） 承包人</w:t>
      </w:r>
      <w:r>
        <w:rPr>
          <w:color w:val="auto"/>
          <w:spacing w:val="1"/>
          <w:sz w:val="24"/>
          <w:szCs w:val="24"/>
        </w:rPr>
        <w:t>：</w:t>
      </w:r>
      <w:r>
        <w:rPr>
          <w:rFonts w:hint="eastAsia"/>
          <w:color w:val="auto"/>
          <w:spacing w:val="1"/>
          <w:sz w:val="24"/>
          <w:szCs w:val="24"/>
          <w:lang w:val="en-US" w:eastAsia="zh-CN"/>
        </w:rPr>
        <w:t xml:space="preserve">     </w:t>
      </w:r>
      <w:r>
        <w:rPr>
          <w:color w:val="auto"/>
          <w:spacing w:val="1"/>
          <w:sz w:val="24"/>
          <w:szCs w:val="24"/>
        </w:rPr>
        <w:t>（</w:t>
      </w:r>
      <w:r>
        <w:rPr>
          <w:color w:val="auto"/>
          <w:spacing w:val="-1"/>
          <w:sz w:val="24"/>
          <w:szCs w:val="24"/>
        </w:rPr>
        <w:t>公章）</w:t>
      </w:r>
    </w:p>
    <w:p w14:paraId="34007691">
      <w:pPr>
        <w:pStyle w:val="7"/>
        <w:wordWrap w:val="0"/>
        <w:spacing w:before="0" w:line="360" w:lineRule="auto"/>
        <w:rPr>
          <w:color w:val="auto"/>
          <w:spacing w:val="-6"/>
          <w:sz w:val="24"/>
          <w:szCs w:val="24"/>
        </w:rPr>
      </w:pPr>
      <w:r>
        <w:rPr>
          <w:rFonts w:hint="eastAsia"/>
          <w:color w:val="auto"/>
          <w:spacing w:val="-6"/>
          <w:sz w:val="24"/>
          <w:szCs w:val="24"/>
          <w:lang w:eastAsia="zh-CN"/>
        </w:rPr>
        <w:t>项目负责</w:t>
      </w:r>
      <w:r>
        <w:rPr>
          <w:color w:val="auto"/>
          <w:spacing w:val="-6"/>
          <w:sz w:val="24"/>
          <w:szCs w:val="24"/>
        </w:rPr>
        <w:t>人：</w:t>
      </w:r>
      <w:r>
        <w:rPr>
          <w:color w:val="auto"/>
          <w:sz w:val="24"/>
          <w:szCs w:val="24"/>
        </w:rPr>
        <w:t xml:space="preserve">                       </w:t>
      </w:r>
      <w:r>
        <w:rPr>
          <w:rFonts w:hint="eastAsia"/>
          <w:color w:val="auto"/>
          <w:sz w:val="24"/>
          <w:szCs w:val="24"/>
          <w:lang w:val="en-US" w:eastAsia="zh-CN"/>
        </w:rPr>
        <w:t xml:space="preserve">       </w:t>
      </w:r>
      <w:r>
        <w:rPr>
          <w:rFonts w:hint="eastAsia"/>
          <w:color w:val="auto"/>
          <w:spacing w:val="-6"/>
          <w:sz w:val="24"/>
          <w:szCs w:val="24"/>
          <w:lang w:eastAsia="zh-CN"/>
        </w:rPr>
        <w:t>项目负责</w:t>
      </w:r>
      <w:r>
        <w:rPr>
          <w:color w:val="auto"/>
          <w:spacing w:val="-6"/>
          <w:sz w:val="24"/>
          <w:szCs w:val="24"/>
        </w:rPr>
        <w:t>人：</w:t>
      </w:r>
    </w:p>
    <w:p w14:paraId="687FA62E">
      <w:pPr>
        <w:pStyle w:val="7"/>
        <w:wordWrap w:val="0"/>
        <w:spacing w:before="0" w:line="360" w:lineRule="auto"/>
        <w:rPr>
          <w:color w:val="auto"/>
          <w:spacing w:val="-6"/>
          <w:sz w:val="24"/>
          <w:szCs w:val="24"/>
        </w:rPr>
      </w:pPr>
    </w:p>
    <w:p w14:paraId="342D095C">
      <w:pPr>
        <w:pStyle w:val="7"/>
        <w:wordWrap w:val="0"/>
        <w:spacing w:before="0" w:line="360" w:lineRule="auto"/>
        <w:rPr>
          <w:rFonts w:ascii="Arial" w:hAnsi="Arial"/>
          <w:color w:val="auto"/>
          <w:sz w:val="21"/>
        </w:rPr>
      </w:pPr>
      <w:r>
        <w:rPr>
          <w:color w:val="auto"/>
          <w:spacing w:val="-10"/>
          <w:sz w:val="24"/>
          <w:szCs w:val="24"/>
        </w:rPr>
        <w:t>经</w:t>
      </w:r>
      <w:r>
        <w:rPr>
          <w:color w:val="auto"/>
          <w:spacing w:val="19"/>
          <w:sz w:val="24"/>
          <w:szCs w:val="24"/>
        </w:rPr>
        <w:t xml:space="preserve"> </w:t>
      </w:r>
      <w:r>
        <w:rPr>
          <w:color w:val="auto"/>
          <w:spacing w:val="-10"/>
          <w:sz w:val="24"/>
          <w:szCs w:val="24"/>
        </w:rPr>
        <w:t>办 人：</w:t>
      </w:r>
      <w:r>
        <w:rPr>
          <w:color w:val="auto"/>
          <w:sz w:val="24"/>
          <w:szCs w:val="24"/>
        </w:rPr>
        <w:t xml:space="preserve">                         </w:t>
      </w:r>
      <w:r>
        <w:rPr>
          <w:rFonts w:hint="eastAsia"/>
          <w:color w:val="auto"/>
          <w:sz w:val="24"/>
          <w:szCs w:val="24"/>
          <w:lang w:val="en-US" w:eastAsia="zh-CN"/>
        </w:rPr>
        <w:t xml:space="preserve">       </w:t>
      </w:r>
      <w:r>
        <w:rPr>
          <w:color w:val="auto"/>
          <w:spacing w:val="-10"/>
          <w:sz w:val="24"/>
          <w:szCs w:val="24"/>
        </w:rPr>
        <w:t>经</w:t>
      </w:r>
      <w:r>
        <w:rPr>
          <w:color w:val="auto"/>
          <w:spacing w:val="26"/>
          <w:sz w:val="24"/>
          <w:szCs w:val="24"/>
        </w:rPr>
        <w:t xml:space="preserve"> </w:t>
      </w:r>
      <w:r>
        <w:rPr>
          <w:color w:val="auto"/>
          <w:spacing w:val="-10"/>
          <w:sz w:val="24"/>
          <w:szCs w:val="24"/>
        </w:rPr>
        <w:t>办</w:t>
      </w:r>
      <w:r>
        <w:rPr>
          <w:color w:val="auto"/>
          <w:spacing w:val="11"/>
          <w:sz w:val="24"/>
          <w:szCs w:val="24"/>
        </w:rPr>
        <w:t xml:space="preserve"> </w:t>
      </w:r>
      <w:r>
        <w:rPr>
          <w:color w:val="auto"/>
          <w:spacing w:val="-10"/>
          <w:sz w:val="24"/>
          <w:szCs w:val="24"/>
        </w:rPr>
        <w:t>人：</w:t>
      </w:r>
    </w:p>
    <w:p w14:paraId="4543F4A8">
      <w:pPr>
        <w:pStyle w:val="7"/>
        <w:wordWrap w:val="0"/>
        <w:spacing w:before="0" w:line="360" w:lineRule="auto"/>
        <w:ind w:left="0"/>
        <w:rPr>
          <w:color w:val="auto"/>
        </w:rPr>
      </w:pPr>
      <w:r>
        <w:rPr>
          <w:color w:val="auto"/>
          <w:spacing w:val="-17"/>
          <w:sz w:val="24"/>
          <w:szCs w:val="24"/>
        </w:rPr>
        <w:t>年</w:t>
      </w:r>
      <w:r>
        <w:rPr>
          <w:color w:val="auto"/>
          <w:spacing w:val="5"/>
          <w:sz w:val="24"/>
          <w:szCs w:val="24"/>
        </w:rPr>
        <w:t xml:space="preserve">   </w:t>
      </w:r>
      <w:r>
        <w:rPr>
          <w:color w:val="auto"/>
          <w:spacing w:val="-17"/>
          <w:sz w:val="24"/>
          <w:szCs w:val="24"/>
        </w:rPr>
        <w:t>月</w:t>
      </w:r>
      <w:r>
        <w:rPr>
          <w:color w:val="auto"/>
          <w:spacing w:val="16"/>
          <w:sz w:val="24"/>
          <w:szCs w:val="24"/>
        </w:rPr>
        <w:t xml:space="preserve">   </w:t>
      </w:r>
      <w:r>
        <w:rPr>
          <w:color w:val="auto"/>
          <w:spacing w:val="-17"/>
          <w:sz w:val="24"/>
          <w:szCs w:val="24"/>
        </w:rPr>
        <w:t>日</w:t>
      </w:r>
      <w:r>
        <w:rPr>
          <w:color w:val="auto"/>
          <w:sz w:val="24"/>
          <w:szCs w:val="24"/>
        </w:rPr>
        <w:t xml:space="preserve">                 </w:t>
      </w:r>
      <w:r>
        <w:rPr>
          <w:rFonts w:hint="eastAsia"/>
          <w:color w:val="auto"/>
          <w:sz w:val="24"/>
          <w:szCs w:val="24"/>
          <w:lang w:val="en-US" w:eastAsia="zh-CN"/>
        </w:rPr>
        <w:t xml:space="preserve">        </w:t>
      </w:r>
      <w:r>
        <w:rPr>
          <w:color w:val="auto"/>
          <w:spacing w:val="-17"/>
          <w:sz w:val="24"/>
          <w:szCs w:val="24"/>
        </w:rPr>
        <w:t>年</w:t>
      </w:r>
      <w:r>
        <w:rPr>
          <w:color w:val="auto"/>
          <w:spacing w:val="9"/>
          <w:sz w:val="24"/>
          <w:szCs w:val="24"/>
        </w:rPr>
        <w:t xml:space="preserve">   </w:t>
      </w:r>
      <w:r>
        <w:rPr>
          <w:color w:val="auto"/>
          <w:spacing w:val="-17"/>
          <w:sz w:val="24"/>
          <w:szCs w:val="24"/>
        </w:rPr>
        <w:t>月</w:t>
      </w:r>
      <w:r>
        <w:rPr>
          <w:rFonts w:hint="eastAsia"/>
          <w:color w:val="auto"/>
          <w:spacing w:val="-17"/>
          <w:sz w:val="24"/>
          <w:szCs w:val="24"/>
          <w:lang w:val="en-US" w:eastAsia="zh-CN"/>
        </w:rPr>
        <w:t xml:space="preserve">     日</w:t>
      </w:r>
    </w:p>
    <w:p w14:paraId="1B5362AD">
      <w:pPr>
        <w:tabs>
          <w:tab w:val="left" w:pos="3261"/>
        </w:tabs>
        <w:spacing w:line="360" w:lineRule="auto"/>
        <w:contextualSpacing/>
        <w:jc w:val="center"/>
        <w:rPr>
          <w:rFonts w:hint="eastAsia" w:ascii="宋体" w:hAnsi="宋体" w:eastAsia="宋体" w:cs="宋体"/>
          <w:color w:val="auto"/>
        </w:rPr>
      </w:pPr>
    </w:p>
    <w:p w14:paraId="324E130D">
      <w:pPr>
        <w:tabs>
          <w:tab w:val="left" w:pos="3261"/>
        </w:tabs>
        <w:spacing w:line="360" w:lineRule="auto"/>
        <w:contextualSpacing/>
        <w:jc w:val="center"/>
        <w:rPr>
          <w:rFonts w:hint="eastAsia" w:ascii="宋体" w:hAnsi="宋体" w:eastAsia="宋体" w:cs="宋体"/>
          <w:color w:val="auto"/>
        </w:rPr>
      </w:pPr>
    </w:p>
    <w:p w14:paraId="30255ED2">
      <w:pPr>
        <w:spacing w:line="360" w:lineRule="auto"/>
        <w:jc w:val="center"/>
        <w:rPr>
          <w:rFonts w:hint="eastAsia" w:ascii="宋体" w:hAnsi="宋体" w:eastAsia="宋体" w:cs="宋体"/>
          <w:b/>
          <w:bCs/>
          <w:color w:val="auto"/>
          <w:sz w:val="44"/>
          <w:szCs w:val="44"/>
        </w:rPr>
        <w:sectPr>
          <w:headerReference r:id="rId11" w:type="default"/>
          <w:footerReference r:id="rId12" w:type="default"/>
          <w:pgSz w:w="11910" w:h="16840"/>
          <w:pgMar w:top="1417" w:right="1417" w:bottom="1417" w:left="1417" w:header="720" w:footer="720" w:gutter="0"/>
          <w:pgNumType w:fmt="decimal"/>
          <w:cols w:space="720" w:num="1"/>
          <w:rtlGutter w:val="1"/>
          <w:docGrid w:linePitch="312" w:charSpace="0"/>
        </w:sectPr>
      </w:pPr>
    </w:p>
    <w:p w14:paraId="51BCD654">
      <w:pPr>
        <w:tabs>
          <w:tab w:val="left" w:pos="3261"/>
        </w:tabs>
        <w:spacing w:line="360" w:lineRule="auto"/>
        <w:contextualSpacing/>
        <w:jc w:val="center"/>
        <w:rPr>
          <w:rFonts w:hint="eastAsia" w:ascii="宋体" w:hAnsi="宋体" w:eastAsia="宋体" w:cs="宋体"/>
          <w:b/>
          <w:color w:val="auto"/>
          <w:sz w:val="44"/>
          <w:szCs w:val="44"/>
        </w:rPr>
      </w:pPr>
    </w:p>
    <w:p w14:paraId="34C69D6E">
      <w:pPr>
        <w:tabs>
          <w:tab w:val="left" w:pos="3261"/>
        </w:tabs>
        <w:spacing w:line="360" w:lineRule="auto"/>
        <w:contextualSpacing/>
        <w:jc w:val="center"/>
        <w:rPr>
          <w:rFonts w:hint="eastAsia" w:ascii="宋体" w:hAnsi="宋体" w:eastAsia="宋体" w:cs="宋体"/>
          <w:b/>
          <w:color w:val="auto"/>
          <w:sz w:val="44"/>
          <w:szCs w:val="44"/>
        </w:rPr>
      </w:pPr>
    </w:p>
    <w:p w14:paraId="5F414172">
      <w:pPr>
        <w:tabs>
          <w:tab w:val="left" w:pos="3261"/>
        </w:tabs>
        <w:spacing w:line="360" w:lineRule="auto"/>
        <w:contextualSpacing/>
        <w:jc w:val="center"/>
        <w:rPr>
          <w:rFonts w:hint="eastAsia" w:ascii="宋体" w:hAnsi="宋体" w:eastAsia="宋体" w:cs="宋体"/>
          <w:b/>
          <w:color w:val="auto"/>
          <w:sz w:val="44"/>
          <w:szCs w:val="44"/>
        </w:rPr>
      </w:pPr>
    </w:p>
    <w:p w14:paraId="7C86E514">
      <w:pPr>
        <w:tabs>
          <w:tab w:val="left" w:pos="3261"/>
        </w:tabs>
        <w:spacing w:line="360" w:lineRule="auto"/>
        <w:contextualSpacing/>
        <w:jc w:val="center"/>
        <w:rPr>
          <w:rFonts w:hint="eastAsia" w:ascii="宋体" w:hAnsi="宋体" w:eastAsia="宋体" w:cs="宋体"/>
          <w:b/>
          <w:color w:val="auto"/>
          <w:sz w:val="44"/>
          <w:szCs w:val="44"/>
        </w:rPr>
      </w:pPr>
    </w:p>
    <w:p w14:paraId="5ED91BAB">
      <w:pPr>
        <w:tabs>
          <w:tab w:val="left" w:pos="3261"/>
        </w:tabs>
        <w:spacing w:line="360" w:lineRule="auto"/>
        <w:contextualSpacing/>
        <w:jc w:val="center"/>
        <w:rPr>
          <w:rFonts w:hint="eastAsia" w:ascii="宋体" w:hAnsi="宋体" w:eastAsia="宋体" w:cs="宋体"/>
          <w:b/>
          <w:color w:val="auto"/>
          <w:sz w:val="44"/>
          <w:szCs w:val="44"/>
        </w:rPr>
      </w:pPr>
    </w:p>
    <w:p w14:paraId="6196627E">
      <w:pPr>
        <w:keepNext/>
        <w:keepLines/>
        <w:spacing w:before="340" w:after="330" w:line="578" w:lineRule="auto"/>
        <w:jc w:val="center"/>
        <w:outlineLvl w:val="0"/>
        <w:rPr>
          <w:rFonts w:hint="eastAsia" w:ascii="宋体" w:hAnsi="宋体" w:eastAsia="宋体" w:cs="宋体"/>
          <w:b/>
          <w:bCs w:val="0"/>
          <w:color w:val="auto"/>
          <w:kern w:val="44"/>
          <w:sz w:val="40"/>
          <w:szCs w:val="40"/>
        </w:rPr>
        <w:sectPr>
          <w:pgSz w:w="11910" w:h="16840"/>
          <w:pgMar w:top="1134" w:right="1134" w:bottom="1134" w:left="1134" w:header="720" w:footer="720" w:gutter="0"/>
          <w:pgNumType w:fmt="decimal"/>
          <w:cols w:space="720" w:num="1"/>
          <w:rtlGutter w:val="1"/>
          <w:docGrid w:linePitch="312" w:charSpace="0"/>
        </w:sectPr>
      </w:pPr>
      <w:bookmarkStart w:id="95" w:name="_Toc3113"/>
      <w:r>
        <w:rPr>
          <w:rFonts w:hint="eastAsia" w:ascii="宋体" w:hAnsi="宋体" w:eastAsia="宋体" w:cs="宋体"/>
          <w:b/>
          <w:bCs w:val="0"/>
          <w:color w:val="auto"/>
          <w:kern w:val="44"/>
          <w:sz w:val="40"/>
          <w:szCs w:val="40"/>
        </w:rPr>
        <w:t>第七章 质疑、投诉材料格式</w:t>
      </w:r>
      <w:bookmarkEnd w:id="95"/>
    </w:p>
    <w:p w14:paraId="054A603A">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质疑函（格式）</w:t>
      </w:r>
    </w:p>
    <w:p w14:paraId="4357C77A">
      <w:pPr>
        <w:spacing w:line="360" w:lineRule="auto"/>
        <w:ind w:firstLine="482" w:firstLineChars="200"/>
        <w:contextualSpacing/>
        <w:rPr>
          <w:rFonts w:hint="eastAsia" w:ascii="宋体" w:hAnsi="宋体" w:eastAsia="宋体" w:cs="宋体"/>
          <w:b/>
          <w:bCs/>
          <w:color w:val="auto"/>
          <w:kern w:val="0"/>
          <w:sz w:val="24"/>
        </w:rPr>
      </w:pPr>
      <w:r>
        <w:rPr>
          <w:rFonts w:hint="eastAsia" w:ascii="宋体" w:hAnsi="宋体" w:eastAsia="宋体" w:cs="宋体"/>
          <w:b/>
          <w:bCs/>
          <w:color w:val="auto"/>
          <w:kern w:val="0"/>
          <w:sz w:val="24"/>
        </w:rPr>
        <w:t>一、质疑供应商基本信息：</w:t>
      </w:r>
    </w:p>
    <w:p w14:paraId="53B554E3">
      <w:pPr>
        <w:spacing w:line="360" w:lineRule="auto"/>
        <w:ind w:firstLine="480" w:firstLineChars="200"/>
        <w:contextualSpacing/>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质疑供应商：</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 xml:space="preserve">                 </w:t>
      </w:r>
    </w:p>
    <w:p w14:paraId="49C6EB09">
      <w:pPr>
        <w:spacing w:line="360" w:lineRule="auto"/>
        <w:ind w:firstLine="480" w:firstLineChars="200"/>
        <w:contextualSpacing/>
        <w:rPr>
          <w:rFonts w:hint="eastAsia" w:ascii="宋体" w:hAnsi="宋体" w:eastAsia="宋体" w:cs="宋体"/>
          <w:bCs/>
          <w:color w:val="auto"/>
          <w:kern w:val="0"/>
          <w:sz w:val="24"/>
        </w:rPr>
      </w:pPr>
      <w:r>
        <w:rPr>
          <w:rFonts w:hint="eastAsia" w:ascii="宋体" w:hAnsi="宋体" w:eastAsia="宋体" w:cs="宋体"/>
          <w:bCs/>
          <w:color w:val="auto"/>
          <w:kern w:val="0"/>
          <w:sz w:val="24"/>
        </w:rPr>
        <w:t>地址：</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邮编：</w:t>
      </w:r>
      <w:r>
        <w:rPr>
          <w:rFonts w:hint="eastAsia" w:ascii="宋体" w:hAnsi="宋体" w:eastAsia="宋体" w:cs="宋体"/>
          <w:bCs/>
          <w:color w:val="auto"/>
          <w:kern w:val="0"/>
          <w:sz w:val="24"/>
          <w:u w:val="single"/>
        </w:rPr>
        <w:t xml:space="preserve">                  </w:t>
      </w:r>
    </w:p>
    <w:p w14:paraId="62563DAE">
      <w:pPr>
        <w:spacing w:line="360" w:lineRule="auto"/>
        <w:ind w:firstLine="480" w:firstLineChars="200"/>
        <w:contextualSpacing/>
        <w:rPr>
          <w:rFonts w:hint="eastAsia" w:ascii="宋体" w:hAnsi="宋体" w:eastAsia="宋体" w:cs="宋体"/>
          <w:bCs/>
          <w:color w:val="auto"/>
          <w:kern w:val="0"/>
          <w:sz w:val="24"/>
        </w:rPr>
      </w:pPr>
      <w:r>
        <w:rPr>
          <w:rFonts w:hint="eastAsia" w:ascii="宋体" w:hAnsi="宋体" w:eastAsia="宋体" w:cs="宋体"/>
          <w:bCs/>
          <w:color w:val="auto"/>
          <w:kern w:val="0"/>
          <w:sz w:val="24"/>
        </w:rPr>
        <w:t>联系人：</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联系电话：</w:t>
      </w:r>
      <w:r>
        <w:rPr>
          <w:rFonts w:hint="eastAsia" w:ascii="宋体" w:hAnsi="宋体" w:eastAsia="宋体" w:cs="宋体"/>
          <w:bCs/>
          <w:color w:val="auto"/>
          <w:kern w:val="0"/>
          <w:sz w:val="24"/>
          <w:u w:val="single"/>
        </w:rPr>
        <w:t xml:space="preserve">                 </w:t>
      </w:r>
    </w:p>
    <w:p w14:paraId="63CAC4F6">
      <w:pPr>
        <w:spacing w:line="360" w:lineRule="auto"/>
        <w:ind w:firstLine="480" w:firstLineChars="200"/>
        <w:contextualSpacing/>
        <w:rPr>
          <w:rFonts w:hint="eastAsia" w:ascii="宋体" w:hAnsi="宋体" w:eastAsia="宋体" w:cs="宋体"/>
          <w:bCs/>
          <w:color w:val="auto"/>
          <w:kern w:val="0"/>
          <w:sz w:val="24"/>
        </w:rPr>
      </w:pPr>
      <w:r>
        <w:rPr>
          <w:rFonts w:hint="eastAsia" w:ascii="宋体" w:hAnsi="宋体" w:eastAsia="宋体" w:cs="宋体"/>
          <w:bCs/>
          <w:color w:val="auto"/>
          <w:kern w:val="0"/>
          <w:sz w:val="24"/>
        </w:rPr>
        <w:t>授权代表：</w:t>
      </w:r>
      <w:r>
        <w:rPr>
          <w:rFonts w:hint="eastAsia" w:ascii="宋体" w:hAnsi="宋体" w:eastAsia="宋体" w:cs="宋体"/>
          <w:bCs/>
          <w:color w:val="auto"/>
          <w:kern w:val="0"/>
          <w:sz w:val="24"/>
          <w:u w:val="single"/>
        </w:rPr>
        <w:t xml:space="preserve">                      </w:t>
      </w:r>
    </w:p>
    <w:p w14:paraId="378DA8A5">
      <w:pPr>
        <w:spacing w:line="360" w:lineRule="auto"/>
        <w:ind w:firstLine="480" w:firstLineChars="200"/>
        <w:contextualSpacing/>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联系电话：</w:t>
      </w:r>
      <w:r>
        <w:rPr>
          <w:rFonts w:hint="eastAsia" w:ascii="宋体" w:hAnsi="宋体" w:eastAsia="宋体" w:cs="宋体"/>
          <w:bCs/>
          <w:color w:val="auto"/>
          <w:kern w:val="0"/>
          <w:sz w:val="24"/>
          <w:u w:val="single"/>
        </w:rPr>
        <w:t xml:space="preserve">                      </w:t>
      </w:r>
    </w:p>
    <w:p w14:paraId="3EAF0B22">
      <w:pPr>
        <w:spacing w:line="360" w:lineRule="auto"/>
        <w:ind w:firstLine="480" w:firstLineChars="200"/>
        <w:contextualSpacing/>
        <w:rPr>
          <w:rFonts w:hint="eastAsia" w:ascii="宋体" w:hAnsi="宋体" w:eastAsia="宋体" w:cs="宋体"/>
          <w:bCs/>
          <w:color w:val="auto"/>
          <w:kern w:val="0"/>
          <w:sz w:val="24"/>
        </w:rPr>
      </w:pPr>
      <w:r>
        <w:rPr>
          <w:rFonts w:hint="eastAsia" w:ascii="宋体" w:hAnsi="宋体" w:eastAsia="宋体" w:cs="宋体"/>
          <w:bCs/>
          <w:color w:val="auto"/>
          <w:kern w:val="0"/>
          <w:sz w:val="24"/>
        </w:rPr>
        <w:t>地址：</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邮编：</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 xml:space="preserve">     </w:t>
      </w:r>
    </w:p>
    <w:p w14:paraId="1DA93EC9">
      <w:pPr>
        <w:spacing w:line="360" w:lineRule="auto"/>
        <w:ind w:firstLine="482" w:firstLineChars="200"/>
        <w:contextualSpacing/>
        <w:rPr>
          <w:rFonts w:hint="eastAsia" w:ascii="宋体" w:hAnsi="宋体" w:eastAsia="宋体" w:cs="宋体"/>
          <w:b/>
          <w:bCs/>
          <w:color w:val="auto"/>
          <w:kern w:val="0"/>
          <w:sz w:val="24"/>
        </w:rPr>
      </w:pPr>
      <w:r>
        <w:rPr>
          <w:rFonts w:hint="eastAsia" w:ascii="宋体" w:hAnsi="宋体" w:eastAsia="宋体" w:cs="宋体"/>
          <w:b/>
          <w:bCs/>
          <w:color w:val="auto"/>
          <w:kern w:val="0"/>
          <w:sz w:val="24"/>
        </w:rPr>
        <w:t>二、质疑项目基本情况：</w:t>
      </w:r>
    </w:p>
    <w:p w14:paraId="544083BD">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bCs/>
          <w:color w:val="auto"/>
          <w:kern w:val="0"/>
          <w:sz w:val="24"/>
        </w:rPr>
        <w:t>质疑</w:t>
      </w:r>
      <w:r>
        <w:rPr>
          <w:rFonts w:hint="eastAsia" w:ascii="宋体" w:hAnsi="宋体" w:eastAsia="宋体" w:cs="宋体"/>
          <w:color w:val="auto"/>
          <w:kern w:val="0"/>
          <w:sz w:val="24"/>
        </w:rPr>
        <w:t>项目的名称：</w:t>
      </w:r>
      <w:r>
        <w:rPr>
          <w:rFonts w:hint="eastAsia" w:ascii="宋体" w:hAnsi="宋体" w:eastAsia="宋体" w:cs="宋体"/>
          <w:bCs/>
          <w:color w:val="auto"/>
          <w:kern w:val="0"/>
          <w:sz w:val="24"/>
          <w:u w:val="single"/>
        </w:rPr>
        <w:t xml:space="preserve">                                     </w:t>
      </w:r>
    </w:p>
    <w:p w14:paraId="2D65F2E3">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bCs/>
          <w:color w:val="auto"/>
          <w:kern w:val="0"/>
          <w:sz w:val="24"/>
        </w:rPr>
        <w:t>质疑</w:t>
      </w:r>
      <w:r>
        <w:rPr>
          <w:rFonts w:hint="eastAsia" w:ascii="宋体" w:hAnsi="宋体" w:eastAsia="宋体" w:cs="宋体"/>
          <w:color w:val="auto"/>
          <w:kern w:val="0"/>
          <w:sz w:val="24"/>
        </w:rPr>
        <w:t>项目的编号：</w:t>
      </w:r>
      <w:r>
        <w:rPr>
          <w:rFonts w:hint="eastAsia" w:ascii="宋体" w:hAnsi="宋体" w:eastAsia="宋体" w:cs="宋体"/>
          <w:bCs/>
          <w:color w:val="auto"/>
          <w:kern w:val="0"/>
          <w:sz w:val="24"/>
          <w:u w:val="single"/>
        </w:rPr>
        <w:t xml:space="preserve">                                     </w:t>
      </w:r>
    </w:p>
    <w:p w14:paraId="06601ED8">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采购人名称：</w:t>
      </w:r>
      <w:r>
        <w:rPr>
          <w:rFonts w:hint="eastAsia" w:ascii="宋体" w:hAnsi="宋体" w:eastAsia="宋体" w:cs="宋体"/>
          <w:bCs/>
          <w:color w:val="auto"/>
          <w:kern w:val="0"/>
          <w:sz w:val="24"/>
          <w:u w:val="single"/>
        </w:rPr>
        <w:t xml:space="preserve">                                         </w:t>
      </w:r>
    </w:p>
    <w:p w14:paraId="07DC2267">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质疑事项：</w:t>
      </w:r>
    </w:p>
    <w:p w14:paraId="7D170980">
      <w:pPr>
        <w:spacing w:line="360" w:lineRule="auto"/>
        <w:ind w:left="25" w:leftChars="12" w:firstLine="352" w:firstLineChars="147"/>
        <w:contextualSpacing/>
        <w:rPr>
          <w:rFonts w:hint="eastAsia" w:ascii="宋体" w:hAnsi="宋体" w:eastAsia="宋体" w:cs="宋体"/>
          <w:color w:val="auto"/>
          <w:kern w:val="0"/>
          <w:sz w:val="24"/>
        </w:rPr>
      </w:pPr>
      <w:r>
        <w:rPr>
          <w:rFonts w:hint="eastAsia" w:ascii="宋体" w:hAnsi="宋体" w:eastAsia="宋体" w:cs="宋体"/>
          <w:color w:val="auto"/>
          <w:kern w:val="0"/>
          <w:sz w:val="24"/>
        </w:rPr>
        <w:t>□采购文件   采购文件获取日期：</w:t>
      </w:r>
      <w:r>
        <w:rPr>
          <w:rFonts w:hint="eastAsia" w:ascii="宋体" w:hAnsi="宋体" w:eastAsia="宋体" w:cs="宋体"/>
          <w:bCs/>
          <w:color w:val="auto"/>
          <w:kern w:val="0"/>
          <w:sz w:val="24"/>
          <w:u w:val="single"/>
        </w:rPr>
        <w:t xml:space="preserve">                                   </w:t>
      </w:r>
    </w:p>
    <w:p w14:paraId="1298C320">
      <w:pPr>
        <w:spacing w:line="360" w:lineRule="auto"/>
        <w:ind w:left="25" w:leftChars="12" w:firstLine="352" w:firstLineChars="147"/>
        <w:contextualSpacing/>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□采购过程   </w:t>
      </w:r>
    </w:p>
    <w:p w14:paraId="4090ED27">
      <w:pPr>
        <w:spacing w:line="360" w:lineRule="auto"/>
        <w:ind w:left="25" w:leftChars="12" w:firstLine="352" w:firstLineChars="147"/>
        <w:contextualSpacing/>
        <w:rPr>
          <w:rFonts w:hint="eastAsia" w:ascii="宋体" w:hAnsi="宋体" w:eastAsia="宋体" w:cs="宋体"/>
          <w:bCs/>
          <w:color w:val="auto"/>
          <w:kern w:val="0"/>
          <w:sz w:val="24"/>
          <w:u w:val="single"/>
        </w:rPr>
      </w:pPr>
      <w:r>
        <w:rPr>
          <w:rFonts w:hint="eastAsia" w:ascii="宋体" w:hAnsi="宋体" w:eastAsia="宋体" w:cs="宋体"/>
          <w:color w:val="auto"/>
          <w:kern w:val="0"/>
          <w:sz w:val="24"/>
        </w:rPr>
        <w:t xml:space="preserve">□成交结果   </w:t>
      </w:r>
    </w:p>
    <w:p w14:paraId="271A0189">
      <w:pPr>
        <w:spacing w:line="360" w:lineRule="auto"/>
        <w:ind w:left="25" w:leftChars="12" w:firstLine="472" w:firstLineChars="196"/>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三、质疑事项具体内容</w:t>
      </w:r>
    </w:p>
    <w:p w14:paraId="48B4EF97">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质疑事项1：</w:t>
      </w:r>
      <w:r>
        <w:rPr>
          <w:rFonts w:hint="eastAsia" w:ascii="宋体" w:hAnsi="宋体" w:eastAsia="宋体" w:cs="宋体"/>
          <w:bCs/>
          <w:color w:val="auto"/>
          <w:kern w:val="0"/>
          <w:sz w:val="24"/>
          <w:u w:val="single"/>
        </w:rPr>
        <w:t xml:space="preserve">                                                                    </w:t>
      </w:r>
    </w:p>
    <w:p w14:paraId="43310DC1">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事实依据：</w:t>
      </w:r>
      <w:r>
        <w:rPr>
          <w:rFonts w:hint="eastAsia" w:ascii="宋体" w:hAnsi="宋体" w:eastAsia="宋体" w:cs="宋体"/>
          <w:bCs/>
          <w:color w:val="auto"/>
          <w:kern w:val="0"/>
          <w:sz w:val="24"/>
          <w:u w:val="single"/>
        </w:rPr>
        <w:t xml:space="preserve">                                                                      </w:t>
      </w:r>
    </w:p>
    <w:p w14:paraId="3EE8E9D3">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法律依据：</w:t>
      </w:r>
      <w:r>
        <w:rPr>
          <w:rFonts w:hint="eastAsia" w:ascii="宋体" w:hAnsi="宋体" w:eastAsia="宋体" w:cs="宋体"/>
          <w:color w:val="auto"/>
          <w:kern w:val="0"/>
          <w:sz w:val="24"/>
          <w:u w:val="single"/>
        </w:rPr>
        <w:t xml:space="preserve">                                                        </w:t>
      </w:r>
      <w:r>
        <w:rPr>
          <w:rFonts w:hint="eastAsia" w:ascii="宋体" w:hAnsi="宋体" w:eastAsia="宋体" w:cs="宋体"/>
          <w:bCs/>
          <w:color w:val="auto"/>
          <w:kern w:val="0"/>
          <w:sz w:val="24"/>
          <w:u w:val="single"/>
        </w:rPr>
        <w:t xml:space="preserve">               </w:t>
      </w:r>
    </w:p>
    <w:p w14:paraId="7709F185">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质疑事项2</w:t>
      </w:r>
    </w:p>
    <w:p w14:paraId="43C50209">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w:t>
      </w:r>
    </w:p>
    <w:p w14:paraId="7A106934">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四、与质疑事项相关的质疑请求：</w:t>
      </w:r>
    </w:p>
    <w:p w14:paraId="1F0E1946">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请求：</w:t>
      </w:r>
      <w:r>
        <w:rPr>
          <w:rFonts w:hint="eastAsia" w:ascii="宋体" w:hAnsi="宋体" w:eastAsia="宋体" w:cs="宋体"/>
          <w:bCs/>
          <w:color w:val="auto"/>
          <w:kern w:val="0"/>
          <w:sz w:val="24"/>
          <w:u w:val="single"/>
        </w:rPr>
        <w:t xml:space="preserve">                                                                </w:t>
      </w:r>
    </w:p>
    <w:p w14:paraId="7FE23CA4">
      <w:pPr>
        <w:spacing w:line="360" w:lineRule="auto"/>
        <w:ind w:left="25" w:leftChars="12" w:firstLine="352" w:firstLineChars="147"/>
        <w:contextualSpacing/>
        <w:rPr>
          <w:rFonts w:hint="eastAsia" w:ascii="宋体" w:hAnsi="宋体" w:eastAsia="宋体" w:cs="宋体"/>
          <w:color w:val="auto"/>
          <w:kern w:val="0"/>
          <w:sz w:val="24"/>
        </w:rPr>
      </w:pPr>
    </w:p>
    <w:p w14:paraId="174423A9">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签字（签章）：                                       公章：</w:t>
      </w:r>
    </w:p>
    <w:p w14:paraId="59639186">
      <w:pPr>
        <w:spacing w:line="360" w:lineRule="auto"/>
        <w:ind w:left="25" w:leftChars="12" w:firstLine="352" w:firstLineChars="147"/>
        <w:contextualSpacing/>
        <w:rPr>
          <w:rFonts w:hint="eastAsia" w:ascii="宋体" w:hAnsi="宋体" w:eastAsia="宋体" w:cs="宋体"/>
          <w:color w:val="auto"/>
          <w:kern w:val="0"/>
          <w:sz w:val="24"/>
        </w:rPr>
      </w:pPr>
    </w:p>
    <w:p w14:paraId="2E5A2939">
      <w:pPr>
        <w:spacing w:line="360" w:lineRule="auto"/>
        <w:ind w:left="25" w:leftChars="12" w:firstLine="472" w:firstLineChars="197"/>
        <w:contextualSpacing/>
        <w:rPr>
          <w:rFonts w:hint="eastAsia" w:ascii="宋体" w:hAnsi="宋体" w:eastAsia="宋体" w:cs="宋体"/>
          <w:color w:val="auto"/>
          <w:kern w:val="0"/>
          <w:sz w:val="24"/>
        </w:rPr>
      </w:pPr>
      <w:r>
        <w:rPr>
          <w:rFonts w:hint="eastAsia" w:ascii="宋体" w:hAnsi="宋体" w:eastAsia="宋体" w:cs="宋体"/>
          <w:color w:val="auto"/>
          <w:kern w:val="0"/>
          <w:sz w:val="24"/>
        </w:rPr>
        <w:t>日期：</w:t>
      </w:r>
    </w:p>
    <w:p w14:paraId="1F017F7A">
      <w:pPr>
        <w:spacing w:line="360" w:lineRule="auto"/>
        <w:contextualSpacing/>
        <w:rPr>
          <w:rFonts w:hint="eastAsia" w:ascii="宋体" w:hAnsi="宋体" w:eastAsia="宋体" w:cs="宋体"/>
          <w:b/>
          <w:color w:val="auto"/>
          <w:kern w:val="0"/>
          <w:sz w:val="24"/>
        </w:rPr>
      </w:pPr>
    </w:p>
    <w:p w14:paraId="56BF500F">
      <w:pPr>
        <w:spacing w:line="360" w:lineRule="auto"/>
        <w:contextualSpacing/>
        <w:rPr>
          <w:rFonts w:hint="eastAsia" w:ascii="宋体" w:hAnsi="宋体" w:eastAsia="宋体" w:cs="宋体"/>
          <w:b/>
          <w:color w:val="auto"/>
          <w:kern w:val="0"/>
          <w:sz w:val="24"/>
        </w:rPr>
      </w:pPr>
    </w:p>
    <w:p w14:paraId="18BD9F68">
      <w:pPr>
        <w:spacing w:line="360" w:lineRule="auto"/>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说明：</w:t>
      </w:r>
    </w:p>
    <w:p w14:paraId="24EA7B73">
      <w:pPr>
        <w:spacing w:line="360" w:lineRule="auto"/>
        <w:ind w:left="25" w:leftChars="12" w:firstLine="354" w:firstLineChars="147"/>
        <w:contextualSpacing/>
        <w:rPr>
          <w:rFonts w:hint="eastAsia" w:ascii="宋体" w:hAnsi="宋体" w:eastAsia="宋体" w:cs="宋体"/>
          <w:b/>
          <w:bCs/>
          <w:color w:val="auto"/>
          <w:kern w:val="0"/>
          <w:sz w:val="24"/>
        </w:rPr>
      </w:pPr>
      <w:r>
        <w:rPr>
          <w:rFonts w:hint="eastAsia" w:ascii="宋体" w:hAnsi="宋体" w:eastAsia="宋体" w:cs="宋体"/>
          <w:b/>
          <w:color w:val="auto"/>
          <w:kern w:val="0"/>
          <w:sz w:val="24"/>
        </w:rPr>
        <w:t>1.供应商提出质疑时，应提交质疑函和必要的证明材料</w:t>
      </w:r>
      <w:r>
        <w:rPr>
          <w:rFonts w:hint="eastAsia" w:ascii="宋体" w:hAnsi="宋体" w:eastAsia="宋体" w:cs="宋体"/>
          <w:b/>
          <w:bCs/>
          <w:color w:val="auto"/>
          <w:kern w:val="0"/>
          <w:sz w:val="24"/>
        </w:rPr>
        <w:t>。</w:t>
      </w:r>
    </w:p>
    <w:p w14:paraId="7A870DD7">
      <w:pPr>
        <w:spacing w:line="360" w:lineRule="auto"/>
        <w:ind w:left="25" w:leftChars="12" w:firstLine="354" w:firstLineChars="147"/>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3785EA">
      <w:pPr>
        <w:spacing w:line="360" w:lineRule="auto"/>
        <w:ind w:left="25" w:leftChars="12" w:firstLine="354" w:firstLineChars="147"/>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3.质疑函的质疑事项应具体、明确，并有必要的事实依据和法律依据。</w:t>
      </w:r>
    </w:p>
    <w:p w14:paraId="16B3E896">
      <w:pPr>
        <w:spacing w:line="360" w:lineRule="auto"/>
        <w:ind w:left="25" w:leftChars="12" w:firstLine="354" w:firstLineChars="147"/>
        <w:contextualSpacing/>
        <w:rPr>
          <w:rFonts w:hint="eastAsia" w:ascii="宋体" w:hAnsi="宋体" w:eastAsia="宋体" w:cs="宋体"/>
          <w:b/>
          <w:color w:val="auto"/>
          <w:kern w:val="0"/>
          <w:sz w:val="24"/>
        </w:rPr>
      </w:pPr>
      <w:r>
        <w:rPr>
          <w:rFonts w:hint="eastAsia" w:ascii="宋体" w:hAnsi="宋体" w:eastAsia="宋体" w:cs="宋体"/>
          <w:b/>
          <w:color w:val="auto"/>
          <w:kern w:val="0"/>
          <w:sz w:val="24"/>
        </w:rPr>
        <w:t>4.质疑函的质疑请求应与质疑事项相关。</w:t>
      </w:r>
    </w:p>
    <w:p w14:paraId="273B8C8D">
      <w:pPr>
        <w:spacing w:line="360" w:lineRule="auto"/>
        <w:ind w:left="25" w:leftChars="12" w:firstLine="354" w:firstLineChars="147"/>
        <w:contextualSpacing/>
        <w:rPr>
          <w:rFonts w:hint="eastAsia" w:ascii="宋体" w:hAnsi="宋体" w:eastAsia="宋体" w:cs="宋体"/>
          <w:b/>
          <w:color w:val="auto"/>
          <w:kern w:val="0"/>
          <w:sz w:val="20"/>
          <w:szCs w:val="21"/>
        </w:rPr>
      </w:pPr>
      <w:r>
        <w:rPr>
          <w:rFonts w:hint="eastAsia" w:ascii="宋体" w:hAnsi="宋体" w:eastAsia="宋体" w:cs="宋体"/>
          <w:b/>
          <w:color w:val="auto"/>
          <w:kern w:val="0"/>
          <w:sz w:val="24"/>
        </w:rPr>
        <w:t>5.质疑供应商为法人或者其他组织的，质疑函应由法定代表人、主要负责人，或者其授权代表签字或者盖章，并加盖公章。</w:t>
      </w:r>
    </w:p>
    <w:p w14:paraId="080C19F6">
      <w:pPr>
        <w:snapToGrid w:val="0"/>
        <w:rPr>
          <w:rFonts w:hint="eastAsia" w:ascii="宋体" w:hAnsi="宋体" w:eastAsia="宋体" w:cs="宋体"/>
          <w:b/>
          <w:color w:val="auto"/>
          <w:kern w:val="0"/>
          <w:sz w:val="24"/>
        </w:rPr>
      </w:pPr>
    </w:p>
    <w:p w14:paraId="04B96AA4">
      <w:pPr>
        <w:spacing w:line="460" w:lineRule="exact"/>
        <w:jc w:val="center"/>
        <w:rPr>
          <w:rFonts w:hint="eastAsia" w:ascii="宋体" w:hAnsi="宋体" w:eastAsia="宋体" w:cs="宋体"/>
          <w:color w:val="auto"/>
          <w:sz w:val="44"/>
        </w:rPr>
      </w:pPr>
      <w:r>
        <w:rPr>
          <w:rFonts w:hint="eastAsia" w:ascii="宋体" w:hAnsi="宋体" w:eastAsia="宋体" w:cs="宋体"/>
          <w:color w:val="auto"/>
          <w:sz w:val="44"/>
        </w:rPr>
        <w:br w:type="page"/>
      </w:r>
    </w:p>
    <w:p w14:paraId="246D47CB">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投诉书（格式）</w:t>
      </w:r>
    </w:p>
    <w:p w14:paraId="2A0D807E">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一、投诉相关主体基本情况：</w:t>
      </w:r>
    </w:p>
    <w:p w14:paraId="7DD6785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供应商：</w:t>
      </w:r>
      <w:r>
        <w:rPr>
          <w:rFonts w:hint="eastAsia" w:ascii="宋体" w:hAnsi="宋体" w:eastAsia="宋体" w:cs="宋体"/>
          <w:bCs/>
          <w:color w:val="auto"/>
          <w:kern w:val="0"/>
          <w:sz w:val="24"/>
          <w:u w:val="single"/>
        </w:rPr>
        <w:t xml:space="preserve">                                                                    </w:t>
      </w:r>
    </w:p>
    <w:p w14:paraId="5ED5E412">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地址：</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邮编：</w:t>
      </w:r>
      <w:r>
        <w:rPr>
          <w:rFonts w:hint="eastAsia" w:ascii="宋体" w:hAnsi="宋体" w:eastAsia="宋体" w:cs="宋体"/>
          <w:bCs/>
          <w:color w:val="auto"/>
          <w:kern w:val="0"/>
          <w:sz w:val="24"/>
          <w:u w:val="single"/>
        </w:rPr>
        <w:t xml:space="preserve">                        </w:t>
      </w:r>
    </w:p>
    <w:p w14:paraId="116463FA">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法定代表人/主要负责人：</w:t>
      </w:r>
      <w:r>
        <w:rPr>
          <w:rFonts w:hint="eastAsia" w:ascii="宋体" w:hAnsi="宋体" w:eastAsia="宋体" w:cs="宋体"/>
          <w:bCs/>
          <w:color w:val="auto"/>
          <w:kern w:val="0"/>
          <w:sz w:val="24"/>
          <w:u w:val="single"/>
        </w:rPr>
        <w:t xml:space="preserve">                                                      </w:t>
      </w:r>
    </w:p>
    <w:p w14:paraId="14F56B66">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联系电话：</w:t>
      </w:r>
      <w:r>
        <w:rPr>
          <w:rFonts w:hint="eastAsia" w:ascii="宋体" w:hAnsi="宋体" w:eastAsia="宋体" w:cs="宋体"/>
          <w:bCs/>
          <w:color w:val="auto"/>
          <w:kern w:val="0"/>
          <w:sz w:val="24"/>
          <w:u w:val="single"/>
        </w:rPr>
        <w:t xml:space="preserve">                                         </w:t>
      </w:r>
    </w:p>
    <w:p w14:paraId="3A6D818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授权代表：</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联系电话：</w:t>
      </w:r>
      <w:r>
        <w:rPr>
          <w:rFonts w:hint="eastAsia" w:ascii="宋体" w:hAnsi="宋体" w:eastAsia="宋体" w:cs="宋体"/>
          <w:bCs/>
          <w:color w:val="auto"/>
          <w:kern w:val="0"/>
          <w:sz w:val="24"/>
          <w:u w:val="single"/>
        </w:rPr>
        <w:t xml:space="preserve">                   </w:t>
      </w:r>
    </w:p>
    <w:p w14:paraId="5F69B1E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地址：</w:t>
      </w:r>
      <w:r>
        <w:rPr>
          <w:rFonts w:hint="eastAsia" w:ascii="宋体" w:hAnsi="宋体" w:eastAsia="宋体" w:cs="宋体"/>
          <w:bCs/>
          <w:color w:val="auto"/>
          <w:kern w:val="0"/>
          <w:sz w:val="24"/>
          <w:u w:val="single"/>
        </w:rPr>
        <w:t xml:space="preserve">                                                            </w:t>
      </w:r>
    </w:p>
    <w:p w14:paraId="07EEAB47">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邮编：</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 xml:space="preserve">   </w:t>
      </w:r>
    </w:p>
    <w:p w14:paraId="16AC630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被投诉人1：</w:t>
      </w:r>
    </w:p>
    <w:p w14:paraId="078282F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地址：</w:t>
      </w:r>
      <w:r>
        <w:rPr>
          <w:rFonts w:hint="eastAsia" w:ascii="宋体" w:hAnsi="宋体" w:eastAsia="宋体" w:cs="宋体"/>
          <w:bCs/>
          <w:color w:val="auto"/>
          <w:kern w:val="0"/>
          <w:sz w:val="24"/>
          <w:u w:val="single"/>
        </w:rPr>
        <w:t xml:space="preserve">                                                            </w:t>
      </w:r>
    </w:p>
    <w:p w14:paraId="5F1AA43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邮编：</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 xml:space="preserve">  </w:t>
      </w:r>
    </w:p>
    <w:p w14:paraId="0A72D92E">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联系人：</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联系电话：</w:t>
      </w:r>
      <w:r>
        <w:rPr>
          <w:rFonts w:hint="eastAsia" w:ascii="宋体" w:hAnsi="宋体" w:eastAsia="宋体" w:cs="宋体"/>
          <w:bCs/>
          <w:color w:val="auto"/>
          <w:kern w:val="0"/>
          <w:sz w:val="24"/>
          <w:u w:val="single"/>
        </w:rPr>
        <w:t xml:space="preserve">            </w:t>
      </w:r>
    </w:p>
    <w:p w14:paraId="42C626CC">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被投诉人2：</w:t>
      </w:r>
    </w:p>
    <w:p w14:paraId="1593F46F">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w:t>
      </w:r>
    </w:p>
    <w:p w14:paraId="3910F6D2">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相关供应商：</w:t>
      </w:r>
      <w:r>
        <w:rPr>
          <w:rFonts w:hint="eastAsia" w:ascii="宋体" w:hAnsi="宋体" w:eastAsia="宋体" w:cs="宋体"/>
          <w:bCs/>
          <w:color w:val="auto"/>
          <w:kern w:val="0"/>
          <w:sz w:val="24"/>
          <w:u w:val="single"/>
        </w:rPr>
        <w:t xml:space="preserve">                                                                 </w:t>
      </w:r>
    </w:p>
    <w:p w14:paraId="6B1F358B">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地址：</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邮编：</w:t>
      </w:r>
      <w:r>
        <w:rPr>
          <w:rFonts w:hint="eastAsia" w:ascii="宋体" w:hAnsi="宋体" w:eastAsia="宋体" w:cs="宋体"/>
          <w:bCs/>
          <w:color w:val="auto"/>
          <w:kern w:val="0"/>
          <w:sz w:val="24"/>
          <w:u w:val="single"/>
        </w:rPr>
        <w:t xml:space="preserve">                    </w:t>
      </w:r>
    </w:p>
    <w:p w14:paraId="6C548703">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联系人：</w:t>
      </w:r>
      <w:r>
        <w:rPr>
          <w:rFonts w:hint="eastAsia" w:ascii="宋体" w:hAnsi="宋体" w:eastAsia="宋体" w:cs="宋体"/>
          <w:bCs/>
          <w:color w:val="auto"/>
          <w:kern w:val="0"/>
          <w:sz w:val="24"/>
          <w:u w:val="single"/>
        </w:rPr>
        <w:t xml:space="preserve">                                            </w:t>
      </w:r>
      <w:r>
        <w:rPr>
          <w:rFonts w:hint="eastAsia" w:ascii="宋体" w:hAnsi="宋体" w:eastAsia="宋体" w:cs="宋体"/>
          <w:bCs/>
          <w:color w:val="auto"/>
          <w:kern w:val="0"/>
          <w:sz w:val="24"/>
        </w:rPr>
        <w:t>联系电话：</w:t>
      </w:r>
      <w:r>
        <w:rPr>
          <w:rFonts w:hint="eastAsia" w:ascii="宋体" w:hAnsi="宋体" w:eastAsia="宋体" w:cs="宋体"/>
          <w:bCs/>
          <w:color w:val="auto"/>
          <w:kern w:val="0"/>
          <w:sz w:val="24"/>
          <w:u w:val="single"/>
        </w:rPr>
        <w:t xml:space="preserve">               </w:t>
      </w:r>
    </w:p>
    <w:p w14:paraId="77B03F90">
      <w:pPr>
        <w:keepNext w:val="0"/>
        <w:keepLines w:val="0"/>
        <w:pageBreakBefore w:val="0"/>
        <w:widowControl w:val="0"/>
        <w:kinsoku/>
        <w:wordWrap w:val="0"/>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二、投诉项目基本情况：</w:t>
      </w:r>
    </w:p>
    <w:p w14:paraId="2497344D">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rPr>
        <w:t>采购</w:t>
      </w:r>
      <w:r>
        <w:rPr>
          <w:rFonts w:hint="eastAsia" w:ascii="宋体" w:hAnsi="宋体" w:eastAsia="宋体" w:cs="宋体"/>
          <w:color w:val="auto"/>
          <w:kern w:val="0"/>
          <w:sz w:val="24"/>
        </w:rPr>
        <w:t>项目的名称：</w:t>
      </w:r>
      <w:r>
        <w:rPr>
          <w:rFonts w:hint="eastAsia" w:ascii="宋体" w:hAnsi="宋体" w:eastAsia="宋体" w:cs="宋体"/>
          <w:bCs/>
          <w:color w:val="auto"/>
          <w:kern w:val="0"/>
          <w:sz w:val="24"/>
          <w:u w:val="single"/>
        </w:rPr>
        <w:t xml:space="preserve">                                                             </w:t>
      </w:r>
    </w:p>
    <w:p w14:paraId="79CE7641">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rPr>
        <w:t>采购</w:t>
      </w:r>
      <w:r>
        <w:rPr>
          <w:rFonts w:hint="eastAsia" w:ascii="宋体" w:hAnsi="宋体" w:eastAsia="宋体" w:cs="宋体"/>
          <w:color w:val="auto"/>
          <w:kern w:val="0"/>
          <w:sz w:val="24"/>
        </w:rPr>
        <w:t>项目的编号：</w:t>
      </w:r>
      <w:r>
        <w:rPr>
          <w:rFonts w:hint="eastAsia" w:ascii="宋体" w:hAnsi="宋体" w:eastAsia="宋体" w:cs="宋体"/>
          <w:bCs/>
          <w:color w:val="auto"/>
          <w:kern w:val="0"/>
          <w:sz w:val="24"/>
          <w:u w:val="single"/>
        </w:rPr>
        <w:t xml:space="preserve">                                          </w:t>
      </w:r>
    </w:p>
    <w:p w14:paraId="29B79809">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Cs/>
          <w:color w:val="auto"/>
          <w:kern w:val="0"/>
          <w:sz w:val="24"/>
          <w:u w:val="single"/>
        </w:rPr>
      </w:pPr>
      <w:r>
        <w:rPr>
          <w:rFonts w:hint="eastAsia" w:ascii="宋体" w:hAnsi="宋体" w:eastAsia="宋体" w:cs="宋体"/>
          <w:color w:val="auto"/>
          <w:kern w:val="0"/>
          <w:sz w:val="24"/>
        </w:rPr>
        <w:t>采购人名称：</w:t>
      </w:r>
      <w:r>
        <w:rPr>
          <w:rFonts w:hint="eastAsia" w:ascii="宋体" w:hAnsi="宋体" w:eastAsia="宋体" w:cs="宋体"/>
          <w:bCs/>
          <w:color w:val="auto"/>
          <w:kern w:val="0"/>
          <w:sz w:val="24"/>
          <w:u w:val="single"/>
        </w:rPr>
        <w:t xml:space="preserve">                                                                 </w:t>
      </w:r>
    </w:p>
    <w:p w14:paraId="4FD9A063">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Cs/>
          <w:color w:val="auto"/>
          <w:kern w:val="0"/>
          <w:sz w:val="24"/>
          <w:u w:val="single"/>
        </w:rPr>
      </w:pPr>
      <w:r>
        <w:rPr>
          <w:rFonts w:hint="eastAsia" w:ascii="宋体" w:hAnsi="宋体" w:eastAsia="宋体" w:cs="宋体"/>
          <w:color w:val="auto"/>
          <w:kern w:val="0"/>
          <w:sz w:val="24"/>
        </w:rPr>
        <w:t>代理机构名称：</w:t>
      </w:r>
      <w:r>
        <w:rPr>
          <w:rFonts w:hint="eastAsia" w:ascii="宋体" w:hAnsi="宋体" w:eastAsia="宋体" w:cs="宋体"/>
          <w:bCs/>
          <w:color w:val="auto"/>
          <w:kern w:val="0"/>
          <w:sz w:val="24"/>
          <w:u w:val="single"/>
        </w:rPr>
        <w:t xml:space="preserve">                                                               </w:t>
      </w:r>
    </w:p>
    <w:p w14:paraId="371599F2">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招标文件公告：</w:t>
      </w:r>
      <w:r>
        <w:rPr>
          <w:rFonts w:hint="eastAsia" w:ascii="宋体" w:hAnsi="宋体" w:eastAsia="宋体" w:cs="宋体"/>
          <w:bCs/>
          <w:color w:val="auto"/>
          <w:kern w:val="0"/>
          <w:sz w:val="24"/>
          <w:u w:val="single"/>
        </w:rPr>
        <w:t>是/否</w:t>
      </w:r>
      <w:r>
        <w:rPr>
          <w:rFonts w:hint="eastAsia" w:ascii="宋体" w:hAnsi="宋体" w:eastAsia="宋体" w:cs="宋体"/>
          <w:bCs/>
          <w:color w:val="auto"/>
          <w:kern w:val="0"/>
          <w:sz w:val="24"/>
        </w:rPr>
        <w:t>公告期限：</w:t>
      </w:r>
      <w:r>
        <w:rPr>
          <w:rFonts w:hint="eastAsia" w:ascii="宋体" w:hAnsi="宋体" w:eastAsia="宋体" w:cs="宋体"/>
          <w:bCs/>
          <w:color w:val="auto"/>
          <w:kern w:val="0"/>
          <w:sz w:val="24"/>
          <w:u w:val="single"/>
        </w:rPr>
        <w:t xml:space="preserve">                                                </w:t>
      </w:r>
    </w:p>
    <w:p w14:paraId="2356CB19">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
          <w:color w:val="auto"/>
          <w:kern w:val="0"/>
          <w:sz w:val="24"/>
        </w:rPr>
      </w:pPr>
      <w:r>
        <w:rPr>
          <w:rFonts w:hint="eastAsia" w:ascii="宋体" w:hAnsi="宋体" w:eastAsia="宋体" w:cs="宋体"/>
          <w:bCs/>
          <w:color w:val="auto"/>
          <w:kern w:val="0"/>
          <w:sz w:val="24"/>
        </w:rPr>
        <w:t>采购结果公告：</w:t>
      </w:r>
      <w:r>
        <w:rPr>
          <w:rFonts w:hint="eastAsia" w:ascii="宋体" w:hAnsi="宋体" w:eastAsia="宋体" w:cs="宋体"/>
          <w:bCs/>
          <w:color w:val="auto"/>
          <w:kern w:val="0"/>
          <w:sz w:val="24"/>
          <w:u w:val="single"/>
        </w:rPr>
        <w:t>是/否</w:t>
      </w:r>
      <w:r>
        <w:rPr>
          <w:rFonts w:hint="eastAsia" w:ascii="宋体" w:hAnsi="宋体" w:eastAsia="宋体" w:cs="宋体"/>
          <w:bCs/>
          <w:color w:val="auto"/>
          <w:kern w:val="0"/>
          <w:sz w:val="24"/>
        </w:rPr>
        <w:t>公告期限：</w:t>
      </w:r>
      <w:r>
        <w:rPr>
          <w:rFonts w:hint="eastAsia" w:ascii="宋体" w:hAnsi="宋体" w:eastAsia="宋体" w:cs="宋体"/>
          <w:bCs/>
          <w:color w:val="auto"/>
          <w:kern w:val="0"/>
          <w:sz w:val="24"/>
          <w:u w:val="single"/>
        </w:rPr>
        <w:t xml:space="preserve">                                                </w:t>
      </w:r>
    </w:p>
    <w:p w14:paraId="63A4682E">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6"/>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三、质疑基本情况</w:t>
      </w:r>
    </w:p>
    <w:p w14:paraId="0DC4D90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投诉人于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日，向</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提出质疑，质疑事项为：</w:t>
      </w:r>
    </w:p>
    <w:p w14:paraId="29D7E7ED">
      <w:pPr>
        <w:keepNext w:val="0"/>
        <w:keepLines w:val="0"/>
        <w:pageBreakBefore w:val="0"/>
        <w:widowControl w:val="0"/>
        <w:kinsoku/>
        <w:wordWrap w:val="0"/>
        <w:overflowPunct/>
        <w:topLinePunct w:val="0"/>
        <w:autoSpaceDE/>
        <w:autoSpaceDN/>
        <w:bidi w:val="0"/>
        <w:adjustRightInd/>
        <w:spacing w:line="360" w:lineRule="auto"/>
        <w:ind w:firstLine="241"/>
        <w:textAlignment w:val="auto"/>
        <w:rPr>
          <w:rFonts w:hint="eastAsia" w:ascii="宋体" w:hAnsi="宋体" w:eastAsia="宋体" w:cs="宋体"/>
          <w:bCs/>
          <w:color w:val="auto"/>
          <w:kern w:val="0"/>
          <w:sz w:val="24"/>
          <w:u w:val="single"/>
        </w:rPr>
      </w:pPr>
      <w:r>
        <w:rPr>
          <w:rFonts w:hint="eastAsia" w:ascii="宋体" w:hAnsi="宋体" w:eastAsia="宋体" w:cs="宋体"/>
          <w:color w:val="auto"/>
          <w:kern w:val="0"/>
          <w:sz w:val="24"/>
        </w:rPr>
        <w:t xml:space="preserve">    </w:t>
      </w:r>
      <w:r>
        <w:rPr>
          <w:rFonts w:hint="eastAsia" w:ascii="宋体" w:hAnsi="宋体" w:eastAsia="宋体" w:cs="宋体"/>
          <w:bCs/>
          <w:color w:val="auto"/>
          <w:kern w:val="0"/>
          <w:sz w:val="24"/>
          <w:u w:val="single"/>
        </w:rPr>
        <w:t xml:space="preserve">                                                                         </w:t>
      </w:r>
    </w:p>
    <w:p w14:paraId="26423F12">
      <w:pPr>
        <w:keepNext w:val="0"/>
        <w:keepLines w:val="0"/>
        <w:pageBreakBefore w:val="0"/>
        <w:widowControl w:val="0"/>
        <w:kinsoku/>
        <w:wordWrap w:val="0"/>
        <w:overflowPunct/>
        <w:topLinePunct w:val="0"/>
        <w:autoSpaceDE/>
        <w:autoSpaceDN/>
        <w:bidi w:val="0"/>
        <w:adjustRightInd/>
        <w:spacing w:line="360" w:lineRule="auto"/>
        <w:ind w:firstLine="241"/>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u w:val="single"/>
        </w:rPr>
        <w:t xml:space="preserve">                                                                          </w:t>
      </w:r>
    </w:p>
    <w:p w14:paraId="08F0D585">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u w:val="single"/>
        </w:rPr>
        <w:t>采购人/代理机构</w:t>
      </w:r>
      <w:r>
        <w:rPr>
          <w:rFonts w:hint="eastAsia" w:ascii="宋体" w:hAnsi="宋体" w:eastAsia="宋体" w:cs="宋体"/>
          <w:bCs/>
          <w:color w:val="auto"/>
          <w:kern w:val="0"/>
          <w:sz w:val="24"/>
        </w:rPr>
        <w:t>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r>
        <w:rPr>
          <w:rFonts w:hint="eastAsia" w:ascii="宋体" w:hAnsi="宋体" w:eastAsia="宋体" w:cs="宋体"/>
          <w:bCs/>
          <w:color w:val="auto"/>
          <w:kern w:val="0"/>
          <w:sz w:val="24"/>
        </w:rPr>
        <w:t xml:space="preserve">就质疑事项作出了答复/没有在法定期限内作出答复。                                                                        </w:t>
      </w:r>
    </w:p>
    <w:p w14:paraId="5E73C064">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6"/>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四、投诉事项具体内容</w:t>
      </w:r>
    </w:p>
    <w:p w14:paraId="5046EF55">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Cs/>
          <w:color w:val="auto"/>
          <w:kern w:val="0"/>
          <w:sz w:val="24"/>
          <w:u w:val="single"/>
        </w:rPr>
      </w:pPr>
      <w:r>
        <w:rPr>
          <w:rFonts w:hint="eastAsia" w:ascii="宋体" w:hAnsi="宋体" w:eastAsia="宋体" w:cs="宋体"/>
          <w:color w:val="auto"/>
          <w:kern w:val="0"/>
          <w:sz w:val="24"/>
        </w:rPr>
        <w:t>投诉事项1：</w:t>
      </w:r>
      <w:r>
        <w:rPr>
          <w:rFonts w:hint="eastAsia" w:ascii="宋体" w:hAnsi="宋体" w:eastAsia="宋体" w:cs="宋体"/>
          <w:bCs/>
          <w:color w:val="auto"/>
          <w:kern w:val="0"/>
          <w:sz w:val="24"/>
          <w:u w:val="single"/>
        </w:rPr>
        <w:t xml:space="preserve">                                                                 </w:t>
      </w:r>
    </w:p>
    <w:p w14:paraId="37ABF04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事实依据：</w:t>
      </w:r>
      <w:r>
        <w:rPr>
          <w:rFonts w:hint="eastAsia" w:ascii="宋体" w:hAnsi="宋体" w:eastAsia="宋体" w:cs="宋体"/>
          <w:color w:val="auto"/>
          <w:kern w:val="0"/>
          <w:sz w:val="24"/>
        </w:rPr>
        <w:t xml:space="preserve"> </w:t>
      </w:r>
      <w:r>
        <w:rPr>
          <w:rFonts w:hint="eastAsia" w:ascii="宋体" w:hAnsi="宋体" w:eastAsia="宋体" w:cs="宋体"/>
          <w:bCs/>
          <w:color w:val="auto"/>
          <w:kern w:val="0"/>
          <w:sz w:val="24"/>
          <w:u w:val="single"/>
        </w:rPr>
        <w:t xml:space="preserve">                                                                  </w:t>
      </w:r>
    </w:p>
    <w:p w14:paraId="7D654A3F">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u w:val="single"/>
        </w:rPr>
        <w:t xml:space="preserve">                                                                            </w:t>
      </w:r>
    </w:p>
    <w:p w14:paraId="5390E64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法律依据：</w:t>
      </w:r>
      <w:r>
        <w:rPr>
          <w:rFonts w:hint="eastAsia" w:ascii="宋体" w:hAnsi="宋体" w:eastAsia="宋体" w:cs="宋体"/>
          <w:color w:val="auto"/>
          <w:kern w:val="0"/>
          <w:sz w:val="24"/>
        </w:rPr>
        <w:t xml:space="preserve"> </w:t>
      </w:r>
      <w:r>
        <w:rPr>
          <w:rFonts w:hint="eastAsia" w:ascii="宋体" w:hAnsi="宋体" w:eastAsia="宋体" w:cs="宋体"/>
          <w:bCs/>
          <w:color w:val="auto"/>
          <w:kern w:val="0"/>
          <w:sz w:val="24"/>
          <w:u w:val="single"/>
        </w:rPr>
        <w:t xml:space="preserve">                                                                  </w:t>
      </w:r>
    </w:p>
    <w:p w14:paraId="2EDCE18D">
      <w:pPr>
        <w:keepNext w:val="0"/>
        <w:keepLines w:val="0"/>
        <w:pageBreakBefore w:val="0"/>
        <w:widowControl w:val="0"/>
        <w:kinsoku/>
        <w:wordWrap w:val="0"/>
        <w:overflowPunct/>
        <w:topLinePunct w:val="0"/>
        <w:autoSpaceDE/>
        <w:autoSpaceDN/>
        <w:bidi w:val="0"/>
        <w:adjustRightInd/>
        <w:spacing w:line="360" w:lineRule="auto"/>
        <w:ind w:left="25" w:leftChars="12" w:firstLine="352" w:firstLineChars="147"/>
        <w:textAlignment w:val="auto"/>
        <w:rPr>
          <w:rFonts w:hint="eastAsia" w:ascii="宋体" w:hAnsi="宋体" w:eastAsia="宋体" w:cs="宋体"/>
          <w:bCs/>
          <w:color w:val="auto"/>
          <w:kern w:val="0"/>
          <w:sz w:val="24"/>
          <w:u w:val="single"/>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u w:val="single"/>
        </w:rPr>
        <w:t xml:space="preserve">                                                                            </w:t>
      </w:r>
    </w:p>
    <w:p w14:paraId="2B6819ED">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Cs/>
          <w:color w:val="auto"/>
          <w:kern w:val="0"/>
          <w:sz w:val="24"/>
        </w:rPr>
      </w:pPr>
      <w:r>
        <w:rPr>
          <w:rFonts w:hint="eastAsia" w:ascii="宋体" w:hAnsi="宋体" w:eastAsia="宋体" w:cs="宋体"/>
          <w:color w:val="auto"/>
          <w:kern w:val="0"/>
          <w:sz w:val="24"/>
        </w:rPr>
        <w:t xml:space="preserve">投诉事项2  </w:t>
      </w:r>
      <w:r>
        <w:rPr>
          <w:rFonts w:hint="eastAsia" w:ascii="宋体" w:hAnsi="宋体" w:eastAsia="宋体" w:cs="宋体"/>
          <w:bCs/>
          <w:color w:val="auto"/>
          <w:kern w:val="0"/>
          <w:sz w:val="24"/>
        </w:rPr>
        <w:t xml:space="preserve">   </w:t>
      </w:r>
    </w:p>
    <w:p w14:paraId="7FF0F8AF">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w:t>
      </w:r>
    </w:p>
    <w:p w14:paraId="0647F30B">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6"/>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五、与投诉事项相关的投诉请求：</w:t>
      </w:r>
    </w:p>
    <w:p w14:paraId="5AF9241D">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请求：</w:t>
      </w:r>
      <w:r>
        <w:rPr>
          <w:rFonts w:hint="eastAsia" w:ascii="宋体" w:hAnsi="宋体" w:eastAsia="宋体" w:cs="宋体"/>
          <w:bCs/>
          <w:color w:val="auto"/>
          <w:kern w:val="0"/>
          <w:sz w:val="24"/>
          <w:u w:val="single"/>
        </w:rPr>
        <w:t xml:space="preserve">                                                                       </w:t>
      </w:r>
    </w:p>
    <w:p w14:paraId="5693F632">
      <w:pPr>
        <w:keepNext w:val="0"/>
        <w:keepLines w:val="0"/>
        <w:pageBreakBefore w:val="0"/>
        <w:widowControl w:val="0"/>
        <w:kinsoku/>
        <w:wordWrap w:val="0"/>
        <w:overflowPunct/>
        <w:topLinePunct w:val="0"/>
        <w:autoSpaceDE/>
        <w:autoSpaceDN/>
        <w:bidi w:val="0"/>
        <w:adjustRightInd/>
        <w:spacing w:line="360" w:lineRule="auto"/>
        <w:ind w:left="25" w:leftChars="12" w:firstLine="352" w:firstLineChars="147"/>
        <w:textAlignment w:val="auto"/>
        <w:rPr>
          <w:rFonts w:hint="eastAsia" w:ascii="宋体" w:hAnsi="宋体" w:eastAsia="宋体" w:cs="宋体"/>
          <w:color w:val="auto"/>
          <w:kern w:val="0"/>
          <w:sz w:val="24"/>
        </w:rPr>
      </w:pPr>
    </w:p>
    <w:p w14:paraId="6B1B09E2">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签字（签章）：                                       公章：</w:t>
      </w:r>
    </w:p>
    <w:p w14:paraId="07986163">
      <w:pPr>
        <w:keepNext w:val="0"/>
        <w:keepLines w:val="0"/>
        <w:pageBreakBefore w:val="0"/>
        <w:widowControl w:val="0"/>
        <w:kinsoku/>
        <w:wordWrap w:val="0"/>
        <w:overflowPunct/>
        <w:topLinePunct w:val="0"/>
        <w:autoSpaceDE/>
        <w:autoSpaceDN/>
        <w:bidi w:val="0"/>
        <w:adjustRightInd/>
        <w:spacing w:line="360" w:lineRule="auto"/>
        <w:ind w:left="25" w:leftChars="12" w:firstLine="352" w:firstLineChars="147"/>
        <w:textAlignment w:val="auto"/>
        <w:rPr>
          <w:rFonts w:hint="eastAsia" w:ascii="宋体" w:hAnsi="宋体" w:eastAsia="宋体" w:cs="宋体"/>
          <w:color w:val="auto"/>
          <w:kern w:val="0"/>
          <w:sz w:val="24"/>
        </w:rPr>
      </w:pPr>
    </w:p>
    <w:p w14:paraId="6ADE2E2F">
      <w:pPr>
        <w:keepNext w:val="0"/>
        <w:keepLines w:val="0"/>
        <w:pageBreakBefore w:val="0"/>
        <w:widowControl w:val="0"/>
        <w:kinsoku/>
        <w:wordWrap w:val="0"/>
        <w:overflowPunct/>
        <w:topLinePunct w:val="0"/>
        <w:autoSpaceDE/>
        <w:autoSpaceDN/>
        <w:bidi w:val="0"/>
        <w:adjustRightInd/>
        <w:spacing w:line="360" w:lineRule="auto"/>
        <w:ind w:left="25" w:leftChars="12" w:firstLine="472" w:firstLineChars="197"/>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日期：</w:t>
      </w:r>
      <w:r>
        <w:rPr>
          <w:rFonts w:hint="eastAsia" w:ascii="宋体" w:hAnsi="宋体" w:eastAsia="宋体" w:cs="宋体"/>
          <w:bCs/>
          <w:color w:val="auto"/>
          <w:kern w:val="0"/>
          <w:sz w:val="24"/>
        </w:rPr>
        <w:t xml:space="preserve">                                                              </w:t>
      </w:r>
    </w:p>
    <w:p w14:paraId="2670877F">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b/>
          <w:color w:val="auto"/>
          <w:kern w:val="0"/>
          <w:sz w:val="24"/>
        </w:rPr>
      </w:pPr>
    </w:p>
    <w:p w14:paraId="161CCFE6">
      <w:pPr>
        <w:snapToGrid w:val="0"/>
        <w:spacing w:line="360" w:lineRule="auto"/>
        <w:rPr>
          <w:rFonts w:hint="eastAsia" w:ascii="宋体" w:hAnsi="宋体" w:eastAsia="宋体" w:cs="宋体"/>
          <w:b/>
          <w:color w:val="auto"/>
          <w:kern w:val="0"/>
          <w:sz w:val="24"/>
        </w:rPr>
      </w:pPr>
      <w:r>
        <w:rPr>
          <w:rFonts w:hint="eastAsia" w:ascii="宋体" w:hAnsi="宋体" w:eastAsia="宋体" w:cs="宋体"/>
          <w:b/>
          <w:color w:val="auto"/>
          <w:kern w:val="0"/>
          <w:sz w:val="24"/>
        </w:rPr>
        <w:t>说明：</w:t>
      </w:r>
    </w:p>
    <w:p w14:paraId="5FD829D2">
      <w:pPr>
        <w:spacing w:line="360" w:lineRule="auto"/>
        <w:ind w:left="25" w:leftChars="12" w:firstLine="354" w:firstLineChars="147"/>
        <w:rPr>
          <w:rFonts w:hint="eastAsia" w:ascii="宋体" w:hAnsi="宋体" w:eastAsia="宋体" w:cs="宋体"/>
          <w:b/>
          <w:bCs/>
          <w:color w:val="auto"/>
          <w:kern w:val="0"/>
          <w:sz w:val="24"/>
        </w:rPr>
      </w:pPr>
      <w:r>
        <w:rPr>
          <w:rFonts w:hint="eastAsia" w:ascii="宋体" w:hAnsi="宋体" w:eastAsia="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rPr>
        <w:t>。</w:t>
      </w:r>
    </w:p>
    <w:p w14:paraId="3E21FA35">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1FBDE62">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3.投诉书应简要列明质疑事项，质疑函、质疑答复等作为附件材料提供。</w:t>
      </w:r>
    </w:p>
    <w:p w14:paraId="47B2941A">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4.投诉书的投诉事项应具体、明确，并有必要的事实依据和法律依据。</w:t>
      </w:r>
    </w:p>
    <w:p w14:paraId="73BDA5FF">
      <w:pPr>
        <w:spacing w:line="360" w:lineRule="auto"/>
        <w:ind w:left="25" w:leftChars="12" w:firstLine="354" w:firstLineChars="147"/>
        <w:rPr>
          <w:rFonts w:hint="eastAsia" w:ascii="宋体" w:hAnsi="宋体" w:eastAsia="宋体" w:cs="宋体"/>
          <w:b/>
          <w:color w:val="auto"/>
          <w:kern w:val="0"/>
          <w:sz w:val="24"/>
        </w:rPr>
      </w:pPr>
      <w:r>
        <w:rPr>
          <w:rFonts w:hint="eastAsia" w:ascii="宋体" w:hAnsi="宋体" w:eastAsia="宋体" w:cs="宋体"/>
          <w:b/>
          <w:color w:val="auto"/>
          <w:kern w:val="0"/>
          <w:sz w:val="24"/>
        </w:rPr>
        <w:t>5.投诉书的投诉请求应与投诉事项相关。</w:t>
      </w:r>
    </w:p>
    <w:p w14:paraId="66A2878D">
      <w:pPr>
        <w:spacing w:line="360" w:lineRule="auto"/>
        <w:ind w:left="25" w:leftChars="12" w:firstLine="354" w:firstLineChars="147"/>
        <w:rPr>
          <w:rFonts w:hint="eastAsia" w:ascii="宋体" w:hAnsi="宋体" w:eastAsia="宋体" w:cs="宋体"/>
          <w:b/>
          <w:color w:val="auto"/>
        </w:rPr>
      </w:pPr>
      <w:r>
        <w:rPr>
          <w:rFonts w:hint="eastAsia" w:ascii="宋体" w:hAnsi="宋体" w:eastAsia="宋体" w:cs="宋体"/>
          <w:b/>
          <w:color w:val="auto"/>
          <w:kern w:val="0"/>
          <w:sz w:val="24"/>
        </w:rPr>
        <w:t>6.投诉人为法人或者其他组织的，投诉书应由法定代表人、主要负责人，或者其授权代表签字或者盖章，并加盖公章。</w:t>
      </w:r>
    </w:p>
    <w:p w14:paraId="3394679F">
      <w:pPr>
        <w:bidi w:val="0"/>
        <w:jc w:val="center"/>
        <w:outlineLvl w:val="0"/>
        <w:rPr>
          <w:rFonts w:hint="eastAsia" w:ascii="宋体" w:hAnsi="宋体" w:eastAsia="宋体" w:cs="宋体"/>
          <w:b/>
          <w:bCs/>
          <w:color w:val="auto"/>
          <w:kern w:val="44"/>
          <w:sz w:val="44"/>
          <w:szCs w:val="44"/>
          <w:lang w:val="en-US" w:eastAsia="zh-CN" w:bidi="ar-SA"/>
        </w:rPr>
      </w:pPr>
      <w:bookmarkStart w:id="96" w:name="_Toc12838"/>
      <w:bookmarkStart w:id="97" w:name="_Toc32167"/>
      <w:bookmarkStart w:id="98" w:name="_Toc8819"/>
    </w:p>
    <w:p w14:paraId="1B3FDC14">
      <w:pPr>
        <w:bidi w:val="0"/>
        <w:jc w:val="center"/>
        <w:outlineLvl w:val="0"/>
        <w:rPr>
          <w:rFonts w:hint="eastAsia" w:ascii="宋体" w:hAnsi="宋体" w:eastAsia="宋体" w:cs="宋体"/>
          <w:b/>
          <w:bCs/>
          <w:color w:val="auto"/>
          <w:kern w:val="44"/>
          <w:sz w:val="44"/>
          <w:szCs w:val="44"/>
          <w:lang w:val="en-US" w:eastAsia="zh-CN" w:bidi="ar-SA"/>
        </w:rPr>
      </w:pPr>
    </w:p>
    <w:p w14:paraId="5895E18E">
      <w:pPr>
        <w:bidi w:val="0"/>
        <w:jc w:val="center"/>
        <w:outlineLvl w:val="0"/>
        <w:rPr>
          <w:rFonts w:hint="eastAsia" w:ascii="宋体" w:hAnsi="宋体" w:eastAsia="宋体" w:cs="宋体"/>
          <w:b/>
          <w:bCs/>
          <w:color w:val="auto"/>
          <w:kern w:val="44"/>
          <w:sz w:val="44"/>
          <w:szCs w:val="44"/>
          <w:lang w:val="en-US" w:eastAsia="zh-CN" w:bidi="ar-SA"/>
        </w:rPr>
      </w:pPr>
    </w:p>
    <w:p w14:paraId="44FD26C9">
      <w:pPr>
        <w:bidi w:val="0"/>
        <w:jc w:val="center"/>
        <w:outlineLvl w:val="0"/>
        <w:rPr>
          <w:rFonts w:hint="eastAsia" w:ascii="宋体" w:hAnsi="宋体" w:eastAsia="宋体" w:cs="宋体"/>
          <w:b/>
          <w:bCs/>
          <w:color w:val="auto"/>
          <w:kern w:val="44"/>
          <w:sz w:val="44"/>
          <w:szCs w:val="44"/>
          <w:lang w:val="en-US" w:eastAsia="zh-CN" w:bidi="ar-SA"/>
        </w:rPr>
      </w:pPr>
    </w:p>
    <w:p w14:paraId="238B19B3">
      <w:pPr>
        <w:bidi w:val="0"/>
        <w:jc w:val="center"/>
        <w:outlineLvl w:val="0"/>
        <w:rPr>
          <w:rFonts w:hint="eastAsia" w:ascii="宋体" w:hAnsi="宋体" w:eastAsia="宋体" w:cs="宋体"/>
          <w:b/>
          <w:bCs/>
          <w:color w:val="auto"/>
          <w:kern w:val="44"/>
          <w:sz w:val="44"/>
          <w:szCs w:val="44"/>
          <w:lang w:val="en-US" w:eastAsia="zh-CN" w:bidi="ar-SA"/>
        </w:rPr>
      </w:pPr>
    </w:p>
    <w:p w14:paraId="3F702855">
      <w:pPr>
        <w:bidi w:val="0"/>
        <w:jc w:val="center"/>
        <w:outlineLvl w:val="0"/>
        <w:rPr>
          <w:rFonts w:ascii="宋体" w:hAnsi="宋体" w:eastAsia="宋体" w:cs="宋体"/>
          <w:b/>
          <w:bCs/>
          <w:color w:val="auto"/>
          <w:kern w:val="44"/>
          <w:sz w:val="44"/>
          <w:szCs w:val="44"/>
          <w:lang w:val="en-US" w:eastAsia="zh-CN" w:bidi="ar-SA"/>
        </w:rPr>
      </w:pPr>
      <w:bookmarkStart w:id="99" w:name="_Toc15064"/>
    </w:p>
    <w:p w14:paraId="481910D0">
      <w:pPr>
        <w:bidi w:val="0"/>
        <w:jc w:val="center"/>
        <w:outlineLvl w:val="0"/>
        <w:rPr>
          <w:rFonts w:ascii="宋体" w:hAnsi="宋体" w:eastAsia="宋体" w:cs="宋体"/>
          <w:b/>
          <w:bCs/>
          <w:color w:val="auto"/>
          <w:kern w:val="44"/>
          <w:sz w:val="44"/>
          <w:szCs w:val="44"/>
          <w:lang w:val="en-US" w:eastAsia="zh-CN" w:bidi="ar-SA"/>
        </w:rPr>
      </w:pPr>
    </w:p>
    <w:p w14:paraId="5B555401">
      <w:pPr>
        <w:bidi w:val="0"/>
        <w:jc w:val="both"/>
        <w:outlineLvl w:val="0"/>
        <w:rPr>
          <w:rFonts w:ascii="宋体" w:hAnsi="宋体" w:eastAsia="宋体" w:cs="宋体"/>
          <w:b/>
          <w:bCs/>
          <w:color w:val="auto"/>
          <w:kern w:val="44"/>
          <w:sz w:val="44"/>
          <w:szCs w:val="44"/>
          <w:lang w:val="en-US" w:eastAsia="zh-CN" w:bidi="ar-SA"/>
        </w:rPr>
      </w:pPr>
    </w:p>
    <w:p w14:paraId="37E782E1">
      <w:pPr>
        <w:bidi w:val="0"/>
        <w:jc w:val="center"/>
        <w:outlineLvl w:val="0"/>
        <w:rPr>
          <w:rFonts w:ascii="宋体" w:hAnsi="宋体" w:eastAsia="宋体" w:cs="宋体"/>
          <w:b/>
          <w:bCs/>
          <w:color w:val="auto"/>
          <w:kern w:val="44"/>
          <w:sz w:val="44"/>
          <w:szCs w:val="44"/>
          <w:lang w:val="en-US" w:eastAsia="zh-CN" w:bidi="ar-SA"/>
        </w:rPr>
      </w:pPr>
    </w:p>
    <w:p w14:paraId="78408A36">
      <w:pPr>
        <w:bidi w:val="0"/>
        <w:jc w:val="center"/>
        <w:outlineLvl w:val="0"/>
        <w:rPr>
          <w:rFonts w:ascii="宋体" w:hAnsi="宋体" w:eastAsia="宋体" w:cs="宋体"/>
          <w:b/>
          <w:bCs/>
          <w:color w:val="auto"/>
          <w:kern w:val="44"/>
          <w:sz w:val="44"/>
          <w:szCs w:val="44"/>
          <w:lang w:val="en-US" w:eastAsia="zh-CN" w:bidi="ar-SA"/>
        </w:rPr>
      </w:pPr>
    </w:p>
    <w:p w14:paraId="5EFA0A4D">
      <w:pPr>
        <w:bidi w:val="0"/>
        <w:jc w:val="center"/>
        <w:outlineLvl w:val="0"/>
        <w:rPr>
          <w:rFonts w:ascii="宋体" w:hAnsi="宋体" w:eastAsia="宋体" w:cs="宋体"/>
          <w:b/>
          <w:bCs/>
          <w:color w:val="auto"/>
          <w:kern w:val="44"/>
          <w:sz w:val="44"/>
          <w:szCs w:val="44"/>
          <w:lang w:val="en-US" w:eastAsia="zh-CN" w:bidi="ar-SA"/>
        </w:rPr>
      </w:pPr>
    </w:p>
    <w:p w14:paraId="73379326">
      <w:pPr>
        <w:bidi w:val="0"/>
        <w:jc w:val="center"/>
        <w:outlineLvl w:val="0"/>
        <w:rPr>
          <w:rFonts w:ascii="宋体" w:hAnsi="宋体" w:eastAsia="宋体" w:cs="宋体"/>
          <w:b/>
          <w:bCs/>
          <w:color w:val="auto"/>
          <w:kern w:val="44"/>
          <w:sz w:val="44"/>
          <w:szCs w:val="44"/>
          <w:lang w:val="en-US" w:eastAsia="zh-CN" w:bidi="ar-SA"/>
        </w:rPr>
      </w:pPr>
    </w:p>
    <w:p w14:paraId="14B09594">
      <w:pPr>
        <w:bidi w:val="0"/>
        <w:jc w:val="center"/>
        <w:outlineLvl w:val="0"/>
        <w:rPr>
          <w:rFonts w:ascii="宋体" w:hAnsi="宋体" w:eastAsia="宋体" w:cs="宋体"/>
          <w:b/>
          <w:bCs/>
          <w:color w:val="auto"/>
          <w:kern w:val="44"/>
          <w:sz w:val="44"/>
          <w:szCs w:val="44"/>
          <w:lang w:val="en-US" w:eastAsia="zh-CN" w:bidi="ar-SA"/>
        </w:rPr>
      </w:pPr>
      <w:r>
        <w:rPr>
          <w:rFonts w:hint="eastAsia" w:ascii="宋体" w:hAnsi="宋体" w:eastAsia="宋体" w:cs="宋体"/>
          <w:b/>
          <w:bCs/>
          <w:color w:val="auto"/>
          <w:kern w:val="44"/>
          <w:sz w:val="44"/>
          <w:szCs w:val="44"/>
          <w:lang w:val="en-US" w:eastAsia="zh-CN" w:bidi="ar-SA"/>
        </w:rPr>
        <w:t>第八章 政府采购合同验收书范本</w:t>
      </w:r>
      <w:bookmarkEnd w:id="96"/>
      <w:bookmarkEnd w:id="97"/>
      <w:bookmarkEnd w:id="98"/>
      <w:bookmarkEnd w:id="99"/>
    </w:p>
    <w:p w14:paraId="267F5BCD">
      <w:pPr>
        <w:pStyle w:val="15"/>
        <w:bidi w:val="0"/>
      </w:pPr>
    </w:p>
    <w:p w14:paraId="74F6BC86">
      <w:pPr>
        <w:bidi w:val="0"/>
        <w:jc w:val="both"/>
        <w:outlineLvl w:val="9"/>
      </w:pPr>
    </w:p>
    <w:p w14:paraId="459BB6F9">
      <w:pPr>
        <w:pStyle w:val="15"/>
        <w:bidi w:val="0"/>
      </w:pPr>
    </w:p>
    <w:p w14:paraId="6719E858">
      <w:pPr>
        <w:bidi w:val="0"/>
        <w:jc w:val="both"/>
        <w:outlineLvl w:val="9"/>
      </w:pPr>
    </w:p>
    <w:p w14:paraId="5887E2F7">
      <w:pPr>
        <w:pStyle w:val="15"/>
        <w:bidi w:val="0"/>
      </w:pPr>
    </w:p>
    <w:p w14:paraId="7B9F57E7">
      <w:pPr>
        <w:bidi w:val="0"/>
        <w:jc w:val="both"/>
        <w:outlineLvl w:val="9"/>
      </w:pPr>
    </w:p>
    <w:p w14:paraId="7793BDFA">
      <w:pPr>
        <w:pStyle w:val="15"/>
        <w:bidi w:val="0"/>
      </w:pPr>
    </w:p>
    <w:p w14:paraId="7AA7E260">
      <w:pPr>
        <w:bidi w:val="0"/>
        <w:jc w:val="both"/>
        <w:outlineLvl w:val="9"/>
      </w:pPr>
    </w:p>
    <w:p w14:paraId="31A2774E">
      <w:pPr>
        <w:pStyle w:val="15"/>
        <w:bidi w:val="0"/>
      </w:pPr>
    </w:p>
    <w:p w14:paraId="3534670B">
      <w:pPr>
        <w:bidi w:val="0"/>
        <w:jc w:val="both"/>
        <w:outlineLvl w:val="9"/>
      </w:pPr>
    </w:p>
    <w:p w14:paraId="0600E61E">
      <w:pPr>
        <w:pStyle w:val="15"/>
        <w:bidi w:val="0"/>
      </w:pPr>
    </w:p>
    <w:p w14:paraId="273B48F9">
      <w:pPr>
        <w:bidi w:val="0"/>
        <w:jc w:val="both"/>
        <w:outlineLvl w:val="9"/>
      </w:pPr>
    </w:p>
    <w:p w14:paraId="3BAA5303">
      <w:pPr>
        <w:pStyle w:val="15"/>
        <w:bidi w:val="0"/>
      </w:pPr>
    </w:p>
    <w:p w14:paraId="52C047B4">
      <w:pPr>
        <w:bidi w:val="0"/>
        <w:jc w:val="both"/>
        <w:outlineLvl w:val="9"/>
      </w:pPr>
    </w:p>
    <w:p w14:paraId="62BE5CE2">
      <w:pPr>
        <w:pStyle w:val="15"/>
        <w:bidi w:val="0"/>
      </w:pPr>
    </w:p>
    <w:p w14:paraId="250A7F32">
      <w:pPr>
        <w:bidi w:val="0"/>
        <w:jc w:val="both"/>
        <w:outlineLvl w:val="9"/>
      </w:pPr>
    </w:p>
    <w:p w14:paraId="0EC64C16">
      <w:pPr>
        <w:pStyle w:val="15"/>
        <w:bidi w:val="0"/>
      </w:pPr>
    </w:p>
    <w:p w14:paraId="26264869">
      <w:pPr>
        <w:bidi w:val="0"/>
        <w:jc w:val="both"/>
        <w:outlineLvl w:val="9"/>
      </w:pPr>
    </w:p>
    <w:p w14:paraId="3047BC27">
      <w:pPr>
        <w:pStyle w:val="15"/>
        <w:bidi w:val="0"/>
      </w:pPr>
    </w:p>
    <w:p w14:paraId="2C6C95C1">
      <w:pPr>
        <w:bidi w:val="0"/>
        <w:jc w:val="both"/>
        <w:outlineLvl w:val="9"/>
      </w:pPr>
    </w:p>
    <w:p w14:paraId="15501EB2">
      <w:pPr>
        <w:pStyle w:val="15"/>
        <w:bidi w:val="0"/>
      </w:pPr>
    </w:p>
    <w:p w14:paraId="08815CB2">
      <w:pPr>
        <w:bidi w:val="0"/>
        <w:jc w:val="both"/>
        <w:outlineLvl w:val="9"/>
      </w:pPr>
    </w:p>
    <w:p w14:paraId="53E2C548">
      <w:pPr>
        <w:pStyle w:val="15"/>
        <w:bidi w:val="0"/>
      </w:pPr>
    </w:p>
    <w:p w14:paraId="11322A7E">
      <w:pPr>
        <w:bidi w:val="0"/>
        <w:jc w:val="both"/>
        <w:outlineLvl w:val="9"/>
      </w:pPr>
    </w:p>
    <w:p w14:paraId="26AACC0E">
      <w:pPr>
        <w:pStyle w:val="15"/>
        <w:bidi w:val="0"/>
      </w:pPr>
    </w:p>
    <w:p w14:paraId="1D277D71">
      <w:pPr>
        <w:bidi w:val="0"/>
        <w:jc w:val="both"/>
        <w:outlineLvl w:val="9"/>
      </w:pPr>
    </w:p>
    <w:p w14:paraId="66DCB543">
      <w:pPr>
        <w:pStyle w:val="15"/>
        <w:bidi w:val="0"/>
      </w:pPr>
    </w:p>
    <w:p w14:paraId="240ED1A0">
      <w:pPr>
        <w:bidi w:val="0"/>
        <w:jc w:val="both"/>
        <w:outlineLvl w:val="9"/>
      </w:pPr>
    </w:p>
    <w:p w14:paraId="39E57F56">
      <w:pPr>
        <w:pStyle w:val="15"/>
        <w:bidi w:val="0"/>
      </w:pPr>
    </w:p>
    <w:p w14:paraId="569AFF04">
      <w:pPr>
        <w:bidi w:val="0"/>
        <w:jc w:val="both"/>
        <w:outlineLvl w:val="9"/>
      </w:pPr>
    </w:p>
    <w:p w14:paraId="4EB9AE48">
      <w:pPr>
        <w:pStyle w:val="15"/>
        <w:bidi w:val="0"/>
      </w:pPr>
    </w:p>
    <w:p w14:paraId="795213B2">
      <w:pPr>
        <w:tabs>
          <w:tab w:val="left" w:pos="576"/>
        </w:tabs>
        <w:jc w:val="center"/>
        <w:outlineLvl w:val="9"/>
        <w:rPr>
          <w:rFonts w:ascii="宋体" w:hAnsi="宋体" w:eastAsia="宋体" w:cs="宋体"/>
          <w:b/>
          <w:color w:val="auto"/>
          <w:sz w:val="24"/>
          <w:szCs w:val="24"/>
        </w:rPr>
      </w:pPr>
    </w:p>
    <w:p w14:paraId="4F3D7922">
      <w:pPr>
        <w:tabs>
          <w:tab w:val="left" w:pos="576"/>
        </w:tabs>
        <w:jc w:val="center"/>
        <w:outlineLvl w:val="9"/>
        <w:rPr>
          <w:rFonts w:hint="eastAsia" w:ascii="宋体" w:hAnsi="宋体" w:eastAsia="宋体" w:cs="宋体"/>
          <w:color w:val="auto"/>
          <w:kern w:val="0"/>
          <w:sz w:val="32"/>
        </w:rPr>
      </w:pPr>
      <w:r>
        <w:rPr>
          <w:rFonts w:hint="eastAsia" w:ascii="宋体" w:hAnsi="宋体" w:eastAsia="宋体" w:cs="宋体"/>
          <w:b/>
          <w:bCs/>
          <w:color w:val="auto"/>
          <w:kern w:val="2"/>
          <w:sz w:val="32"/>
          <w:szCs w:val="32"/>
          <w:lang w:val="en-US" w:eastAsia="zh-CN" w:bidi="ar-SA"/>
        </w:rPr>
        <w:t>广西壮族自治区政府采购项目合同验收书（格式）</w:t>
      </w:r>
    </w:p>
    <w:p w14:paraId="20C48251">
      <w:pPr>
        <w:widowControl/>
        <w:snapToGrid w:val="0"/>
        <w:spacing w:before="100" w:beforeAutospacing="1" w:after="100" w:afterAutospacing="1" w:line="320" w:lineRule="exact"/>
        <w:ind w:left="-359" w:leftChars="-171"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根据政府采购项目（</w:t>
      </w:r>
      <w:r>
        <w:rPr>
          <w:rFonts w:hint="eastAsia" w:ascii="宋体" w:hAnsi="宋体" w:eastAsia="宋体" w:cs="宋体"/>
          <w:color w:val="auto"/>
          <w:kern w:val="0"/>
          <w:sz w:val="24"/>
          <w:u w:val="single"/>
        </w:rPr>
        <w:t>采购合同编号：</w:t>
      </w:r>
      <w:r>
        <w:rPr>
          <w:rFonts w:hint="eastAsia" w:ascii="宋体" w:hAnsi="宋体" w:eastAsia="宋体" w:cs="宋体"/>
          <w:color w:val="auto"/>
          <w:kern w:val="0"/>
          <w:sz w:val="24"/>
          <w:u w:val="single"/>
        </w:rPr>
        <w:softHyphen/>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）的约定，我单位对（</w:t>
      </w:r>
      <w:r>
        <w:rPr>
          <w:rFonts w:hint="eastAsia" w:ascii="宋体" w:hAnsi="宋体" w:eastAsia="宋体" w:cs="宋体"/>
          <w:color w:val="auto"/>
          <w:kern w:val="0"/>
          <w:sz w:val="24"/>
          <w:u w:val="single"/>
        </w:rPr>
        <w:t xml:space="preserve">  项目名称   </w:t>
      </w:r>
      <w:r>
        <w:rPr>
          <w:rFonts w:hint="eastAsia" w:ascii="宋体" w:hAnsi="宋体" w:eastAsia="宋体" w:cs="宋体"/>
          <w:color w:val="auto"/>
          <w:kern w:val="0"/>
          <w:sz w:val="24"/>
        </w:rPr>
        <w:t>）       政府采购项目中标（或成交）供应商（</w:t>
      </w:r>
      <w:r>
        <w:rPr>
          <w:rFonts w:hint="eastAsia" w:ascii="宋体" w:hAnsi="宋体" w:eastAsia="宋体" w:cs="宋体"/>
          <w:color w:val="auto"/>
          <w:kern w:val="0"/>
          <w:sz w:val="24"/>
          <w:u w:val="single"/>
        </w:rPr>
        <w:t xml:space="preserve">            公司名称              </w:t>
      </w:r>
      <w:r>
        <w:rPr>
          <w:rFonts w:hint="eastAsia" w:ascii="宋体" w:hAnsi="宋体" w:eastAsia="宋体" w:cs="宋体"/>
          <w:color w:val="auto"/>
          <w:kern w:val="0"/>
          <w:sz w:val="24"/>
        </w:rPr>
        <w:t>）       提供的货物（或工程、服务）进行了验收，验收情况如下：</w:t>
      </w:r>
    </w:p>
    <w:tbl>
      <w:tblPr>
        <w:tblStyle w:val="16"/>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7C6F7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6BC8F095">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 w:val="24"/>
              </w:rPr>
            </w:pPr>
            <w:r>
              <w:rPr>
                <w:rFonts w:hint="eastAsia" w:ascii="宋体" w:hAnsi="宋体" w:eastAsia="宋体" w:cs="宋体"/>
                <w:color w:val="auto"/>
                <w:kern w:val="0"/>
                <w:sz w:val="24"/>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08E6A222">
            <w:pPr>
              <w:widowControl/>
              <w:snapToGrid w:val="0"/>
              <w:spacing w:before="100" w:beforeAutospacing="1" w:after="100" w:afterAutospacing="1" w:line="320" w:lineRule="exact"/>
              <w:ind w:left="-3" w:firstLine="480" w:firstLineChars="200"/>
              <w:jc w:val="center"/>
              <w:rPr>
                <w:rFonts w:hint="eastAsia" w:ascii="宋体" w:hAnsi="宋体" w:eastAsia="宋体" w:cs="宋体"/>
                <w:color w:val="auto"/>
                <w:kern w:val="0"/>
                <w:sz w:val="24"/>
              </w:rPr>
            </w:pPr>
            <w:r>
              <w:rPr>
                <w:rFonts w:hint="eastAsia" w:ascii="宋体" w:hAnsi="宋体" w:eastAsia="宋体" w:cs="宋体"/>
                <w:color w:val="auto"/>
                <w:kern w:val="0"/>
                <w:sz w:val="24"/>
              </w:rPr>
              <w:t>□自行验收         □委托验收</w:t>
            </w:r>
          </w:p>
        </w:tc>
      </w:tr>
      <w:tr w14:paraId="7A513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571EB571">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3EB6B764">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rPr>
            </w:pPr>
            <w:r>
              <w:rPr>
                <w:rFonts w:hint="eastAsia" w:ascii="宋体" w:hAnsi="宋体" w:eastAsia="宋体" w:cs="宋体"/>
                <w:color w:val="auto"/>
                <w:kern w:val="0"/>
                <w:sz w:val="24"/>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9886F47">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rPr>
            </w:pPr>
            <w:r>
              <w:rPr>
                <w:rFonts w:hint="eastAsia" w:ascii="宋体" w:hAnsi="宋体" w:eastAsia="宋体" w:cs="宋体"/>
                <w:color w:val="auto"/>
                <w:kern w:val="0"/>
                <w:sz w:val="24"/>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0138779">
            <w:pPr>
              <w:widowControl/>
              <w:snapToGrid w:val="0"/>
              <w:spacing w:before="100" w:beforeAutospacing="1" w:after="100" w:afterAutospacing="1"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266072E5">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4"/>
              </w:rPr>
            </w:pPr>
            <w:r>
              <w:rPr>
                <w:rFonts w:hint="eastAsia" w:ascii="宋体" w:hAnsi="宋体" w:eastAsia="宋体" w:cs="宋体"/>
                <w:color w:val="auto"/>
                <w:kern w:val="0"/>
                <w:sz w:val="24"/>
              </w:rPr>
              <w:t>金  额</w:t>
            </w:r>
          </w:p>
        </w:tc>
      </w:tr>
      <w:tr w14:paraId="7935E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6460B16">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28B2B8E5">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21FC2E5">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1DE5E22">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2EFCB881">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14:paraId="1DACA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8BE45A0">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1442F56C">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31B37A8">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7EF0C7A">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42D3E194">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14:paraId="052FF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1A77CDE">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0A8A5DB5">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07B5DD6">
            <w:pPr>
              <w:widowControl/>
              <w:snapToGrid w:val="0"/>
              <w:spacing w:before="100" w:beforeAutospacing="1" w:after="100" w:afterAutospacing="1" w:line="320" w:lineRule="exact"/>
              <w:ind w:left="-3"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3B9A154">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59D21276">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14:paraId="1ED7E2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1A152AEE">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4"/>
              </w:rPr>
            </w:pPr>
            <w:r>
              <w:rPr>
                <w:rFonts w:hint="eastAsia" w:ascii="宋体" w:hAnsi="宋体" w:eastAsia="宋体" w:cs="宋体"/>
                <w:color w:val="auto"/>
                <w:kern w:val="0"/>
                <w:sz w:val="24"/>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C71087B">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303A0548">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14:paraId="1F2CF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21EEC3F7">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rPr>
            </w:pPr>
            <w:r>
              <w:rPr>
                <w:rFonts w:hint="eastAsia" w:ascii="宋体" w:hAnsi="宋体" w:eastAsia="宋体" w:cs="宋体"/>
                <w:color w:val="auto"/>
                <w:kern w:val="0"/>
                <w:sz w:val="24"/>
              </w:rPr>
              <w:t>合计大写金额：   仟    佰    拾    万    仟    佰    拾    元</w:t>
            </w:r>
          </w:p>
        </w:tc>
      </w:tr>
      <w:tr w14:paraId="20DF6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9DB4065">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4"/>
              </w:rPr>
            </w:pPr>
            <w:r>
              <w:rPr>
                <w:rFonts w:hint="eastAsia" w:ascii="宋体" w:hAnsi="宋体" w:eastAsia="宋体" w:cs="宋体"/>
                <w:color w:val="auto"/>
                <w:kern w:val="0"/>
                <w:sz w:val="24"/>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85945E1">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1FE8921F">
            <w:pPr>
              <w:snapToGrid w:val="0"/>
              <w:spacing w:before="100" w:beforeAutospacing="1" w:after="100" w:afterAutospacing="1" w:line="320" w:lineRule="exact"/>
              <w:ind w:firstLine="45" w:firstLineChars="19"/>
              <w:jc w:val="center"/>
              <w:rPr>
                <w:rFonts w:hint="eastAsia" w:ascii="宋体" w:hAnsi="宋体" w:eastAsia="宋体" w:cs="宋体"/>
                <w:color w:val="auto"/>
                <w:kern w:val="0"/>
                <w:sz w:val="24"/>
              </w:rPr>
            </w:pPr>
            <w:r>
              <w:rPr>
                <w:rFonts w:hint="eastAsia" w:ascii="宋体" w:hAnsi="宋体" w:eastAsia="宋体" w:cs="宋体"/>
                <w:color w:val="auto"/>
                <w:kern w:val="0"/>
                <w:sz w:val="24"/>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12855FA0">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p>
        </w:tc>
      </w:tr>
      <w:tr w14:paraId="0AFAF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199DD749">
            <w:pPr>
              <w:widowControl/>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1FD6C8E">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5C458572">
            <w:pPr>
              <w:snapToGrid w:val="0"/>
              <w:spacing w:before="100" w:beforeAutospacing="1" w:after="100" w:afterAutospacing="1" w:line="320" w:lineRule="exact"/>
              <w:ind w:left="590" w:firstLine="480" w:firstLineChars="200"/>
              <w:jc w:val="left"/>
              <w:rPr>
                <w:rFonts w:hint="eastAsia" w:ascii="宋体" w:hAnsi="宋体" w:eastAsia="宋体" w:cs="宋体"/>
                <w:color w:val="auto"/>
                <w:kern w:val="0"/>
                <w:sz w:val="24"/>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434B097F">
            <w:pPr>
              <w:snapToGrid w:val="0"/>
              <w:spacing w:before="100" w:beforeAutospacing="1" w:after="100" w:afterAutospacing="1" w:line="320" w:lineRule="exact"/>
              <w:ind w:firstLine="480" w:firstLineChars="200"/>
              <w:jc w:val="left"/>
              <w:rPr>
                <w:rFonts w:hint="eastAsia" w:ascii="宋体" w:hAnsi="宋体" w:eastAsia="宋体" w:cs="宋体"/>
                <w:color w:val="auto"/>
                <w:kern w:val="0"/>
                <w:sz w:val="24"/>
              </w:rPr>
            </w:pPr>
          </w:p>
        </w:tc>
      </w:tr>
      <w:tr w14:paraId="511BD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347158">
            <w:pPr>
              <w:widowControl/>
              <w:snapToGrid w:val="0"/>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995ABA">
            <w:pPr>
              <w:widowControl/>
              <w:snapToGrid w:val="0"/>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sz w:val="24"/>
              </w:rPr>
              <w:t>（应</w:t>
            </w:r>
            <w:r>
              <w:rPr>
                <w:rFonts w:hint="eastAsia" w:ascii="宋体" w:hAnsi="宋体" w:eastAsia="宋体" w:cs="宋体"/>
                <w:color w:val="auto"/>
                <w:kern w:val="0"/>
                <w:sz w:val="24"/>
              </w:rPr>
              <w:t>按采购合同、采购文件、投标响应文件及验收方案等进行验收；并核对</w:t>
            </w:r>
            <w:r>
              <w:rPr>
                <w:rFonts w:hint="eastAsia" w:ascii="宋体" w:hAnsi="宋体" w:eastAsia="宋体" w:cs="宋体"/>
                <w:color w:val="auto"/>
                <w:sz w:val="24"/>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4"/>
              </w:rPr>
              <w:t>。可附件)</w:t>
            </w:r>
          </w:p>
        </w:tc>
      </w:tr>
      <w:tr w14:paraId="6F9D9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16F0D9">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27325086">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验收结论性意见：</w:t>
            </w:r>
          </w:p>
          <w:p w14:paraId="22C96C06">
            <w:pPr>
              <w:widowControl/>
              <w:spacing w:before="100" w:beforeAutospacing="1" w:after="100" w:afterAutospacing="1" w:line="320" w:lineRule="exact"/>
              <w:jc w:val="left"/>
              <w:rPr>
                <w:rFonts w:hint="eastAsia" w:ascii="宋体" w:hAnsi="宋体" w:eastAsia="宋体" w:cs="宋体"/>
                <w:color w:val="auto"/>
                <w:kern w:val="0"/>
                <w:sz w:val="24"/>
              </w:rPr>
            </w:pPr>
          </w:p>
        </w:tc>
      </w:tr>
      <w:tr w14:paraId="6C3B5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59381038"/>
        </w:tc>
        <w:tc>
          <w:tcPr>
            <w:tcW w:w="8100" w:type="dxa"/>
            <w:gridSpan w:val="6"/>
            <w:tcBorders>
              <w:top w:val="single" w:color="auto" w:sz="4" w:space="0"/>
              <w:left w:val="single" w:color="auto" w:sz="8" w:space="0"/>
              <w:bottom w:val="single" w:color="auto" w:sz="8" w:space="0"/>
              <w:right w:val="single" w:color="auto" w:sz="8" w:space="0"/>
            </w:tcBorders>
            <w:vAlign w:val="center"/>
          </w:tcPr>
          <w:p w14:paraId="1273B4B8">
            <w:pPr>
              <w:spacing w:before="100" w:beforeAutospacing="1" w:after="100" w:afterAutospacing="1" w:line="320" w:lineRule="exact"/>
              <w:ind w:firstLine="96" w:firstLineChars="40"/>
              <w:jc w:val="left"/>
              <w:rPr>
                <w:rFonts w:hint="eastAsia" w:ascii="宋体" w:hAnsi="宋体" w:eastAsia="宋体" w:cs="宋体"/>
                <w:color w:val="auto"/>
                <w:kern w:val="0"/>
                <w:sz w:val="24"/>
              </w:rPr>
            </w:pPr>
            <w:r>
              <w:rPr>
                <w:rFonts w:hint="eastAsia" w:ascii="宋体" w:hAnsi="宋体" w:eastAsia="宋体" w:cs="宋体"/>
                <w:color w:val="auto"/>
                <w:kern w:val="0"/>
                <w:sz w:val="24"/>
              </w:rPr>
              <w:t>有异议的意见和说明理由：</w:t>
            </w:r>
          </w:p>
          <w:p w14:paraId="17AFBC0E">
            <w:pPr>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签字：</w:t>
            </w:r>
          </w:p>
        </w:tc>
      </w:tr>
      <w:tr w14:paraId="5F78A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02DD86">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验收小组成员签字：</w:t>
            </w:r>
          </w:p>
        </w:tc>
      </w:tr>
      <w:tr w14:paraId="289EB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04F92B">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监督人员或其他相关人员签字：</w:t>
            </w:r>
          </w:p>
          <w:p w14:paraId="014CCEFD">
            <w:pPr>
              <w:widowControl/>
              <w:spacing w:before="100" w:beforeAutospacing="1" w:after="100" w:afterAutospacing="1" w:line="320" w:lineRule="exact"/>
              <w:ind w:firstLine="74" w:firstLineChars="31"/>
              <w:jc w:val="left"/>
              <w:rPr>
                <w:rFonts w:hint="eastAsia" w:ascii="宋体" w:hAnsi="宋体" w:eastAsia="宋体" w:cs="宋体"/>
                <w:color w:val="auto"/>
                <w:kern w:val="0"/>
                <w:sz w:val="24"/>
              </w:rPr>
            </w:pPr>
            <w:r>
              <w:rPr>
                <w:rFonts w:hint="eastAsia" w:ascii="宋体" w:hAnsi="宋体" w:eastAsia="宋体" w:cs="宋体"/>
                <w:color w:val="auto"/>
                <w:kern w:val="0"/>
                <w:sz w:val="24"/>
              </w:rPr>
              <w:t>或受邀机构的意见（盖章）：</w:t>
            </w:r>
          </w:p>
        </w:tc>
      </w:tr>
      <w:tr w14:paraId="7E692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left w:w="108" w:type="dxa"/>
              <w:right w:w="108" w:type="dxa"/>
            </w:tcMar>
            <w:vAlign w:val="center"/>
          </w:tcPr>
          <w:p w14:paraId="6605565C">
            <w:pPr>
              <w:widowControl/>
              <w:spacing w:before="100" w:beforeAutospacing="1" w:after="100" w:afterAutospacing="1" w:line="320" w:lineRule="exact"/>
              <w:ind w:firstLine="74" w:firstLineChars="31"/>
              <w:jc w:val="left"/>
              <w:rPr>
                <w:rFonts w:hint="eastAsia" w:ascii="宋体" w:hAnsi="宋体" w:eastAsia="宋体" w:cs="宋体"/>
                <w:color w:val="auto"/>
                <w:kern w:val="0"/>
                <w:sz w:val="24"/>
              </w:rPr>
            </w:pPr>
            <w:r>
              <w:rPr>
                <w:rFonts w:hint="eastAsia" w:ascii="宋体" w:hAnsi="宋体" w:eastAsia="宋体" w:cs="宋体"/>
                <w:color w:val="auto"/>
                <w:kern w:val="0"/>
                <w:sz w:val="24"/>
              </w:rPr>
              <w:t>中标或者成交供应商负责人签字或盖章：</w:t>
            </w:r>
          </w:p>
          <w:p w14:paraId="74344FE3">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105433A5">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采购人或受托机构的意见（盖章）：</w:t>
            </w:r>
          </w:p>
          <w:p w14:paraId="787A32D1">
            <w:pPr>
              <w:widowControl/>
              <w:spacing w:before="100" w:beforeAutospacing="1" w:after="100" w:afterAutospacing="1"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联系电话：                 年   月   日</w:t>
            </w:r>
          </w:p>
        </w:tc>
      </w:tr>
    </w:tbl>
    <w:p w14:paraId="2C02C981"/>
    <w:sectPr>
      <w:footerReference r:id="rId14" w:type="first"/>
      <w:footerReference r:id="rId13" w:type="default"/>
      <w:pgSz w:w="11910" w:h="16840"/>
      <w:pgMar w:top="1134" w:right="1134" w:bottom="1134" w:left="1134" w:header="850" w:footer="720" w:gutter="0"/>
      <w:pgNumType w:fmt="decimal"/>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000B">
    <w:pPr>
      <w:pStyle w:val="11"/>
      <w:tabs>
        <w:tab w:val="center" w:pos="4439"/>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1399">
    <w:pPr>
      <w:pStyle w:val="11"/>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53035"/>
              <wp:effectExtent l="0" t="0" r="0" b="0"/>
              <wp:wrapNone/>
              <wp:docPr id="3" name="文本框 5124"/>
              <wp:cNvGraphicFramePr/>
              <a:graphic xmlns:a="http://schemas.openxmlformats.org/drawingml/2006/main">
                <a:graphicData uri="http://schemas.microsoft.com/office/word/2010/wordprocessingShape">
                  <wps:wsp>
                    <wps:cNvSpPr/>
                    <wps:spPr>
                      <a:xfrm>
                        <a:off x="0" y="0"/>
                        <a:ext cx="76200" cy="153035"/>
                      </a:xfrm>
                      <a:prstGeom prst="rect">
                        <a:avLst/>
                      </a:prstGeom>
                      <a:noFill/>
                      <a:ln cap="flat" cmpd="sng">
                        <a:noFill/>
                        <a:prstDash val="solid"/>
                        <a:round/>
                      </a:ln>
                    </wps:spPr>
                    <wps:txbx>
                      <w:txbxContent>
                        <w:p w14:paraId="63B55388"/>
                      </w:txbxContent>
                    </wps:txbx>
                    <wps:bodyPr vert="horz" wrap="none" lIns="0" tIns="0" rIns="0" bIns="0" anchor="t" anchorCtr="0" upright="1">
                      <a:spAutoFit/>
                    </wps:bodyPr>
                  </wps:wsp>
                </a:graphicData>
              </a:graphic>
            </wp:anchor>
          </w:drawing>
        </mc:Choice>
        <mc:Fallback>
          <w:pict>
            <v:rect id="文本框 5124" o:spid="_x0000_s1026" o:spt="1" style="position:absolute;left:0pt;margin-top:0pt;height:12.05pt;width:6pt;mso-position-horizontal:center;mso-position-horizontal-relative:margin;mso-wrap-style:none;z-index:251659264;mso-width-relative:page;mso-height-relative:page;" filled="f" stroked="f" coordsize="21600,21600" o:gfxdata="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Vqtx0AAAAAMBAAAPAAAAAAAAAAEAIAAAACIAAABkcnMvZG93bnJldi54bWxQ&#10;SwECFAAUAAAACACHTuJA1t6td/8BAADtAwAADgAAAAAAAAABACAAAAAfAQAAZHJzL2Uyb0RvYy54&#10;bWxQSwUGAAAAAAYABgBZAQAAkAUAAAAA&#10;">
              <v:fill on="f" focussize="0,0"/>
              <v:stroke on="f" joinstyle="round"/>
              <v:imagedata o:title=""/>
              <o:lock v:ext="edit" aspectratio="f"/>
              <v:textbox inset="0mm,0mm,0mm,0mm" style="mso-fit-shape-to-text:t;">
                <w:txbxContent>
                  <w:p w14:paraId="63B55388"/>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63C4">
    <w:pPr>
      <w:pStyle w:val="11"/>
      <w:tabs>
        <w:tab w:val="center" w:pos="4439"/>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B2DB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EB2DB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98EC">
    <w:pPr>
      <w:pStyle w:val="11"/>
      <w:tabs>
        <w:tab w:val="center" w:pos="443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36F0C">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F436F0C">
                    <w:pPr>
                      <w:pStyle w:val="11"/>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53035"/>
              <wp:effectExtent l="0" t="0" r="0" b="0"/>
              <wp:wrapNone/>
              <wp:docPr id="15" name="文本框 5124"/>
              <wp:cNvGraphicFramePr/>
              <a:graphic xmlns:a="http://schemas.openxmlformats.org/drawingml/2006/main">
                <a:graphicData uri="http://schemas.microsoft.com/office/word/2010/wordprocessingShape">
                  <wps:wsp>
                    <wps:cNvSpPr/>
                    <wps:spPr>
                      <a:xfrm>
                        <a:off x="0" y="0"/>
                        <a:ext cx="76200" cy="153035"/>
                      </a:xfrm>
                      <a:prstGeom prst="rect">
                        <a:avLst/>
                      </a:prstGeom>
                      <a:noFill/>
                      <a:ln cap="flat" cmpd="sng">
                        <a:noFill/>
                        <a:prstDash val="solid"/>
                        <a:round/>
                      </a:ln>
                    </wps:spPr>
                    <wps:txbx>
                      <w:txbxContent>
                        <w:p w14:paraId="054A4A38"/>
                      </w:txbxContent>
                    </wps:txbx>
                    <wps:bodyPr vert="horz" wrap="none" lIns="0" tIns="0" rIns="0" bIns="0" anchor="t" anchorCtr="0" upright="1">
                      <a:spAutoFit/>
                    </wps:bodyPr>
                  </wps:wsp>
                </a:graphicData>
              </a:graphic>
            </wp:anchor>
          </w:drawing>
        </mc:Choice>
        <mc:Fallback>
          <w:pict>
            <v:rect id="文本框 5124" o:spid="_x0000_s1026" o:spt="1" style="position:absolute;left:0pt;margin-top:0pt;height:12.05pt;width:6pt;mso-position-horizontal:center;mso-position-horizontal-relative:margin;mso-wrap-style:none;z-index:251659264;mso-width-relative:page;mso-height-relative:page;" filled="f" stroked="f" coordsize="21600,21600" o:gfxdata="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Vqtx0AAAAAMBAAAPAAAAAAAAAAEAIAAAACIAAABkcnMvZG93bnJldi54bWxQ&#10;SwECFAAUAAAACACHTuJAafbXdf8BAADuAwAADgAAAAAAAAABACAAAAAfAQAAZHJzL2Uyb0RvYy54&#10;bWxQSwUGAAAAAAYABgBZAQAAkAUAAAAA&#10;">
              <v:fill on="f" focussize="0,0"/>
              <v:stroke on="f" joinstyle="round"/>
              <v:imagedata o:title=""/>
              <o:lock v:ext="edit" aspectratio="f"/>
              <v:textbox inset="0mm,0mm,0mm,0mm" style="mso-fit-shape-to-text:t;">
                <w:txbxContent>
                  <w:p w14:paraId="054A4A38"/>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3691E">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BB95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FBB959">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-10104755</wp:posOffset>
              </wp:positionV>
              <wp:extent cx="76200" cy="131445"/>
              <wp:effectExtent l="0" t="0" r="0" b="0"/>
              <wp:wrapNone/>
              <wp:docPr id="5" name="文本框 1035"/>
              <wp:cNvGraphicFramePr/>
              <a:graphic xmlns:a="http://schemas.openxmlformats.org/drawingml/2006/main">
                <a:graphicData uri="http://schemas.microsoft.com/office/word/2010/wordprocessingShape">
                  <wps:wsp>
                    <wps:cNvSpPr/>
                    <wps:spPr>
                      <a:xfrm>
                        <a:off x="0" y="0"/>
                        <a:ext cx="76200" cy="131433"/>
                      </a:xfrm>
                      <a:prstGeom prst="rect">
                        <a:avLst/>
                      </a:prstGeom>
                      <a:noFill/>
                      <a:ln cap="flat" cmpd="sng">
                        <a:noFill/>
                        <a:prstDash val="solid"/>
                        <a:round/>
                      </a:ln>
                    </wps:spPr>
                    <wps:txbx>
                      <w:txbxContent>
                        <w:p w14:paraId="68E6BDC0">
                          <w:pPr>
                            <w:pStyle w:val="11"/>
                            <w:rPr>
                              <w:rFonts w:hint="eastAsia" w:eastAsia="宋体"/>
                              <w:lang w:eastAsia="zh-CN"/>
                            </w:rPr>
                          </w:pPr>
                        </w:p>
                      </w:txbxContent>
                    </wps:txbx>
                    <wps:bodyPr vert="horz" wrap="none" lIns="0" tIns="0" rIns="0" bIns="0" anchor="t" anchorCtr="0" upright="0">
                      <a:spAutoFit/>
                    </wps:bodyPr>
                  </wps:wsp>
                </a:graphicData>
              </a:graphic>
            </wp:anchor>
          </w:drawing>
        </mc:Choice>
        <mc:Fallback>
          <w:pict>
            <v:rect id="文本框 1035" o:spid="_x0000_s1026" o:spt="1" style="position:absolute;left:0pt;margin-top:-795.65pt;height:10.35pt;width:6pt;mso-position-horizontal:center;mso-position-horizontal-relative:margin;mso-wrap-style:none;z-index:251659264;mso-width-relative:page;mso-height-relative:page;" filled="f" stroked="f" coordsize="21600,21600" o:gfxdata="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3j6EtcAAAALAQAADwAAAAAAAAABACAAAAAiAAAAZHJzL2Rvd25y&#10;ZXYueG1sUEsBAhQAFAAAAAgAh07iQCVUwQ7/AQAA7QMAAA4AAAAAAAAAAQAgAAAAJgEAAGRycy9l&#10;Mm9Eb2MueG1sUEsFBgAAAAAGAAYAWQEAAJcFAAAAAA==&#10;">
              <v:fill on="f" focussize="0,0"/>
              <v:stroke on="f" joinstyle="round"/>
              <v:imagedata o:title=""/>
              <o:lock v:ext="edit" aspectratio="f"/>
              <v:textbox inset="0mm,0mm,0mm,0mm" style="mso-fit-shape-to-text:t;">
                <w:txbxContent>
                  <w:p w14:paraId="68E6BDC0">
                    <w:pPr>
                      <w:pStyle w:val="11"/>
                      <w:rPr>
                        <w:rFonts w:hint="eastAsia" w:eastAsia="宋体"/>
                        <w:lang w:eastAsia="zh-CN"/>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A63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6" name="文本框 1033"/>
              <wp:cNvGraphicFramePr/>
              <a:graphic xmlns:a="http://schemas.openxmlformats.org/drawingml/2006/main">
                <a:graphicData uri="http://schemas.microsoft.com/office/word/2010/wordprocessingShape">
                  <wps:wsp>
                    <wps:cNvSpPr/>
                    <wps:spPr>
                      <a:xfrm>
                        <a:off x="0" y="0"/>
                        <a:ext cx="114300" cy="131445"/>
                      </a:xfrm>
                      <a:prstGeom prst="rect">
                        <a:avLst/>
                      </a:prstGeom>
                      <a:noFill/>
                      <a:ln cap="flat" cmpd="sng">
                        <a:noFill/>
                        <a:prstDash val="solid"/>
                        <a:round/>
                      </a:ln>
                    </wps:spPr>
                    <wps:txbx>
                      <w:txbxContent>
                        <w:p w14:paraId="6C706A92">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033"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1pF6s0AAAAAMBAAAPAAAAAAAAAAEAIAAAACIAAABkcnMvZG93bnJldi54bWxQ&#10;SwECFAAUAAAACACHTuJA3yGtpP8BAADuAwAADgAAAAAAAAABACAAAAAfAQAAZHJzL2Uyb0RvYy54&#10;bWxQSwUGAAAAAAYABgBZAQAAkAUAAAAA&#10;">
              <v:fill on="f" focussize="0,0"/>
              <v:stroke on="f" joinstyle="round"/>
              <v:imagedata o:title=""/>
              <o:lock v:ext="edit" aspectratio="f"/>
              <v:textbox inset="0mm,0mm,0mm,0mm" style="mso-fit-shape-to-text:t;">
                <w:txbxContent>
                  <w:p w14:paraId="6C706A92">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F6E8">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7" name="文本框 1034"/>
              <wp:cNvGraphicFramePr/>
              <a:graphic xmlns:a="http://schemas.openxmlformats.org/drawingml/2006/main">
                <a:graphicData uri="http://schemas.microsoft.com/office/word/2010/wordprocessingShape">
                  <wps:wsp>
                    <wps:cNvSpPr/>
                    <wps:spPr>
                      <a:xfrm>
                        <a:off x="0" y="0"/>
                        <a:ext cx="114300" cy="131445"/>
                      </a:xfrm>
                      <a:prstGeom prst="rect">
                        <a:avLst/>
                      </a:prstGeom>
                      <a:noFill/>
                      <a:ln cap="flat" cmpd="sng">
                        <a:noFill/>
                        <a:prstDash val="solid"/>
                        <a:round/>
                      </a:ln>
                    </wps:spPr>
                    <wps:txbx>
                      <w:txbxContent>
                        <w:p w14:paraId="0BED71B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03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1pF6s0AAAAAMBAAAPAAAAAAAAAAEAIAAAACIAAABkcnMvZG93bnJldi54bWxQ&#10;SwECFAAUAAAACACHTuJAdIvPf/8BAADuAwAADgAAAAAAAAABACAAAAAfAQAAZHJzL2Uyb0RvYy54&#10;bWxQSwUGAAAAAAYABgBZAQAAkAUAAAAA&#10;">
              <v:fill on="f" focussize="0,0"/>
              <v:stroke on="f" joinstyle="round"/>
              <v:imagedata o:title=""/>
              <o:lock v:ext="edit" aspectratio="f"/>
              <v:textbox inset="0mm,0mm,0mm,0mm" style="mso-fit-shape-to-text:t;">
                <w:txbxContent>
                  <w:p w14:paraId="0BED71B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rect>
          </w:pict>
        </mc:Fallback>
      </mc:AlternateContent>
    </w:r>
  </w:p>
  <w:p w14:paraId="6210AD19">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7A20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146"/>
              <wp:cNvGraphicFramePr/>
              <a:graphic xmlns:a="http://schemas.openxmlformats.org/drawingml/2006/main">
                <a:graphicData uri="http://schemas.microsoft.com/office/word/2010/wordprocessingShape">
                  <wps:wsp>
                    <wps:cNvSpPr/>
                    <wps:spPr>
                      <a:xfrm>
                        <a:off x="0" y="0"/>
                        <a:ext cx="1828800" cy="1828800"/>
                      </a:xfrm>
                      <a:prstGeom prst="rect">
                        <a:avLst/>
                      </a:prstGeom>
                      <a:noFill/>
                      <a:ln cap="flat" cmpd="sng">
                        <a:noFill/>
                        <a:prstDash val="solid"/>
                        <a:round/>
                      </a:ln>
                    </wps:spPr>
                    <wps:txbx>
                      <w:txbxContent>
                        <w:p w14:paraId="4074CD0F">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614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wO4Ye/wBAADwAwAADgAAAAAAAAABACAAAAAfAQAAZHJzL2Uyb0RvYy54bWxQ&#10;SwUGAAAAAAYABgBZAQAAjQUAAAAA&#10;">
              <v:fill on="f" focussize="0,0"/>
              <v:stroke on="f" joinstyle="round"/>
              <v:imagedata o:title=""/>
              <o:lock v:ext="edit" aspectratio="f"/>
              <v:textbox inset="0mm,0mm,0mm,0mm" style="mso-fit-shape-to-text:t;">
                <w:txbxContent>
                  <w:p w14:paraId="4074CD0F">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7995">
    <w:pPr>
      <w:pStyle w:val="12"/>
      <w:tabs>
        <w:tab w:val="center" w:pos="0"/>
        <w:tab w:val="clear" w:pos="4153"/>
      </w:tabs>
    </w:pPr>
    <w:r>
      <w:rPr>
        <w:rFonts w:hint="eastAsia"/>
        <w:lang w:eastAsia="zh-CN"/>
      </w:rPr>
      <w:t>泵站、堤防护坡清理维护工程 (2026年度)</w:t>
    </w:r>
    <w:r>
      <w:rPr>
        <w:rFonts w:hint="eastAsia"/>
      </w:rPr>
      <w:t>（</w:t>
    </w:r>
    <w:r>
      <w:rPr>
        <w:rFonts w:hint="eastAsia"/>
        <w:lang w:eastAsia="zh-CN"/>
      </w:rPr>
      <w:t>项目编号：LZZC2026-C2-990128-QJZX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AC5C">
    <w:pPr>
      <w:pStyle w:val="12"/>
      <w:pBdr>
        <w:bottom w:val="none" w:color="auto" w:sz="0" w:space="0"/>
      </w:pBdr>
      <w:tabs>
        <w:tab w:val="center" w:pos="0"/>
        <w:tab w:val="clear" w:pos="4153"/>
      </w:tabs>
      <w:jc w:val="center"/>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B82A">
    <w:pPr>
      <w:pStyle w:val="12"/>
      <w:tabs>
        <w:tab w:val="center" w:pos="0"/>
        <w:tab w:val="clear" w:pos="4153"/>
      </w:tabs>
    </w:pPr>
    <w:r>
      <w:rPr>
        <w:rFonts w:hint="eastAsia" w:ascii="宋体" w:hAnsi="宋体"/>
        <w:lang w:eastAsia="zh-CN"/>
      </w:rPr>
      <w:t>泵站、堤防护坡清理维护工程 (2026年度)</w:t>
    </w:r>
    <w:r>
      <w:rPr>
        <w:rFonts w:hint="eastAsia" w:ascii="宋体" w:hAnsi="宋体"/>
      </w:rPr>
      <w:t>（项目编号：</w:t>
    </w:r>
    <w:r>
      <w:rPr>
        <w:rFonts w:hint="eastAsia" w:ascii="宋体" w:hAnsi="宋体"/>
        <w:lang w:eastAsia="zh-CN"/>
      </w:rPr>
      <w:t>LZZC2026-C2-990128-QJZX</w:t>
    </w:r>
    <w:r>
      <w:rPr>
        <w:rFonts w:hint="eastAsia" w:ascii="宋体" w:hAnsi="宋体"/>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A46D">
    <w:pPr>
      <w:pStyle w:val="12"/>
      <w:tabs>
        <w:tab w:val="center" w:pos="0"/>
        <w:tab w:val="clear" w:pos="4153"/>
      </w:tabs>
    </w:pPr>
    <w:r>
      <w:rPr>
        <w:rFonts w:hint="eastAsia" w:ascii="宋体" w:hAnsi="宋体"/>
        <w:lang w:eastAsia="zh-CN"/>
      </w:rPr>
      <w:t>泵站、堤防护坡清理维护工程 (2026年度)</w:t>
    </w:r>
    <w:r>
      <w:rPr>
        <w:rFonts w:hint="eastAsia" w:ascii="宋体" w:hAnsi="宋体"/>
      </w:rPr>
      <w:t>（</w:t>
    </w:r>
    <w:r>
      <w:rPr>
        <w:rFonts w:hint="eastAsia" w:ascii="宋体" w:hAnsi="宋体"/>
        <w:lang w:eastAsia="zh-CN"/>
      </w:rPr>
      <w:t>项目编号：LZZC2026-C2-990128-QJZX</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72B42"/>
    <w:multiLevelType w:val="singleLevel"/>
    <w:tmpl w:val="E4B72B42"/>
    <w:lvl w:ilvl="0" w:tentative="0">
      <w:start w:val="5"/>
      <w:numFmt w:val="chineseCounting"/>
      <w:suff w:val="space"/>
      <w:lvlText w:val="第%1章"/>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 w:ilvl="0" w:tentative="1">
        <w:start w:val="1"/>
        <w:numFmt w:val="decimal"/>
        <w:lvlText w:val="（%1）"/>
        <w:lvlJc w:val="left"/>
        <w:pPr>
          <w:tabs>
            <w:tab w:val="left" w:pos="1140"/>
          </w:tabs>
          <w:ind w:left="1140" w:hanging="72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3">
    <w:abstractNumId w:val="2"/>
    <w:lvlOverride w:ilvl="0">
      <w:startOverride w:val="1"/>
      <w:lvl w:ilvl="0" w:tentative="1">
        <w:start w:val="1"/>
        <w:numFmt w:val="decimal"/>
        <w:lvlText w:val="（%1）"/>
        <w:lvlJc w:val="left"/>
        <w:pPr>
          <w:tabs>
            <w:tab w:val="left" w:pos="1140"/>
          </w:tabs>
          <w:ind w:left="1140" w:hanging="720"/>
        </w:pPr>
        <w:rPr>
          <w:rFonts w:ascii="宋体" w:hAnsi="宋体" w:eastAsia="宋体" w:cs="Times New Roman"/>
        </w:r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75F5276"/>
    <w:rsid w:val="2C8A2EAA"/>
    <w:rsid w:val="46E62637"/>
    <w:rsid w:val="4703060E"/>
    <w:rsid w:val="48A76177"/>
    <w:rsid w:val="48C91E02"/>
    <w:rsid w:val="664A365E"/>
    <w:rsid w:val="6FB80935"/>
    <w:rsid w:val="777C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0"/>
    <w:qFormat/>
    <w:uiPriority w:val="0"/>
    <w:pPr>
      <w:keepNext/>
      <w:keepLines/>
      <w:spacing w:before="260" w:after="260" w:line="415" w:lineRule="auto"/>
      <w:outlineLvl w:val="2"/>
    </w:pPr>
    <w:rPr>
      <w:b/>
      <w:bCs/>
      <w:sz w:val="32"/>
      <w:szCs w:val="32"/>
    </w:rPr>
  </w:style>
  <w:style w:type="paragraph" w:styleId="5">
    <w:name w:val="heading 4"/>
    <w:basedOn w:val="1"/>
    <w:next w:val="1"/>
    <w:link w:val="2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spacing w:after="120"/>
    </w:pPr>
  </w:style>
  <w:style w:type="paragraph" w:styleId="8">
    <w:name w:val="Body Text Indent"/>
    <w:basedOn w:val="1"/>
    <w:next w:val="9"/>
    <w:qFormat/>
    <w:uiPriority w:val="0"/>
    <w:pPr>
      <w:ind w:firstLine="352" w:firstLineChars="352"/>
    </w:pPr>
    <w:rPr>
      <w:rFonts w:ascii="仿宋_GB2312" w:eastAsia="仿宋_GB2312"/>
      <w:kern w:val="0"/>
      <w:sz w:val="32"/>
      <w:szCs w:val="20"/>
    </w:rPr>
  </w:style>
  <w:style w:type="paragraph" w:styleId="9">
    <w:name w:val="Plain Text"/>
    <w:basedOn w:val="1"/>
    <w:next w:val="5"/>
    <w:qFormat/>
    <w:uiPriority w:val="0"/>
    <w:rPr>
      <w:rFonts w:ascii="宋体" w:hAnsi="Courier New"/>
      <w:kern w:val="0"/>
      <w:sz w:val="20"/>
      <w:szCs w:val="21"/>
    </w:rPr>
  </w:style>
  <w:style w:type="paragraph" w:styleId="10">
    <w:name w:val="toc 3"/>
    <w:basedOn w:val="1"/>
    <w:next w:val="1"/>
    <w:qFormat/>
    <w:uiPriority w:val="0"/>
    <w:pPr>
      <w:ind w:left="400" w:leftChars="400"/>
    </w:p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style>
  <w:style w:type="paragraph" w:styleId="14">
    <w:name w:val="toc 2"/>
    <w:basedOn w:val="1"/>
    <w:next w:val="1"/>
    <w:qFormat/>
    <w:uiPriority w:val="0"/>
    <w:pPr>
      <w:tabs>
        <w:tab w:val="right" w:leader="dot" w:pos="8296"/>
      </w:tabs>
      <w:ind w:left="200" w:leftChars="200"/>
    </w:pPr>
  </w:style>
  <w:style w:type="paragraph" w:styleId="15">
    <w:name w:val="Body Text First Indent 2"/>
    <w:basedOn w:val="8"/>
    <w:next w:val="1"/>
    <w:qFormat/>
    <w:uiPriority w:val="0"/>
    <w:pPr>
      <w:ind w:firstLine="200" w:firstLineChars="200"/>
    </w:pPr>
    <w:rPr>
      <w:rFonts w:eastAsia="仿宋"/>
      <w:sz w:val="28"/>
    </w:rPr>
  </w:style>
  <w:style w:type="character" w:customStyle="1" w:styleId="18">
    <w:name w:val="heading 1 Char"/>
    <w:basedOn w:val="17"/>
    <w:link w:val="2"/>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7"/>
    <w:link w:val="3"/>
    <w:qFormat/>
    <w:uiPriority w:val="0"/>
    <w:rPr>
      <w:rFonts w:ascii="Times New Roman" w:hAnsi="Times New Roman" w:eastAsia="黑体" w:cs="Times New Roman"/>
      <w:b/>
      <w:bCs/>
      <w:kern w:val="2"/>
      <w:sz w:val="32"/>
      <w:szCs w:val="32"/>
      <w:lang w:val="en-US" w:eastAsia="zh-CN" w:bidi="ar-SA"/>
    </w:rPr>
  </w:style>
  <w:style w:type="character" w:customStyle="1" w:styleId="20">
    <w:name w:val="heading 3 Char"/>
    <w:basedOn w:val="17"/>
    <w:link w:val="4"/>
    <w:qFormat/>
    <w:uiPriority w:val="0"/>
    <w:rPr>
      <w:rFonts w:ascii="Times New Roman" w:hAnsi="Times New Roman" w:eastAsia="宋体" w:cs="Times New Roman"/>
      <w:b/>
      <w:bCs/>
      <w:kern w:val="2"/>
      <w:sz w:val="32"/>
      <w:szCs w:val="32"/>
      <w:lang w:val="en-US" w:eastAsia="zh-CN" w:bidi="ar-SA"/>
    </w:rPr>
  </w:style>
  <w:style w:type="character" w:customStyle="1" w:styleId="21">
    <w:name w:val="heading 4 Char"/>
    <w:basedOn w:val="17"/>
    <w:link w:val="5"/>
    <w:qFormat/>
    <w:uiPriority w:val="0"/>
    <w:rPr>
      <w:rFonts w:ascii="Arial" w:hAnsi="Arial" w:eastAsia="黑体" w:cs="Times New Roman"/>
      <w:kern w:val="0"/>
      <w:sz w:val="28"/>
      <w:szCs w:val="20"/>
      <w:lang w:val="en-US" w:eastAsia="zh-CN" w:bidi="ar-SA"/>
    </w:rPr>
  </w:style>
  <w:style w:type="paragraph" w:customStyle="1" w:styleId="22">
    <w:name w:val="p15"/>
    <w:basedOn w:val="1"/>
    <w:qFormat/>
    <w:uiPriority w:val="0"/>
    <w:pPr>
      <w:widowControl/>
    </w:pPr>
    <w:rPr>
      <w:rFonts w:ascii="宋体" w:hAnsi="宋体" w:cs="宋体"/>
      <w:kern w:val="0"/>
      <w:szCs w:val="21"/>
    </w:rPr>
  </w:style>
  <w:style w:type="paragraph" w:customStyle="1" w:styleId="23">
    <w:name w:val="Plain Text"/>
    <w:basedOn w:val="1"/>
    <w:next w:val="5"/>
    <w:qFormat/>
    <w:uiPriority w:val="0"/>
    <w:rPr>
      <w:rFonts w:ascii="宋体" w:hAnsi="Courier New" w:eastAsia="宋体" w:cs="Times New Roman"/>
      <w:kern w:val="0"/>
      <w:sz w:val="20"/>
      <w:szCs w:val="21"/>
    </w:rPr>
  </w:style>
  <w:style w:type="paragraph" w:customStyle="1" w:styleId="24">
    <w:name w:val="Table Text"/>
    <w:basedOn w:val="1"/>
    <w:qFormat/>
    <w:uiPriority w:val="0"/>
    <w:rPr>
      <w:rFonts w:ascii="宋体" w:hAnsi="宋体" w:eastAsia="宋体" w:cs="宋体"/>
      <w:sz w:val="19"/>
      <w:szCs w:val="19"/>
      <w:lang w:val="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DEA54-1B56-4CFD-BEE4-87E8A548AA9A}">
  <ds:schemaRefs/>
</ds:datastoreItem>
</file>

<file path=docProps/app.xml><?xml version="1.0" encoding="utf-8"?>
<Properties xmlns="http://schemas.openxmlformats.org/officeDocument/2006/extended-properties" xmlns:vt="http://schemas.openxmlformats.org/officeDocument/2006/docPropsVTypes">
  <Template>Normal.eit</Template>
  <Pages>77</Pages>
  <Words>3496</Words>
  <Characters>3913</Characters>
  <Lines>0</Lines>
  <Paragraphs>1206</Paragraphs>
  <TotalTime>13</TotalTime>
  <ScaleCrop>false</ScaleCrop>
  <LinksUpToDate>false</LinksUpToDate>
  <CharactersWithSpaces>3986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2026-04-02T08:29:00Z</dcterms:created>
  <dc:creator>微微一笑</dc:creator>
  <cp:lastModifiedBy>微微一笑</cp:lastModifiedBy>
  <dcterms:modified xsi:type="dcterms:W3CDTF">2026-04-28T07:39:55Z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548FED9DE88F4469BD3B4F7AAB87D521_13</vt:lpwstr>
  </property>
  <property fmtid="{D5CDD505-2E9C-101B-9397-08002B2CF9AE}" pid="4" name="KSOTemplateDocerSaveRecord">
    <vt:lpwstr>eyJoZGlkIjoiOTI0NmQzMGEwZDc1MTY5NmRmMTI2NjRlMWY3ODk4MjYiLCJ1c2VySWQiOiI5ODk0OTU1NjMifQ==</vt:lpwstr>
  </property>
</Properties>
</file>